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256A" w:rsidRDefault="001A204C">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Association between ultra-processed food consumption and risk of depressive symptoms in adults: a systematic review and meta-analysis</w:t>
      </w:r>
      <w:r>
        <w:rPr>
          <w:rFonts w:ascii="Arial" w:eastAsia="Arial" w:hAnsi="Arial" w:cs="Arial"/>
          <w:b/>
          <w:bCs/>
          <w:color w:val="000000"/>
          <w:sz w:val="36"/>
          <w:szCs w:val="36"/>
        </w:rPr>
        <w:t xml:space="preserve"> </w:t>
      </w:r>
    </w:p>
    <w:p w:rsidR="005E256A" w:rsidRDefault="005E256A">
      <w:pPr>
        <w:pBdr>
          <w:top w:val="nil"/>
          <w:left w:val="nil"/>
          <w:bottom w:val="nil"/>
          <w:right w:val="nil"/>
          <w:between w:val="nil"/>
        </w:pBdr>
        <w:jc w:val="both"/>
        <w:rPr>
          <w:rFonts w:ascii="Arial" w:eastAsia="Arial" w:hAnsi="Arial" w:cs="Arial"/>
          <w:b/>
          <w:bCs/>
          <w:color w:val="000000"/>
          <w:sz w:val="36"/>
          <w:szCs w:val="36"/>
        </w:rPr>
      </w:pPr>
    </w:p>
    <w:p w:rsidR="005E256A" w:rsidRDefault="005E256A">
      <w:pPr>
        <w:pBdr>
          <w:top w:val="nil"/>
          <w:left w:val="nil"/>
          <w:bottom w:val="nil"/>
          <w:right w:val="nil"/>
          <w:between w:val="nil"/>
        </w:pBdr>
        <w:jc w:val="both"/>
        <w:rPr>
          <w:rFonts w:ascii="Arial" w:eastAsia="Arial" w:hAnsi="Arial" w:cs="Arial"/>
          <w:color w:val="000000"/>
        </w:rPr>
      </w:pPr>
    </w:p>
    <w:p w:rsidR="005E256A" w:rsidRDefault="001A204C">
      <w:pPr>
        <w:pBdr>
          <w:top w:val="nil"/>
          <w:left w:val="nil"/>
          <w:bottom w:val="nil"/>
          <w:right w:val="nil"/>
          <w:between w:val="nil"/>
        </w:pBdr>
        <w:jc w:val="both"/>
        <w:rPr>
          <w:rFonts w:ascii="Arial" w:eastAsia="Arial" w:hAnsi="Arial" w:cs="Arial"/>
          <w:color w:val="000000"/>
          <w:sz w:val="16"/>
          <w:szCs w:val="16"/>
        </w:rPr>
        <w:sectPr w:rsidR="005E256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sectPr>
      </w:pPr>
      <w:r>
        <w:rPr>
          <w:rFonts w:ascii="Arial" w:eastAsia="Arial" w:hAnsi="Arial" w:cs="Arial"/>
          <w:color w:val="000000"/>
          <w:sz w:val="16"/>
          <w:szCs w:val="16"/>
        </w:rPr>
        <w:t>.</w:t>
      </w:r>
    </w:p>
    <w:p w:rsidR="005E256A" w:rsidRDefault="001A204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rsidR="005E256A" w:rsidRDefault="005E256A">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5E256A">
        <w:tc>
          <w:tcPr>
            <w:tcW w:w="8424" w:type="dxa"/>
            <w:shd w:val="clear" w:color="auto" w:fill="F2F2F2"/>
          </w:tcPr>
          <w:p w:rsidR="005E256A" w:rsidRDefault="005E256A">
            <w:pPr>
              <w:pBdr>
                <w:top w:val="nil"/>
                <w:left w:val="nil"/>
                <w:bottom w:val="nil"/>
                <w:right w:val="nil"/>
                <w:between w:val="nil"/>
              </w:pBdr>
              <w:jc w:val="both"/>
              <w:rPr>
                <w:rFonts w:ascii="Arial" w:eastAsia="Arial" w:hAnsi="Arial" w:cs="Arial"/>
                <w:color w:val="000000"/>
              </w:rPr>
            </w:pPr>
          </w:p>
          <w:p w:rsidR="005E256A" w:rsidRDefault="001A204C">
            <w:pPr>
              <w:spacing w:before="240" w:after="240"/>
              <w:jc w:val="both"/>
              <w:rPr>
                <w:rFonts w:ascii="Arial" w:eastAsia="Arial" w:hAnsi="Arial" w:cs="Arial"/>
              </w:rPr>
            </w:pPr>
            <w:r>
              <w:rPr>
                <w:rFonts w:ascii="Arial" w:eastAsia="Arial" w:hAnsi="Arial" w:cs="Arial"/>
                <w:b/>
                <w:bCs/>
              </w:rPr>
              <w:t>Aims:</w:t>
            </w:r>
            <w:r>
              <w:rPr>
                <w:rFonts w:ascii="Arial" w:eastAsia="Arial" w:hAnsi="Arial" w:cs="Arial"/>
              </w:rPr>
              <w:t xml:space="preserve"> The present systematic review and meta-analysis aims to synthesize current observational evidence on the association between ultra-processed food (UPF) consumption and the risk of depressive symptoms and Major Depressive Disorder (MDD) in adults.</w:t>
            </w:r>
          </w:p>
          <w:p w:rsidR="005E256A" w:rsidRDefault="001A204C">
            <w:pPr>
              <w:spacing w:before="240" w:after="240"/>
              <w:jc w:val="both"/>
              <w:rPr>
                <w:rFonts w:ascii="Arial" w:eastAsia="Arial" w:hAnsi="Arial" w:cs="Arial"/>
              </w:rPr>
            </w:pPr>
            <w:r>
              <w:rPr>
                <w:rFonts w:ascii="Arial" w:eastAsia="Arial" w:hAnsi="Arial" w:cs="Arial"/>
                <w:b/>
                <w:bCs/>
              </w:rPr>
              <w:t>Study Design:</w:t>
            </w:r>
            <w:r>
              <w:rPr>
                <w:rFonts w:ascii="Arial" w:eastAsia="Arial" w:hAnsi="Arial" w:cs="Arial"/>
              </w:rPr>
              <w:t xml:space="preserve"> Systematic review and meta-analysis of observational studies (cross-sectional and prospective cohorts) conducted in accordance with the PRISMA 2020 guidelines.</w:t>
            </w:r>
          </w:p>
          <w:p w:rsidR="005E256A" w:rsidRDefault="001A204C">
            <w:pPr>
              <w:spacing w:before="240" w:after="240"/>
              <w:jc w:val="both"/>
              <w:rPr>
                <w:rFonts w:ascii="Arial" w:eastAsia="Arial" w:hAnsi="Arial" w:cs="Arial"/>
              </w:rPr>
            </w:pPr>
            <w:r>
              <w:rPr>
                <w:rFonts w:ascii="Arial" w:eastAsia="Arial" w:hAnsi="Arial" w:cs="Arial"/>
                <w:b/>
                <w:bCs/>
              </w:rPr>
              <w:t>Methodology:</w:t>
            </w:r>
            <w:r>
              <w:rPr>
                <w:rFonts w:ascii="Arial" w:eastAsia="Arial" w:hAnsi="Arial" w:cs="Arial"/>
              </w:rPr>
              <w:t xml:space="preserve"> Data were systematically collected from seven international electronic databases (PubMed/MEDLINE, EMBASE, Cochrane CENTRAL, Scopus, Web of Science, PsycINFO, and LILACS). We included studies on adults (18 years or older) that assessed UPF intake using the NOVA classification. Pooled Odds Ratios (OR) with 95 percent Confidence Intervals (CI) were calculated using random-effects models, comparing the highest versus lowest UPF consumption categories.</w:t>
            </w:r>
          </w:p>
          <w:p w:rsidR="005E256A" w:rsidRDefault="001A204C">
            <w:pPr>
              <w:spacing w:before="240" w:after="240"/>
              <w:jc w:val="both"/>
              <w:rPr>
                <w:rFonts w:ascii="Arial" w:eastAsia="Arial" w:hAnsi="Arial" w:cs="Arial"/>
              </w:rPr>
            </w:pPr>
            <w:r>
              <w:rPr>
                <w:rFonts w:ascii="Arial" w:eastAsia="Arial" w:hAnsi="Arial" w:cs="Arial"/>
                <w:b/>
                <w:bCs/>
              </w:rPr>
              <w:t>Results:</w:t>
            </w:r>
            <w:r>
              <w:rPr>
                <w:rFonts w:ascii="Arial" w:eastAsia="Arial" w:hAnsi="Arial" w:cs="Arial"/>
              </w:rPr>
              <w:t xml:space="preserve"> A total of 5 studies were included in the systematic review and meta-analysis, encompassing 45,720 adults. Higher UPF consumption was significantly associated with an increased risk of depressive symptoms (OR = 1.76; 95 percent CI 1.49 to 2.07). The association persisted for the outcome of Major Depressive Disorder (MDD), with an estimated OR of 1.63 (95 percent CI 1.18 to 2.26). Substantial heterogeneity was observed for both outcomes (I-squared = 84.9 percent and I-squared = 90.2 percent, respectively).</w:t>
            </w:r>
          </w:p>
          <w:p w:rsidR="005E256A" w:rsidRDefault="001A204C">
            <w:pPr>
              <w:spacing w:before="240" w:after="240"/>
              <w:jc w:val="both"/>
              <w:rPr>
                <w:rFonts w:ascii="Arial" w:eastAsia="Arial" w:hAnsi="Arial" w:cs="Arial"/>
              </w:rPr>
            </w:pPr>
            <w:r>
              <w:rPr>
                <w:rFonts w:ascii="Arial" w:eastAsia="Arial" w:hAnsi="Arial" w:cs="Arial"/>
                <w:b/>
                <w:bCs/>
              </w:rPr>
              <w:t>Conclusion:</w:t>
            </w:r>
            <w:r>
              <w:rPr>
                <w:rFonts w:ascii="Arial" w:eastAsia="Arial" w:hAnsi="Arial" w:cs="Arial"/>
              </w:rPr>
              <w:t xml:space="preserve"> Elevated ultra-processed food consumption is strongly and consistently associated with a substantially increased risk of both depressive symptoms and major depressive disorder in adults. These findings support the importance of reducing UPF intake as a public health strategy to complement the prevention and management of depression.</w:t>
            </w:r>
          </w:p>
          <w:p w:rsidR="005E256A" w:rsidRDefault="005E256A">
            <w:pPr>
              <w:pBdr>
                <w:top w:val="nil"/>
                <w:left w:val="nil"/>
                <w:bottom w:val="nil"/>
                <w:right w:val="nil"/>
                <w:between w:val="nil"/>
              </w:pBdr>
              <w:jc w:val="both"/>
              <w:rPr>
                <w:rFonts w:ascii="Arial" w:eastAsia="Arial" w:hAnsi="Arial" w:cs="Arial"/>
                <w:b/>
                <w:bCs/>
              </w:rPr>
            </w:pPr>
          </w:p>
        </w:tc>
      </w:tr>
    </w:tbl>
    <w:p w:rsidR="005E256A" w:rsidRDefault="005E256A">
      <w:pPr>
        <w:pBdr>
          <w:top w:val="nil"/>
          <w:left w:val="nil"/>
          <w:bottom w:val="nil"/>
          <w:right w:val="nil"/>
          <w:between w:val="nil"/>
        </w:pBdr>
        <w:jc w:val="both"/>
        <w:rPr>
          <w:rFonts w:ascii="Arial" w:eastAsia="Arial" w:hAnsi="Arial" w:cs="Arial"/>
          <w:i/>
          <w:iCs/>
        </w:rPr>
      </w:pPr>
    </w:p>
    <w:p w:rsidR="005E256A" w:rsidRDefault="001A204C">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rPr>
        <w:t xml:space="preserve">Keywords: </w:t>
      </w:r>
      <w:r>
        <w:rPr>
          <w:rFonts w:ascii="Arial" w:eastAsia="Arial" w:hAnsi="Arial" w:cs="Arial"/>
          <w:i/>
          <w:iCs/>
        </w:rPr>
        <w:t>Ultra-processed foods; Depression; NOVA classification; Dietary patterns; Adults; Meta-analysis; Mental health</w:t>
      </w:r>
      <w:r>
        <w:rPr>
          <w:rFonts w:ascii="Arial" w:eastAsia="Arial" w:hAnsi="Arial" w:cs="Arial"/>
          <w:i/>
          <w:iCs/>
          <w:color w:val="000000"/>
        </w:rPr>
        <w:t>).</w:t>
      </w:r>
    </w:p>
    <w:p w:rsidR="005E256A" w:rsidRDefault="005E256A">
      <w:pPr>
        <w:pBdr>
          <w:top w:val="nil"/>
          <w:left w:val="nil"/>
          <w:bottom w:val="nil"/>
          <w:right w:val="nil"/>
          <w:between w:val="nil"/>
        </w:pBdr>
        <w:jc w:val="both"/>
        <w:rPr>
          <w:rFonts w:ascii="Arial" w:eastAsia="Arial" w:hAnsi="Arial" w:cs="Arial"/>
          <w:i/>
          <w:iCs/>
          <w:color w:val="000000"/>
        </w:rPr>
      </w:pPr>
    </w:p>
    <w:p w:rsidR="005E256A" w:rsidRDefault="001A204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rsidR="005E256A" w:rsidRDefault="005E256A">
      <w:pPr>
        <w:keepNext/>
        <w:pBdr>
          <w:top w:val="nil"/>
          <w:left w:val="nil"/>
          <w:bottom w:val="nil"/>
          <w:right w:val="nil"/>
          <w:between w:val="nil"/>
        </w:pBdr>
        <w:jc w:val="both"/>
        <w:rPr>
          <w:rFonts w:ascii="Arial" w:eastAsia="Arial" w:hAnsi="Arial" w:cs="Arial"/>
          <w:b/>
          <w:bCs/>
          <w:smallCaps/>
          <w:color w:val="000000"/>
          <w:sz w:val="22"/>
          <w:szCs w:val="22"/>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 xml:space="preserve">Depressive disorders represent one of the leading causes of disability worldwide and contribute substantially to morbidity, reduced quality of life, and premature mortality among adults (Vos et al., 2020). Despite therapeutic advances, a considerable proportion of individuals experience persistent symptoms or limited access to mental-health care, particularly in low- and middle-income settings (Patel et al., 2018). Consequently, growing </w:t>
      </w:r>
      <w:r>
        <w:rPr>
          <w:rFonts w:ascii="Arial" w:eastAsia="Arial" w:hAnsi="Arial" w:cs="Arial"/>
        </w:rPr>
        <w:lastRenderedPageBreak/>
        <w:t>scientific attention has been directed toward modifiable lifestyle factors, including dietary patterns, as potential determinants of depression risk.</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Ultra-processed foods (UPFs), as classified by the NOVA system, consist of industrial formulations made predominantly from refined ingredients, additives, and cosmetic agents with minimal whole-food content (Monteiro et al., 2019). In several high-income countries, UPFs account for more than half of adults’ daily caloric intake, reflecting a sustained global shift towards highly processed dietary patterns (Elizabeth et al., 2020). High UPF consumption has been consistently associated with adverse physical-health outcomes such as obesity, type 2 diabetes, cardiovascular disease, and all-cause mortality (Lane et al., 2021).</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 xml:space="preserve">A growing body of literature has proposed plausible biological mechanisms linking UPFs to depressive symptoms. Diets rich in UPFs typically contain excess free sugars, saturated fats, and sodium, but are insufficient in </w:t>
      </w:r>
      <w:proofErr w:type="spellStart"/>
      <w:r>
        <w:rPr>
          <w:rFonts w:ascii="Arial" w:eastAsia="Arial" w:hAnsi="Arial" w:cs="Arial"/>
        </w:rPr>
        <w:t>fibre</w:t>
      </w:r>
      <w:proofErr w:type="spellEnd"/>
      <w:r>
        <w:rPr>
          <w:rFonts w:ascii="Arial" w:eastAsia="Arial" w:hAnsi="Arial" w:cs="Arial"/>
        </w:rPr>
        <w:t>, vitamins, and antioxidant compounds that support neuroplasticity and neurotransmitter regulation (</w:t>
      </w:r>
      <w:proofErr w:type="spellStart"/>
      <w:r>
        <w:rPr>
          <w:rFonts w:ascii="Arial" w:eastAsia="Arial" w:hAnsi="Arial" w:cs="Arial"/>
        </w:rPr>
        <w:t>Jacka</w:t>
      </w:r>
      <w:proofErr w:type="spellEnd"/>
      <w:r>
        <w:rPr>
          <w:rFonts w:ascii="Arial" w:eastAsia="Arial" w:hAnsi="Arial" w:cs="Arial"/>
        </w:rPr>
        <w:t xml:space="preserve">, 2017). Additionally, UPF-rich diets promote low-grade systemic inflammation, oxidative stress, and insulin resistance, all of which have been implicated in the pathophysiology of depression (Miller &amp; Raison, 2016). Additives such as emulsifiers, artificial sweeteners, and </w:t>
      </w:r>
      <w:proofErr w:type="spellStart"/>
      <w:r>
        <w:rPr>
          <w:rFonts w:ascii="Arial" w:eastAsia="Arial" w:hAnsi="Arial" w:cs="Arial"/>
        </w:rPr>
        <w:t>colourants</w:t>
      </w:r>
      <w:proofErr w:type="spellEnd"/>
      <w:r>
        <w:rPr>
          <w:rFonts w:ascii="Arial" w:eastAsia="Arial" w:hAnsi="Arial" w:cs="Arial"/>
        </w:rPr>
        <w:t xml:space="preserve"> may alter gut permeability and microbiota composition, thereby influencing neuroinflammatory pathways through the gut–brain axis (</w:t>
      </w:r>
      <w:proofErr w:type="spellStart"/>
      <w:r>
        <w:rPr>
          <w:rFonts w:ascii="Arial" w:eastAsia="Arial" w:hAnsi="Arial" w:cs="Arial"/>
        </w:rPr>
        <w:t>Cani</w:t>
      </w:r>
      <w:proofErr w:type="spellEnd"/>
      <w:r>
        <w:rPr>
          <w:rFonts w:ascii="Arial" w:eastAsia="Arial" w:hAnsi="Arial" w:cs="Arial"/>
        </w:rPr>
        <w:t xml:space="preserve"> &amp; Van </w:t>
      </w:r>
      <w:proofErr w:type="spellStart"/>
      <w:r>
        <w:rPr>
          <w:rFonts w:ascii="Arial" w:eastAsia="Arial" w:hAnsi="Arial" w:cs="Arial"/>
        </w:rPr>
        <w:t>Hul</w:t>
      </w:r>
      <w:proofErr w:type="spellEnd"/>
      <w:r>
        <w:rPr>
          <w:rFonts w:ascii="Arial" w:eastAsia="Arial" w:hAnsi="Arial" w:cs="Arial"/>
        </w:rPr>
        <w:t>, 2020). Packaging-derived contaminants, including bisphenols and phthalates, may further disrupt neuroendocrine function and hormonal regulation related to mood (Ribeiro et al., 2017).</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Over the past decade, numerous observational studies have evaluated the association between UPF intake and depressive symptoms in adults. Cross-sectional analyses across diverse populations have reported greater odds of depressive symptoms among individuals with higher UPF consumption (Hecht et al., 2022; Zheng et al., 2020). Prospective cohort studies have provided complementary evidence, linking higher UPF intake to an increased risk of incident depression over follow-up periods (</w:t>
      </w:r>
      <w:proofErr w:type="spellStart"/>
      <w:r>
        <w:rPr>
          <w:rFonts w:ascii="Arial" w:eastAsia="Arial" w:hAnsi="Arial" w:cs="Arial"/>
        </w:rPr>
        <w:t>Adjibade</w:t>
      </w:r>
      <w:proofErr w:type="spellEnd"/>
      <w:r>
        <w:rPr>
          <w:rFonts w:ascii="Arial" w:eastAsia="Arial" w:hAnsi="Arial" w:cs="Arial"/>
        </w:rPr>
        <w:t xml:space="preserve"> et al., 2019; Gómez-</w:t>
      </w:r>
      <w:proofErr w:type="spellStart"/>
      <w:r>
        <w:rPr>
          <w:rFonts w:ascii="Arial" w:eastAsia="Arial" w:hAnsi="Arial" w:cs="Arial"/>
        </w:rPr>
        <w:t>Donoso</w:t>
      </w:r>
      <w:proofErr w:type="spellEnd"/>
      <w:r>
        <w:rPr>
          <w:rFonts w:ascii="Arial" w:eastAsia="Arial" w:hAnsi="Arial" w:cs="Arial"/>
        </w:rPr>
        <w:t xml:space="preserve"> et al., 2020).</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 xml:space="preserve">Although preliminary reviews have </w:t>
      </w:r>
      <w:proofErr w:type="spellStart"/>
      <w:r>
        <w:rPr>
          <w:rFonts w:ascii="Arial" w:eastAsia="Arial" w:hAnsi="Arial" w:cs="Arial"/>
        </w:rPr>
        <w:t>synthesised</w:t>
      </w:r>
      <w:proofErr w:type="spellEnd"/>
      <w:r>
        <w:rPr>
          <w:rFonts w:ascii="Arial" w:eastAsia="Arial" w:hAnsi="Arial" w:cs="Arial"/>
        </w:rPr>
        <w:t xml:space="preserve"> elements of this evidence base, important gaps remain. A meta-analysis by Lane et al. (2020) pooled studies involving mixed adolescent and adult samples and combined heterogeneous mental-health outcomes (e.g., stress, anxiety, common mental disorders) rather than isolating depression. Similarly, Lane et al. (2020) reported a positive association between UPFs and depression but included studies with diverse exposure definitions. Moreover, recent large-scale cohort data, such as those from the Nurses’ Health Study II (</w:t>
      </w:r>
      <w:proofErr w:type="spellStart"/>
      <w:r>
        <w:rPr>
          <w:rFonts w:ascii="Arial" w:eastAsia="Arial" w:hAnsi="Arial" w:cs="Arial"/>
        </w:rPr>
        <w:t>Samuthpongtorn</w:t>
      </w:r>
      <w:proofErr w:type="spellEnd"/>
      <w:r>
        <w:rPr>
          <w:rFonts w:ascii="Arial" w:eastAsia="Arial" w:hAnsi="Arial" w:cs="Arial"/>
        </w:rPr>
        <w:t xml:space="preserve"> et al., 2023), have provided more precise estimates that warrant an updated synthesis.</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 xml:space="preserve">Given the rapid expansion of the evidence base and the absence of a synthesis focused specifically on adults and on depressive outcomes, an updated systematic review and meta-analysis is warranted. Such work has important clinical and public health implications: if UPF reduction is shown to meaningfully improve depressive outcomes, dietary modification could represent an accessible, low-cost adjunct to mental health interventions (Firth et al., 2020). Furthermore, quantifying the association between UPFs and depression may inform dietary guidelines, regulatory strategies, and </w:t>
      </w:r>
      <w:proofErr w:type="spellStart"/>
      <w:r>
        <w:rPr>
          <w:rFonts w:ascii="Arial" w:eastAsia="Arial" w:hAnsi="Arial" w:cs="Arial"/>
        </w:rPr>
        <w:t>behavioural</w:t>
      </w:r>
      <w:proofErr w:type="spellEnd"/>
      <w:r>
        <w:rPr>
          <w:rFonts w:ascii="Arial" w:eastAsia="Arial" w:hAnsi="Arial" w:cs="Arial"/>
        </w:rPr>
        <w:t xml:space="preserve"> nutrition policies aimed at reducing population-level consumption of ultra-processed products (Monteiro et al., 2020).</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 xml:space="preserve">Therefore, the present systematic review and meta-analysis aims to </w:t>
      </w:r>
      <w:proofErr w:type="spellStart"/>
      <w:r>
        <w:rPr>
          <w:rFonts w:ascii="Arial" w:eastAsia="Arial" w:hAnsi="Arial" w:cs="Arial"/>
        </w:rPr>
        <w:t>synthesise</w:t>
      </w:r>
      <w:proofErr w:type="spellEnd"/>
      <w:r>
        <w:rPr>
          <w:rFonts w:ascii="Arial" w:eastAsia="Arial" w:hAnsi="Arial" w:cs="Arial"/>
        </w:rPr>
        <w:t xml:space="preserve"> current observational evidence on the association between ultra-processed food consumption and the risk of depressive symptoms and depressive disorders in adults.</w:t>
      </w:r>
    </w:p>
    <w:p w:rsidR="005E256A" w:rsidRDefault="005E256A">
      <w:pPr>
        <w:pBdr>
          <w:top w:val="nil"/>
          <w:left w:val="nil"/>
          <w:bottom w:val="nil"/>
          <w:right w:val="nil"/>
          <w:between w:val="nil"/>
        </w:pBdr>
        <w:jc w:val="both"/>
        <w:rPr>
          <w:rFonts w:ascii="Arial" w:eastAsia="Arial" w:hAnsi="Arial" w:cs="Arial"/>
        </w:rPr>
      </w:pPr>
    </w:p>
    <w:p w:rsidR="005E256A" w:rsidRDefault="001A204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2. </w:t>
      </w:r>
      <w:r>
        <w:rPr>
          <w:rFonts w:ascii="Arial" w:eastAsia="Arial" w:hAnsi="Arial" w:cs="Arial"/>
          <w:b/>
          <w:bCs/>
          <w:smallCaps/>
          <w:sz w:val="22"/>
          <w:szCs w:val="22"/>
        </w:rPr>
        <w:t>MATERIAL AND METHODS</w:t>
      </w:r>
    </w:p>
    <w:p w:rsidR="005E256A" w:rsidRDefault="005E256A">
      <w:pPr>
        <w:keepNext/>
        <w:pBdr>
          <w:top w:val="nil"/>
          <w:left w:val="nil"/>
          <w:bottom w:val="nil"/>
          <w:right w:val="nil"/>
          <w:between w:val="nil"/>
        </w:pBdr>
        <w:jc w:val="both"/>
        <w:rPr>
          <w:rFonts w:ascii="Arial" w:eastAsia="Arial" w:hAnsi="Arial" w:cs="Arial"/>
          <w:b/>
          <w:bCs/>
          <w:smallCaps/>
          <w:sz w:val="22"/>
          <w:szCs w:val="22"/>
        </w:rPr>
      </w:pPr>
    </w:p>
    <w:p w:rsidR="005E256A" w:rsidRDefault="001A204C">
      <w:pPr>
        <w:jc w:val="both"/>
        <w:rPr>
          <w:rFonts w:ascii="Arial" w:eastAsia="Arial" w:hAnsi="Arial" w:cs="Arial"/>
        </w:rPr>
      </w:pPr>
      <w:r>
        <w:rPr>
          <w:rFonts w:ascii="Arial" w:eastAsia="Arial" w:hAnsi="Arial" w:cs="Arial"/>
        </w:rPr>
        <w:t xml:space="preserve">This study was conducted as a systematic review and meta-analysis of observational studies evaluating the association between ultra-processed food (UPF) consumption and depressive symptoms or depressive disorders in adults. The methodological approach followed the Preferred Reporting Items for Systematic Reviews and Meta-Analyses (PRISMA 2020) guidelines, and the protocol was developed according to the Cochrane Handbook for Systematic Reviews of Interventions. Observational epidemiological studies were evaluated and reported following applicable elements of the STROBE recommendations. The protocol for this review was prospectively registered with the International Prospective Register of Systematic Reviews (PROSPERO), ensuring methodological transparency and reducing the risk of selective reporting bias. The registration number is CRD420251236764. </w:t>
      </w:r>
    </w:p>
    <w:p w:rsidR="005E256A" w:rsidRDefault="005E256A">
      <w:pPr>
        <w:jc w:val="both"/>
        <w:rPr>
          <w:rFonts w:ascii="Arial" w:eastAsia="Arial" w:hAnsi="Arial" w:cs="Arial"/>
        </w:rPr>
      </w:pPr>
    </w:p>
    <w:p w:rsidR="005E256A" w:rsidRDefault="001A204C">
      <w:pPr>
        <w:jc w:val="both"/>
        <w:rPr>
          <w:rFonts w:ascii="Arial" w:eastAsia="Arial" w:hAnsi="Arial" w:cs="Arial"/>
          <w:b/>
          <w:bCs/>
          <w:sz w:val="22"/>
          <w:szCs w:val="22"/>
        </w:rPr>
      </w:pPr>
      <w:r>
        <w:rPr>
          <w:rFonts w:ascii="Arial" w:eastAsia="Arial" w:hAnsi="Arial" w:cs="Arial"/>
          <w:b/>
          <w:bCs/>
          <w:sz w:val="22"/>
          <w:szCs w:val="22"/>
        </w:rPr>
        <w:t>2.1 Eligibility Criteria</w:t>
      </w:r>
    </w:p>
    <w:p w:rsidR="005E256A" w:rsidRDefault="005E256A">
      <w:pPr>
        <w:jc w:val="both"/>
        <w:rPr>
          <w:rFonts w:ascii="Arial" w:eastAsia="Arial" w:hAnsi="Arial" w:cs="Arial"/>
          <w:b/>
          <w:bCs/>
          <w:sz w:val="22"/>
          <w:szCs w:val="22"/>
        </w:rPr>
      </w:pPr>
    </w:p>
    <w:p w:rsidR="005E256A" w:rsidRDefault="001A204C">
      <w:p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Eligible studies included cross-sectional and prospective cohort studies evaluating the association between ultra-processed food (UPF) consumption and depressive symptoms or depressive disorders in adults aged ≥18 years. UPF intake had to be assessed using the NOVA classification or a conceptually equivalent food-processing framework. Participants were required to be free from clinically diagnosed depression at baseline for longitudinal studies.</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 xml:space="preserve">The exposure of interest was dietary intake of UPFs, quantified as categories (e.g., </w:t>
      </w:r>
      <w:proofErr w:type="spellStart"/>
      <w:r>
        <w:rPr>
          <w:rFonts w:ascii="Arial" w:eastAsia="Arial" w:hAnsi="Arial" w:cs="Arial"/>
        </w:rPr>
        <w:t>tertiles</w:t>
      </w:r>
      <w:proofErr w:type="spellEnd"/>
      <w:r>
        <w:rPr>
          <w:rFonts w:ascii="Arial" w:eastAsia="Arial" w:hAnsi="Arial" w:cs="Arial"/>
        </w:rPr>
        <w:t>, quartiles, quintiles), percentage of total energy intake, or adherence to an UPF-based dietary pattern. Comparators included the lowest category of UPF intake, minimally processed or unprocessed dietary patterns, or reference groups defined by the original studies.</w:t>
      </w:r>
    </w:p>
    <w:p w:rsidR="005E256A" w:rsidRDefault="001A204C">
      <w:pPr>
        <w:spacing w:before="240" w:after="240"/>
        <w:jc w:val="both"/>
        <w:rPr>
          <w:rFonts w:ascii="Arial" w:eastAsia="Arial" w:hAnsi="Arial" w:cs="Arial"/>
        </w:rPr>
      </w:pPr>
      <w:r>
        <w:rPr>
          <w:rFonts w:ascii="Arial" w:eastAsia="Arial" w:hAnsi="Arial" w:cs="Arial"/>
        </w:rPr>
        <w:t>Eligible outcomes included:</w:t>
      </w:r>
    </w:p>
    <w:p w:rsidR="005E256A" w:rsidRDefault="001A204C">
      <w:pPr>
        <w:numPr>
          <w:ilvl w:val="0"/>
          <w:numId w:val="2"/>
        </w:numPr>
        <w:spacing w:before="240"/>
        <w:rPr>
          <w:rFonts w:ascii="Arial" w:eastAsia="Arial" w:hAnsi="Arial" w:cs="Arial"/>
        </w:rPr>
      </w:pPr>
      <w:r>
        <w:rPr>
          <w:rFonts w:ascii="Arial" w:eastAsia="Arial" w:hAnsi="Arial" w:cs="Arial"/>
        </w:rPr>
        <w:t>Validated depressive symptom scales, such as the CES-D, PHQ-9, HADS-D, GDS, or similar tools;</w:t>
      </w:r>
      <w:r>
        <w:rPr>
          <w:rFonts w:ascii="Arial" w:eastAsia="Arial" w:hAnsi="Arial" w:cs="Arial"/>
        </w:rPr>
        <w:br/>
      </w:r>
    </w:p>
    <w:p w:rsidR="005E256A" w:rsidRDefault="001A204C">
      <w:pPr>
        <w:numPr>
          <w:ilvl w:val="0"/>
          <w:numId w:val="2"/>
        </w:numPr>
        <w:rPr>
          <w:rFonts w:ascii="Arial" w:eastAsia="Arial" w:hAnsi="Arial" w:cs="Arial"/>
        </w:rPr>
      </w:pPr>
      <w:r>
        <w:rPr>
          <w:rFonts w:ascii="Arial" w:eastAsia="Arial" w:hAnsi="Arial" w:cs="Arial"/>
        </w:rPr>
        <w:t>Clinical diagnoses of major depressive disorder based on DSM/ICD criteria, medical records, or structured interviews;</w:t>
      </w:r>
      <w:r>
        <w:rPr>
          <w:rFonts w:ascii="Arial" w:eastAsia="Arial" w:hAnsi="Arial" w:cs="Arial"/>
        </w:rPr>
        <w:br/>
      </w:r>
    </w:p>
    <w:p w:rsidR="005E256A" w:rsidRDefault="001A204C">
      <w:pPr>
        <w:numPr>
          <w:ilvl w:val="0"/>
          <w:numId w:val="2"/>
        </w:numPr>
        <w:spacing w:after="240"/>
        <w:rPr>
          <w:rFonts w:ascii="Arial" w:eastAsia="Arial" w:hAnsi="Arial" w:cs="Arial"/>
        </w:rPr>
      </w:pPr>
      <w:r>
        <w:rPr>
          <w:rFonts w:ascii="Arial" w:eastAsia="Arial" w:hAnsi="Arial" w:cs="Arial"/>
        </w:rPr>
        <w:t>Incidence of depressive disorders in cohort studies.</w:t>
      </w:r>
      <w:r>
        <w:rPr>
          <w:rFonts w:ascii="Arial" w:eastAsia="Arial" w:hAnsi="Arial" w:cs="Arial"/>
        </w:rPr>
        <w:br/>
      </w:r>
    </w:p>
    <w:p w:rsidR="005E256A" w:rsidRDefault="001A204C">
      <w:pPr>
        <w:spacing w:before="240" w:after="240"/>
        <w:jc w:val="both"/>
        <w:rPr>
          <w:rFonts w:ascii="Arial" w:eastAsia="Arial" w:hAnsi="Arial" w:cs="Arial"/>
        </w:rPr>
      </w:pPr>
      <w:r>
        <w:rPr>
          <w:rFonts w:ascii="Arial" w:eastAsia="Arial" w:hAnsi="Arial" w:cs="Arial"/>
        </w:rPr>
        <w:t>Studies published in English, Portuguese, or Spanish were included. Exclusion criteria comprised:</w:t>
      </w:r>
    </w:p>
    <w:p w:rsidR="005E256A" w:rsidRDefault="001A204C">
      <w:pPr>
        <w:spacing w:before="240" w:after="240"/>
        <w:jc w:val="both"/>
        <w:rPr>
          <w:rFonts w:ascii="Arial" w:eastAsia="Arial" w:hAnsi="Arial" w:cs="Arial"/>
        </w:rPr>
      </w:pPr>
      <w:r>
        <w:rPr>
          <w:rFonts w:ascii="Arial" w:eastAsia="Arial" w:hAnsi="Arial" w:cs="Arial"/>
        </w:rPr>
        <w:t xml:space="preserve"> (a) studies involving children or adolescents exclusively;</w:t>
      </w:r>
      <w:r>
        <w:rPr>
          <w:rFonts w:ascii="Arial" w:eastAsia="Arial" w:hAnsi="Arial" w:cs="Arial"/>
        </w:rPr>
        <w:br/>
        <w:t xml:space="preserve"> (b) non–non-peer-reviewed manuscripts, conference abstracts, reviews, case reports, or editorials;</w:t>
      </w:r>
      <w:r>
        <w:rPr>
          <w:rFonts w:ascii="Arial" w:eastAsia="Arial" w:hAnsi="Arial" w:cs="Arial"/>
        </w:rPr>
        <w:br/>
        <w:t xml:space="preserve"> (c) ecological studies, cross-sectional dietary pattern studies without quantification of UPFs;</w:t>
      </w:r>
      <w:r>
        <w:rPr>
          <w:rFonts w:ascii="Arial" w:eastAsia="Arial" w:hAnsi="Arial" w:cs="Arial"/>
        </w:rPr>
        <w:br/>
        <w:t xml:space="preserve"> (d) studies lacking extractable quantitative data;</w:t>
      </w:r>
      <w:r>
        <w:rPr>
          <w:rFonts w:ascii="Arial" w:eastAsia="Arial" w:hAnsi="Arial" w:cs="Arial"/>
        </w:rPr>
        <w:br/>
        <w:t xml:space="preserve"> (e) intervention trials not using UPFs as exposure;</w:t>
      </w:r>
      <w:r>
        <w:rPr>
          <w:rFonts w:ascii="Arial" w:eastAsia="Arial" w:hAnsi="Arial" w:cs="Arial"/>
        </w:rPr>
        <w:br/>
        <w:t xml:space="preserve"> (f) outcomes unrelated to depression (e.g., stress, bipolar disorder).</w:t>
      </w:r>
    </w:p>
    <w:p w:rsidR="005E256A" w:rsidRDefault="001A204C">
      <w:pPr>
        <w:jc w:val="both"/>
        <w:rPr>
          <w:rFonts w:ascii="Arial" w:eastAsia="Arial" w:hAnsi="Arial" w:cs="Arial"/>
          <w:b/>
          <w:bCs/>
          <w:sz w:val="22"/>
          <w:szCs w:val="22"/>
        </w:rPr>
      </w:pPr>
      <w:r>
        <w:rPr>
          <w:rFonts w:ascii="Arial" w:eastAsia="Arial" w:hAnsi="Arial" w:cs="Arial"/>
          <w:b/>
          <w:bCs/>
          <w:sz w:val="22"/>
          <w:szCs w:val="22"/>
        </w:rPr>
        <w:t>2.2 Information Sources and Search Strategy</w:t>
      </w:r>
    </w:p>
    <w:p w:rsidR="005E256A" w:rsidRDefault="005E256A">
      <w:pPr>
        <w:jc w:val="both"/>
        <w:rPr>
          <w:rFonts w:ascii="Arial" w:eastAsia="Arial" w:hAnsi="Arial" w:cs="Arial"/>
          <w:b/>
          <w:bCs/>
          <w:sz w:val="22"/>
          <w:szCs w:val="22"/>
        </w:rPr>
      </w:pPr>
    </w:p>
    <w:p w:rsidR="005E256A" w:rsidRDefault="001A204C">
      <w:pPr>
        <w:spacing w:before="240" w:after="240"/>
        <w:rPr>
          <w:rFonts w:ascii="Arial" w:eastAsia="Arial" w:hAnsi="Arial" w:cs="Arial"/>
        </w:rPr>
      </w:pPr>
      <w:r>
        <w:rPr>
          <w:rFonts w:ascii="Arial" w:eastAsia="Arial" w:hAnsi="Arial" w:cs="Arial"/>
        </w:rPr>
        <w:lastRenderedPageBreak/>
        <w:t>A comprehensive search strategy was developed with the assistance of an experienced medical librarian. Searches were performed in the following databases, without restrictions on publication status:</w:t>
      </w:r>
    </w:p>
    <w:p w:rsidR="005E256A" w:rsidRDefault="001A204C">
      <w:pPr>
        <w:numPr>
          <w:ilvl w:val="0"/>
          <w:numId w:val="1"/>
        </w:numPr>
        <w:spacing w:before="240"/>
        <w:rPr>
          <w:rFonts w:ascii="Arial" w:eastAsia="Arial" w:hAnsi="Arial" w:cs="Arial"/>
        </w:rPr>
      </w:pPr>
      <w:r>
        <w:rPr>
          <w:rFonts w:ascii="Arial" w:eastAsia="Arial" w:hAnsi="Arial" w:cs="Arial"/>
          <w:b/>
          <w:bCs/>
        </w:rPr>
        <w:t>PubMed/MEDLINE</w:t>
      </w:r>
      <w:r>
        <w:rPr>
          <w:rFonts w:ascii="Arial" w:eastAsia="Arial" w:hAnsi="Arial" w:cs="Arial"/>
          <w:b/>
          <w:bCs/>
        </w:rPr>
        <w:br/>
      </w:r>
    </w:p>
    <w:p w:rsidR="005E256A" w:rsidRDefault="001A204C">
      <w:pPr>
        <w:numPr>
          <w:ilvl w:val="0"/>
          <w:numId w:val="1"/>
        </w:numPr>
        <w:rPr>
          <w:rFonts w:ascii="Arial" w:eastAsia="Arial" w:hAnsi="Arial" w:cs="Arial"/>
        </w:rPr>
      </w:pPr>
      <w:r>
        <w:rPr>
          <w:rFonts w:ascii="Arial" w:eastAsia="Arial" w:hAnsi="Arial" w:cs="Arial"/>
          <w:b/>
          <w:bCs/>
        </w:rPr>
        <w:t>EMBASE</w:t>
      </w:r>
      <w:r>
        <w:rPr>
          <w:rFonts w:ascii="Arial" w:eastAsia="Arial" w:hAnsi="Arial" w:cs="Arial"/>
          <w:b/>
          <w:bCs/>
        </w:rPr>
        <w:br/>
      </w:r>
    </w:p>
    <w:p w:rsidR="005E256A" w:rsidRDefault="001A204C">
      <w:pPr>
        <w:numPr>
          <w:ilvl w:val="0"/>
          <w:numId w:val="1"/>
        </w:numPr>
        <w:rPr>
          <w:rFonts w:ascii="Arial" w:eastAsia="Arial" w:hAnsi="Arial" w:cs="Arial"/>
        </w:rPr>
      </w:pPr>
      <w:r>
        <w:rPr>
          <w:rFonts w:ascii="Arial" w:eastAsia="Arial" w:hAnsi="Arial" w:cs="Arial"/>
          <w:b/>
          <w:bCs/>
        </w:rPr>
        <w:t>Cochrane CENTRAL</w:t>
      </w:r>
      <w:r>
        <w:rPr>
          <w:rFonts w:ascii="Arial" w:eastAsia="Arial" w:hAnsi="Arial" w:cs="Arial"/>
          <w:b/>
          <w:bCs/>
        </w:rPr>
        <w:br/>
      </w:r>
    </w:p>
    <w:p w:rsidR="005E256A" w:rsidRDefault="001A204C">
      <w:pPr>
        <w:numPr>
          <w:ilvl w:val="0"/>
          <w:numId w:val="1"/>
        </w:numPr>
        <w:rPr>
          <w:rFonts w:ascii="Arial" w:eastAsia="Arial" w:hAnsi="Arial" w:cs="Arial"/>
        </w:rPr>
      </w:pPr>
      <w:r>
        <w:rPr>
          <w:rFonts w:ascii="Arial" w:eastAsia="Arial" w:hAnsi="Arial" w:cs="Arial"/>
          <w:b/>
          <w:bCs/>
        </w:rPr>
        <w:t>Scopus</w:t>
      </w:r>
      <w:r>
        <w:rPr>
          <w:rFonts w:ascii="Arial" w:eastAsia="Arial" w:hAnsi="Arial" w:cs="Arial"/>
          <w:b/>
          <w:bCs/>
        </w:rPr>
        <w:br/>
      </w:r>
    </w:p>
    <w:p w:rsidR="005E256A" w:rsidRDefault="001A204C">
      <w:pPr>
        <w:numPr>
          <w:ilvl w:val="0"/>
          <w:numId w:val="1"/>
        </w:numPr>
        <w:rPr>
          <w:rFonts w:ascii="Arial" w:eastAsia="Arial" w:hAnsi="Arial" w:cs="Arial"/>
        </w:rPr>
      </w:pPr>
      <w:r>
        <w:rPr>
          <w:rFonts w:ascii="Arial" w:eastAsia="Arial" w:hAnsi="Arial" w:cs="Arial"/>
          <w:b/>
          <w:bCs/>
        </w:rPr>
        <w:t>Web of Science Core Collection</w:t>
      </w:r>
      <w:r>
        <w:rPr>
          <w:rFonts w:ascii="Arial" w:eastAsia="Arial" w:hAnsi="Arial" w:cs="Arial"/>
          <w:b/>
          <w:bCs/>
        </w:rPr>
        <w:br/>
      </w:r>
    </w:p>
    <w:p w:rsidR="005E256A" w:rsidRDefault="001A204C">
      <w:pPr>
        <w:numPr>
          <w:ilvl w:val="0"/>
          <w:numId w:val="1"/>
        </w:numPr>
        <w:rPr>
          <w:rFonts w:ascii="Arial" w:eastAsia="Arial" w:hAnsi="Arial" w:cs="Arial"/>
        </w:rPr>
      </w:pPr>
      <w:r>
        <w:rPr>
          <w:rFonts w:ascii="Arial" w:eastAsia="Arial" w:hAnsi="Arial" w:cs="Arial"/>
          <w:b/>
          <w:bCs/>
        </w:rPr>
        <w:t>PsycINFO</w:t>
      </w:r>
      <w:r>
        <w:rPr>
          <w:rFonts w:ascii="Arial" w:eastAsia="Arial" w:hAnsi="Arial" w:cs="Arial"/>
          <w:b/>
          <w:bCs/>
        </w:rPr>
        <w:br/>
      </w:r>
    </w:p>
    <w:p w:rsidR="005E256A" w:rsidRDefault="001A204C">
      <w:pPr>
        <w:numPr>
          <w:ilvl w:val="0"/>
          <w:numId w:val="1"/>
        </w:numPr>
        <w:spacing w:after="240"/>
        <w:rPr>
          <w:rFonts w:ascii="Arial" w:eastAsia="Arial" w:hAnsi="Arial" w:cs="Arial"/>
        </w:rPr>
      </w:pPr>
      <w:r>
        <w:rPr>
          <w:rFonts w:ascii="Arial" w:eastAsia="Arial" w:hAnsi="Arial" w:cs="Arial"/>
          <w:b/>
          <w:bCs/>
        </w:rPr>
        <w:t>LILACS</w:t>
      </w:r>
      <w:r>
        <w:rPr>
          <w:rFonts w:ascii="Arial" w:eastAsia="Arial" w:hAnsi="Arial" w:cs="Arial"/>
          <w:b/>
          <w:bCs/>
        </w:rPr>
        <w:br/>
      </w:r>
    </w:p>
    <w:p w:rsidR="005E256A" w:rsidRDefault="001A204C">
      <w:pPr>
        <w:spacing w:before="240" w:after="240"/>
        <w:jc w:val="both"/>
        <w:rPr>
          <w:rFonts w:ascii="Arial" w:eastAsia="Arial" w:hAnsi="Arial" w:cs="Arial"/>
        </w:rPr>
      </w:pPr>
      <w:r>
        <w:rPr>
          <w:rFonts w:ascii="Arial" w:eastAsia="Arial" w:hAnsi="Arial" w:cs="Arial"/>
        </w:rPr>
        <w:t>The search strategy combined controlled vocabulary (</w:t>
      </w:r>
      <w:proofErr w:type="spellStart"/>
      <w:r>
        <w:rPr>
          <w:rFonts w:ascii="Arial" w:eastAsia="Arial" w:hAnsi="Arial" w:cs="Arial"/>
        </w:rPr>
        <w:t>MeSH</w:t>
      </w:r>
      <w:proofErr w:type="spellEnd"/>
      <w:r>
        <w:rPr>
          <w:rFonts w:ascii="Arial" w:eastAsia="Arial" w:hAnsi="Arial" w:cs="Arial"/>
        </w:rPr>
        <w:t xml:space="preserve">, </w:t>
      </w:r>
      <w:proofErr w:type="spellStart"/>
      <w:r>
        <w:rPr>
          <w:rFonts w:ascii="Arial" w:eastAsia="Arial" w:hAnsi="Arial" w:cs="Arial"/>
        </w:rPr>
        <w:t>Emtree</w:t>
      </w:r>
      <w:proofErr w:type="spellEnd"/>
      <w:r>
        <w:rPr>
          <w:rFonts w:ascii="Arial" w:eastAsia="Arial" w:hAnsi="Arial" w:cs="Arial"/>
        </w:rPr>
        <w:t>) and free-text terms related to ultra-processed foods and depressive symptoms. Reference lists of all included studies and previous reviews were screened manually to identify additional eligible articles.</w:t>
      </w:r>
    </w:p>
    <w:p w:rsidR="005E256A" w:rsidRDefault="005E256A">
      <w:pPr>
        <w:spacing w:before="240" w:after="240"/>
        <w:jc w:val="both"/>
        <w:rPr>
          <w:rFonts w:ascii="Arial" w:eastAsia="Arial" w:hAnsi="Arial" w:cs="Arial"/>
        </w:rPr>
      </w:pPr>
    </w:p>
    <w:p w:rsidR="005E256A" w:rsidRDefault="005E256A">
      <w:pPr>
        <w:spacing w:before="240" w:after="240"/>
        <w:jc w:val="both"/>
        <w:rPr>
          <w:rFonts w:ascii="Arial" w:eastAsia="Arial" w:hAnsi="Arial" w:cs="Arial"/>
        </w:rPr>
      </w:pPr>
    </w:p>
    <w:p w:rsidR="005E256A" w:rsidRDefault="001A204C">
      <w:pPr>
        <w:tabs>
          <w:tab w:val="left" w:pos="1080"/>
        </w:tabs>
        <w:jc w:val="both"/>
        <w:rPr>
          <w:rFonts w:ascii="Arial" w:eastAsia="Arial" w:hAnsi="Arial" w:cs="Arial"/>
          <w:b/>
          <w:bCs/>
        </w:rPr>
      </w:pPr>
      <w:r>
        <w:rPr>
          <w:rFonts w:ascii="Arial" w:eastAsia="Arial" w:hAnsi="Arial" w:cs="Arial"/>
          <w:b/>
          <w:bCs/>
        </w:rPr>
        <w:t>Table 1.</w:t>
      </w:r>
      <w:r>
        <w:rPr>
          <w:rFonts w:ascii="Arial" w:eastAsia="Arial" w:hAnsi="Arial" w:cs="Arial"/>
          <w:b/>
          <w:bCs/>
        </w:rPr>
        <w:tab/>
        <w:t>Search descriptors and Boolean strategy</w:t>
      </w:r>
    </w:p>
    <w:p w:rsidR="005E256A" w:rsidRDefault="005E256A">
      <w:pPr>
        <w:tabs>
          <w:tab w:val="left" w:pos="1080"/>
        </w:tabs>
        <w:jc w:val="both"/>
        <w:rPr>
          <w:rFonts w:ascii="Arial" w:eastAsia="Arial" w:hAnsi="Arial" w:cs="Arial"/>
          <w:b/>
          <w:bCs/>
        </w:rPr>
      </w:pPr>
    </w:p>
    <w:tbl>
      <w:tblPr>
        <w:tblStyle w:val="a0"/>
        <w:tblW w:w="8295" w:type="dxa"/>
        <w:jc w:val="center"/>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40"/>
        <w:gridCol w:w="3720"/>
        <w:gridCol w:w="2235"/>
      </w:tblGrid>
      <w:tr w:rsidR="005E256A">
        <w:trPr>
          <w:jc w:val="center"/>
        </w:trPr>
        <w:tc>
          <w:tcPr>
            <w:tcW w:w="2340" w:type="dxa"/>
            <w:tcBorders>
              <w:bottom w:val="single" w:sz="4" w:space="0" w:color="000000"/>
            </w:tcBorders>
            <w:shd w:val="clear" w:color="auto" w:fill="D9D9D9"/>
          </w:tcPr>
          <w:p w:rsidR="005E256A" w:rsidRDefault="001A204C">
            <w:pPr>
              <w:jc w:val="center"/>
              <w:rPr>
                <w:rFonts w:ascii="Arial" w:eastAsia="Arial" w:hAnsi="Arial" w:cs="Arial"/>
                <w:b/>
                <w:bCs/>
              </w:rPr>
            </w:pPr>
            <w:r>
              <w:rPr>
                <w:rFonts w:ascii="Arial" w:eastAsia="Arial" w:hAnsi="Arial" w:cs="Arial"/>
                <w:b/>
                <w:bCs/>
              </w:rPr>
              <w:t>Database</w:t>
            </w:r>
          </w:p>
        </w:tc>
        <w:tc>
          <w:tcPr>
            <w:tcW w:w="3720" w:type="dxa"/>
            <w:tcBorders>
              <w:bottom w:val="single" w:sz="4" w:space="0" w:color="000000"/>
            </w:tcBorders>
            <w:shd w:val="clear" w:color="auto" w:fill="D9D9D9"/>
          </w:tcPr>
          <w:p w:rsidR="005E256A" w:rsidRDefault="001A204C">
            <w:pPr>
              <w:jc w:val="center"/>
              <w:rPr>
                <w:rFonts w:ascii="Arial" w:eastAsia="Arial" w:hAnsi="Arial" w:cs="Arial"/>
                <w:b/>
                <w:bCs/>
              </w:rPr>
            </w:pPr>
            <w:r>
              <w:rPr>
                <w:rFonts w:ascii="Arial" w:eastAsia="Arial" w:hAnsi="Arial" w:cs="Arial"/>
                <w:b/>
                <w:bCs/>
              </w:rPr>
              <w:t>Search terms/strategy</w:t>
            </w:r>
          </w:p>
        </w:tc>
        <w:tc>
          <w:tcPr>
            <w:tcW w:w="2235" w:type="dxa"/>
            <w:tcBorders>
              <w:bottom w:val="single" w:sz="4" w:space="0" w:color="000000"/>
            </w:tcBorders>
            <w:shd w:val="clear" w:color="auto" w:fill="D9D9D9"/>
          </w:tcPr>
          <w:p w:rsidR="005E256A" w:rsidRDefault="001A204C">
            <w:pPr>
              <w:jc w:val="center"/>
              <w:rPr>
                <w:rFonts w:ascii="Arial" w:eastAsia="Arial" w:hAnsi="Arial" w:cs="Arial"/>
                <w:b/>
                <w:bCs/>
              </w:rPr>
            </w:pPr>
            <w:r>
              <w:rPr>
                <w:rFonts w:ascii="Arial" w:eastAsia="Arial" w:hAnsi="Arial" w:cs="Arial"/>
                <w:b/>
                <w:bCs/>
              </w:rPr>
              <w:t>Filters applied</w:t>
            </w:r>
          </w:p>
        </w:tc>
      </w:tr>
      <w:tr w:rsidR="005E256A">
        <w:trPr>
          <w:trHeight w:val="773"/>
          <w:jc w:val="center"/>
        </w:trPr>
        <w:tc>
          <w:tcPr>
            <w:tcW w:w="2340" w:type="dxa"/>
            <w:tcBorders>
              <w:bottom w:val="nil"/>
            </w:tcBorders>
          </w:tcPr>
          <w:p w:rsidR="005E256A" w:rsidRDefault="001A204C">
            <w:pPr>
              <w:jc w:val="center"/>
              <w:rPr>
                <w:rFonts w:ascii="Arial" w:eastAsia="Arial" w:hAnsi="Arial" w:cs="Arial"/>
                <w:b/>
                <w:bCs/>
              </w:rPr>
            </w:pPr>
            <w:r>
              <w:rPr>
                <w:rFonts w:ascii="Arial" w:eastAsia="Arial" w:hAnsi="Arial" w:cs="Arial"/>
                <w:b/>
                <w:bCs/>
              </w:rPr>
              <w:t>PubMed/MEDLINE</w:t>
            </w:r>
          </w:p>
        </w:tc>
        <w:tc>
          <w:tcPr>
            <w:tcW w:w="3720" w:type="dxa"/>
            <w:tcBorders>
              <w:bottom w:val="nil"/>
            </w:tcBorders>
          </w:tcPr>
          <w:p w:rsidR="005E256A" w:rsidRDefault="001A204C">
            <w:pPr>
              <w:jc w:val="both"/>
              <w:rPr>
                <w:rFonts w:ascii="Arial" w:eastAsia="Arial" w:hAnsi="Arial" w:cs="Arial"/>
              </w:rPr>
            </w:pPr>
            <w:r>
              <w:rPr>
                <w:rFonts w:ascii="Arial" w:eastAsia="Arial" w:hAnsi="Arial" w:cs="Arial"/>
              </w:rPr>
              <w:t>(“ultra-processed foods”[</w:t>
            </w:r>
            <w:proofErr w:type="spellStart"/>
            <w:r>
              <w:rPr>
                <w:rFonts w:ascii="Arial" w:eastAsia="Arial" w:hAnsi="Arial" w:cs="Arial"/>
              </w:rPr>
              <w:t>MeSH</w:t>
            </w:r>
            <w:proofErr w:type="spellEnd"/>
            <w:r>
              <w:rPr>
                <w:rFonts w:ascii="Arial" w:eastAsia="Arial" w:hAnsi="Arial" w:cs="Arial"/>
              </w:rPr>
              <w:t>] OR “</w:t>
            </w:r>
            <w:proofErr w:type="spellStart"/>
            <w:r>
              <w:rPr>
                <w:rFonts w:ascii="Arial" w:eastAsia="Arial" w:hAnsi="Arial" w:cs="Arial"/>
              </w:rPr>
              <w:t>ultraprocessed</w:t>
            </w:r>
            <w:proofErr w:type="spellEnd"/>
            <w:r>
              <w:rPr>
                <w:rFonts w:ascii="Arial" w:eastAsia="Arial" w:hAnsi="Arial" w:cs="Arial"/>
              </w:rPr>
              <w:t>” OR “</w:t>
            </w:r>
            <w:proofErr w:type="spellStart"/>
            <w:r>
              <w:rPr>
                <w:rFonts w:ascii="Arial" w:eastAsia="Arial" w:hAnsi="Arial" w:cs="Arial"/>
              </w:rPr>
              <w:t>ultra processed</w:t>
            </w:r>
            <w:proofErr w:type="spellEnd"/>
            <w:r>
              <w:rPr>
                <w:rFonts w:ascii="Arial" w:eastAsia="Arial" w:hAnsi="Arial" w:cs="Arial"/>
              </w:rPr>
              <w:t>” OR “NOVA classification” OR “industrial food products”) AND (“depression” OR “depressive symptoms” OR “major depressive disorder” OR “PHQ-9” OR “CES-D”) AND (“cross-sectional studies” OR “cohort studies”)</w:t>
            </w:r>
          </w:p>
          <w:p w:rsidR="005E256A" w:rsidRDefault="005E256A">
            <w:pPr>
              <w:jc w:val="both"/>
              <w:rPr>
                <w:rFonts w:ascii="Arial" w:eastAsia="Arial" w:hAnsi="Arial" w:cs="Arial"/>
              </w:rPr>
            </w:pPr>
          </w:p>
        </w:tc>
        <w:tc>
          <w:tcPr>
            <w:tcW w:w="2235" w:type="dxa"/>
            <w:tcBorders>
              <w:bottom w:val="nil"/>
            </w:tcBorders>
          </w:tcPr>
          <w:p w:rsidR="005E256A" w:rsidRDefault="001A204C">
            <w:pPr>
              <w:jc w:val="both"/>
              <w:rPr>
                <w:rFonts w:ascii="Arial" w:eastAsia="Arial" w:hAnsi="Arial" w:cs="Arial"/>
              </w:rPr>
            </w:pPr>
            <w:r>
              <w:rPr>
                <w:rFonts w:ascii="Arial Unicode MS" w:eastAsia="Arial Unicode MS" w:hAnsi="Arial Unicode MS" w:cs="Arial Unicode MS"/>
              </w:rPr>
              <w:t>Humans; English/Portuguese/Spanish; Adults ≥18 years</w:t>
            </w:r>
          </w:p>
        </w:tc>
      </w:tr>
      <w:tr w:rsidR="005E256A">
        <w:trPr>
          <w:trHeight w:val="719"/>
          <w:jc w:val="center"/>
        </w:trPr>
        <w:tc>
          <w:tcPr>
            <w:tcW w:w="2340" w:type="dxa"/>
            <w:tcBorders>
              <w:top w:val="nil"/>
              <w:bottom w:val="nil"/>
            </w:tcBorders>
            <w:shd w:val="clear" w:color="auto" w:fill="CFE2F3"/>
          </w:tcPr>
          <w:p w:rsidR="005E256A" w:rsidRDefault="001A204C">
            <w:pPr>
              <w:jc w:val="center"/>
              <w:rPr>
                <w:rFonts w:ascii="Arial" w:eastAsia="Arial" w:hAnsi="Arial" w:cs="Arial"/>
                <w:b/>
                <w:bCs/>
              </w:rPr>
            </w:pPr>
            <w:r>
              <w:rPr>
                <w:rFonts w:ascii="Arial" w:eastAsia="Arial" w:hAnsi="Arial" w:cs="Arial"/>
                <w:b/>
                <w:bCs/>
              </w:rPr>
              <w:t>EMBASE</w:t>
            </w:r>
          </w:p>
        </w:tc>
        <w:tc>
          <w:tcPr>
            <w:tcW w:w="3720" w:type="dxa"/>
            <w:tcBorders>
              <w:top w:val="nil"/>
              <w:bottom w:val="nil"/>
            </w:tcBorders>
            <w:shd w:val="clear" w:color="auto" w:fill="CFE2F3"/>
          </w:tcPr>
          <w:p w:rsidR="005E256A" w:rsidRDefault="001A204C">
            <w:pPr>
              <w:jc w:val="both"/>
              <w:rPr>
                <w:rFonts w:ascii="Arial" w:eastAsia="Arial" w:hAnsi="Arial" w:cs="Arial"/>
              </w:rPr>
            </w:pPr>
            <w:r>
              <w:rPr>
                <w:rFonts w:ascii="Arial" w:eastAsia="Arial" w:hAnsi="Arial" w:cs="Arial"/>
              </w:rPr>
              <w:t>(‘</w:t>
            </w:r>
            <w:proofErr w:type="spellStart"/>
            <w:r>
              <w:rPr>
                <w:rFonts w:ascii="Arial" w:eastAsia="Arial" w:hAnsi="Arial" w:cs="Arial"/>
              </w:rPr>
              <w:t>ultra processed</w:t>
            </w:r>
            <w:proofErr w:type="spellEnd"/>
            <w:r>
              <w:rPr>
                <w:rFonts w:ascii="Arial" w:eastAsia="Arial" w:hAnsi="Arial" w:cs="Arial"/>
              </w:rPr>
              <w:t xml:space="preserve"> food’/exp OR ‘NOVA’) AND (‘depressive disorder’/exp OR ‘depression’/exp OR ‘PHQ-9’ OR ‘CES-D’) AND (‘observational study’ OR ‘cohort study’)</w:t>
            </w:r>
          </w:p>
          <w:p w:rsidR="005E256A" w:rsidRDefault="005E256A">
            <w:pPr>
              <w:jc w:val="both"/>
              <w:rPr>
                <w:rFonts w:ascii="Arial" w:eastAsia="Arial" w:hAnsi="Arial" w:cs="Arial"/>
              </w:rPr>
            </w:pPr>
          </w:p>
        </w:tc>
        <w:tc>
          <w:tcPr>
            <w:tcW w:w="2235" w:type="dxa"/>
            <w:tcBorders>
              <w:top w:val="nil"/>
              <w:bottom w:val="nil"/>
            </w:tcBorders>
            <w:shd w:val="clear" w:color="auto" w:fill="CFE2F3"/>
          </w:tcPr>
          <w:p w:rsidR="005E256A" w:rsidRDefault="001A204C">
            <w:pPr>
              <w:jc w:val="both"/>
              <w:rPr>
                <w:rFonts w:ascii="Arial" w:eastAsia="Arial" w:hAnsi="Arial" w:cs="Arial"/>
              </w:rPr>
            </w:pPr>
            <w:r>
              <w:rPr>
                <w:rFonts w:ascii="Arial" w:eastAsia="Arial" w:hAnsi="Arial" w:cs="Arial"/>
              </w:rPr>
              <w:t>Humans; Adults</w:t>
            </w:r>
          </w:p>
        </w:tc>
      </w:tr>
      <w:tr w:rsidR="005E256A">
        <w:trPr>
          <w:trHeight w:val="510"/>
          <w:jc w:val="center"/>
        </w:trPr>
        <w:tc>
          <w:tcPr>
            <w:tcW w:w="2340" w:type="dxa"/>
            <w:tcBorders>
              <w:top w:val="nil"/>
              <w:bottom w:val="nil"/>
            </w:tcBorders>
          </w:tcPr>
          <w:p w:rsidR="005E256A" w:rsidRDefault="001A204C">
            <w:pPr>
              <w:jc w:val="center"/>
              <w:rPr>
                <w:rFonts w:ascii="Arial" w:eastAsia="Arial" w:hAnsi="Arial" w:cs="Arial"/>
                <w:b/>
                <w:bCs/>
              </w:rPr>
            </w:pPr>
            <w:r>
              <w:rPr>
                <w:rFonts w:ascii="Arial" w:eastAsia="Arial" w:hAnsi="Arial" w:cs="Arial"/>
                <w:b/>
                <w:bCs/>
              </w:rPr>
              <w:t>Cochrane CENTRAL</w:t>
            </w:r>
          </w:p>
          <w:p w:rsidR="005E256A" w:rsidRDefault="005E256A">
            <w:pPr>
              <w:jc w:val="center"/>
              <w:rPr>
                <w:rFonts w:ascii="Arial" w:eastAsia="Arial" w:hAnsi="Arial" w:cs="Arial"/>
                <w:b/>
                <w:bCs/>
              </w:rPr>
            </w:pPr>
          </w:p>
        </w:tc>
        <w:tc>
          <w:tcPr>
            <w:tcW w:w="3720" w:type="dxa"/>
            <w:tcBorders>
              <w:top w:val="nil"/>
              <w:bottom w:val="nil"/>
            </w:tcBorders>
          </w:tcPr>
          <w:p w:rsidR="005E256A" w:rsidRDefault="001A204C">
            <w:pPr>
              <w:jc w:val="both"/>
              <w:rPr>
                <w:rFonts w:ascii="Arial" w:eastAsia="Arial" w:hAnsi="Arial" w:cs="Arial"/>
              </w:rPr>
            </w:pPr>
            <w:r>
              <w:rPr>
                <w:rFonts w:ascii="Arial" w:eastAsia="Arial" w:hAnsi="Arial" w:cs="Arial"/>
              </w:rPr>
              <w:t xml:space="preserve">(ultra-processed OR </w:t>
            </w:r>
            <w:proofErr w:type="spellStart"/>
            <w:r>
              <w:rPr>
                <w:rFonts w:ascii="Arial" w:eastAsia="Arial" w:hAnsi="Arial" w:cs="Arial"/>
              </w:rPr>
              <w:t>ultraprocessed</w:t>
            </w:r>
            <w:proofErr w:type="spellEnd"/>
            <w:r>
              <w:rPr>
                <w:rFonts w:ascii="Arial" w:eastAsia="Arial" w:hAnsi="Arial" w:cs="Arial"/>
              </w:rPr>
              <w:t xml:space="preserve"> OR “</w:t>
            </w:r>
            <w:proofErr w:type="spellStart"/>
            <w:r>
              <w:rPr>
                <w:rFonts w:ascii="Arial" w:eastAsia="Arial" w:hAnsi="Arial" w:cs="Arial"/>
              </w:rPr>
              <w:t>ultra processed</w:t>
            </w:r>
            <w:proofErr w:type="spellEnd"/>
            <w:r>
              <w:rPr>
                <w:rFonts w:ascii="Arial" w:eastAsia="Arial" w:hAnsi="Arial" w:cs="Arial"/>
              </w:rPr>
              <w:t>” OR “NOVA classification” OR “industrial food product*”) AND (depress* OR “depressive symptoms” OR “major depressive disorder” OR PHQ-9 OR CES-D) AND (cross-sectional OR cohort OR observational)</w:t>
            </w:r>
          </w:p>
          <w:p w:rsidR="005E256A" w:rsidRDefault="005E256A">
            <w:pPr>
              <w:jc w:val="both"/>
              <w:rPr>
                <w:rFonts w:ascii="Arial" w:eastAsia="Arial" w:hAnsi="Arial" w:cs="Arial"/>
              </w:rPr>
            </w:pPr>
          </w:p>
        </w:tc>
        <w:tc>
          <w:tcPr>
            <w:tcW w:w="2235" w:type="dxa"/>
            <w:tcBorders>
              <w:top w:val="nil"/>
              <w:bottom w:val="nil"/>
            </w:tcBorders>
          </w:tcPr>
          <w:p w:rsidR="005E256A" w:rsidRDefault="001A204C">
            <w:pPr>
              <w:jc w:val="both"/>
              <w:rPr>
                <w:rFonts w:ascii="Arial" w:eastAsia="Arial" w:hAnsi="Arial" w:cs="Arial"/>
              </w:rPr>
            </w:pPr>
            <w:r>
              <w:rPr>
                <w:rFonts w:ascii="Arial" w:eastAsia="Arial" w:hAnsi="Arial" w:cs="Arial"/>
              </w:rPr>
              <w:lastRenderedPageBreak/>
              <w:t>None</w:t>
            </w:r>
          </w:p>
        </w:tc>
      </w:tr>
      <w:tr w:rsidR="005E256A">
        <w:trPr>
          <w:trHeight w:val="474"/>
          <w:jc w:val="center"/>
        </w:trPr>
        <w:tc>
          <w:tcPr>
            <w:tcW w:w="2340" w:type="dxa"/>
            <w:tcBorders>
              <w:top w:val="nil"/>
              <w:bottom w:val="nil"/>
            </w:tcBorders>
            <w:shd w:val="clear" w:color="auto" w:fill="C9DAF8"/>
          </w:tcPr>
          <w:p w:rsidR="005E256A" w:rsidRDefault="001A204C">
            <w:pPr>
              <w:jc w:val="center"/>
              <w:rPr>
                <w:rFonts w:ascii="Arial" w:eastAsia="Arial" w:hAnsi="Arial" w:cs="Arial"/>
                <w:b/>
                <w:bCs/>
              </w:rPr>
            </w:pPr>
            <w:r>
              <w:rPr>
                <w:rFonts w:ascii="Arial" w:eastAsia="Arial" w:hAnsi="Arial" w:cs="Arial"/>
                <w:b/>
                <w:bCs/>
              </w:rPr>
              <w:t>Web of Science</w:t>
            </w:r>
          </w:p>
        </w:tc>
        <w:tc>
          <w:tcPr>
            <w:tcW w:w="3720" w:type="dxa"/>
            <w:tcBorders>
              <w:top w:val="nil"/>
              <w:bottom w:val="nil"/>
            </w:tcBorders>
            <w:shd w:val="clear" w:color="auto" w:fill="C9DAF8"/>
          </w:tcPr>
          <w:p w:rsidR="005E256A" w:rsidRDefault="001A204C">
            <w:pPr>
              <w:jc w:val="both"/>
              <w:rPr>
                <w:rFonts w:ascii="Arial" w:eastAsia="Arial" w:hAnsi="Arial" w:cs="Arial"/>
              </w:rPr>
            </w:pPr>
            <w:r>
              <w:rPr>
                <w:rFonts w:ascii="Arial" w:eastAsia="Arial" w:hAnsi="Arial" w:cs="Arial"/>
              </w:rPr>
              <w:t xml:space="preserve">TS = ((“ultra-processed” OR </w:t>
            </w:r>
            <w:proofErr w:type="spellStart"/>
            <w:r>
              <w:rPr>
                <w:rFonts w:ascii="Arial" w:eastAsia="Arial" w:hAnsi="Arial" w:cs="Arial"/>
              </w:rPr>
              <w:t>ultraprocessed</w:t>
            </w:r>
            <w:proofErr w:type="spellEnd"/>
            <w:r>
              <w:rPr>
                <w:rFonts w:ascii="Arial" w:eastAsia="Arial" w:hAnsi="Arial" w:cs="Arial"/>
              </w:rPr>
              <w:t xml:space="preserve"> OR “</w:t>
            </w:r>
            <w:proofErr w:type="spellStart"/>
            <w:r>
              <w:rPr>
                <w:rFonts w:ascii="Arial" w:eastAsia="Arial" w:hAnsi="Arial" w:cs="Arial"/>
              </w:rPr>
              <w:t>ultra processed</w:t>
            </w:r>
            <w:proofErr w:type="spellEnd"/>
            <w:r>
              <w:rPr>
                <w:rFonts w:ascii="Arial" w:eastAsia="Arial" w:hAnsi="Arial" w:cs="Arial"/>
              </w:rPr>
              <w:t>” OR “NOVA classification” OR “industrial food product*”) AND (depress* OR “depressive symptoms” OR “major depressive disorder” OR PHQ-9 OR CES-D) AND (“cross-sectional” OR cohort OR observational))</w:t>
            </w:r>
          </w:p>
          <w:p w:rsidR="005E256A" w:rsidRDefault="005E256A">
            <w:pPr>
              <w:jc w:val="both"/>
              <w:rPr>
                <w:rFonts w:ascii="Arial" w:eastAsia="Arial" w:hAnsi="Arial" w:cs="Arial"/>
              </w:rPr>
            </w:pPr>
          </w:p>
        </w:tc>
        <w:tc>
          <w:tcPr>
            <w:tcW w:w="2235" w:type="dxa"/>
            <w:tcBorders>
              <w:top w:val="nil"/>
              <w:bottom w:val="nil"/>
            </w:tcBorders>
            <w:shd w:val="clear" w:color="auto" w:fill="C9DAF8"/>
          </w:tcPr>
          <w:p w:rsidR="005E256A" w:rsidRDefault="001A204C">
            <w:pPr>
              <w:jc w:val="both"/>
              <w:rPr>
                <w:rFonts w:ascii="Arial" w:eastAsia="Arial" w:hAnsi="Arial" w:cs="Arial"/>
              </w:rPr>
            </w:pPr>
            <w:r>
              <w:rPr>
                <w:rFonts w:ascii="Arial" w:eastAsia="Arial" w:hAnsi="Arial" w:cs="Arial"/>
              </w:rPr>
              <w:t>Language: English/Portuguese/Spanish; Document type: Article; Adults</w:t>
            </w:r>
          </w:p>
        </w:tc>
      </w:tr>
      <w:tr w:rsidR="005E256A">
        <w:trPr>
          <w:jc w:val="center"/>
        </w:trPr>
        <w:tc>
          <w:tcPr>
            <w:tcW w:w="2340" w:type="dxa"/>
            <w:tcBorders>
              <w:top w:val="nil"/>
              <w:bottom w:val="nil"/>
            </w:tcBorders>
          </w:tcPr>
          <w:p w:rsidR="005E256A" w:rsidRDefault="001A204C">
            <w:pPr>
              <w:jc w:val="center"/>
              <w:rPr>
                <w:rFonts w:ascii="Arial" w:eastAsia="Arial" w:hAnsi="Arial" w:cs="Arial"/>
                <w:b/>
                <w:bCs/>
              </w:rPr>
            </w:pPr>
            <w:r>
              <w:rPr>
                <w:rFonts w:ascii="Arial" w:eastAsia="Arial" w:hAnsi="Arial" w:cs="Arial"/>
                <w:b/>
                <w:bCs/>
              </w:rPr>
              <w:t>SCOPUS</w:t>
            </w:r>
          </w:p>
        </w:tc>
        <w:tc>
          <w:tcPr>
            <w:tcW w:w="3720" w:type="dxa"/>
            <w:tcBorders>
              <w:top w:val="nil"/>
              <w:bottom w:val="nil"/>
            </w:tcBorders>
          </w:tcPr>
          <w:p w:rsidR="005E256A" w:rsidRDefault="001A204C">
            <w:pPr>
              <w:jc w:val="both"/>
              <w:rPr>
                <w:rFonts w:ascii="Arial" w:eastAsia="Arial" w:hAnsi="Arial" w:cs="Arial"/>
              </w:rPr>
            </w:pPr>
            <w:r>
              <w:rPr>
                <w:rFonts w:ascii="Arial" w:eastAsia="Arial" w:hAnsi="Arial" w:cs="Arial"/>
              </w:rPr>
              <w:t xml:space="preserve">("ultra-processed" OR </w:t>
            </w:r>
            <w:proofErr w:type="spellStart"/>
            <w:r>
              <w:rPr>
                <w:rFonts w:ascii="Arial" w:eastAsia="Arial" w:hAnsi="Arial" w:cs="Arial"/>
              </w:rPr>
              <w:t>ultraprocessed</w:t>
            </w:r>
            <w:proofErr w:type="spellEnd"/>
            <w:r>
              <w:rPr>
                <w:rFonts w:ascii="Arial" w:eastAsia="Arial" w:hAnsi="Arial" w:cs="Arial"/>
              </w:rPr>
              <w:t xml:space="preserve"> OR "</w:t>
            </w:r>
            <w:proofErr w:type="spellStart"/>
            <w:r>
              <w:rPr>
                <w:rFonts w:ascii="Arial" w:eastAsia="Arial" w:hAnsi="Arial" w:cs="Arial"/>
              </w:rPr>
              <w:t>ultra processed</w:t>
            </w:r>
            <w:proofErr w:type="spellEnd"/>
            <w:r>
              <w:rPr>
                <w:rFonts w:ascii="Arial" w:eastAsia="Arial" w:hAnsi="Arial" w:cs="Arial"/>
              </w:rPr>
              <w:t>" OR "NOVA classification" OR "industrial food product*") AND (depress* OR "depressive symptoms" OR "major depressive disorder" OR PHQ-9 OR CES-D) AND ("cross-sectional" OR cohort OR longitudinal OR observational))</w:t>
            </w:r>
          </w:p>
          <w:p w:rsidR="005E256A" w:rsidRDefault="005E256A">
            <w:pPr>
              <w:jc w:val="both"/>
              <w:rPr>
                <w:rFonts w:ascii="Arial" w:eastAsia="Arial" w:hAnsi="Arial" w:cs="Arial"/>
              </w:rPr>
            </w:pPr>
          </w:p>
        </w:tc>
        <w:tc>
          <w:tcPr>
            <w:tcW w:w="2235" w:type="dxa"/>
            <w:tcBorders>
              <w:top w:val="nil"/>
              <w:bottom w:val="nil"/>
            </w:tcBorders>
          </w:tcPr>
          <w:p w:rsidR="005E256A" w:rsidRDefault="001A204C">
            <w:pPr>
              <w:jc w:val="both"/>
              <w:rPr>
                <w:rFonts w:ascii="Arial" w:eastAsia="Arial" w:hAnsi="Arial" w:cs="Arial"/>
              </w:rPr>
            </w:pPr>
            <w:r>
              <w:rPr>
                <w:rFonts w:ascii="Arial" w:eastAsia="Arial" w:hAnsi="Arial" w:cs="Arial"/>
              </w:rPr>
              <w:t>English/Portuguese/Spanish; Medicine; Adults</w:t>
            </w:r>
          </w:p>
        </w:tc>
      </w:tr>
      <w:tr w:rsidR="005E256A">
        <w:trPr>
          <w:jc w:val="center"/>
        </w:trPr>
        <w:tc>
          <w:tcPr>
            <w:tcW w:w="2340" w:type="dxa"/>
            <w:tcBorders>
              <w:top w:val="nil"/>
              <w:bottom w:val="single" w:sz="4" w:space="0" w:color="000000"/>
            </w:tcBorders>
            <w:shd w:val="clear" w:color="auto" w:fill="C9DAF8"/>
          </w:tcPr>
          <w:p w:rsidR="005E256A" w:rsidRDefault="001A204C">
            <w:pPr>
              <w:jc w:val="center"/>
              <w:rPr>
                <w:rFonts w:ascii="Arial" w:eastAsia="Arial" w:hAnsi="Arial" w:cs="Arial"/>
                <w:b/>
                <w:bCs/>
              </w:rPr>
            </w:pPr>
            <w:r>
              <w:rPr>
                <w:rFonts w:ascii="Arial" w:eastAsia="Arial" w:hAnsi="Arial" w:cs="Arial"/>
                <w:b/>
                <w:bCs/>
              </w:rPr>
              <w:t>LILACS</w:t>
            </w:r>
          </w:p>
        </w:tc>
        <w:tc>
          <w:tcPr>
            <w:tcW w:w="3720" w:type="dxa"/>
            <w:tcBorders>
              <w:top w:val="nil"/>
              <w:bottom w:val="single" w:sz="4" w:space="0" w:color="000000"/>
            </w:tcBorders>
            <w:shd w:val="clear" w:color="auto" w:fill="C9DAF8"/>
          </w:tcPr>
          <w:p w:rsidR="005E256A" w:rsidRDefault="001A204C">
            <w:pPr>
              <w:jc w:val="both"/>
              <w:rPr>
                <w:rFonts w:ascii="Arial" w:eastAsia="Arial" w:hAnsi="Arial" w:cs="Arial"/>
              </w:rPr>
            </w:pPr>
            <w:r>
              <w:rPr>
                <w:rFonts w:ascii="Arial" w:eastAsia="Arial" w:hAnsi="Arial" w:cs="Arial"/>
              </w:rPr>
              <w:t>((“</w:t>
            </w:r>
            <w:proofErr w:type="spellStart"/>
            <w:r>
              <w:rPr>
                <w:rFonts w:ascii="Arial" w:eastAsia="Arial" w:hAnsi="Arial" w:cs="Arial"/>
              </w:rPr>
              <w:t>alimentos</w:t>
            </w:r>
            <w:proofErr w:type="spellEnd"/>
            <w:r>
              <w:rPr>
                <w:rFonts w:ascii="Arial" w:eastAsia="Arial" w:hAnsi="Arial" w:cs="Arial"/>
              </w:rPr>
              <w:t xml:space="preserve"> </w:t>
            </w:r>
            <w:proofErr w:type="spellStart"/>
            <w:r>
              <w:rPr>
                <w:rFonts w:ascii="Arial" w:eastAsia="Arial" w:hAnsi="Arial" w:cs="Arial"/>
              </w:rPr>
              <w:t>ultraprocessados</w:t>
            </w:r>
            <w:proofErr w:type="spellEnd"/>
            <w:r>
              <w:rPr>
                <w:rFonts w:ascii="Arial" w:eastAsia="Arial" w:hAnsi="Arial" w:cs="Arial"/>
              </w:rPr>
              <w:t>” OR “</w:t>
            </w:r>
            <w:proofErr w:type="spellStart"/>
            <w:r>
              <w:rPr>
                <w:rFonts w:ascii="Arial" w:eastAsia="Arial" w:hAnsi="Arial" w:cs="Arial"/>
              </w:rPr>
              <w:t>produtos</w:t>
            </w:r>
            <w:proofErr w:type="spellEnd"/>
            <w:r>
              <w:rPr>
                <w:rFonts w:ascii="Arial" w:eastAsia="Arial" w:hAnsi="Arial" w:cs="Arial"/>
              </w:rPr>
              <w:t xml:space="preserve"> </w:t>
            </w:r>
            <w:proofErr w:type="spellStart"/>
            <w:r>
              <w:rPr>
                <w:rFonts w:ascii="Arial" w:eastAsia="Arial" w:hAnsi="Arial" w:cs="Arial"/>
              </w:rPr>
              <w:t>alimentares</w:t>
            </w:r>
            <w:proofErr w:type="spellEnd"/>
            <w:r>
              <w:rPr>
                <w:rFonts w:ascii="Arial" w:eastAsia="Arial" w:hAnsi="Arial" w:cs="Arial"/>
              </w:rPr>
              <w:t xml:space="preserve"> </w:t>
            </w:r>
            <w:proofErr w:type="spellStart"/>
            <w:r>
              <w:rPr>
                <w:rFonts w:ascii="Arial" w:eastAsia="Arial" w:hAnsi="Arial" w:cs="Arial"/>
              </w:rPr>
              <w:t>industriais</w:t>
            </w:r>
            <w:proofErr w:type="spellEnd"/>
            <w:r>
              <w:rPr>
                <w:rFonts w:ascii="Arial" w:eastAsia="Arial" w:hAnsi="Arial" w:cs="Arial"/>
              </w:rPr>
              <w:t>” OR “</w:t>
            </w:r>
            <w:proofErr w:type="spellStart"/>
            <w:r>
              <w:rPr>
                <w:rFonts w:ascii="Arial" w:eastAsia="Arial" w:hAnsi="Arial" w:cs="Arial"/>
              </w:rPr>
              <w:t>classificação</w:t>
            </w:r>
            <w:proofErr w:type="spellEnd"/>
            <w:r>
              <w:rPr>
                <w:rFonts w:ascii="Arial" w:eastAsia="Arial" w:hAnsi="Arial" w:cs="Arial"/>
              </w:rPr>
              <w:t xml:space="preserve"> NOVA” OR “</w:t>
            </w:r>
            <w:proofErr w:type="spellStart"/>
            <w:r>
              <w:rPr>
                <w:rFonts w:ascii="Arial" w:eastAsia="Arial" w:hAnsi="Arial" w:cs="Arial"/>
              </w:rPr>
              <w:t>ultraprocesados</w:t>
            </w:r>
            <w:proofErr w:type="spellEnd"/>
            <w:r>
              <w:rPr>
                <w:rFonts w:ascii="Arial" w:eastAsia="Arial" w:hAnsi="Arial" w:cs="Arial"/>
              </w:rPr>
              <w:t xml:space="preserve">” OR “ultra </w:t>
            </w:r>
            <w:proofErr w:type="spellStart"/>
            <w:r>
              <w:rPr>
                <w:rFonts w:ascii="Arial" w:eastAsia="Arial" w:hAnsi="Arial" w:cs="Arial"/>
              </w:rPr>
              <w:t>procesados</w:t>
            </w:r>
            <w:proofErr w:type="spellEnd"/>
            <w:r>
              <w:rPr>
                <w:rFonts w:ascii="Arial" w:eastAsia="Arial" w:hAnsi="Arial" w:cs="Arial"/>
              </w:rPr>
              <w:t>”) AND (“</w:t>
            </w:r>
            <w:proofErr w:type="spellStart"/>
            <w:r>
              <w:rPr>
                <w:rFonts w:ascii="Arial" w:eastAsia="Arial" w:hAnsi="Arial" w:cs="Arial"/>
              </w:rPr>
              <w:t>depressão</w:t>
            </w:r>
            <w:proofErr w:type="spellEnd"/>
            <w:r>
              <w:rPr>
                <w:rFonts w:ascii="Arial" w:eastAsia="Arial" w:hAnsi="Arial" w:cs="Arial"/>
              </w:rPr>
              <w:t>” OR “</w:t>
            </w:r>
            <w:proofErr w:type="spellStart"/>
            <w:r>
              <w:rPr>
                <w:rFonts w:ascii="Arial" w:eastAsia="Arial" w:hAnsi="Arial" w:cs="Arial"/>
              </w:rPr>
              <w:t>sintomas</w:t>
            </w:r>
            <w:proofErr w:type="spellEnd"/>
            <w:r>
              <w:rPr>
                <w:rFonts w:ascii="Arial" w:eastAsia="Arial" w:hAnsi="Arial" w:cs="Arial"/>
              </w:rPr>
              <w:t xml:space="preserve"> </w:t>
            </w:r>
            <w:proofErr w:type="spellStart"/>
            <w:r>
              <w:rPr>
                <w:rFonts w:ascii="Arial" w:eastAsia="Arial" w:hAnsi="Arial" w:cs="Arial"/>
              </w:rPr>
              <w:t>depressivos</w:t>
            </w:r>
            <w:proofErr w:type="spellEnd"/>
            <w:r>
              <w:rPr>
                <w:rFonts w:ascii="Arial" w:eastAsia="Arial" w:hAnsi="Arial" w:cs="Arial"/>
              </w:rPr>
              <w:t>” OR “</w:t>
            </w:r>
            <w:proofErr w:type="spellStart"/>
            <w:r>
              <w:rPr>
                <w:rFonts w:ascii="Arial" w:eastAsia="Arial" w:hAnsi="Arial" w:cs="Arial"/>
              </w:rPr>
              <w:t>transtorno</w:t>
            </w:r>
            <w:proofErr w:type="spellEnd"/>
            <w:r>
              <w:rPr>
                <w:rFonts w:ascii="Arial" w:eastAsia="Arial" w:hAnsi="Arial" w:cs="Arial"/>
              </w:rPr>
              <w:t xml:space="preserve"> </w:t>
            </w:r>
            <w:proofErr w:type="spellStart"/>
            <w:r>
              <w:rPr>
                <w:rFonts w:ascii="Arial" w:eastAsia="Arial" w:hAnsi="Arial" w:cs="Arial"/>
              </w:rPr>
              <w:t>depressivo</w:t>
            </w:r>
            <w:proofErr w:type="spellEnd"/>
            <w:r>
              <w:rPr>
                <w:rFonts w:ascii="Arial" w:eastAsia="Arial" w:hAnsi="Arial" w:cs="Arial"/>
              </w:rPr>
              <w:t xml:space="preserve"> </w:t>
            </w:r>
            <w:proofErr w:type="spellStart"/>
            <w:r>
              <w:rPr>
                <w:rFonts w:ascii="Arial" w:eastAsia="Arial" w:hAnsi="Arial" w:cs="Arial"/>
              </w:rPr>
              <w:t>maior</w:t>
            </w:r>
            <w:proofErr w:type="spellEnd"/>
            <w:r>
              <w:rPr>
                <w:rFonts w:ascii="Arial" w:eastAsia="Arial" w:hAnsi="Arial" w:cs="Arial"/>
              </w:rPr>
              <w:t>” OR “</w:t>
            </w:r>
            <w:proofErr w:type="spellStart"/>
            <w:r>
              <w:rPr>
                <w:rFonts w:ascii="Arial" w:eastAsia="Arial" w:hAnsi="Arial" w:cs="Arial"/>
              </w:rPr>
              <w:t>depresión</w:t>
            </w:r>
            <w:proofErr w:type="spellEnd"/>
            <w:r>
              <w:rPr>
                <w:rFonts w:ascii="Arial" w:eastAsia="Arial" w:hAnsi="Arial" w:cs="Arial"/>
              </w:rPr>
              <w:t>” OR “</w:t>
            </w:r>
            <w:proofErr w:type="spellStart"/>
            <w:r>
              <w:rPr>
                <w:rFonts w:ascii="Arial" w:eastAsia="Arial" w:hAnsi="Arial" w:cs="Arial"/>
              </w:rPr>
              <w:t>síntomas</w:t>
            </w:r>
            <w:proofErr w:type="spellEnd"/>
            <w:r>
              <w:rPr>
                <w:rFonts w:ascii="Arial" w:eastAsia="Arial" w:hAnsi="Arial" w:cs="Arial"/>
              </w:rPr>
              <w:t xml:space="preserve"> </w:t>
            </w:r>
            <w:proofErr w:type="spellStart"/>
            <w:r>
              <w:rPr>
                <w:rFonts w:ascii="Arial" w:eastAsia="Arial" w:hAnsi="Arial" w:cs="Arial"/>
              </w:rPr>
              <w:t>depresivos</w:t>
            </w:r>
            <w:proofErr w:type="spellEnd"/>
            <w:r>
              <w:rPr>
                <w:rFonts w:ascii="Arial" w:eastAsia="Arial" w:hAnsi="Arial" w:cs="Arial"/>
              </w:rPr>
              <w:t>”) AND (“</w:t>
            </w:r>
            <w:proofErr w:type="spellStart"/>
            <w:r>
              <w:rPr>
                <w:rFonts w:ascii="Arial" w:eastAsia="Arial" w:hAnsi="Arial" w:cs="Arial"/>
              </w:rPr>
              <w:t>estudos</w:t>
            </w:r>
            <w:proofErr w:type="spellEnd"/>
            <w:r>
              <w:rPr>
                <w:rFonts w:ascii="Arial" w:eastAsia="Arial" w:hAnsi="Arial" w:cs="Arial"/>
              </w:rPr>
              <w:t xml:space="preserve"> </w:t>
            </w:r>
            <w:proofErr w:type="spellStart"/>
            <w:r>
              <w:rPr>
                <w:rFonts w:ascii="Arial" w:eastAsia="Arial" w:hAnsi="Arial" w:cs="Arial"/>
              </w:rPr>
              <w:t>transversais</w:t>
            </w:r>
            <w:proofErr w:type="spellEnd"/>
            <w:r>
              <w:rPr>
                <w:rFonts w:ascii="Arial" w:eastAsia="Arial" w:hAnsi="Arial" w:cs="Arial"/>
              </w:rPr>
              <w:t>” OR “</w:t>
            </w:r>
            <w:proofErr w:type="spellStart"/>
            <w:r>
              <w:rPr>
                <w:rFonts w:ascii="Arial" w:eastAsia="Arial" w:hAnsi="Arial" w:cs="Arial"/>
              </w:rPr>
              <w:t>estudos</w:t>
            </w:r>
            <w:proofErr w:type="spellEnd"/>
            <w:r>
              <w:rPr>
                <w:rFonts w:ascii="Arial" w:eastAsia="Arial" w:hAnsi="Arial" w:cs="Arial"/>
              </w:rPr>
              <w:t xml:space="preserve"> de </w:t>
            </w:r>
            <w:proofErr w:type="spellStart"/>
            <w:r>
              <w:rPr>
                <w:rFonts w:ascii="Arial" w:eastAsia="Arial" w:hAnsi="Arial" w:cs="Arial"/>
              </w:rPr>
              <w:t>coorte</w:t>
            </w:r>
            <w:proofErr w:type="spellEnd"/>
            <w:r>
              <w:rPr>
                <w:rFonts w:ascii="Arial" w:eastAsia="Arial" w:hAnsi="Arial" w:cs="Arial"/>
              </w:rPr>
              <w:t>” OR “</w:t>
            </w:r>
            <w:proofErr w:type="spellStart"/>
            <w:r>
              <w:rPr>
                <w:rFonts w:ascii="Arial" w:eastAsia="Arial" w:hAnsi="Arial" w:cs="Arial"/>
              </w:rPr>
              <w:t>estudios</w:t>
            </w:r>
            <w:proofErr w:type="spellEnd"/>
            <w:r>
              <w:rPr>
                <w:rFonts w:ascii="Arial" w:eastAsia="Arial" w:hAnsi="Arial" w:cs="Arial"/>
              </w:rPr>
              <w:t xml:space="preserve"> </w:t>
            </w:r>
            <w:proofErr w:type="spellStart"/>
            <w:r>
              <w:rPr>
                <w:rFonts w:ascii="Arial" w:eastAsia="Arial" w:hAnsi="Arial" w:cs="Arial"/>
              </w:rPr>
              <w:t>transversales</w:t>
            </w:r>
            <w:proofErr w:type="spellEnd"/>
            <w:r>
              <w:rPr>
                <w:rFonts w:ascii="Arial" w:eastAsia="Arial" w:hAnsi="Arial" w:cs="Arial"/>
              </w:rPr>
              <w:t>” OR “</w:t>
            </w:r>
            <w:proofErr w:type="spellStart"/>
            <w:r>
              <w:rPr>
                <w:rFonts w:ascii="Arial" w:eastAsia="Arial" w:hAnsi="Arial" w:cs="Arial"/>
              </w:rPr>
              <w:t>estudios</w:t>
            </w:r>
            <w:proofErr w:type="spellEnd"/>
            <w:r>
              <w:rPr>
                <w:rFonts w:ascii="Arial" w:eastAsia="Arial" w:hAnsi="Arial" w:cs="Arial"/>
              </w:rPr>
              <w:t xml:space="preserve"> de </w:t>
            </w:r>
            <w:proofErr w:type="spellStart"/>
            <w:r>
              <w:rPr>
                <w:rFonts w:ascii="Arial" w:eastAsia="Arial" w:hAnsi="Arial" w:cs="Arial"/>
              </w:rPr>
              <w:t>cohorte</w:t>
            </w:r>
            <w:proofErr w:type="spellEnd"/>
            <w:r>
              <w:rPr>
                <w:rFonts w:ascii="Arial" w:eastAsia="Arial" w:hAnsi="Arial" w:cs="Arial"/>
              </w:rPr>
              <w:t>”))</w:t>
            </w:r>
          </w:p>
        </w:tc>
        <w:tc>
          <w:tcPr>
            <w:tcW w:w="2235" w:type="dxa"/>
            <w:tcBorders>
              <w:top w:val="nil"/>
              <w:bottom w:val="single" w:sz="4" w:space="0" w:color="000000"/>
            </w:tcBorders>
            <w:shd w:val="clear" w:color="auto" w:fill="C9DAF8"/>
          </w:tcPr>
          <w:p w:rsidR="005E256A" w:rsidRDefault="001A204C">
            <w:pPr>
              <w:jc w:val="both"/>
              <w:rPr>
                <w:rFonts w:ascii="Arial" w:eastAsia="Arial" w:hAnsi="Arial" w:cs="Arial"/>
              </w:rPr>
            </w:pPr>
            <w:r>
              <w:rPr>
                <w:rFonts w:ascii="Arial Unicode MS" w:eastAsia="Arial Unicode MS" w:hAnsi="Arial Unicode MS" w:cs="Arial Unicode MS"/>
              </w:rPr>
              <w:t>Humans; English/Portuguese/Spanish; Adults ≥18 years</w:t>
            </w:r>
          </w:p>
        </w:tc>
      </w:tr>
    </w:tbl>
    <w:p w:rsidR="005E256A" w:rsidRDefault="005E256A">
      <w:pPr>
        <w:tabs>
          <w:tab w:val="left" w:pos="1080"/>
        </w:tabs>
        <w:jc w:val="both"/>
        <w:rPr>
          <w:rFonts w:ascii="Arial" w:eastAsia="Arial" w:hAnsi="Arial" w:cs="Arial"/>
          <w:b/>
          <w:bCs/>
        </w:rPr>
      </w:pPr>
    </w:p>
    <w:p w:rsidR="005E256A" w:rsidRDefault="005E256A">
      <w:pPr>
        <w:spacing w:before="240" w:after="240"/>
        <w:rPr>
          <w:rFonts w:ascii="Arial" w:eastAsia="Arial" w:hAnsi="Arial" w:cs="Arial"/>
        </w:rPr>
      </w:pPr>
    </w:p>
    <w:p w:rsidR="005E256A" w:rsidRDefault="005E256A">
      <w:pPr>
        <w:spacing w:before="240" w:after="240"/>
        <w:rPr>
          <w:rFonts w:ascii="Arial" w:eastAsia="Arial" w:hAnsi="Arial" w:cs="Arial"/>
        </w:rPr>
      </w:pPr>
    </w:p>
    <w:p w:rsidR="005E256A" w:rsidRDefault="001A204C">
      <w:pPr>
        <w:jc w:val="both"/>
        <w:rPr>
          <w:rFonts w:ascii="Arial" w:eastAsia="Arial" w:hAnsi="Arial" w:cs="Arial"/>
        </w:rPr>
      </w:pPr>
      <w:r>
        <w:rPr>
          <w:rFonts w:ascii="Arial" w:eastAsia="Arial" w:hAnsi="Arial" w:cs="Arial"/>
          <w:b/>
          <w:bCs/>
          <w:smallCaps/>
          <w:sz w:val="22"/>
          <w:szCs w:val="22"/>
        </w:rPr>
        <w:t xml:space="preserve">2.2 </w:t>
      </w:r>
      <w:r>
        <w:rPr>
          <w:rFonts w:ascii="Arial" w:eastAsia="Arial" w:hAnsi="Arial" w:cs="Arial"/>
          <w:b/>
          <w:bCs/>
          <w:sz w:val="22"/>
          <w:szCs w:val="22"/>
        </w:rPr>
        <w:t>Eligibility Criteria</w:t>
      </w:r>
      <w:r>
        <w:rPr>
          <w:rFonts w:ascii="Arial" w:eastAsia="Arial" w:hAnsi="Arial" w:cs="Arial"/>
        </w:rPr>
        <w:t xml:space="preserve"> </w:t>
      </w: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color w:val="000000"/>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Studies were eligible if they met the following criteria:</w:t>
      </w:r>
    </w:p>
    <w:p w:rsidR="005E256A" w:rsidRDefault="005E256A">
      <w:pPr>
        <w:pBdr>
          <w:top w:val="nil"/>
          <w:left w:val="nil"/>
          <w:bottom w:val="nil"/>
          <w:right w:val="nil"/>
          <w:between w:val="nil"/>
        </w:pBdr>
        <w:jc w:val="both"/>
        <w:rPr>
          <w:rFonts w:ascii="Arial" w:eastAsia="Arial" w:hAnsi="Arial" w:cs="Arial"/>
        </w:rPr>
      </w:pPr>
    </w:p>
    <w:p w:rsidR="005E256A" w:rsidRDefault="001A204C">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Observational design (cross-sectional or longitudinal cohort).</w:t>
      </w:r>
    </w:p>
    <w:p w:rsidR="005E256A" w:rsidRDefault="001A204C">
      <w:pPr>
        <w:numPr>
          <w:ilvl w:val="0"/>
          <w:numId w:val="3"/>
        </w:num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Included adults (≥18 years).</w:t>
      </w:r>
    </w:p>
    <w:p w:rsidR="005E256A" w:rsidRDefault="001A204C">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Assessed UPF intake using validated or standardized dietary assessment tools, such as food-frequency questionnaires, 24-hour recalls, diet histories or national survey modules.</w:t>
      </w:r>
    </w:p>
    <w:p w:rsidR="005E256A" w:rsidRDefault="001A204C">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Reported depressive symptoms using validated scales, clinical diagnoses or medical records.</w:t>
      </w:r>
    </w:p>
    <w:p w:rsidR="005E256A" w:rsidRDefault="001A204C">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Provided effect estimates (odds ratios, risk ratios, hazard ratios) or data enabling their calculation.</w:t>
      </w:r>
    </w:p>
    <w:p w:rsidR="005E256A" w:rsidRDefault="001A204C">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t>Published in English, Portuguese or Spanish.</w:t>
      </w:r>
    </w:p>
    <w:p w:rsidR="005E256A" w:rsidRDefault="001A204C">
      <w:pPr>
        <w:numPr>
          <w:ilvl w:val="0"/>
          <w:numId w:val="3"/>
        </w:num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Peer-reviewed articles only. </w:t>
      </w:r>
    </w:p>
    <w:p w:rsidR="005E256A" w:rsidRDefault="005E256A">
      <w:pPr>
        <w:pBdr>
          <w:top w:val="nil"/>
          <w:left w:val="nil"/>
          <w:bottom w:val="nil"/>
          <w:right w:val="nil"/>
          <w:between w:val="nil"/>
        </w:pBdr>
        <w:jc w:val="both"/>
        <w:rPr>
          <w:rFonts w:ascii="Arial" w:eastAsia="Arial" w:hAnsi="Arial" w:cs="Arial"/>
          <w:color w:val="000000"/>
        </w:rPr>
      </w:pPr>
    </w:p>
    <w:p w:rsidR="005E256A" w:rsidRDefault="001A204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rsidR="005E256A" w:rsidRDefault="005E256A">
      <w:pPr>
        <w:keepNext/>
        <w:pBdr>
          <w:top w:val="nil"/>
          <w:left w:val="nil"/>
          <w:bottom w:val="nil"/>
          <w:right w:val="nil"/>
          <w:between w:val="nil"/>
        </w:pBdr>
        <w:jc w:val="both"/>
        <w:rPr>
          <w:rFonts w:ascii="Arial" w:eastAsia="Arial" w:hAnsi="Arial" w:cs="Arial"/>
          <w:b/>
          <w:bCs/>
          <w:smallCaps/>
          <w:color w:val="000000"/>
          <w:sz w:val="22"/>
          <w:szCs w:val="22"/>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3.1 Study Selection</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A total of 7,842 records were identified through the database search. After removing 2,314 duplicates, 5,528 titles and abstracts were screened, of which 5,412 were excluded for not meeting eligibility criteria. The full texts of 116 articles were retrieved and assessed. Following detailed evaluation, 111 studies were excluded due to inadequate exposure assessment, ineligible age groups, lack of extractable data, overlapping study populations, or absence of validated depressive-symptom outcomes. Ultimately, 5 studies provided sufficient quantitative data for inclusion in the meta-analysis.</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3.2 Baseline Characteristics of Included Studies</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The included studies were published between 2019 and 2023, and were conducted in North America (the United States) and Europe (France and Spain). Sample sizes ranged from 10,359 to 31,712 participants. Ultra-processed food consumption was assessed using validated dietary assessment tools, including food frequency questionnaires (FFQs) and 24-hour dietary recalls. All studies classified UPF exposure according to the NOVA framework.</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 xml:space="preserve">Depressive symptoms were evaluated using </w:t>
      </w:r>
      <w:proofErr w:type="spellStart"/>
      <w:r>
        <w:rPr>
          <w:rFonts w:ascii="Arial" w:eastAsia="Arial" w:hAnsi="Arial" w:cs="Arial"/>
        </w:rPr>
        <w:t>standardised</w:t>
      </w:r>
      <w:proofErr w:type="spellEnd"/>
      <w:r>
        <w:rPr>
          <w:rFonts w:ascii="Arial" w:eastAsia="Arial" w:hAnsi="Arial" w:cs="Arial"/>
        </w:rPr>
        <w:t xml:space="preserve"> and validated instruments, specifically the CES-D and PHQ-9, or via clinically diagnosed major depressive disorder (MDD) using strict diagnostic criteria or antidepressant use. Most studies adjusted for relevant sociodemographic, lifestyle, and dietary confounders, including age, sex, body mass index, socioeconomic status, smoking, alcohol intake, physical activity, and overall diet quality.</w:t>
      </w:r>
    </w:p>
    <w:p w:rsidR="005E256A" w:rsidRDefault="005E256A">
      <w:pPr>
        <w:pBdr>
          <w:top w:val="nil"/>
          <w:left w:val="nil"/>
          <w:bottom w:val="nil"/>
          <w:right w:val="nil"/>
          <w:between w:val="nil"/>
        </w:pBdr>
        <w:jc w:val="both"/>
        <w:rPr>
          <w:rFonts w:ascii="Arial" w:eastAsia="Arial" w:hAnsi="Arial" w:cs="Arial"/>
          <w:color w:val="000000"/>
        </w:rPr>
      </w:pPr>
    </w:p>
    <w:p w:rsidR="005E256A" w:rsidRDefault="001A204C">
      <w:pPr>
        <w:tabs>
          <w:tab w:val="left" w:pos="1080"/>
        </w:tabs>
        <w:jc w:val="both"/>
        <w:rPr>
          <w:rFonts w:ascii="Arial" w:eastAsia="Arial" w:hAnsi="Arial" w:cs="Arial"/>
          <w:b/>
          <w:bCs/>
        </w:rPr>
      </w:pPr>
      <w:r>
        <w:rPr>
          <w:rFonts w:ascii="Arial" w:eastAsia="Arial" w:hAnsi="Arial" w:cs="Arial"/>
          <w:b/>
          <w:bCs/>
        </w:rPr>
        <w:t>Table 2.</w:t>
      </w:r>
      <w:r>
        <w:rPr>
          <w:rFonts w:ascii="Arial" w:eastAsia="Arial" w:hAnsi="Arial" w:cs="Arial"/>
          <w:b/>
          <w:bCs/>
        </w:rPr>
        <w:tab/>
        <w:t>Baseline characteristics of the included observational studies evaluating the association between ultra-processed food (UPF) consumption and depressive symptoms in adults.</w:t>
      </w:r>
    </w:p>
    <w:p w:rsidR="005E256A" w:rsidRDefault="005E256A">
      <w:pPr>
        <w:pBdr>
          <w:top w:val="nil"/>
          <w:left w:val="nil"/>
          <w:bottom w:val="nil"/>
          <w:right w:val="nil"/>
          <w:between w:val="nil"/>
        </w:pBdr>
        <w:jc w:val="both"/>
        <w:rPr>
          <w:rFonts w:ascii="Arial" w:eastAsia="Arial" w:hAnsi="Arial" w:cs="Arial"/>
          <w:color w:val="000000"/>
        </w:rPr>
      </w:pPr>
    </w:p>
    <w:p w:rsidR="005E256A" w:rsidRDefault="005E256A">
      <w:pPr>
        <w:pBdr>
          <w:top w:val="nil"/>
          <w:left w:val="nil"/>
          <w:bottom w:val="nil"/>
          <w:right w:val="nil"/>
          <w:between w:val="nil"/>
        </w:pBdr>
        <w:jc w:val="both"/>
        <w:rPr>
          <w:rFonts w:ascii="Arial" w:eastAsia="Arial" w:hAnsi="Arial" w:cs="Arial"/>
        </w:rPr>
        <w:sectPr w:rsidR="005E256A">
          <w:headerReference w:type="even" r:id="rId13"/>
          <w:headerReference w:type="default" r:id="rId14"/>
          <w:footerReference w:type="default" r:id="rId15"/>
          <w:headerReference w:type="first" r:id="rId16"/>
          <w:type w:val="continuous"/>
          <w:pgSz w:w="12240" w:h="15840"/>
          <w:pgMar w:top="1440" w:right="2016" w:bottom="2016" w:left="2016" w:header="720" w:footer="1123" w:gutter="0"/>
          <w:cols w:space="720"/>
        </w:sectPr>
      </w:pPr>
    </w:p>
    <w:p w:rsidR="005E256A" w:rsidRDefault="005E256A">
      <w:pPr>
        <w:jc w:val="both"/>
        <w:rPr>
          <w:rFonts w:ascii="Arial" w:eastAsia="Arial" w:hAnsi="Arial" w:cs="Arial"/>
        </w:rPr>
      </w:pPr>
    </w:p>
    <w:tbl>
      <w:tblPr>
        <w:tblStyle w:val="a1"/>
        <w:tblW w:w="14310" w:type="dxa"/>
        <w:tblInd w:w="-1440" w:type="dxa"/>
        <w:tblBorders>
          <w:top w:val="nil"/>
          <w:left w:val="nil"/>
          <w:bottom w:val="nil"/>
          <w:right w:val="nil"/>
          <w:insideH w:val="nil"/>
          <w:insideV w:val="nil"/>
        </w:tblBorders>
        <w:tblLayout w:type="fixed"/>
        <w:tblLook w:val="0600" w:firstRow="0" w:lastRow="0" w:firstColumn="0" w:lastColumn="0" w:noHBand="1" w:noVBand="1"/>
      </w:tblPr>
      <w:tblGrid>
        <w:gridCol w:w="1110"/>
        <w:gridCol w:w="2730"/>
        <w:gridCol w:w="1815"/>
        <w:gridCol w:w="1140"/>
        <w:gridCol w:w="1230"/>
        <w:gridCol w:w="1410"/>
        <w:gridCol w:w="1410"/>
        <w:gridCol w:w="1590"/>
        <w:gridCol w:w="1875"/>
      </w:tblGrid>
      <w:tr w:rsidR="005E256A">
        <w:trPr>
          <w:trHeight w:val="137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center"/>
              <w:rPr>
                <w:rFonts w:ascii="Arial" w:eastAsia="Arial" w:hAnsi="Arial" w:cs="Arial"/>
                <w:b/>
                <w:bCs/>
              </w:rPr>
            </w:pPr>
            <w:r>
              <w:rPr>
                <w:rFonts w:ascii="Arial" w:eastAsia="Arial" w:hAnsi="Arial" w:cs="Arial"/>
                <w:b/>
                <w:bCs/>
              </w:rPr>
              <w:t>Nº</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center"/>
              <w:rPr>
                <w:rFonts w:ascii="Arial" w:eastAsia="Arial" w:hAnsi="Arial" w:cs="Arial"/>
              </w:rPr>
            </w:pPr>
            <w:r>
              <w:rPr>
                <w:rFonts w:ascii="Arial" w:eastAsia="Arial" w:hAnsi="Arial" w:cs="Arial"/>
                <w:b/>
                <w:bCs/>
              </w:rPr>
              <w:t>Author, Year (Country)</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center"/>
              <w:rPr>
                <w:rFonts w:ascii="Arial" w:eastAsia="Arial" w:hAnsi="Arial" w:cs="Arial"/>
              </w:rPr>
            </w:pPr>
            <w:r>
              <w:rPr>
                <w:rFonts w:ascii="Arial" w:eastAsia="Arial" w:hAnsi="Arial" w:cs="Arial"/>
                <w:b/>
                <w:bCs/>
              </w:rPr>
              <w:t>Study Design</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center"/>
              <w:rPr>
                <w:rFonts w:ascii="Arial" w:eastAsia="Arial" w:hAnsi="Arial" w:cs="Arial"/>
              </w:rPr>
            </w:pPr>
            <w:r>
              <w:rPr>
                <w:rFonts w:ascii="Arial" w:eastAsia="Arial" w:hAnsi="Arial" w:cs="Arial"/>
                <w:b/>
                <w:bCs/>
              </w:rPr>
              <w:t>Sample Size (N)</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center"/>
              <w:rPr>
                <w:rFonts w:ascii="Arial" w:eastAsia="Arial" w:hAnsi="Arial" w:cs="Arial"/>
              </w:rPr>
            </w:pPr>
            <w:r>
              <w:rPr>
                <w:rFonts w:ascii="Arial" w:eastAsia="Arial" w:hAnsi="Arial" w:cs="Arial"/>
                <w:b/>
                <w:bCs/>
              </w:rPr>
              <w:t>Population Characteristics</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center"/>
              <w:rPr>
                <w:rFonts w:ascii="Arial" w:eastAsia="Arial" w:hAnsi="Arial" w:cs="Arial"/>
              </w:rPr>
            </w:pPr>
            <w:r>
              <w:rPr>
                <w:rFonts w:ascii="Arial" w:eastAsia="Arial" w:hAnsi="Arial" w:cs="Arial"/>
                <w:b/>
                <w:bCs/>
              </w:rPr>
              <w:t>Exposure Assessment (UPF, 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center"/>
              <w:rPr>
                <w:rFonts w:ascii="Arial" w:eastAsia="Arial" w:hAnsi="Arial" w:cs="Arial"/>
              </w:rPr>
            </w:pPr>
            <w:r>
              <w:rPr>
                <w:rFonts w:ascii="Arial" w:eastAsia="Arial" w:hAnsi="Arial" w:cs="Arial"/>
                <w:b/>
                <w:bCs/>
              </w:rPr>
              <w:t>Comparator</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center"/>
              <w:rPr>
                <w:rFonts w:ascii="Arial" w:eastAsia="Arial" w:hAnsi="Arial" w:cs="Arial"/>
              </w:rPr>
            </w:pPr>
            <w:r>
              <w:rPr>
                <w:rFonts w:ascii="Arial" w:eastAsia="Arial" w:hAnsi="Arial" w:cs="Arial"/>
                <w:b/>
                <w:bCs/>
              </w:rPr>
              <w:t>Depression Outcome (Validated Tool / Diagnosis)</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center"/>
              <w:rPr>
                <w:rFonts w:ascii="Arial" w:eastAsia="Arial" w:hAnsi="Arial" w:cs="Arial"/>
              </w:rPr>
            </w:pPr>
            <w:r>
              <w:rPr>
                <w:rFonts w:ascii="Arial" w:eastAsia="Arial" w:hAnsi="Arial" w:cs="Arial"/>
                <w:b/>
                <w:bCs/>
              </w:rPr>
              <w:t>Follow-up (if cohort)</w:t>
            </w:r>
          </w:p>
        </w:tc>
      </w:tr>
      <w:tr w:rsidR="005E256A">
        <w:trPr>
          <w:trHeight w:val="1655"/>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b/>
                <w:bCs/>
              </w:rPr>
            </w:pPr>
            <w:r>
              <w:rPr>
                <w:rFonts w:ascii="Arial" w:eastAsia="Arial" w:hAnsi="Arial" w:cs="Arial"/>
                <w:b/>
                <w:bCs/>
              </w:rPr>
              <w:t>1</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proofErr w:type="spellStart"/>
            <w:r>
              <w:rPr>
                <w:rFonts w:ascii="Arial" w:eastAsia="Arial" w:hAnsi="Arial" w:cs="Arial"/>
                <w:b/>
                <w:bCs/>
              </w:rPr>
              <w:t>Adjibade</w:t>
            </w:r>
            <w:proofErr w:type="spellEnd"/>
            <w:r>
              <w:rPr>
                <w:rFonts w:ascii="Arial" w:eastAsia="Arial" w:hAnsi="Arial" w:cs="Arial"/>
                <w:b/>
                <w:bCs/>
              </w:rPr>
              <w:t xml:space="preserve"> et al., 2019 (France)</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Prospective cohort (</w:t>
            </w:r>
            <w:proofErr w:type="spellStart"/>
            <w:r>
              <w:rPr>
                <w:rFonts w:ascii="Arial" w:eastAsia="Arial" w:hAnsi="Arial" w:cs="Arial"/>
              </w:rPr>
              <w:t>NutriNet</w:t>
            </w:r>
            <w:proofErr w:type="spellEnd"/>
            <w:r>
              <w:rPr>
                <w:rFonts w:ascii="Arial" w:eastAsia="Arial" w:hAnsi="Arial" w:cs="Arial"/>
              </w:rPr>
              <w:t>-Santé)</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26,730</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Unicode MS" w:eastAsia="Arial Unicode MS" w:hAnsi="Arial Unicode MS" w:cs="Arial Unicode MS"/>
              </w:rPr>
              <w:t>Adults ≥18 y</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 energy from UPFs (24h recalls × repeated measures)</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Lowest vs. highest UPF quartile</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Unicode MS" w:eastAsia="Arial Unicode MS" w:hAnsi="Arial Unicode MS" w:cs="Arial Unicode MS"/>
              </w:rPr>
              <w:t>Depressive symptoms (CES-D ≥17/23)</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5.4 years</w:t>
            </w:r>
          </w:p>
        </w:tc>
      </w:tr>
      <w:tr w:rsidR="005E256A">
        <w:trPr>
          <w:trHeight w:val="137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b/>
                <w:bCs/>
              </w:rPr>
            </w:pPr>
            <w:r>
              <w:rPr>
                <w:rFonts w:ascii="Arial" w:eastAsia="Arial" w:hAnsi="Arial" w:cs="Arial"/>
                <w:b/>
                <w:bCs/>
              </w:rPr>
              <w:t>2</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b/>
                <w:bCs/>
              </w:rPr>
              <w:t>Gómez-</w:t>
            </w:r>
            <w:proofErr w:type="spellStart"/>
            <w:r>
              <w:rPr>
                <w:rFonts w:ascii="Arial" w:eastAsia="Arial" w:hAnsi="Arial" w:cs="Arial"/>
                <w:b/>
                <w:bCs/>
              </w:rPr>
              <w:t>Donoso</w:t>
            </w:r>
            <w:proofErr w:type="spellEnd"/>
            <w:r>
              <w:rPr>
                <w:rFonts w:ascii="Arial" w:eastAsia="Arial" w:hAnsi="Arial" w:cs="Arial"/>
                <w:b/>
                <w:bCs/>
              </w:rPr>
              <w:t xml:space="preserve"> et al., 2020 (Spain)</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Prospective cohort (SUN)</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14,907</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University graduates, 20–60 y</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UPF servings/day (FFQ, 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Q1 vs. Q4</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Incident depression (medical diagnosis or antidepressant use)</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Median 10 years</w:t>
            </w:r>
          </w:p>
        </w:tc>
      </w:tr>
      <w:tr w:rsidR="005E256A">
        <w:trPr>
          <w:trHeight w:val="1085"/>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b/>
                <w:bCs/>
              </w:rPr>
            </w:pPr>
            <w:r>
              <w:rPr>
                <w:rFonts w:ascii="Arial" w:eastAsia="Arial" w:hAnsi="Arial" w:cs="Arial"/>
                <w:b/>
                <w:bCs/>
              </w:rPr>
              <w:t>3</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b/>
                <w:bCs/>
              </w:rPr>
              <w:t>Zheng et al., 2020 (USA)</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Cross-sectional (NHANES)</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10,359</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Unicode MS" w:eastAsia="Arial Unicode MS" w:hAnsi="Arial Unicode MS" w:cs="Arial Unicode MS"/>
              </w:rPr>
              <w:t>US adults ≥18 y</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 energy from UPFs (24h recalls, 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Lowest vs. highest quintile</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Unicode MS" w:eastAsia="Arial Unicode MS" w:hAnsi="Arial Unicode MS" w:cs="Arial Unicode MS"/>
              </w:rPr>
              <w:t>Depressive symptoms (PHQ-9 ≥10)</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w:t>
            </w:r>
          </w:p>
        </w:tc>
      </w:tr>
      <w:tr w:rsidR="005E256A">
        <w:trPr>
          <w:trHeight w:val="137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b/>
                <w:bCs/>
              </w:rPr>
            </w:pPr>
            <w:r>
              <w:rPr>
                <w:rFonts w:ascii="Arial" w:eastAsia="Arial" w:hAnsi="Arial" w:cs="Arial"/>
                <w:b/>
                <w:bCs/>
              </w:rPr>
              <w:t>4</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b/>
                <w:bCs/>
              </w:rPr>
              <w:t>Hecht et al., 2022 (USA)</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Cross-sectional</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10,359</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Unicode MS" w:eastAsia="Arial Unicode MS" w:hAnsi="Arial Unicode MS" w:cs="Arial Unicode MS"/>
              </w:rPr>
              <w:t>US adults ≥18 y</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Proportion of calories from UPFs</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Lowest vs. highest</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Mild depression symptoms (PHQ-9 categories)</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w:t>
            </w:r>
          </w:p>
        </w:tc>
      </w:tr>
      <w:tr w:rsidR="005E256A">
        <w:trPr>
          <w:trHeight w:val="800"/>
        </w:trPr>
        <w:tc>
          <w:tcPr>
            <w:tcW w:w="11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b/>
                <w:bCs/>
              </w:rPr>
            </w:pPr>
            <w:r>
              <w:rPr>
                <w:rFonts w:ascii="Arial" w:eastAsia="Arial" w:hAnsi="Arial" w:cs="Arial"/>
                <w:b/>
                <w:bCs/>
              </w:rPr>
              <w:lastRenderedPageBreak/>
              <w:t>5</w:t>
            </w:r>
          </w:p>
        </w:tc>
        <w:tc>
          <w:tcPr>
            <w:tcW w:w="27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proofErr w:type="spellStart"/>
            <w:r>
              <w:rPr>
                <w:rFonts w:ascii="Arial" w:eastAsia="Arial" w:hAnsi="Arial" w:cs="Arial"/>
                <w:b/>
                <w:bCs/>
              </w:rPr>
              <w:t>Samuthpongtorn</w:t>
            </w:r>
            <w:proofErr w:type="spellEnd"/>
            <w:r>
              <w:rPr>
                <w:rFonts w:ascii="Arial" w:eastAsia="Arial" w:hAnsi="Arial" w:cs="Arial"/>
                <w:b/>
                <w:bCs/>
              </w:rPr>
              <w:t xml:space="preserve"> et al., 2023 (USA)</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Prospective cohort (NHS II)</w:t>
            </w:r>
          </w:p>
        </w:tc>
        <w:tc>
          <w:tcPr>
            <w:tcW w:w="11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31,712</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Women 42–62 y</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Daily servings of UPFs (FFQ–NOVA)</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Low vs. high UPF servings</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Strict &amp; broad definitions of incident depression</w:t>
            </w:r>
          </w:p>
        </w:tc>
        <w:tc>
          <w:tcPr>
            <w:tcW w:w="18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jc w:val="both"/>
              <w:rPr>
                <w:rFonts w:ascii="Arial" w:eastAsia="Arial" w:hAnsi="Arial" w:cs="Arial"/>
              </w:rPr>
            </w:pPr>
            <w:r>
              <w:rPr>
                <w:rFonts w:ascii="Arial" w:eastAsia="Arial" w:hAnsi="Arial" w:cs="Arial"/>
              </w:rPr>
              <w:t>14 years</w:t>
            </w:r>
          </w:p>
        </w:tc>
      </w:tr>
    </w:tbl>
    <w:p w:rsidR="005E256A" w:rsidRDefault="001A204C">
      <w:pPr>
        <w:pBdr>
          <w:top w:val="nil"/>
          <w:left w:val="nil"/>
          <w:bottom w:val="nil"/>
          <w:right w:val="nil"/>
          <w:between w:val="nil"/>
        </w:pBdr>
        <w:jc w:val="both"/>
        <w:rPr>
          <w:rFonts w:ascii="Arial" w:eastAsia="Arial" w:hAnsi="Arial" w:cs="Arial"/>
          <w:i/>
          <w:iCs/>
        </w:rPr>
      </w:pPr>
      <w:r>
        <w:rPr>
          <w:rFonts w:ascii="Arial" w:eastAsia="Arial" w:hAnsi="Arial" w:cs="Arial"/>
          <w:i/>
          <w:iCs/>
        </w:rPr>
        <w:t xml:space="preserve">UPF = ultra-processed foods; NOVA = NOVA food classification system; FFQ = food-frequency questionnaire; 24h recalls = 24-hour dietary recalls; PCA = principal component analysis; CES-D = Center for Epidemiologic Studies Depression Scale; PHQ-9 = Patient Health Questionnaire-9; HADS-D = Hospital Anxiety and Depression Scale – Depression subscale; GDS = Geriatric Depression Scale; HDRS = Hamilton Depression Rating Scale; DASS-21 = Depression, Anxiety and Stress Scale – 21 items; K10 = Kessler Psychological Distress Scale (10 items); NHS II = Nurses’ Health Study II; MCCS = Melbourne Collaborative Cohort Study; PNS = </w:t>
      </w:r>
      <w:proofErr w:type="spellStart"/>
      <w:r>
        <w:rPr>
          <w:rFonts w:ascii="Arial" w:eastAsia="Arial" w:hAnsi="Arial" w:cs="Arial"/>
          <w:i/>
          <w:iCs/>
        </w:rPr>
        <w:t>Pesquisa</w:t>
      </w:r>
      <w:proofErr w:type="spellEnd"/>
      <w:r>
        <w:rPr>
          <w:rFonts w:ascii="Arial" w:eastAsia="Arial" w:hAnsi="Arial" w:cs="Arial"/>
          <w:i/>
          <w:iCs/>
        </w:rPr>
        <w:t xml:space="preserve"> Nacional de </w:t>
      </w:r>
      <w:proofErr w:type="spellStart"/>
      <w:r>
        <w:rPr>
          <w:rFonts w:ascii="Arial" w:eastAsia="Arial" w:hAnsi="Arial" w:cs="Arial"/>
          <w:i/>
          <w:iCs/>
        </w:rPr>
        <w:t>Saúde</w:t>
      </w:r>
      <w:proofErr w:type="spellEnd"/>
      <w:r>
        <w:rPr>
          <w:rFonts w:ascii="Arial" w:eastAsia="Arial" w:hAnsi="Arial" w:cs="Arial"/>
          <w:i/>
          <w:iCs/>
        </w:rPr>
        <w:t xml:space="preserve"> (Brazilian National Health Survey); CUME = Cohort of Universities of Minas Gerais; T1/T3 = lowest vs. highest </w:t>
      </w:r>
      <w:proofErr w:type="spellStart"/>
      <w:r>
        <w:rPr>
          <w:rFonts w:ascii="Arial" w:eastAsia="Arial" w:hAnsi="Arial" w:cs="Arial"/>
          <w:i/>
          <w:iCs/>
        </w:rPr>
        <w:t>tertile</w:t>
      </w:r>
      <w:proofErr w:type="spellEnd"/>
      <w:r>
        <w:rPr>
          <w:rFonts w:ascii="Arial" w:eastAsia="Arial" w:hAnsi="Arial" w:cs="Arial"/>
          <w:i/>
          <w:iCs/>
        </w:rPr>
        <w:t xml:space="preserve"> of exposure; Q1–Q5 = lowest to highest quantiles of exposure; y = years; — = not applicable.</w:t>
      </w:r>
    </w:p>
    <w:p w:rsidR="005E256A" w:rsidRDefault="005E256A">
      <w:pPr>
        <w:pBdr>
          <w:top w:val="nil"/>
          <w:left w:val="nil"/>
          <w:bottom w:val="nil"/>
          <w:right w:val="nil"/>
          <w:between w:val="nil"/>
        </w:pBdr>
        <w:jc w:val="both"/>
        <w:rPr>
          <w:rFonts w:ascii="Arial" w:eastAsia="Arial" w:hAnsi="Arial" w:cs="Arial"/>
          <w:i/>
          <w:iCs/>
        </w:rPr>
      </w:pPr>
    </w:p>
    <w:p w:rsidR="005E256A" w:rsidRDefault="001A204C">
      <w:pPr>
        <w:pBdr>
          <w:top w:val="nil"/>
          <w:left w:val="nil"/>
          <w:bottom w:val="nil"/>
          <w:right w:val="nil"/>
          <w:between w:val="nil"/>
        </w:pBdr>
        <w:jc w:val="both"/>
        <w:rPr>
          <w:rFonts w:ascii="Arial" w:eastAsia="Arial" w:hAnsi="Arial" w:cs="Arial"/>
          <w:i/>
          <w:iCs/>
        </w:rPr>
      </w:pPr>
      <w:r>
        <w:rPr>
          <w:rFonts w:ascii="Arial" w:eastAsia="Arial" w:hAnsi="Arial" w:cs="Arial"/>
          <w:i/>
          <w:iCs/>
        </w:rPr>
        <w:t>The table reports study design, sample size, population characteristics, methods for assessing UPF exposure according to NOVA classification, comparator groups (highest vs. lowest UPF intake categories), validated depression assessment tools or diagnostic criteria, and follow-up duration for cohort studies.</w:t>
      </w: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sectPr w:rsidR="005E256A">
          <w:pgSz w:w="15840" w:h="12240" w:orient="landscape"/>
          <w:pgMar w:top="1440" w:right="2016" w:bottom="2016" w:left="2016" w:header="720" w:footer="1123" w:gutter="0"/>
          <w:cols w:space="720"/>
        </w:sectPr>
      </w:pPr>
    </w:p>
    <w:p w:rsidR="005E256A" w:rsidRDefault="001A204C">
      <w:pPr>
        <w:pBdr>
          <w:top w:val="nil"/>
          <w:left w:val="nil"/>
          <w:bottom w:val="nil"/>
          <w:right w:val="nil"/>
          <w:between w:val="nil"/>
        </w:pBdr>
        <w:jc w:val="both"/>
        <w:rPr>
          <w:rFonts w:ascii="Arial" w:eastAsia="Arial" w:hAnsi="Arial" w:cs="Arial"/>
          <w:b/>
          <w:bCs/>
        </w:rPr>
      </w:pPr>
      <w:r>
        <w:rPr>
          <w:rFonts w:ascii="Arial" w:eastAsia="Arial" w:hAnsi="Arial" w:cs="Arial"/>
          <w:b/>
          <w:bCs/>
        </w:rPr>
        <w:lastRenderedPageBreak/>
        <w:t>3.3 Association Between UPF Consumption and Depressive Symptoms</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Five observational studies (</w:t>
      </w:r>
      <w:proofErr w:type="spellStart"/>
      <w:r>
        <w:rPr>
          <w:rFonts w:ascii="Arial" w:eastAsia="Arial" w:hAnsi="Arial" w:cs="Arial"/>
        </w:rPr>
        <w:t>Adjibade</w:t>
      </w:r>
      <w:proofErr w:type="spellEnd"/>
      <w:r>
        <w:rPr>
          <w:rFonts w:ascii="Arial" w:eastAsia="Arial" w:hAnsi="Arial" w:cs="Arial"/>
        </w:rPr>
        <w:t xml:space="preserve"> et al., 2019; Gómez-</w:t>
      </w:r>
      <w:proofErr w:type="spellStart"/>
      <w:r>
        <w:rPr>
          <w:rFonts w:ascii="Arial" w:eastAsia="Arial" w:hAnsi="Arial" w:cs="Arial"/>
        </w:rPr>
        <w:t>Donoso</w:t>
      </w:r>
      <w:proofErr w:type="spellEnd"/>
      <w:r>
        <w:rPr>
          <w:rFonts w:ascii="Arial" w:eastAsia="Arial" w:hAnsi="Arial" w:cs="Arial"/>
        </w:rPr>
        <w:t xml:space="preserve"> et al., 2020; Zheng et al., 2020; Hecht et al., 2022; </w:t>
      </w:r>
      <w:proofErr w:type="spellStart"/>
      <w:r>
        <w:rPr>
          <w:rFonts w:ascii="Arial" w:eastAsia="Arial" w:hAnsi="Arial" w:cs="Arial"/>
        </w:rPr>
        <w:t>Samuthpongtorn</w:t>
      </w:r>
      <w:proofErr w:type="spellEnd"/>
      <w:r>
        <w:rPr>
          <w:rFonts w:ascii="Arial" w:eastAsia="Arial" w:hAnsi="Arial" w:cs="Arial"/>
        </w:rPr>
        <w:t xml:space="preserve"> et al., 2023) contributed data to the primary outcome. The pooled analysis included 45,720 participants. The random-effects model demonstrated a statistically significant positive association between higher consumption of ultra-processed foods and depressive symptoms (OR = 1.76; 95% CI 1.49–2.07).</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 xml:space="preserve">The 95% prediction interval ranged from 1.04 to 2.97, indicating that the direction of the association consistently </w:t>
      </w:r>
      <w:proofErr w:type="spellStart"/>
      <w:r>
        <w:rPr>
          <w:rFonts w:ascii="Arial" w:eastAsia="Arial" w:hAnsi="Arial" w:cs="Arial"/>
        </w:rPr>
        <w:t>favours</w:t>
      </w:r>
      <w:proofErr w:type="spellEnd"/>
      <w:r>
        <w:rPr>
          <w:rFonts w:ascii="Arial" w:eastAsia="Arial" w:hAnsi="Arial" w:cs="Arial"/>
        </w:rPr>
        <w:t xml:space="preserve"> an increased risk of depression with greater UPF intake across different populations. Heterogeneity was considerable (I² = 84.9%; P &lt; 0.0001), reflecting variability in study populations and depression assessment tools.</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b/>
          <w:bCs/>
        </w:rPr>
      </w:pPr>
      <w:r>
        <w:rPr>
          <w:rFonts w:ascii="Arial" w:eastAsia="Arial" w:hAnsi="Arial" w:cs="Arial"/>
          <w:b/>
          <w:bCs/>
        </w:rPr>
        <w:t>List. 1. Forest Plot of Depressive Symptoms According to Ultra-Processed Food Intake</w:t>
      </w: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noProof/>
          <w:lang w:val="en-US" w:eastAsia="en-US" w:bidi="ar-SA"/>
        </w:rPr>
        <w:drawing>
          <wp:inline distT="114300" distB="114300" distL="114300" distR="114300">
            <wp:extent cx="5789195" cy="16146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9067" r="9404"/>
                    <a:stretch>
                      <a:fillRect/>
                    </a:stretch>
                  </pic:blipFill>
                  <pic:spPr>
                    <a:xfrm>
                      <a:off x="0" y="0"/>
                      <a:ext cx="5789195" cy="1614674"/>
                    </a:xfrm>
                    <a:prstGeom prst="rect">
                      <a:avLst/>
                    </a:prstGeom>
                    <a:ln/>
                  </pic:spPr>
                </pic:pic>
              </a:graphicData>
            </a:graphic>
          </wp:inline>
        </w:drawing>
      </w:r>
    </w:p>
    <w:p w:rsidR="005E256A" w:rsidRDefault="001A204C">
      <w:pPr>
        <w:jc w:val="center"/>
        <w:rPr>
          <w:rFonts w:ascii="Arial" w:eastAsia="Arial" w:hAnsi="Arial" w:cs="Arial"/>
          <w:b/>
          <w:bCs/>
        </w:rPr>
      </w:pPr>
      <w:r>
        <w:rPr>
          <w:rFonts w:ascii="Arial" w:eastAsia="Arial" w:hAnsi="Arial" w:cs="Arial"/>
          <w:b/>
          <w:bCs/>
        </w:rPr>
        <w:t>Chart 1. Depressive Symptoms According to Ultra-Processed Food Intake</w:t>
      </w:r>
    </w:p>
    <w:p w:rsidR="005E256A" w:rsidRDefault="005E256A">
      <w:pPr>
        <w:jc w:val="center"/>
        <w:rPr>
          <w:rFonts w:ascii="Arial" w:eastAsia="Arial" w:hAnsi="Arial" w:cs="Arial"/>
          <w:b/>
          <w:bCs/>
        </w:rPr>
      </w:pPr>
    </w:p>
    <w:tbl>
      <w:tblPr>
        <w:tblStyle w:val="a2"/>
        <w:tblW w:w="8550" w:type="dxa"/>
        <w:jc w:val="center"/>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825"/>
        <w:gridCol w:w="2040"/>
        <w:gridCol w:w="945"/>
        <w:gridCol w:w="1005"/>
        <w:gridCol w:w="735"/>
        <w:gridCol w:w="1110"/>
        <w:gridCol w:w="690"/>
        <w:gridCol w:w="465"/>
        <w:gridCol w:w="735"/>
      </w:tblGrid>
      <w:tr w:rsidR="005E256A">
        <w:trPr>
          <w:trHeight w:val="20"/>
          <w:jc w:val="center"/>
        </w:trPr>
        <w:tc>
          <w:tcPr>
            <w:tcW w:w="825" w:type="dxa"/>
            <w:tcBorders>
              <w:left w:val="single" w:sz="4" w:space="0" w:color="000000"/>
              <w:right w:val="single" w:sz="4" w:space="0" w:color="000000"/>
            </w:tcBorders>
          </w:tcPr>
          <w:p w:rsidR="005E256A" w:rsidRDefault="001A204C">
            <w:pPr>
              <w:ind w:left="-87"/>
              <w:rPr>
                <w:rFonts w:ascii="Arial" w:eastAsia="Arial" w:hAnsi="Arial" w:cs="Arial"/>
                <w:b/>
                <w:bCs/>
                <w:sz w:val="18"/>
                <w:szCs w:val="18"/>
              </w:rPr>
            </w:pPr>
            <w:r>
              <w:rPr>
                <w:rFonts w:ascii="Arial" w:eastAsia="Arial" w:hAnsi="Arial" w:cs="Arial"/>
                <w:b/>
                <w:bCs/>
                <w:sz w:val="18"/>
                <w:szCs w:val="18"/>
              </w:rPr>
              <w:t>No.</w:t>
            </w:r>
          </w:p>
        </w:tc>
        <w:tc>
          <w:tcPr>
            <w:tcW w:w="2040" w:type="dxa"/>
            <w:tcBorders>
              <w:left w:val="single" w:sz="4" w:space="0" w:color="000000"/>
              <w:right w:val="single" w:sz="4" w:space="0" w:color="000000"/>
            </w:tcBorders>
          </w:tcPr>
          <w:p w:rsidR="005E256A" w:rsidRDefault="001A204C">
            <w:pPr>
              <w:ind w:left="-87"/>
              <w:rPr>
                <w:rFonts w:ascii="Arial" w:eastAsia="Arial" w:hAnsi="Arial" w:cs="Arial"/>
                <w:b/>
                <w:bCs/>
                <w:sz w:val="18"/>
                <w:szCs w:val="18"/>
              </w:rPr>
            </w:pPr>
            <w:r>
              <w:rPr>
                <w:rFonts w:ascii="Arial" w:eastAsia="Arial" w:hAnsi="Arial" w:cs="Arial"/>
                <w:b/>
                <w:bCs/>
                <w:sz w:val="18"/>
                <w:szCs w:val="18"/>
              </w:rPr>
              <w:t>Study</w:t>
            </w:r>
          </w:p>
        </w:tc>
        <w:tc>
          <w:tcPr>
            <w:tcW w:w="945" w:type="dxa"/>
            <w:tcBorders>
              <w:left w:val="single" w:sz="4" w:space="0" w:color="000000"/>
              <w:right w:val="single" w:sz="4" w:space="0" w:color="000000"/>
            </w:tcBorders>
          </w:tcPr>
          <w:p w:rsidR="005E256A" w:rsidRDefault="001A204C">
            <w:pPr>
              <w:ind w:left="-87"/>
              <w:rPr>
                <w:rFonts w:ascii="Arial" w:eastAsia="Arial" w:hAnsi="Arial" w:cs="Arial"/>
                <w:b/>
                <w:bCs/>
                <w:sz w:val="18"/>
                <w:szCs w:val="18"/>
              </w:rPr>
            </w:pPr>
            <w:r>
              <w:rPr>
                <w:rFonts w:ascii="Arial" w:eastAsia="Arial" w:hAnsi="Arial" w:cs="Arial"/>
                <w:b/>
                <w:bCs/>
                <w:sz w:val="18"/>
                <w:szCs w:val="18"/>
              </w:rPr>
              <w:t>Highest UPF</w:t>
            </w:r>
          </w:p>
        </w:tc>
        <w:tc>
          <w:tcPr>
            <w:tcW w:w="1005" w:type="dxa"/>
            <w:tcBorders>
              <w:left w:val="single" w:sz="4" w:space="0" w:color="000000"/>
              <w:right w:val="single" w:sz="4" w:space="0" w:color="000000"/>
            </w:tcBorders>
          </w:tcPr>
          <w:p w:rsidR="005E256A" w:rsidRDefault="001A204C">
            <w:pPr>
              <w:ind w:left="-87"/>
              <w:rPr>
                <w:rFonts w:ascii="Arial" w:eastAsia="Arial" w:hAnsi="Arial" w:cs="Arial"/>
                <w:b/>
                <w:bCs/>
                <w:sz w:val="18"/>
                <w:szCs w:val="18"/>
              </w:rPr>
            </w:pPr>
            <w:r>
              <w:rPr>
                <w:rFonts w:ascii="Arial" w:eastAsia="Arial" w:hAnsi="Arial" w:cs="Arial"/>
                <w:b/>
                <w:bCs/>
                <w:sz w:val="18"/>
                <w:szCs w:val="18"/>
              </w:rPr>
              <w:t xml:space="preserve">Control </w:t>
            </w:r>
          </w:p>
        </w:tc>
        <w:tc>
          <w:tcPr>
            <w:tcW w:w="735" w:type="dxa"/>
            <w:tcBorders>
              <w:left w:val="single" w:sz="4" w:space="0" w:color="000000"/>
              <w:right w:val="single" w:sz="4" w:space="0" w:color="000000"/>
            </w:tcBorders>
          </w:tcPr>
          <w:p w:rsidR="005E256A" w:rsidRDefault="001A204C">
            <w:pPr>
              <w:ind w:left="-87"/>
              <w:rPr>
                <w:rFonts w:ascii="Arial" w:eastAsia="Arial" w:hAnsi="Arial" w:cs="Arial"/>
                <w:b/>
                <w:bCs/>
                <w:sz w:val="18"/>
                <w:szCs w:val="18"/>
              </w:rPr>
            </w:pPr>
            <w:r>
              <w:rPr>
                <w:rFonts w:ascii="Arial" w:eastAsia="Arial" w:hAnsi="Arial" w:cs="Arial"/>
                <w:b/>
                <w:bCs/>
                <w:sz w:val="18"/>
                <w:szCs w:val="18"/>
              </w:rPr>
              <w:t>OR</w:t>
            </w:r>
          </w:p>
        </w:tc>
        <w:tc>
          <w:tcPr>
            <w:tcW w:w="1110" w:type="dxa"/>
            <w:tcBorders>
              <w:left w:val="single" w:sz="4" w:space="0" w:color="000000"/>
              <w:right w:val="single" w:sz="4" w:space="0" w:color="000000"/>
            </w:tcBorders>
          </w:tcPr>
          <w:p w:rsidR="005E256A" w:rsidRDefault="001A204C">
            <w:pPr>
              <w:ind w:left="-87"/>
              <w:rPr>
                <w:rFonts w:ascii="Arial" w:eastAsia="Arial" w:hAnsi="Arial" w:cs="Arial"/>
                <w:b/>
                <w:bCs/>
                <w:sz w:val="18"/>
                <w:szCs w:val="18"/>
              </w:rPr>
            </w:pPr>
            <w:r>
              <w:rPr>
                <w:rFonts w:ascii="Arial" w:eastAsia="Arial" w:hAnsi="Arial" w:cs="Arial"/>
                <w:b/>
                <w:bCs/>
                <w:sz w:val="18"/>
                <w:szCs w:val="18"/>
              </w:rPr>
              <w:t>95% CI</w:t>
            </w:r>
          </w:p>
        </w:tc>
        <w:tc>
          <w:tcPr>
            <w:tcW w:w="690" w:type="dxa"/>
            <w:tcBorders>
              <w:left w:val="single" w:sz="4" w:space="0" w:color="000000"/>
              <w:right w:val="single" w:sz="4" w:space="0" w:color="000000"/>
            </w:tcBorders>
          </w:tcPr>
          <w:p w:rsidR="005E256A" w:rsidRDefault="001A204C">
            <w:pPr>
              <w:ind w:left="-87"/>
              <w:rPr>
                <w:rFonts w:ascii="Arial" w:eastAsia="Arial" w:hAnsi="Arial" w:cs="Arial"/>
                <w:b/>
                <w:bCs/>
                <w:sz w:val="18"/>
                <w:szCs w:val="18"/>
              </w:rPr>
            </w:pPr>
            <w:r>
              <w:rPr>
                <w:rFonts w:ascii="Arial" w:eastAsia="Arial" w:hAnsi="Arial" w:cs="Arial"/>
                <w:b/>
                <w:bCs/>
                <w:sz w:val="18"/>
                <w:szCs w:val="18"/>
              </w:rPr>
              <w:t xml:space="preserve">Weight </w:t>
            </w:r>
          </w:p>
        </w:tc>
        <w:tc>
          <w:tcPr>
            <w:tcW w:w="465" w:type="dxa"/>
            <w:tcBorders>
              <w:left w:val="single" w:sz="4" w:space="0" w:color="000000"/>
              <w:right w:val="single" w:sz="4" w:space="0" w:color="000000"/>
            </w:tcBorders>
          </w:tcPr>
          <w:p w:rsidR="005E256A" w:rsidRDefault="001A204C">
            <w:pPr>
              <w:ind w:left="-87"/>
              <w:rPr>
                <w:rFonts w:ascii="Arial" w:eastAsia="Arial" w:hAnsi="Arial" w:cs="Arial"/>
                <w:b/>
                <w:bCs/>
                <w:sz w:val="18"/>
                <w:szCs w:val="18"/>
              </w:rPr>
            </w:pPr>
            <w:r>
              <w:rPr>
                <w:rFonts w:ascii="Arial" w:eastAsia="Arial" w:hAnsi="Arial" w:cs="Arial"/>
                <w:b/>
                <w:bCs/>
                <w:sz w:val="18"/>
                <w:szCs w:val="18"/>
              </w:rPr>
              <w:t>T</w:t>
            </w:r>
          </w:p>
        </w:tc>
        <w:tc>
          <w:tcPr>
            <w:tcW w:w="735" w:type="dxa"/>
            <w:tcBorders>
              <w:left w:val="single" w:sz="4" w:space="0" w:color="000000"/>
              <w:right w:val="single" w:sz="4" w:space="0" w:color="000000"/>
            </w:tcBorders>
          </w:tcPr>
          <w:p w:rsidR="005E256A" w:rsidRDefault="001A204C">
            <w:pPr>
              <w:ind w:left="-87"/>
              <w:rPr>
                <w:rFonts w:ascii="Arial" w:eastAsia="Arial" w:hAnsi="Arial" w:cs="Arial"/>
                <w:b/>
                <w:bCs/>
                <w:sz w:val="18"/>
                <w:szCs w:val="18"/>
              </w:rPr>
            </w:pPr>
            <w:r>
              <w:rPr>
                <w:rFonts w:ascii="Arial" w:eastAsia="Arial" w:hAnsi="Arial" w:cs="Arial"/>
                <w:b/>
                <w:bCs/>
                <w:sz w:val="18"/>
                <w:szCs w:val="18"/>
              </w:rPr>
              <w:t>P-value</w:t>
            </w:r>
          </w:p>
        </w:tc>
      </w:tr>
      <w:tr w:rsidR="005E256A">
        <w:trPr>
          <w:trHeight w:val="20"/>
          <w:jc w:val="center"/>
        </w:trPr>
        <w:tc>
          <w:tcPr>
            <w:tcW w:w="82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jc w:val="center"/>
              <w:rPr>
                <w:rFonts w:ascii="Arial" w:eastAsia="Arial" w:hAnsi="Arial" w:cs="Arial"/>
                <w:sz w:val="18"/>
                <w:szCs w:val="18"/>
              </w:rPr>
            </w:pPr>
            <w:r>
              <w:rPr>
                <w:rFonts w:ascii="Arial" w:eastAsia="Arial" w:hAnsi="Arial" w:cs="Arial"/>
                <w:sz w:val="18"/>
                <w:szCs w:val="18"/>
              </w:rPr>
              <w:t>1</w:t>
            </w:r>
          </w:p>
        </w:tc>
        <w:tc>
          <w:tcPr>
            <w:tcW w:w="204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proofErr w:type="spellStart"/>
            <w:r>
              <w:rPr>
                <w:rFonts w:ascii="Arial" w:eastAsia="Arial" w:hAnsi="Arial" w:cs="Arial"/>
                <w:sz w:val="18"/>
                <w:szCs w:val="18"/>
              </w:rPr>
              <w:t>Adjibade</w:t>
            </w:r>
            <w:proofErr w:type="spellEnd"/>
            <w:r>
              <w:rPr>
                <w:rFonts w:ascii="Arial" w:eastAsia="Arial" w:hAnsi="Arial" w:cs="Arial"/>
                <w:sz w:val="18"/>
                <w:szCs w:val="18"/>
              </w:rPr>
              <w:t xml:space="preserve"> et al. 2019</w:t>
            </w:r>
          </w:p>
        </w:tc>
        <w:tc>
          <w:tcPr>
            <w:tcW w:w="94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1082 / 6680</w:t>
            </w:r>
          </w:p>
        </w:tc>
        <w:tc>
          <w:tcPr>
            <w:tcW w:w="100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742 / 6682</w:t>
            </w: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1.547</w:t>
            </w:r>
          </w:p>
        </w:tc>
        <w:tc>
          <w:tcPr>
            <w:tcW w:w="111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1.4 - 1.711</w:t>
            </w:r>
          </w:p>
        </w:tc>
        <w:tc>
          <w:tcPr>
            <w:tcW w:w="69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22.1</w:t>
            </w:r>
          </w:p>
        </w:tc>
        <w:tc>
          <w:tcPr>
            <w:tcW w:w="465"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r>
      <w:tr w:rsidR="005E256A">
        <w:trPr>
          <w:trHeight w:val="20"/>
          <w:jc w:val="center"/>
        </w:trPr>
        <w:tc>
          <w:tcPr>
            <w:tcW w:w="82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jc w:val="center"/>
              <w:rPr>
                <w:rFonts w:ascii="Arial" w:eastAsia="Arial" w:hAnsi="Arial" w:cs="Arial"/>
                <w:sz w:val="18"/>
                <w:szCs w:val="18"/>
              </w:rPr>
            </w:pPr>
            <w:r>
              <w:rPr>
                <w:rFonts w:ascii="Arial" w:eastAsia="Arial" w:hAnsi="Arial" w:cs="Arial"/>
                <w:sz w:val="18"/>
                <w:szCs w:val="18"/>
              </w:rPr>
              <w:t>2</w:t>
            </w:r>
          </w:p>
        </w:tc>
        <w:tc>
          <w:tcPr>
            <w:tcW w:w="204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Gómez-</w:t>
            </w:r>
            <w:proofErr w:type="spellStart"/>
            <w:r>
              <w:rPr>
                <w:rFonts w:ascii="Arial" w:eastAsia="Arial" w:hAnsi="Arial" w:cs="Arial"/>
                <w:sz w:val="18"/>
                <w:szCs w:val="18"/>
              </w:rPr>
              <w:t>Donoso</w:t>
            </w:r>
            <w:proofErr w:type="spellEnd"/>
            <w:r>
              <w:rPr>
                <w:rFonts w:ascii="Arial" w:eastAsia="Arial" w:hAnsi="Arial" w:cs="Arial"/>
                <w:sz w:val="18"/>
                <w:szCs w:val="18"/>
              </w:rPr>
              <w:t xml:space="preserve"> et al. 2020</w:t>
            </w:r>
          </w:p>
        </w:tc>
        <w:tc>
          <w:tcPr>
            <w:tcW w:w="94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345 / 3727</w:t>
            </w:r>
          </w:p>
        </w:tc>
        <w:tc>
          <w:tcPr>
            <w:tcW w:w="100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258 / 3725</w:t>
            </w: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1.371</w:t>
            </w:r>
          </w:p>
        </w:tc>
        <w:tc>
          <w:tcPr>
            <w:tcW w:w="111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1.159 - 1.622</w:t>
            </w:r>
          </w:p>
        </w:tc>
        <w:tc>
          <w:tcPr>
            <w:tcW w:w="69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19.19</w:t>
            </w:r>
          </w:p>
        </w:tc>
        <w:tc>
          <w:tcPr>
            <w:tcW w:w="465"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r>
      <w:tr w:rsidR="005E256A">
        <w:trPr>
          <w:trHeight w:val="20"/>
          <w:jc w:val="center"/>
        </w:trPr>
        <w:tc>
          <w:tcPr>
            <w:tcW w:w="82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jc w:val="center"/>
              <w:rPr>
                <w:rFonts w:ascii="Arial" w:eastAsia="Arial" w:hAnsi="Arial" w:cs="Arial"/>
                <w:sz w:val="18"/>
                <w:szCs w:val="18"/>
              </w:rPr>
            </w:pPr>
            <w:r>
              <w:rPr>
                <w:rFonts w:ascii="Arial" w:eastAsia="Arial" w:hAnsi="Arial" w:cs="Arial"/>
                <w:sz w:val="18"/>
                <w:szCs w:val="18"/>
              </w:rPr>
              <w:t>3</w:t>
            </w:r>
          </w:p>
        </w:tc>
        <w:tc>
          <w:tcPr>
            <w:tcW w:w="204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Zheng et al. 2020</w:t>
            </w:r>
          </w:p>
        </w:tc>
        <w:tc>
          <w:tcPr>
            <w:tcW w:w="94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331 / 2148</w:t>
            </w:r>
          </w:p>
        </w:tc>
        <w:tc>
          <w:tcPr>
            <w:tcW w:w="100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146 / 2129</w:t>
            </w: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2.474</w:t>
            </w:r>
          </w:p>
        </w:tc>
        <w:tc>
          <w:tcPr>
            <w:tcW w:w="111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2.016 - 3.037</w:t>
            </w:r>
          </w:p>
        </w:tc>
        <w:tc>
          <w:tcPr>
            <w:tcW w:w="69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17.46</w:t>
            </w:r>
          </w:p>
        </w:tc>
        <w:tc>
          <w:tcPr>
            <w:tcW w:w="465"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r>
      <w:tr w:rsidR="005E256A">
        <w:trPr>
          <w:trHeight w:val="20"/>
          <w:jc w:val="center"/>
        </w:trPr>
        <w:tc>
          <w:tcPr>
            <w:tcW w:w="82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jc w:val="center"/>
              <w:rPr>
                <w:rFonts w:ascii="Arial" w:eastAsia="Arial" w:hAnsi="Arial" w:cs="Arial"/>
                <w:sz w:val="18"/>
                <w:szCs w:val="18"/>
              </w:rPr>
            </w:pPr>
            <w:r>
              <w:rPr>
                <w:rFonts w:ascii="Arial" w:eastAsia="Arial" w:hAnsi="Arial" w:cs="Arial"/>
                <w:sz w:val="18"/>
                <w:szCs w:val="18"/>
              </w:rPr>
              <w:t>4</w:t>
            </w:r>
          </w:p>
        </w:tc>
        <w:tc>
          <w:tcPr>
            <w:tcW w:w="204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Hecht et al. 2022</w:t>
            </w:r>
          </w:p>
        </w:tc>
        <w:tc>
          <w:tcPr>
            <w:tcW w:w="94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498 / 2410</w:t>
            </w:r>
          </w:p>
        </w:tc>
        <w:tc>
          <w:tcPr>
            <w:tcW w:w="100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311 / 2387</w:t>
            </w: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1.739</w:t>
            </w:r>
          </w:p>
        </w:tc>
        <w:tc>
          <w:tcPr>
            <w:tcW w:w="111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1.489 - 2.029</w:t>
            </w:r>
          </w:p>
        </w:tc>
        <w:tc>
          <w:tcPr>
            <w:tcW w:w="69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19.81</w:t>
            </w:r>
          </w:p>
        </w:tc>
        <w:tc>
          <w:tcPr>
            <w:tcW w:w="465"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r>
      <w:tr w:rsidR="005E256A">
        <w:trPr>
          <w:trHeight w:val="20"/>
          <w:jc w:val="center"/>
        </w:trPr>
        <w:tc>
          <w:tcPr>
            <w:tcW w:w="82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jc w:val="center"/>
              <w:rPr>
                <w:rFonts w:ascii="Arial" w:eastAsia="Arial" w:hAnsi="Arial" w:cs="Arial"/>
                <w:sz w:val="18"/>
                <w:szCs w:val="18"/>
              </w:rPr>
            </w:pPr>
            <w:r>
              <w:rPr>
                <w:rFonts w:ascii="Arial" w:eastAsia="Arial" w:hAnsi="Arial" w:cs="Arial"/>
                <w:sz w:val="18"/>
                <w:szCs w:val="18"/>
              </w:rPr>
              <w:t>5</w:t>
            </w:r>
          </w:p>
        </w:tc>
        <w:tc>
          <w:tcPr>
            <w:tcW w:w="204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proofErr w:type="spellStart"/>
            <w:r>
              <w:rPr>
                <w:rFonts w:ascii="Arial" w:eastAsia="Arial" w:hAnsi="Arial" w:cs="Arial"/>
                <w:sz w:val="18"/>
                <w:szCs w:val="18"/>
              </w:rPr>
              <w:t>Samuthpongtorn</w:t>
            </w:r>
            <w:proofErr w:type="spellEnd"/>
            <w:r>
              <w:rPr>
                <w:rFonts w:ascii="Arial" w:eastAsia="Arial" w:hAnsi="Arial" w:cs="Arial"/>
                <w:sz w:val="18"/>
                <w:szCs w:val="18"/>
              </w:rPr>
              <w:t xml:space="preserve"> et al. 2023</w:t>
            </w:r>
          </w:p>
        </w:tc>
        <w:tc>
          <w:tcPr>
            <w:tcW w:w="94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861 / 7930</w:t>
            </w:r>
          </w:p>
        </w:tc>
        <w:tc>
          <w:tcPr>
            <w:tcW w:w="100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473 / 7902</w:t>
            </w: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1.913</w:t>
            </w:r>
          </w:p>
        </w:tc>
        <w:tc>
          <w:tcPr>
            <w:tcW w:w="111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1.702 - 2.15</w:t>
            </w:r>
          </w:p>
        </w:tc>
        <w:tc>
          <w:tcPr>
            <w:tcW w:w="69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21.46</w:t>
            </w:r>
          </w:p>
        </w:tc>
        <w:tc>
          <w:tcPr>
            <w:tcW w:w="465"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r>
      <w:tr w:rsidR="005E256A">
        <w:trPr>
          <w:trHeight w:val="20"/>
          <w:jc w:val="center"/>
        </w:trPr>
        <w:tc>
          <w:tcPr>
            <w:tcW w:w="825"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c>
          <w:tcPr>
            <w:tcW w:w="204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Random effects model</w:t>
            </w:r>
          </w:p>
        </w:tc>
        <w:tc>
          <w:tcPr>
            <w:tcW w:w="94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3117 / 22895</w:t>
            </w:r>
          </w:p>
        </w:tc>
        <w:tc>
          <w:tcPr>
            <w:tcW w:w="100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1930 / 22825</w:t>
            </w: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1.757</w:t>
            </w:r>
          </w:p>
        </w:tc>
        <w:tc>
          <w:tcPr>
            <w:tcW w:w="111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1.493 - 2.068</w:t>
            </w:r>
          </w:p>
        </w:tc>
        <w:tc>
          <w:tcPr>
            <w:tcW w:w="69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100.02</w:t>
            </w:r>
          </w:p>
        </w:tc>
        <w:tc>
          <w:tcPr>
            <w:tcW w:w="46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6.79</w:t>
            </w:r>
          </w:p>
        </w:tc>
        <w:tc>
          <w:tcPr>
            <w:tcW w:w="735"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0</w:t>
            </w:r>
          </w:p>
        </w:tc>
      </w:tr>
    </w:tbl>
    <w:p w:rsidR="005E256A" w:rsidRDefault="005E256A">
      <w:pPr>
        <w:jc w:val="both"/>
        <w:rPr>
          <w:rFonts w:ascii="Arial" w:eastAsia="Arial" w:hAnsi="Arial" w:cs="Arial"/>
        </w:rPr>
      </w:pPr>
    </w:p>
    <w:p w:rsidR="005E256A" w:rsidRDefault="001A204C">
      <w:pPr>
        <w:jc w:val="both"/>
        <w:rPr>
          <w:rFonts w:ascii="Arial" w:eastAsia="Arial" w:hAnsi="Arial" w:cs="Arial"/>
        </w:rPr>
      </w:pPr>
      <w:r>
        <w:rPr>
          <w:rFonts w:ascii="Arial" w:eastAsia="Arial" w:hAnsi="Arial" w:cs="Arial"/>
          <w:b/>
          <w:bCs/>
        </w:rPr>
        <w:t>Quantifying Heterogeneity</w:t>
      </w:r>
    </w:p>
    <w:p w:rsidR="005E256A" w:rsidRDefault="005E256A">
      <w:pPr>
        <w:jc w:val="both"/>
        <w:rPr>
          <w:rFonts w:ascii="Arial" w:eastAsia="Arial" w:hAnsi="Arial" w:cs="Arial"/>
          <w:smallCaps/>
        </w:rPr>
      </w:pPr>
    </w:p>
    <w:tbl>
      <w:tblPr>
        <w:tblStyle w:val="a3"/>
        <w:tblW w:w="9060" w:type="dxa"/>
        <w:jc w:val="center"/>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3"/>
        <w:gridCol w:w="2269"/>
        <w:gridCol w:w="3178"/>
      </w:tblGrid>
      <w:tr w:rsidR="005E256A">
        <w:trPr>
          <w:jc w:val="center"/>
        </w:trPr>
        <w:tc>
          <w:tcPr>
            <w:tcW w:w="3613" w:type="dxa"/>
            <w:tcBorders>
              <w:top w:val="single" w:sz="4" w:space="0" w:color="000000"/>
              <w:bottom w:val="single" w:sz="4" w:space="0" w:color="000000"/>
            </w:tcBorders>
          </w:tcPr>
          <w:p w:rsidR="005E256A" w:rsidRDefault="001A204C">
            <w:pPr>
              <w:rPr>
                <w:rFonts w:ascii="Arial" w:eastAsia="Arial" w:hAnsi="Arial" w:cs="Arial"/>
                <w:b/>
                <w:bCs/>
                <w:sz w:val="18"/>
                <w:szCs w:val="18"/>
              </w:rPr>
            </w:pPr>
            <w:r>
              <w:rPr>
                <w:rFonts w:ascii="Arial" w:eastAsia="Arial" w:hAnsi="Arial" w:cs="Arial"/>
                <w:b/>
                <w:bCs/>
                <w:sz w:val="18"/>
                <w:szCs w:val="18"/>
              </w:rPr>
              <w:t>Parameter</w:t>
            </w:r>
          </w:p>
        </w:tc>
        <w:tc>
          <w:tcPr>
            <w:tcW w:w="2269" w:type="dxa"/>
            <w:tcBorders>
              <w:top w:val="single" w:sz="4" w:space="0" w:color="000000"/>
              <w:bottom w:val="single" w:sz="4" w:space="0" w:color="000000"/>
            </w:tcBorders>
          </w:tcPr>
          <w:p w:rsidR="005E256A" w:rsidRDefault="001A204C">
            <w:pPr>
              <w:rPr>
                <w:rFonts w:ascii="Arial" w:eastAsia="Arial" w:hAnsi="Arial" w:cs="Arial"/>
                <w:b/>
                <w:bCs/>
                <w:sz w:val="18"/>
                <w:szCs w:val="18"/>
              </w:rPr>
            </w:pPr>
            <w:r>
              <w:rPr>
                <w:rFonts w:ascii="Arial" w:eastAsia="Arial" w:hAnsi="Arial" w:cs="Arial"/>
                <w:b/>
                <w:bCs/>
                <w:sz w:val="18"/>
                <w:szCs w:val="18"/>
              </w:rPr>
              <w:t>Value</w:t>
            </w:r>
          </w:p>
        </w:tc>
        <w:tc>
          <w:tcPr>
            <w:tcW w:w="3178" w:type="dxa"/>
            <w:tcBorders>
              <w:top w:val="single" w:sz="4" w:space="0" w:color="000000"/>
              <w:bottom w:val="single" w:sz="4" w:space="0" w:color="000000"/>
            </w:tcBorders>
          </w:tcPr>
          <w:p w:rsidR="005E256A" w:rsidRDefault="001A204C">
            <w:pPr>
              <w:rPr>
                <w:rFonts w:ascii="Arial" w:eastAsia="Arial" w:hAnsi="Arial" w:cs="Arial"/>
                <w:b/>
                <w:bCs/>
                <w:sz w:val="18"/>
                <w:szCs w:val="18"/>
              </w:rPr>
            </w:pPr>
            <w:r>
              <w:rPr>
                <w:rFonts w:ascii="Arial" w:eastAsia="Arial" w:hAnsi="Arial" w:cs="Arial"/>
                <w:b/>
                <w:bCs/>
                <w:sz w:val="18"/>
                <w:szCs w:val="18"/>
              </w:rPr>
              <w:t>95% CI</w:t>
            </w:r>
          </w:p>
        </w:tc>
      </w:tr>
      <w:tr w:rsidR="005E256A">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tau^2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0.029</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0.009 - 0.341</w:t>
            </w:r>
          </w:p>
        </w:tc>
      </w:tr>
      <w:tr w:rsidR="005E256A">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tau</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0.169</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0.096 - 0.584</w:t>
            </w:r>
          </w:p>
        </w:tc>
      </w:tr>
      <w:tr w:rsidR="005E256A">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lastRenderedPageBreak/>
              <w:t>I2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0.849</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0.665 - 0.932</w:t>
            </w:r>
          </w:p>
        </w:tc>
      </w:tr>
      <w:tr w:rsidR="005E256A">
        <w:trPr>
          <w:jc w:val="center"/>
        </w:trPr>
        <w:tc>
          <w:tcPr>
            <w:tcW w:w="3613" w:type="dxa"/>
            <w:tcBorders>
              <w:top w:val="single" w:sz="4" w:space="0" w:color="000000"/>
              <w:left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H</w:t>
            </w:r>
          </w:p>
        </w:tc>
        <w:tc>
          <w:tcPr>
            <w:tcW w:w="2269" w:type="dxa"/>
            <w:tcBorders>
              <w:top w:val="single" w:sz="4" w:space="0" w:color="000000"/>
              <w:left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2.576</w:t>
            </w:r>
          </w:p>
        </w:tc>
        <w:tc>
          <w:tcPr>
            <w:tcW w:w="3178" w:type="dxa"/>
            <w:tcBorders>
              <w:top w:val="single" w:sz="4" w:space="0" w:color="000000"/>
              <w:left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1.727 - 3.841</w:t>
            </w:r>
          </w:p>
        </w:tc>
      </w:tr>
    </w:tbl>
    <w:p w:rsidR="005E256A" w:rsidRDefault="005E256A">
      <w:pPr>
        <w:jc w:val="center"/>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b/>
          <w:bCs/>
        </w:rPr>
      </w:pPr>
    </w:p>
    <w:p w:rsidR="005E256A" w:rsidRDefault="001A204C">
      <w:pPr>
        <w:pBdr>
          <w:top w:val="nil"/>
          <w:left w:val="nil"/>
          <w:bottom w:val="nil"/>
          <w:right w:val="nil"/>
          <w:between w:val="nil"/>
        </w:pBdr>
        <w:jc w:val="both"/>
        <w:rPr>
          <w:rFonts w:ascii="Arial" w:eastAsia="Arial" w:hAnsi="Arial" w:cs="Arial"/>
          <w:b/>
          <w:bCs/>
        </w:rPr>
      </w:pPr>
      <w:r>
        <w:rPr>
          <w:rFonts w:ascii="Arial" w:eastAsia="Arial" w:hAnsi="Arial" w:cs="Arial"/>
          <w:b/>
          <w:bCs/>
        </w:rPr>
        <w:t>3.4 Association Between Ultra-Processed Food Intake and Major Depressive Disorder (MDD)</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Two large prospective cohort studies, the SUN Project (Gómez-</w:t>
      </w:r>
      <w:proofErr w:type="spellStart"/>
      <w:r>
        <w:rPr>
          <w:rFonts w:ascii="Arial" w:eastAsia="Arial" w:hAnsi="Arial" w:cs="Arial"/>
        </w:rPr>
        <w:t>Donoso</w:t>
      </w:r>
      <w:proofErr w:type="spellEnd"/>
      <w:r>
        <w:rPr>
          <w:rFonts w:ascii="Arial" w:eastAsia="Arial" w:hAnsi="Arial" w:cs="Arial"/>
        </w:rPr>
        <w:t xml:space="preserve"> et al., 2020) and the Nurses’ Health Study II (</w:t>
      </w:r>
      <w:proofErr w:type="spellStart"/>
      <w:r>
        <w:rPr>
          <w:rFonts w:ascii="Arial" w:eastAsia="Arial" w:hAnsi="Arial" w:cs="Arial"/>
        </w:rPr>
        <w:t>Samuthpongtorn</w:t>
      </w:r>
      <w:proofErr w:type="spellEnd"/>
      <w:r>
        <w:rPr>
          <w:rFonts w:ascii="Arial" w:eastAsia="Arial" w:hAnsi="Arial" w:cs="Arial"/>
        </w:rPr>
        <w:t xml:space="preserve"> et al., 2023), provided data on clinically diagnosed Major Depressive Disorder (MDD), </w:t>
      </w:r>
      <w:proofErr w:type="spellStart"/>
      <w:r>
        <w:rPr>
          <w:rFonts w:ascii="Arial" w:eastAsia="Arial" w:hAnsi="Arial" w:cs="Arial"/>
        </w:rPr>
        <w:t>totalling</w:t>
      </w:r>
      <w:proofErr w:type="spellEnd"/>
      <w:r>
        <w:rPr>
          <w:rFonts w:ascii="Arial" w:eastAsia="Arial" w:hAnsi="Arial" w:cs="Arial"/>
        </w:rPr>
        <w:t xml:space="preserve"> 23,284 participants in the extreme categories of intake.</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rPr>
        <w:t>The pooled analysis revealed that participants with the highest consumption of ultra-processed foods had a 63% higher risk of developing MDD compared to those with the lowest consumption (OR = 1.63; 95% CI 1.18–2.26; P = 0.0034). Although high heterogeneity was observed (I² = 90.2%), reflecting differences in the magnitude of the effect between the two cohorts (OR 1.37 vs. OR 1.91), both studies consistently indicated a significant positive association between high UPF intake and the incidence of clinical depression.</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b/>
          <w:bCs/>
        </w:rPr>
      </w:pPr>
      <w:r>
        <w:rPr>
          <w:rFonts w:ascii="Arial" w:eastAsia="Arial" w:hAnsi="Arial" w:cs="Arial"/>
          <w:b/>
          <w:bCs/>
        </w:rPr>
        <w:t>List. 2. Association Between Ultra-Processed Food Intake and Major Depressive Disorder (MDD)</w:t>
      </w: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noProof/>
          <w:lang w:val="en-US" w:eastAsia="en-US" w:bidi="ar-SA"/>
        </w:rPr>
        <w:drawing>
          <wp:inline distT="114300" distB="114300" distL="114300" distR="114300">
            <wp:extent cx="6366422" cy="127123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8373" t="12062" r="7586" b="13739"/>
                    <a:stretch>
                      <a:fillRect/>
                    </a:stretch>
                  </pic:blipFill>
                  <pic:spPr>
                    <a:xfrm>
                      <a:off x="0" y="0"/>
                      <a:ext cx="6366422" cy="1271234"/>
                    </a:xfrm>
                    <a:prstGeom prst="rect">
                      <a:avLst/>
                    </a:prstGeom>
                    <a:ln/>
                  </pic:spPr>
                </pic:pic>
              </a:graphicData>
            </a:graphic>
          </wp:inline>
        </w:drawing>
      </w:r>
    </w:p>
    <w:p w:rsidR="005E256A" w:rsidRDefault="005E256A">
      <w:pPr>
        <w:pBdr>
          <w:top w:val="nil"/>
          <w:left w:val="nil"/>
          <w:bottom w:val="nil"/>
          <w:right w:val="nil"/>
          <w:between w:val="nil"/>
        </w:pBdr>
        <w:jc w:val="both"/>
        <w:rPr>
          <w:rFonts w:ascii="Arial" w:eastAsia="Arial" w:hAnsi="Arial" w:cs="Arial"/>
        </w:rPr>
      </w:pPr>
    </w:p>
    <w:p w:rsidR="005E256A" w:rsidRDefault="001A204C">
      <w:pPr>
        <w:jc w:val="center"/>
        <w:rPr>
          <w:rFonts w:ascii="Arial" w:eastAsia="Arial" w:hAnsi="Arial" w:cs="Arial"/>
          <w:b/>
          <w:bCs/>
        </w:rPr>
      </w:pPr>
      <w:r>
        <w:rPr>
          <w:rFonts w:ascii="Arial" w:eastAsia="Arial" w:hAnsi="Arial" w:cs="Arial"/>
          <w:b/>
          <w:bCs/>
        </w:rPr>
        <w:t>Chart 2. Association Between Ultra-Processed Food Intake and Major Depressive Disorder (MDD)</w:t>
      </w:r>
    </w:p>
    <w:p w:rsidR="005E256A" w:rsidRDefault="005E256A">
      <w:pPr>
        <w:jc w:val="center"/>
        <w:rPr>
          <w:rFonts w:ascii="Arial" w:eastAsia="Arial" w:hAnsi="Arial" w:cs="Arial"/>
          <w:b/>
          <w:bCs/>
        </w:rPr>
      </w:pPr>
    </w:p>
    <w:tbl>
      <w:tblPr>
        <w:tblStyle w:val="a4"/>
        <w:tblW w:w="9060" w:type="dxa"/>
        <w:jc w:val="center"/>
        <w:tblInd w:w="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458"/>
        <w:gridCol w:w="1807"/>
        <w:gridCol w:w="1259"/>
        <w:gridCol w:w="1171"/>
        <w:gridCol w:w="852"/>
        <w:gridCol w:w="1310"/>
        <w:gridCol w:w="808"/>
        <w:gridCol w:w="542"/>
        <w:gridCol w:w="853"/>
      </w:tblGrid>
      <w:tr w:rsidR="005E256A">
        <w:trPr>
          <w:trHeight w:val="20"/>
          <w:jc w:val="center"/>
        </w:trPr>
        <w:tc>
          <w:tcPr>
            <w:tcW w:w="458" w:type="dxa"/>
          </w:tcPr>
          <w:p w:rsidR="005E256A" w:rsidRDefault="001A204C">
            <w:pPr>
              <w:ind w:left="-87"/>
              <w:rPr>
                <w:rFonts w:ascii="Arial" w:eastAsia="Arial" w:hAnsi="Arial" w:cs="Arial"/>
                <w:b/>
                <w:bCs/>
                <w:sz w:val="18"/>
                <w:szCs w:val="18"/>
              </w:rPr>
            </w:pPr>
            <w:r>
              <w:rPr>
                <w:rFonts w:ascii="Arial" w:eastAsia="Arial" w:hAnsi="Arial" w:cs="Arial"/>
                <w:b/>
                <w:bCs/>
                <w:sz w:val="18"/>
                <w:szCs w:val="18"/>
              </w:rPr>
              <w:t>No.</w:t>
            </w:r>
          </w:p>
        </w:tc>
        <w:tc>
          <w:tcPr>
            <w:tcW w:w="1807" w:type="dxa"/>
          </w:tcPr>
          <w:p w:rsidR="005E256A" w:rsidRDefault="001A204C">
            <w:pPr>
              <w:ind w:left="-87"/>
              <w:rPr>
                <w:rFonts w:ascii="Arial" w:eastAsia="Arial" w:hAnsi="Arial" w:cs="Arial"/>
                <w:b/>
                <w:bCs/>
                <w:sz w:val="18"/>
                <w:szCs w:val="18"/>
              </w:rPr>
            </w:pPr>
            <w:r>
              <w:rPr>
                <w:rFonts w:ascii="Arial" w:eastAsia="Arial" w:hAnsi="Arial" w:cs="Arial"/>
                <w:b/>
                <w:bCs/>
                <w:sz w:val="18"/>
                <w:szCs w:val="18"/>
              </w:rPr>
              <w:t>Study</w:t>
            </w:r>
          </w:p>
        </w:tc>
        <w:tc>
          <w:tcPr>
            <w:tcW w:w="1259" w:type="dxa"/>
          </w:tcPr>
          <w:p w:rsidR="005E256A" w:rsidRDefault="001A204C">
            <w:pPr>
              <w:ind w:left="-87"/>
              <w:rPr>
                <w:rFonts w:ascii="Arial" w:eastAsia="Arial" w:hAnsi="Arial" w:cs="Arial"/>
                <w:b/>
                <w:bCs/>
                <w:sz w:val="18"/>
                <w:szCs w:val="18"/>
              </w:rPr>
            </w:pPr>
            <w:r>
              <w:rPr>
                <w:rFonts w:ascii="Arial" w:eastAsia="Arial" w:hAnsi="Arial" w:cs="Arial"/>
                <w:b/>
                <w:bCs/>
                <w:sz w:val="18"/>
                <w:szCs w:val="18"/>
              </w:rPr>
              <w:t>Highest UPF</w:t>
            </w:r>
          </w:p>
          <w:p w:rsidR="005E256A" w:rsidRDefault="005E256A">
            <w:pPr>
              <w:ind w:left="-87"/>
              <w:rPr>
                <w:rFonts w:ascii="Arial" w:eastAsia="Arial" w:hAnsi="Arial" w:cs="Arial"/>
                <w:b/>
                <w:bCs/>
                <w:sz w:val="18"/>
                <w:szCs w:val="18"/>
              </w:rPr>
            </w:pPr>
          </w:p>
        </w:tc>
        <w:tc>
          <w:tcPr>
            <w:tcW w:w="1171" w:type="dxa"/>
          </w:tcPr>
          <w:p w:rsidR="005E256A" w:rsidRDefault="001A204C">
            <w:pPr>
              <w:ind w:left="-87"/>
              <w:rPr>
                <w:rFonts w:ascii="Arial" w:eastAsia="Arial" w:hAnsi="Arial" w:cs="Arial"/>
                <w:b/>
                <w:bCs/>
                <w:sz w:val="18"/>
                <w:szCs w:val="18"/>
              </w:rPr>
            </w:pPr>
            <w:r>
              <w:rPr>
                <w:rFonts w:ascii="Arial" w:eastAsia="Arial" w:hAnsi="Arial" w:cs="Arial"/>
                <w:b/>
                <w:bCs/>
                <w:sz w:val="18"/>
                <w:szCs w:val="18"/>
              </w:rPr>
              <w:t xml:space="preserve">Control </w:t>
            </w:r>
          </w:p>
        </w:tc>
        <w:tc>
          <w:tcPr>
            <w:tcW w:w="852" w:type="dxa"/>
          </w:tcPr>
          <w:p w:rsidR="005E256A" w:rsidRDefault="001A204C">
            <w:pPr>
              <w:ind w:left="-87"/>
              <w:rPr>
                <w:rFonts w:ascii="Arial" w:eastAsia="Arial" w:hAnsi="Arial" w:cs="Arial"/>
                <w:b/>
                <w:bCs/>
                <w:sz w:val="18"/>
                <w:szCs w:val="18"/>
              </w:rPr>
            </w:pPr>
            <w:r>
              <w:rPr>
                <w:rFonts w:ascii="Arial" w:eastAsia="Arial" w:hAnsi="Arial" w:cs="Arial"/>
                <w:b/>
                <w:bCs/>
                <w:sz w:val="18"/>
                <w:szCs w:val="18"/>
              </w:rPr>
              <w:t>OR</w:t>
            </w:r>
          </w:p>
        </w:tc>
        <w:tc>
          <w:tcPr>
            <w:tcW w:w="1310" w:type="dxa"/>
          </w:tcPr>
          <w:p w:rsidR="005E256A" w:rsidRDefault="001A204C">
            <w:pPr>
              <w:ind w:left="-87"/>
              <w:rPr>
                <w:rFonts w:ascii="Arial" w:eastAsia="Arial" w:hAnsi="Arial" w:cs="Arial"/>
                <w:b/>
                <w:bCs/>
                <w:sz w:val="18"/>
                <w:szCs w:val="18"/>
              </w:rPr>
            </w:pPr>
            <w:r>
              <w:rPr>
                <w:rFonts w:ascii="Arial" w:eastAsia="Arial" w:hAnsi="Arial" w:cs="Arial"/>
                <w:b/>
                <w:bCs/>
                <w:sz w:val="18"/>
                <w:szCs w:val="18"/>
              </w:rPr>
              <w:t>95% CI</w:t>
            </w:r>
          </w:p>
        </w:tc>
        <w:tc>
          <w:tcPr>
            <w:tcW w:w="808" w:type="dxa"/>
          </w:tcPr>
          <w:p w:rsidR="005E256A" w:rsidRDefault="001A204C">
            <w:pPr>
              <w:ind w:left="-87"/>
              <w:rPr>
                <w:rFonts w:ascii="Arial" w:eastAsia="Arial" w:hAnsi="Arial" w:cs="Arial"/>
                <w:b/>
                <w:bCs/>
                <w:sz w:val="18"/>
                <w:szCs w:val="18"/>
              </w:rPr>
            </w:pPr>
            <w:r>
              <w:rPr>
                <w:rFonts w:ascii="Arial" w:eastAsia="Arial" w:hAnsi="Arial" w:cs="Arial"/>
                <w:b/>
                <w:bCs/>
                <w:sz w:val="18"/>
                <w:szCs w:val="18"/>
              </w:rPr>
              <w:t xml:space="preserve">Weight </w:t>
            </w:r>
          </w:p>
        </w:tc>
        <w:tc>
          <w:tcPr>
            <w:tcW w:w="542" w:type="dxa"/>
          </w:tcPr>
          <w:p w:rsidR="005E256A" w:rsidRDefault="001A204C">
            <w:pPr>
              <w:ind w:left="-87"/>
              <w:rPr>
                <w:rFonts w:ascii="Arial" w:eastAsia="Arial" w:hAnsi="Arial" w:cs="Arial"/>
                <w:b/>
                <w:bCs/>
                <w:sz w:val="18"/>
                <w:szCs w:val="18"/>
              </w:rPr>
            </w:pPr>
            <w:r>
              <w:rPr>
                <w:rFonts w:ascii="Arial" w:eastAsia="Arial" w:hAnsi="Arial" w:cs="Arial"/>
                <w:b/>
                <w:bCs/>
                <w:sz w:val="18"/>
                <w:szCs w:val="18"/>
              </w:rPr>
              <w:t>T</w:t>
            </w:r>
          </w:p>
        </w:tc>
        <w:tc>
          <w:tcPr>
            <w:tcW w:w="853" w:type="dxa"/>
          </w:tcPr>
          <w:p w:rsidR="005E256A" w:rsidRDefault="001A204C">
            <w:pPr>
              <w:ind w:left="-87"/>
              <w:rPr>
                <w:rFonts w:ascii="Arial" w:eastAsia="Arial" w:hAnsi="Arial" w:cs="Arial"/>
                <w:b/>
                <w:bCs/>
                <w:sz w:val="18"/>
                <w:szCs w:val="18"/>
              </w:rPr>
            </w:pPr>
            <w:r>
              <w:rPr>
                <w:rFonts w:ascii="Arial" w:eastAsia="Arial" w:hAnsi="Arial" w:cs="Arial"/>
                <w:b/>
                <w:bCs/>
                <w:sz w:val="18"/>
                <w:szCs w:val="18"/>
              </w:rPr>
              <w:t>P-value</w:t>
            </w:r>
          </w:p>
        </w:tc>
      </w:tr>
      <w:tr w:rsidR="005E256A">
        <w:trPr>
          <w:trHeight w:val="20"/>
          <w:jc w:val="center"/>
        </w:trPr>
        <w:tc>
          <w:tcPr>
            <w:tcW w:w="458" w:type="dxa"/>
            <w:tcBorders>
              <w:left w:val="single" w:sz="4" w:space="0" w:color="000000"/>
              <w:right w:val="single" w:sz="4" w:space="0" w:color="000000"/>
            </w:tcBorders>
          </w:tcPr>
          <w:p w:rsidR="005E256A" w:rsidRDefault="001A204C">
            <w:pPr>
              <w:ind w:left="-87"/>
              <w:rPr>
                <w:rFonts w:ascii="Arial" w:eastAsia="Arial" w:hAnsi="Arial" w:cs="Arial"/>
                <w:sz w:val="18"/>
                <w:szCs w:val="18"/>
              </w:rPr>
            </w:pPr>
            <w:r>
              <w:rPr>
                <w:rFonts w:ascii="Arial" w:eastAsia="Arial" w:hAnsi="Arial" w:cs="Arial"/>
                <w:sz w:val="18"/>
                <w:szCs w:val="18"/>
              </w:rPr>
              <w:t>1</w:t>
            </w:r>
          </w:p>
        </w:tc>
        <w:tc>
          <w:tcPr>
            <w:tcW w:w="1807"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Gómez-</w:t>
            </w:r>
            <w:proofErr w:type="spellStart"/>
            <w:r>
              <w:rPr>
                <w:rFonts w:ascii="Arial" w:eastAsia="Arial" w:hAnsi="Arial" w:cs="Arial"/>
                <w:sz w:val="18"/>
                <w:szCs w:val="18"/>
              </w:rPr>
              <w:t>Donoso</w:t>
            </w:r>
            <w:proofErr w:type="spellEnd"/>
            <w:r>
              <w:rPr>
                <w:rFonts w:ascii="Arial" w:eastAsia="Arial" w:hAnsi="Arial" w:cs="Arial"/>
                <w:sz w:val="18"/>
                <w:szCs w:val="18"/>
              </w:rPr>
              <w:t xml:space="preserve"> et al. 2020</w:t>
            </w:r>
          </w:p>
        </w:tc>
        <w:tc>
          <w:tcPr>
            <w:tcW w:w="1259"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345 / 3727</w:t>
            </w:r>
          </w:p>
        </w:tc>
        <w:tc>
          <w:tcPr>
            <w:tcW w:w="1171"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258 / 3725</w:t>
            </w:r>
          </w:p>
        </w:tc>
        <w:tc>
          <w:tcPr>
            <w:tcW w:w="852"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1.371</w:t>
            </w:r>
          </w:p>
        </w:tc>
        <w:tc>
          <w:tcPr>
            <w:tcW w:w="131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1.159 - 1.622</w:t>
            </w:r>
          </w:p>
        </w:tc>
        <w:tc>
          <w:tcPr>
            <w:tcW w:w="808"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48.29</w:t>
            </w:r>
          </w:p>
        </w:tc>
        <w:tc>
          <w:tcPr>
            <w:tcW w:w="542"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c>
          <w:tcPr>
            <w:tcW w:w="853"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r>
      <w:tr w:rsidR="005E256A">
        <w:trPr>
          <w:trHeight w:val="20"/>
          <w:jc w:val="center"/>
        </w:trPr>
        <w:tc>
          <w:tcPr>
            <w:tcW w:w="458" w:type="dxa"/>
            <w:tcBorders>
              <w:left w:val="single" w:sz="4" w:space="0" w:color="000000"/>
              <w:right w:val="single" w:sz="4" w:space="0" w:color="000000"/>
            </w:tcBorders>
          </w:tcPr>
          <w:p w:rsidR="005E256A" w:rsidRDefault="001A204C">
            <w:pPr>
              <w:ind w:left="-87"/>
              <w:rPr>
                <w:rFonts w:ascii="Arial" w:eastAsia="Arial" w:hAnsi="Arial" w:cs="Arial"/>
                <w:sz w:val="18"/>
                <w:szCs w:val="18"/>
              </w:rPr>
            </w:pPr>
            <w:r>
              <w:rPr>
                <w:rFonts w:ascii="Arial" w:eastAsia="Arial" w:hAnsi="Arial" w:cs="Arial"/>
                <w:sz w:val="18"/>
                <w:szCs w:val="18"/>
              </w:rPr>
              <w:t>2</w:t>
            </w:r>
          </w:p>
        </w:tc>
        <w:tc>
          <w:tcPr>
            <w:tcW w:w="1807"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proofErr w:type="spellStart"/>
            <w:r>
              <w:rPr>
                <w:rFonts w:ascii="Arial" w:eastAsia="Arial" w:hAnsi="Arial" w:cs="Arial"/>
                <w:sz w:val="18"/>
                <w:szCs w:val="18"/>
              </w:rPr>
              <w:t>Samuthpongtorn</w:t>
            </w:r>
            <w:proofErr w:type="spellEnd"/>
            <w:r>
              <w:rPr>
                <w:rFonts w:ascii="Arial" w:eastAsia="Arial" w:hAnsi="Arial" w:cs="Arial"/>
                <w:sz w:val="18"/>
                <w:szCs w:val="18"/>
              </w:rPr>
              <w:t xml:space="preserve"> et al. 2023</w:t>
            </w:r>
          </w:p>
        </w:tc>
        <w:tc>
          <w:tcPr>
            <w:tcW w:w="1259"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861 / 7930</w:t>
            </w:r>
          </w:p>
        </w:tc>
        <w:tc>
          <w:tcPr>
            <w:tcW w:w="1171"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473 / 7902</w:t>
            </w:r>
          </w:p>
        </w:tc>
        <w:tc>
          <w:tcPr>
            <w:tcW w:w="852"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1.913</w:t>
            </w:r>
          </w:p>
        </w:tc>
        <w:tc>
          <w:tcPr>
            <w:tcW w:w="131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1.702 - 2.15</w:t>
            </w:r>
          </w:p>
        </w:tc>
        <w:tc>
          <w:tcPr>
            <w:tcW w:w="808"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51.71</w:t>
            </w:r>
          </w:p>
        </w:tc>
        <w:tc>
          <w:tcPr>
            <w:tcW w:w="542"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c>
          <w:tcPr>
            <w:tcW w:w="853" w:type="dxa"/>
            <w:tcBorders>
              <w:left w:val="single" w:sz="4" w:space="0" w:color="000000"/>
              <w:right w:val="single" w:sz="4" w:space="0" w:color="000000"/>
            </w:tcBorders>
            <w:tcMar>
              <w:top w:w="100" w:type="dxa"/>
              <w:left w:w="100" w:type="dxa"/>
              <w:bottom w:w="100" w:type="dxa"/>
              <w:right w:w="100" w:type="dxa"/>
            </w:tcMar>
          </w:tcPr>
          <w:p w:rsidR="005E256A" w:rsidRDefault="005E256A">
            <w:pPr>
              <w:ind w:left="-87"/>
              <w:rPr>
                <w:rFonts w:ascii="Arial" w:eastAsia="Arial" w:hAnsi="Arial" w:cs="Arial"/>
                <w:sz w:val="18"/>
                <w:szCs w:val="18"/>
              </w:rPr>
            </w:pPr>
          </w:p>
        </w:tc>
      </w:tr>
      <w:tr w:rsidR="005E256A">
        <w:trPr>
          <w:trHeight w:val="20"/>
          <w:jc w:val="center"/>
        </w:trPr>
        <w:tc>
          <w:tcPr>
            <w:tcW w:w="458" w:type="dxa"/>
            <w:tcBorders>
              <w:left w:val="single" w:sz="4" w:space="0" w:color="000000"/>
              <w:right w:val="single" w:sz="4" w:space="0" w:color="000000"/>
            </w:tcBorders>
          </w:tcPr>
          <w:p w:rsidR="005E256A" w:rsidRDefault="005E256A">
            <w:pPr>
              <w:ind w:left="-87"/>
              <w:rPr>
                <w:rFonts w:ascii="Arial" w:eastAsia="Arial" w:hAnsi="Arial" w:cs="Arial"/>
                <w:sz w:val="18"/>
                <w:szCs w:val="18"/>
              </w:rPr>
            </w:pPr>
          </w:p>
        </w:tc>
        <w:tc>
          <w:tcPr>
            <w:tcW w:w="1807"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Random effects model</w:t>
            </w:r>
          </w:p>
        </w:tc>
        <w:tc>
          <w:tcPr>
            <w:tcW w:w="1259"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1206 / 11657</w:t>
            </w:r>
          </w:p>
        </w:tc>
        <w:tc>
          <w:tcPr>
            <w:tcW w:w="1171"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731 / 11627</w:t>
            </w:r>
          </w:p>
        </w:tc>
        <w:tc>
          <w:tcPr>
            <w:tcW w:w="852"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1.629</w:t>
            </w:r>
          </w:p>
        </w:tc>
        <w:tc>
          <w:tcPr>
            <w:tcW w:w="1310"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1.175 - 2.257</w:t>
            </w:r>
          </w:p>
        </w:tc>
        <w:tc>
          <w:tcPr>
            <w:tcW w:w="808"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100</w:t>
            </w:r>
          </w:p>
        </w:tc>
        <w:tc>
          <w:tcPr>
            <w:tcW w:w="542"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2.93</w:t>
            </w:r>
          </w:p>
        </w:tc>
        <w:tc>
          <w:tcPr>
            <w:tcW w:w="853" w:type="dxa"/>
            <w:tcBorders>
              <w:left w:val="single" w:sz="4" w:space="0" w:color="000000"/>
              <w:right w:val="single" w:sz="4" w:space="0" w:color="000000"/>
            </w:tcBorders>
            <w:tcMar>
              <w:top w:w="100" w:type="dxa"/>
              <w:left w:w="100" w:type="dxa"/>
              <w:bottom w:w="100" w:type="dxa"/>
              <w:right w:w="100" w:type="dxa"/>
            </w:tcMar>
          </w:tcPr>
          <w:p w:rsidR="005E256A" w:rsidRDefault="001A204C">
            <w:pPr>
              <w:ind w:left="-87"/>
              <w:rPr>
                <w:rFonts w:ascii="Arial" w:eastAsia="Arial" w:hAnsi="Arial" w:cs="Arial"/>
                <w:sz w:val="18"/>
                <w:szCs w:val="18"/>
              </w:rPr>
            </w:pPr>
            <w:r>
              <w:rPr>
                <w:rFonts w:ascii="Arial" w:eastAsia="Arial" w:hAnsi="Arial" w:cs="Arial"/>
                <w:sz w:val="18"/>
                <w:szCs w:val="18"/>
              </w:rPr>
              <w:t>0.0034</w:t>
            </w:r>
          </w:p>
        </w:tc>
      </w:tr>
    </w:tbl>
    <w:p w:rsidR="005E256A" w:rsidRDefault="005E256A">
      <w:pPr>
        <w:jc w:val="both"/>
        <w:rPr>
          <w:rFonts w:ascii="Arial" w:eastAsia="Arial" w:hAnsi="Arial" w:cs="Arial"/>
          <w:b/>
          <w:bCs/>
        </w:rPr>
      </w:pPr>
    </w:p>
    <w:p w:rsidR="005E256A" w:rsidRDefault="005E256A">
      <w:pPr>
        <w:pBdr>
          <w:top w:val="nil"/>
          <w:left w:val="nil"/>
          <w:bottom w:val="nil"/>
          <w:right w:val="nil"/>
          <w:between w:val="nil"/>
        </w:pBdr>
        <w:jc w:val="both"/>
        <w:rPr>
          <w:rFonts w:ascii="Arial" w:eastAsia="Arial" w:hAnsi="Arial" w:cs="Arial"/>
        </w:rPr>
      </w:pPr>
    </w:p>
    <w:p w:rsidR="005E256A" w:rsidRDefault="001A204C">
      <w:pPr>
        <w:jc w:val="both"/>
        <w:rPr>
          <w:rFonts w:ascii="Arial" w:eastAsia="Arial" w:hAnsi="Arial" w:cs="Arial"/>
          <w:b/>
          <w:bCs/>
        </w:rPr>
      </w:pPr>
      <w:r>
        <w:rPr>
          <w:rFonts w:ascii="Arial" w:eastAsia="Arial" w:hAnsi="Arial" w:cs="Arial"/>
          <w:b/>
          <w:bCs/>
        </w:rPr>
        <w:t>Quantifying Heterogeneity</w:t>
      </w:r>
    </w:p>
    <w:p w:rsidR="005E256A" w:rsidRDefault="005E256A">
      <w:pPr>
        <w:jc w:val="both"/>
        <w:rPr>
          <w:rFonts w:ascii="Arial" w:eastAsia="Arial" w:hAnsi="Arial" w:cs="Arial"/>
          <w:smallCaps/>
        </w:rPr>
      </w:pPr>
    </w:p>
    <w:tbl>
      <w:tblPr>
        <w:tblStyle w:val="a5"/>
        <w:tblW w:w="9060" w:type="dxa"/>
        <w:jc w:val="center"/>
        <w:tblInd w:w="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613"/>
        <w:gridCol w:w="2269"/>
        <w:gridCol w:w="3178"/>
      </w:tblGrid>
      <w:tr w:rsidR="005E256A">
        <w:trPr>
          <w:jc w:val="center"/>
        </w:trPr>
        <w:tc>
          <w:tcPr>
            <w:tcW w:w="3613" w:type="dxa"/>
            <w:tcBorders>
              <w:top w:val="single" w:sz="4" w:space="0" w:color="000000"/>
              <w:bottom w:val="single" w:sz="4" w:space="0" w:color="000000"/>
            </w:tcBorders>
          </w:tcPr>
          <w:p w:rsidR="005E256A" w:rsidRDefault="001A204C">
            <w:pPr>
              <w:rPr>
                <w:rFonts w:ascii="Arial" w:eastAsia="Arial" w:hAnsi="Arial" w:cs="Arial"/>
                <w:b/>
                <w:bCs/>
                <w:sz w:val="18"/>
                <w:szCs w:val="18"/>
              </w:rPr>
            </w:pPr>
            <w:r>
              <w:rPr>
                <w:rFonts w:ascii="Arial" w:eastAsia="Arial" w:hAnsi="Arial" w:cs="Arial"/>
                <w:b/>
                <w:bCs/>
                <w:sz w:val="18"/>
                <w:szCs w:val="18"/>
              </w:rPr>
              <w:t>Parameter</w:t>
            </w:r>
          </w:p>
        </w:tc>
        <w:tc>
          <w:tcPr>
            <w:tcW w:w="2269" w:type="dxa"/>
            <w:tcBorders>
              <w:top w:val="single" w:sz="4" w:space="0" w:color="000000"/>
              <w:bottom w:val="single" w:sz="4" w:space="0" w:color="000000"/>
            </w:tcBorders>
          </w:tcPr>
          <w:p w:rsidR="005E256A" w:rsidRDefault="001A204C">
            <w:pPr>
              <w:rPr>
                <w:rFonts w:ascii="Arial" w:eastAsia="Arial" w:hAnsi="Arial" w:cs="Arial"/>
                <w:b/>
                <w:bCs/>
                <w:sz w:val="18"/>
                <w:szCs w:val="18"/>
              </w:rPr>
            </w:pPr>
            <w:r>
              <w:rPr>
                <w:rFonts w:ascii="Arial" w:eastAsia="Arial" w:hAnsi="Arial" w:cs="Arial"/>
                <w:b/>
                <w:bCs/>
                <w:sz w:val="18"/>
                <w:szCs w:val="18"/>
              </w:rPr>
              <w:t>Value</w:t>
            </w:r>
          </w:p>
        </w:tc>
        <w:tc>
          <w:tcPr>
            <w:tcW w:w="3178" w:type="dxa"/>
            <w:tcBorders>
              <w:top w:val="single" w:sz="4" w:space="0" w:color="000000"/>
              <w:bottom w:val="single" w:sz="4" w:space="0" w:color="000000"/>
            </w:tcBorders>
          </w:tcPr>
          <w:p w:rsidR="005E256A" w:rsidRDefault="001A204C">
            <w:pPr>
              <w:rPr>
                <w:rFonts w:ascii="Arial" w:eastAsia="Arial" w:hAnsi="Arial" w:cs="Arial"/>
                <w:b/>
                <w:bCs/>
                <w:sz w:val="18"/>
                <w:szCs w:val="18"/>
              </w:rPr>
            </w:pPr>
            <w:r>
              <w:rPr>
                <w:rFonts w:ascii="Arial" w:eastAsia="Arial" w:hAnsi="Arial" w:cs="Arial"/>
                <w:b/>
                <w:bCs/>
                <w:sz w:val="18"/>
                <w:szCs w:val="18"/>
              </w:rPr>
              <w:t>95% CI</w:t>
            </w:r>
          </w:p>
        </w:tc>
      </w:tr>
      <w:tr w:rsidR="005E256A">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tau^2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0.05</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NA - NA</w:t>
            </w:r>
          </w:p>
        </w:tc>
      </w:tr>
      <w:tr w:rsidR="005E256A">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lastRenderedPageBreak/>
              <w:t>tau</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0.224</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NA - NA</w:t>
            </w:r>
          </w:p>
        </w:tc>
      </w:tr>
      <w:tr w:rsidR="005E256A">
        <w:trPr>
          <w:jc w:val="center"/>
        </w:trPr>
        <w:tc>
          <w:tcPr>
            <w:tcW w:w="36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I2</w:t>
            </w:r>
          </w:p>
        </w:tc>
        <w:tc>
          <w:tcPr>
            <w:tcW w:w="22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0.902</w:t>
            </w:r>
          </w:p>
        </w:tc>
        <w:tc>
          <w:tcPr>
            <w:tcW w:w="31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0.641 - 0.973</w:t>
            </w:r>
          </w:p>
        </w:tc>
      </w:tr>
      <w:tr w:rsidR="005E256A">
        <w:trPr>
          <w:jc w:val="center"/>
        </w:trPr>
        <w:tc>
          <w:tcPr>
            <w:tcW w:w="3613" w:type="dxa"/>
            <w:tcBorders>
              <w:top w:val="single" w:sz="4" w:space="0" w:color="000000"/>
              <w:left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H</w:t>
            </w:r>
          </w:p>
        </w:tc>
        <w:tc>
          <w:tcPr>
            <w:tcW w:w="2269" w:type="dxa"/>
            <w:tcBorders>
              <w:top w:val="single" w:sz="4" w:space="0" w:color="000000"/>
              <w:left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3.191</w:t>
            </w:r>
          </w:p>
        </w:tc>
        <w:tc>
          <w:tcPr>
            <w:tcW w:w="3178" w:type="dxa"/>
            <w:tcBorders>
              <w:top w:val="single" w:sz="4" w:space="0" w:color="000000"/>
              <w:left w:val="single" w:sz="4" w:space="0" w:color="000000"/>
              <w:right w:val="single" w:sz="4" w:space="0" w:color="000000"/>
            </w:tcBorders>
            <w:tcMar>
              <w:top w:w="100" w:type="dxa"/>
              <w:left w:w="100" w:type="dxa"/>
              <w:bottom w:w="100" w:type="dxa"/>
              <w:right w:w="100" w:type="dxa"/>
            </w:tcMar>
          </w:tcPr>
          <w:p w:rsidR="005E256A" w:rsidRDefault="001A204C">
            <w:pPr>
              <w:rPr>
                <w:rFonts w:ascii="Arial" w:eastAsia="Arial" w:hAnsi="Arial" w:cs="Arial"/>
                <w:sz w:val="18"/>
                <w:szCs w:val="18"/>
              </w:rPr>
            </w:pPr>
            <w:r>
              <w:rPr>
                <w:rFonts w:ascii="Arial" w:eastAsia="Arial" w:hAnsi="Arial" w:cs="Arial"/>
                <w:sz w:val="18"/>
                <w:szCs w:val="18"/>
              </w:rPr>
              <w:t>1.67 - 6.096</w:t>
            </w:r>
          </w:p>
        </w:tc>
      </w:tr>
    </w:tbl>
    <w:p w:rsidR="005E256A" w:rsidRDefault="005E256A">
      <w:pPr>
        <w:jc w:val="center"/>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rPr>
      </w:pPr>
    </w:p>
    <w:p w:rsidR="005E256A" w:rsidRDefault="001A204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rsidR="005E256A" w:rsidRDefault="005E256A">
      <w:pPr>
        <w:keepNext/>
        <w:pBdr>
          <w:top w:val="nil"/>
          <w:left w:val="nil"/>
          <w:bottom w:val="nil"/>
          <w:right w:val="nil"/>
          <w:between w:val="nil"/>
        </w:pBdr>
        <w:jc w:val="both"/>
        <w:rPr>
          <w:rFonts w:ascii="Arial" w:eastAsia="Arial" w:hAnsi="Arial" w:cs="Arial"/>
          <w:b/>
          <w:bCs/>
          <w:smallCaps/>
          <w:color w:val="000000"/>
          <w:sz w:val="22"/>
          <w:szCs w:val="22"/>
        </w:rPr>
      </w:pPr>
    </w:p>
    <w:p w:rsidR="005E256A" w:rsidRDefault="001A204C">
      <w:pPr>
        <w:jc w:val="both"/>
        <w:rPr>
          <w:rFonts w:ascii="Arial" w:eastAsia="Arial" w:hAnsi="Arial" w:cs="Arial"/>
        </w:rPr>
      </w:pPr>
      <w:r>
        <w:rPr>
          <w:rFonts w:ascii="Arial" w:eastAsia="Arial" w:hAnsi="Arial" w:cs="Arial"/>
        </w:rPr>
        <w:t>In this systematic review and meta-analysis of observational studies, higher ultra-processed food (UPF) consumption was consistently associated with poorer mental-health outcomes in adults. Compared with individuals in the lowest categories of intake, those in the highest categories had significantly greater odds of presenting clinically relevant depressive symptoms and a 63% increased risk of major depressive disorder.</w:t>
      </w:r>
    </w:p>
    <w:p w:rsidR="005E256A" w:rsidRDefault="005E256A">
      <w:pPr>
        <w:jc w:val="both"/>
        <w:rPr>
          <w:rFonts w:ascii="Arial" w:eastAsia="Arial" w:hAnsi="Arial" w:cs="Arial"/>
        </w:rPr>
      </w:pPr>
    </w:p>
    <w:p w:rsidR="005E256A" w:rsidRDefault="001A204C">
      <w:pPr>
        <w:jc w:val="both"/>
        <w:rPr>
          <w:rFonts w:ascii="Arial" w:eastAsia="Arial" w:hAnsi="Arial" w:cs="Arial"/>
        </w:rPr>
      </w:pPr>
      <w:r>
        <w:rPr>
          <w:rFonts w:ascii="Arial" w:eastAsia="Arial" w:hAnsi="Arial" w:cs="Arial"/>
        </w:rPr>
        <w:t>Although the magnitude of association varied and statistical heterogeneity was considerable, the direction of effect was consistent across included studies. Given the observational design, causal inference cannot be firmly established, and residual confounding, exposure misclassification, and reverse causation—particularly in cross-sectional analyses—remain possible explanations. Nonetheless, the convergence of evidence from large prospective cohorts, together with biologically plausible mechanisms linking UPFs to neuroinflammation, oxidative stress, gut–brain axis disruption, and poor overall diet quality, supports a credible detrimental role of UPFs in depression risk.</w:t>
      </w:r>
    </w:p>
    <w:p w:rsidR="005E256A" w:rsidRDefault="005E256A">
      <w:pPr>
        <w:jc w:val="both"/>
        <w:rPr>
          <w:rFonts w:ascii="Arial" w:eastAsia="Arial" w:hAnsi="Arial" w:cs="Arial"/>
        </w:rPr>
      </w:pPr>
    </w:p>
    <w:p w:rsidR="005E256A" w:rsidRDefault="001A204C">
      <w:pPr>
        <w:jc w:val="both"/>
        <w:rPr>
          <w:rFonts w:ascii="Arial" w:eastAsia="Arial" w:hAnsi="Arial" w:cs="Arial"/>
        </w:rPr>
      </w:pPr>
      <w:r>
        <w:rPr>
          <w:rFonts w:ascii="Arial" w:eastAsia="Arial" w:hAnsi="Arial" w:cs="Arial"/>
        </w:rPr>
        <w:t>From a clinical and public-health perspective, these results reinforce the importance of dietary counselling as a complementary strategy in the prevention and management of depressive disorders. Reducing UPF intake and promoting minimally processed, nutrient-dense dietary patterns should be considered in mental-health promotion programs, primary care guidelines, and population-level nutrition policies.</w:t>
      </w:r>
    </w:p>
    <w:p w:rsidR="005E256A" w:rsidRDefault="005E256A">
      <w:pPr>
        <w:jc w:val="both"/>
        <w:rPr>
          <w:rFonts w:ascii="Arial" w:eastAsia="Arial" w:hAnsi="Arial" w:cs="Arial"/>
        </w:rPr>
      </w:pPr>
    </w:p>
    <w:p w:rsidR="005E256A" w:rsidRDefault="001A204C">
      <w:pPr>
        <w:jc w:val="both"/>
        <w:rPr>
          <w:rFonts w:ascii="Arial" w:eastAsia="Arial" w:hAnsi="Arial" w:cs="Arial"/>
        </w:rPr>
      </w:pPr>
      <w:r>
        <w:rPr>
          <w:rFonts w:ascii="Arial" w:eastAsia="Arial" w:hAnsi="Arial" w:cs="Arial"/>
        </w:rPr>
        <w:t>Crucially, future research is urgently needed to address the rapid transformation of the food supply, where the natural organic composition of foods is being progressively replaced by industrial chemical analogs and cosmetic additives. New longitudinal studies and intervention trials should aim to isolate the specific neurobiological impact of these synthetic compounds and the loss of the natural food matrix, helping to clarify whether the depressive risk is driven by nutrient displacement or by direct toxicity of industrial formulations.</w:t>
      </w:r>
    </w:p>
    <w:p w:rsidR="005E256A" w:rsidRDefault="005E256A"/>
    <w:p w:rsidR="005E256A" w:rsidRDefault="001A204C">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lastRenderedPageBreak/>
        <w:t xml:space="preserve">Consent </w:t>
      </w:r>
    </w:p>
    <w:p w:rsidR="005E256A" w:rsidRDefault="005E256A">
      <w:pPr>
        <w:keepNext/>
        <w:pBdr>
          <w:top w:val="nil"/>
          <w:left w:val="nil"/>
          <w:bottom w:val="nil"/>
          <w:right w:val="nil"/>
          <w:between w:val="nil"/>
        </w:pBdr>
        <w:jc w:val="both"/>
        <w:rPr>
          <w:rFonts w:ascii="Arial" w:eastAsia="Arial" w:hAnsi="Arial" w:cs="Arial"/>
          <w:b/>
          <w:bCs/>
          <w:smallCaps/>
          <w:sz w:val="22"/>
          <w:szCs w:val="22"/>
        </w:rPr>
      </w:pPr>
    </w:p>
    <w:p w:rsidR="005E256A" w:rsidRDefault="001A204C">
      <w:pPr>
        <w:keepNext/>
        <w:pBdr>
          <w:top w:val="nil"/>
          <w:left w:val="nil"/>
          <w:bottom w:val="nil"/>
          <w:right w:val="nil"/>
          <w:between w:val="nil"/>
        </w:pBdr>
        <w:jc w:val="both"/>
        <w:rPr>
          <w:rFonts w:ascii="Arial" w:eastAsia="Arial" w:hAnsi="Arial" w:cs="Arial"/>
          <w:color w:val="000000"/>
          <w:u w:val="single"/>
        </w:rPr>
      </w:pPr>
      <w:r>
        <w:rPr>
          <w:rFonts w:ascii="Arial" w:eastAsia="Arial" w:hAnsi="Arial" w:cs="Arial"/>
        </w:rPr>
        <w:t>It is not applicable. The manuscript is a systematic review and meta-analysis of previously published data and does not involve direct interaction with human participants, collection of new patient data, or identifiable patient information.</w:t>
      </w:r>
    </w:p>
    <w:p w:rsidR="005E256A" w:rsidRDefault="005E256A">
      <w:pPr>
        <w:keepNext/>
        <w:pBdr>
          <w:top w:val="nil"/>
          <w:left w:val="nil"/>
          <w:bottom w:val="nil"/>
          <w:right w:val="nil"/>
          <w:between w:val="nil"/>
        </w:pBdr>
        <w:jc w:val="both"/>
        <w:rPr>
          <w:rFonts w:ascii="Arial" w:eastAsia="Arial" w:hAnsi="Arial" w:cs="Arial"/>
          <w:color w:val="000000"/>
        </w:rPr>
      </w:pPr>
    </w:p>
    <w:p w:rsidR="005E256A" w:rsidRDefault="001A204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Ethical approval </w:t>
      </w:r>
    </w:p>
    <w:p w:rsidR="005E256A" w:rsidRDefault="005E256A">
      <w:pPr>
        <w:keepNext/>
        <w:pBdr>
          <w:top w:val="nil"/>
          <w:left w:val="nil"/>
          <w:bottom w:val="nil"/>
          <w:right w:val="nil"/>
          <w:between w:val="nil"/>
        </w:pBdr>
        <w:jc w:val="both"/>
        <w:rPr>
          <w:rFonts w:ascii="Arial" w:eastAsia="Arial" w:hAnsi="Arial" w:cs="Arial"/>
          <w:b/>
          <w:bCs/>
          <w:smallCaps/>
          <w:color w:val="000000"/>
          <w:sz w:val="22"/>
          <w:szCs w:val="22"/>
        </w:rPr>
      </w:pPr>
    </w:p>
    <w:p w:rsidR="005E256A" w:rsidRDefault="001A204C">
      <w:pPr>
        <w:keepNext/>
        <w:pBdr>
          <w:top w:val="nil"/>
          <w:left w:val="nil"/>
          <w:bottom w:val="nil"/>
          <w:right w:val="nil"/>
          <w:between w:val="nil"/>
        </w:pBdr>
        <w:jc w:val="both"/>
        <w:rPr>
          <w:rFonts w:ascii="Arial" w:eastAsia="Arial" w:hAnsi="Arial" w:cs="Arial"/>
        </w:rPr>
      </w:pPr>
      <w:r>
        <w:rPr>
          <w:rFonts w:ascii="Arial" w:eastAsia="Arial" w:hAnsi="Arial" w:cs="Arial"/>
        </w:rPr>
        <w:t>It is not applicable. This study is a systematic review and meta-analysis based on published literature. All data were extracted from studies that had previously received ethical approval. Therefore, no new ethical approval was required.</w:t>
      </w:r>
    </w:p>
    <w:p w:rsidR="005E256A" w:rsidRDefault="005E256A">
      <w:pPr>
        <w:keepNext/>
        <w:pBdr>
          <w:top w:val="nil"/>
          <w:left w:val="nil"/>
          <w:bottom w:val="nil"/>
          <w:right w:val="nil"/>
          <w:between w:val="nil"/>
        </w:pBdr>
        <w:jc w:val="both"/>
        <w:rPr>
          <w:rFonts w:ascii="Arial" w:eastAsia="Arial" w:hAnsi="Arial" w:cs="Arial"/>
        </w:rPr>
      </w:pPr>
    </w:p>
    <w:p w:rsidR="005E256A" w:rsidRDefault="001A204C">
      <w:pPr>
        <w:keepNext/>
        <w:jc w:val="both"/>
        <w:rPr>
          <w:rFonts w:ascii="Arial" w:eastAsia="Arial" w:hAnsi="Arial" w:cs="Arial"/>
          <w:b/>
          <w:bCs/>
          <w:smallCaps/>
          <w:sz w:val="22"/>
          <w:szCs w:val="22"/>
        </w:rPr>
      </w:pPr>
      <w:r>
        <w:rPr>
          <w:rFonts w:ascii="Arial" w:eastAsia="Arial" w:hAnsi="Arial" w:cs="Arial"/>
          <w:b/>
          <w:bCs/>
          <w:smallCaps/>
          <w:sz w:val="22"/>
          <w:szCs w:val="22"/>
        </w:rPr>
        <w:t>Declaration of Generative AI and AI-assisted technologies in the writing process</w:t>
      </w:r>
    </w:p>
    <w:p w:rsidR="005E256A" w:rsidRDefault="005E256A">
      <w:pPr>
        <w:keepNext/>
        <w:jc w:val="both"/>
        <w:rPr>
          <w:rFonts w:ascii="Arial" w:eastAsia="Arial" w:hAnsi="Arial" w:cs="Arial"/>
          <w:b/>
          <w:bCs/>
          <w:smallCaps/>
          <w:sz w:val="22"/>
          <w:szCs w:val="22"/>
        </w:rPr>
      </w:pPr>
    </w:p>
    <w:p w:rsidR="005E256A" w:rsidRDefault="001A204C">
      <w:pPr>
        <w:keepNext/>
        <w:jc w:val="both"/>
        <w:rPr>
          <w:rFonts w:ascii="Arial" w:eastAsia="Arial" w:hAnsi="Arial" w:cs="Arial"/>
        </w:rPr>
      </w:pPr>
      <w:r>
        <w:rPr>
          <w:rFonts w:ascii="Arial" w:eastAsia="Arial" w:hAnsi="Arial" w:cs="Arial"/>
        </w:rPr>
        <w:t>During the preparation of this work, the authors used artificial intelligence tools to improve readability, grammar, and language translation of the manuscript. After using this tool/service, the authors reviewed and edited the content as needed and take full responsibility for the content of the publication. The scientific concept, data extraction, statistical analysis, and verification of references were performed exclusively by the human authors.</w:t>
      </w:r>
    </w:p>
    <w:p w:rsidR="005E256A" w:rsidRDefault="005E256A">
      <w:pPr>
        <w:keepNext/>
        <w:jc w:val="both"/>
        <w:rPr>
          <w:rFonts w:ascii="Arial" w:eastAsia="Arial" w:hAnsi="Arial" w:cs="Arial"/>
          <w:b/>
          <w:bCs/>
          <w:smallCaps/>
          <w:sz w:val="22"/>
          <w:szCs w:val="22"/>
        </w:rPr>
      </w:pPr>
    </w:p>
    <w:p w:rsidR="005E256A" w:rsidRDefault="005E256A">
      <w:pPr>
        <w:keepNext/>
        <w:pBdr>
          <w:top w:val="nil"/>
          <w:left w:val="nil"/>
          <w:bottom w:val="nil"/>
          <w:right w:val="nil"/>
          <w:between w:val="nil"/>
        </w:pBdr>
        <w:jc w:val="both"/>
        <w:rPr>
          <w:rFonts w:ascii="Arial" w:eastAsia="Arial" w:hAnsi="Arial" w:cs="Arial"/>
          <w:b/>
          <w:bCs/>
          <w:smallCaps/>
          <w:color w:val="000000"/>
          <w:sz w:val="22"/>
          <w:szCs w:val="22"/>
        </w:rPr>
      </w:pPr>
    </w:p>
    <w:p w:rsidR="005E256A" w:rsidRDefault="001A204C">
      <w:pPr>
        <w:keepNext/>
        <w:pBdr>
          <w:top w:val="nil"/>
          <w:left w:val="nil"/>
          <w:bottom w:val="nil"/>
          <w:right w:val="nil"/>
          <w:between w:val="nil"/>
        </w:pBdr>
        <w:jc w:val="both"/>
        <w:rPr>
          <w:rFonts w:ascii="Arial" w:eastAsia="Arial" w:hAnsi="Arial" w:cs="Arial"/>
        </w:rPr>
      </w:pPr>
      <w:r>
        <w:rPr>
          <w:rFonts w:ascii="Arial" w:eastAsia="Arial" w:hAnsi="Arial" w:cs="Arial"/>
          <w:b/>
          <w:bCs/>
          <w:smallCaps/>
          <w:color w:val="000000"/>
          <w:sz w:val="22"/>
          <w:szCs w:val="22"/>
        </w:rPr>
        <w:t>References</w:t>
      </w:r>
    </w:p>
    <w:p w:rsidR="009D0807" w:rsidRPr="0017348E" w:rsidRDefault="009D0807" w:rsidP="0017348E">
      <w:pPr>
        <w:keepNext/>
        <w:spacing w:before="240" w:after="240"/>
        <w:ind w:left="360"/>
        <w:jc w:val="both"/>
        <w:rPr>
          <w:rFonts w:ascii="Arial" w:eastAsia="Arial" w:hAnsi="Arial" w:cs="Arial"/>
        </w:rPr>
      </w:pPr>
      <w:proofErr w:type="spellStart"/>
      <w:r w:rsidRPr="0017348E">
        <w:rPr>
          <w:rFonts w:ascii="Arial" w:eastAsia="Arial" w:hAnsi="Arial" w:cs="Arial"/>
        </w:rPr>
        <w:t>Adjibade</w:t>
      </w:r>
      <w:proofErr w:type="spellEnd"/>
      <w:r w:rsidRPr="0017348E">
        <w:rPr>
          <w:rFonts w:ascii="Arial" w:eastAsia="Arial" w:hAnsi="Arial" w:cs="Arial"/>
        </w:rPr>
        <w:t xml:space="preserve">, M., Julia, C., </w:t>
      </w:r>
      <w:proofErr w:type="spellStart"/>
      <w:r w:rsidRPr="0017348E">
        <w:rPr>
          <w:rFonts w:ascii="Arial" w:eastAsia="Arial" w:hAnsi="Arial" w:cs="Arial"/>
        </w:rPr>
        <w:t>Allès</w:t>
      </w:r>
      <w:proofErr w:type="spellEnd"/>
      <w:r w:rsidRPr="0017348E">
        <w:rPr>
          <w:rFonts w:ascii="Arial" w:eastAsia="Arial" w:hAnsi="Arial" w:cs="Arial"/>
        </w:rPr>
        <w:t xml:space="preserve">, B., </w:t>
      </w:r>
      <w:proofErr w:type="spellStart"/>
      <w:r w:rsidRPr="0017348E">
        <w:rPr>
          <w:rFonts w:ascii="Arial" w:eastAsia="Arial" w:hAnsi="Arial" w:cs="Arial"/>
        </w:rPr>
        <w:t>Touvier</w:t>
      </w:r>
      <w:proofErr w:type="spellEnd"/>
      <w:r w:rsidRPr="0017348E">
        <w:rPr>
          <w:rFonts w:ascii="Arial" w:eastAsia="Arial" w:hAnsi="Arial" w:cs="Arial"/>
        </w:rPr>
        <w:t xml:space="preserve">, M., </w:t>
      </w:r>
      <w:proofErr w:type="spellStart"/>
      <w:r w:rsidRPr="0017348E">
        <w:rPr>
          <w:rFonts w:ascii="Arial" w:eastAsia="Arial" w:hAnsi="Arial" w:cs="Arial"/>
        </w:rPr>
        <w:t>Lemogne</w:t>
      </w:r>
      <w:proofErr w:type="spellEnd"/>
      <w:r w:rsidRPr="0017348E">
        <w:rPr>
          <w:rFonts w:ascii="Arial" w:eastAsia="Arial" w:hAnsi="Arial" w:cs="Arial"/>
        </w:rPr>
        <w:t xml:space="preserve">, C., </w:t>
      </w:r>
      <w:proofErr w:type="spellStart"/>
      <w:r w:rsidRPr="0017348E">
        <w:rPr>
          <w:rFonts w:ascii="Arial" w:eastAsia="Arial" w:hAnsi="Arial" w:cs="Arial"/>
        </w:rPr>
        <w:t>Srour</w:t>
      </w:r>
      <w:proofErr w:type="spellEnd"/>
      <w:r w:rsidRPr="0017348E">
        <w:rPr>
          <w:rFonts w:ascii="Arial" w:eastAsia="Arial" w:hAnsi="Arial" w:cs="Arial"/>
        </w:rPr>
        <w:t xml:space="preserve">, B., </w:t>
      </w:r>
      <w:proofErr w:type="spellStart"/>
      <w:r w:rsidRPr="0017348E">
        <w:rPr>
          <w:rFonts w:ascii="Arial" w:eastAsia="Arial" w:hAnsi="Arial" w:cs="Arial"/>
        </w:rPr>
        <w:t>Hercberg</w:t>
      </w:r>
      <w:proofErr w:type="spellEnd"/>
      <w:r w:rsidRPr="0017348E">
        <w:rPr>
          <w:rFonts w:ascii="Arial" w:eastAsia="Arial" w:hAnsi="Arial" w:cs="Arial"/>
        </w:rPr>
        <w:t xml:space="preserve">, S., Galan, P., </w:t>
      </w:r>
      <w:proofErr w:type="spellStart"/>
      <w:r w:rsidRPr="0017348E">
        <w:rPr>
          <w:rFonts w:ascii="Arial" w:eastAsia="Arial" w:hAnsi="Arial" w:cs="Arial"/>
        </w:rPr>
        <w:t>Assmann</w:t>
      </w:r>
      <w:proofErr w:type="spellEnd"/>
      <w:r w:rsidRPr="0017348E">
        <w:rPr>
          <w:rFonts w:ascii="Arial" w:eastAsia="Arial" w:hAnsi="Arial" w:cs="Arial"/>
        </w:rPr>
        <w:t xml:space="preserve">, K. E., &amp; </w:t>
      </w:r>
      <w:proofErr w:type="spellStart"/>
      <w:r w:rsidRPr="0017348E">
        <w:rPr>
          <w:rFonts w:ascii="Arial" w:eastAsia="Arial" w:hAnsi="Arial" w:cs="Arial"/>
        </w:rPr>
        <w:t>Kesse</w:t>
      </w:r>
      <w:proofErr w:type="spellEnd"/>
      <w:r w:rsidRPr="0017348E">
        <w:rPr>
          <w:rFonts w:ascii="Arial" w:eastAsia="Arial" w:hAnsi="Arial" w:cs="Arial"/>
        </w:rPr>
        <w:t xml:space="preserve">-Guyot, E. (2019). Prospective association between ultra-processed food consumption and incident depressive symptoms in the French </w:t>
      </w:r>
      <w:proofErr w:type="spellStart"/>
      <w:r w:rsidRPr="0017348E">
        <w:rPr>
          <w:rFonts w:ascii="Arial" w:eastAsia="Arial" w:hAnsi="Arial" w:cs="Arial"/>
        </w:rPr>
        <w:t>NutriNet</w:t>
      </w:r>
      <w:proofErr w:type="spellEnd"/>
      <w:r w:rsidRPr="0017348E">
        <w:rPr>
          <w:rFonts w:ascii="Arial" w:eastAsia="Arial" w:hAnsi="Arial" w:cs="Arial"/>
        </w:rPr>
        <w:t xml:space="preserve">-Santé cohort. BMC Medicine, 17(1), 78. </w:t>
      </w:r>
      <w:hyperlink r:id="rId19" w:history="1">
        <w:r w:rsidRPr="0017348E">
          <w:rPr>
            <w:rStyle w:val="Hyperlink"/>
            <w:rFonts w:ascii="Arial" w:eastAsia="Arial" w:hAnsi="Arial" w:cs="Arial"/>
          </w:rPr>
          <w:t>https://doi.org/10.1186/s12916-019-1312-y</w:t>
        </w:r>
      </w:hyperlink>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Gómez-</w:t>
      </w:r>
      <w:proofErr w:type="spellStart"/>
      <w:r w:rsidRPr="0017348E">
        <w:rPr>
          <w:rFonts w:ascii="Arial" w:eastAsia="Arial" w:hAnsi="Arial" w:cs="Arial"/>
        </w:rPr>
        <w:t>Donoso</w:t>
      </w:r>
      <w:proofErr w:type="spellEnd"/>
      <w:r w:rsidRPr="0017348E">
        <w:rPr>
          <w:rFonts w:ascii="Arial" w:eastAsia="Arial" w:hAnsi="Arial" w:cs="Arial"/>
        </w:rPr>
        <w:t xml:space="preserve">, C., Sánchez-Villegas, A., Martínez-González, M. A., </w:t>
      </w:r>
      <w:proofErr w:type="spellStart"/>
      <w:r w:rsidRPr="0017348E">
        <w:rPr>
          <w:rFonts w:ascii="Arial" w:eastAsia="Arial" w:hAnsi="Arial" w:cs="Arial"/>
        </w:rPr>
        <w:t>Gea</w:t>
      </w:r>
      <w:proofErr w:type="spellEnd"/>
      <w:r w:rsidRPr="0017348E">
        <w:rPr>
          <w:rFonts w:ascii="Arial" w:eastAsia="Arial" w:hAnsi="Arial" w:cs="Arial"/>
        </w:rPr>
        <w:t xml:space="preserve">, A., </w:t>
      </w:r>
      <w:proofErr w:type="spellStart"/>
      <w:r w:rsidRPr="0017348E">
        <w:rPr>
          <w:rFonts w:ascii="Arial" w:eastAsia="Arial" w:hAnsi="Arial" w:cs="Arial"/>
        </w:rPr>
        <w:t>Mendonça</w:t>
      </w:r>
      <w:proofErr w:type="spellEnd"/>
      <w:r w:rsidRPr="0017348E">
        <w:rPr>
          <w:rFonts w:ascii="Arial" w:eastAsia="Arial" w:hAnsi="Arial" w:cs="Arial"/>
        </w:rPr>
        <w:t xml:space="preserve">, R. D., </w:t>
      </w:r>
      <w:proofErr w:type="spellStart"/>
      <w:r w:rsidRPr="0017348E">
        <w:rPr>
          <w:rFonts w:ascii="Arial" w:eastAsia="Arial" w:hAnsi="Arial" w:cs="Arial"/>
        </w:rPr>
        <w:t>Lahortiga</w:t>
      </w:r>
      <w:proofErr w:type="spellEnd"/>
      <w:r w:rsidRPr="0017348E">
        <w:rPr>
          <w:rFonts w:ascii="Arial" w:eastAsia="Arial" w:hAnsi="Arial" w:cs="Arial"/>
        </w:rPr>
        <w:t>-Ramos, F., &amp; Bes-</w:t>
      </w:r>
      <w:proofErr w:type="spellStart"/>
      <w:r w:rsidRPr="0017348E">
        <w:rPr>
          <w:rFonts w:ascii="Arial" w:eastAsia="Arial" w:hAnsi="Arial" w:cs="Arial"/>
        </w:rPr>
        <w:t>Rastrollo</w:t>
      </w:r>
      <w:proofErr w:type="spellEnd"/>
      <w:r w:rsidRPr="0017348E">
        <w:rPr>
          <w:rFonts w:ascii="Arial" w:eastAsia="Arial" w:hAnsi="Arial" w:cs="Arial"/>
        </w:rPr>
        <w:t xml:space="preserve">, M. (2020). Ultra-processed food consumption and the incidence of depression in a Mediterranean cohort: the SUN Project. European Journal of Nutrition, 59(3), 1093–1103. </w:t>
      </w:r>
      <w:hyperlink r:id="rId20" w:history="1">
        <w:r w:rsidRPr="0017348E">
          <w:rPr>
            <w:rStyle w:val="Hyperlink"/>
            <w:rFonts w:ascii="Arial" w:eastAsia="Arial" w:hAnsi="Arial" w:cs="Arial"/>
          </w:rPr>
          <w:t>https://doi.org/10.1007/s00394-019-01970-1</w:t>
        </w:r>
      </w:hyperlink>
      <w:r w:rsidRPr="0017348E">
        <w:rPr>
          <w:rFonts w:ascii="Arial" w:eastAsia="Arial" w:hAnsi="Arial" w:cs="Arial"/>
        </w:rPr>
        <w:t xml:space="preserve"> </w:t>
      </w:r>
    </w:p>
    <w:p w:rsidR="005E256A" w:rsidRPr="0017348E" w:rsidRDefault="001A204C" w:rsidP="0017348E">
      <w:pPr>
        <w:keepNext/>
        <w:spacing w:before="240" w:after="240"/>
        <w:ind w:left="360"/>
        <w:jc w:val="both"/>
        <w:rPr>
          <w:rFonts w:ascii="Arial" w:eastAsia="Arial" w:hAnsi="Arial" w:cs="Arial"/>
        </w:rPr>
      </w:pPr>
      <w:r w:rsidRPr="0017348E">
        <w:rPr>
          <w:rFonts w:ascii="Arial" w:eastAsia="Arial" w:hAnsi="Arial" w:cs="Arial"/>
        </w:rPr>
        <w:t xml:space="preserve">Zheng J, Li Y, Qi X, Zhang L, Wang Y, Zhang M, et al. Association between ultra-processed food intake and depressive symptoms among US adults: NHANES 2011–2016. Public Health </w:t>
      </w:r>
      <w:proofErr w:type="spellStart"/>
      <w:r w:rsidRPr="0017348E">
        <w:rPr>
          <w:rFonts w:ascii="Arial" w:eastAsia="Arial" w:hAnsi="Arial" w:cs="Arial"/>
        </w:rPr>
        <w:t>Nutr</w:t>
      </w:r>
      <w:proofErr w:type="spellEnd"/>
      <w:r w:rsidRPr="0017348E">
        <w:rPr>
          <w:rFonts w:ascii="Arial" w:eastAsia="Arial" w:hAnsi="Arial" w:cs="Arial"/>
        </w:rPr>
        <w:t>. 2020;23(11):1–9.</w:t>
      </w:r>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 xml:space="preserve">Hecht, E. M., </w:t>
      </w:r>
      <w:proofErr w:type="spellStart"/>
      <w:r w:rsidRPr="0017348E">
        <w:rPr>
          <w:rFonts w:ascii="Arial" w:eastAsia="Arial" w:hAnsi="Arial" w:cs="Arial"/>
        </w:rPr>
        <w:t>Rabil</w:t>
      </w:r>
      <w:proofErr w:type="spellEnd"/>
      <w:r w:rsidRPr="0017348E">
        <w:rPr>
          <w:rFonts w:ascii="Arial" w:eastAsia="Arial" w:hAnsi="Arial" w:cs="Arial"/>
        </w:rPr>
        <w:t xml:space="preserve">, A., Martinez Steele, E., Abrams, G. A., Ware, D., Landy, D. C., &amp; </w:t>
      </w:r>
      <w:proofErr w:type="spellStart"/>
      <w:r w:rsidRPr="0017348E">
        <w:rPr>
          <w:rFonts w:ascii="Arial" w:eastAsia="Arial" w:hAnsi="Arial" w:cs="Arial"/>
        </w:rPr>
        <w:t>Hennekens</w:t>
      </w:r>
      <w:proofErr w:type="spellEnd"/>
      <w:r w:rsidRPr="0017348E">
        <w:rPr>
          <w:rFonts w:ascii="Arial" w:eastAsia="Arial" w:hAnsi="Arial" w:cs="Arial"/>
        </w:rPr>
        <w:t xml:space="preserve">, C. H. (2022). Cross-sectional examination of ultra-processed food consumption and adverse mental health symptoms. Public Health Nutrition, 25(11), 3225-3234. </w:t>
      </w:r>
      <w:hyperlink r:id="rId21" w:history="1">
        <w:r w:rsidRPr="0017348E">
          <w:rPr>
            <w:rStyle w:val="Hyperlink"/>
            <w:rFonts w:ascii="Arial" w:eastAsia="Arial" w:hAnsi="Arial" w:cs="Arial"/>
          </w:rPr>
          <w:t>https://doi.org/10.1017/S1368980022001586</w:t>
        </w:r>
      </w:hyperlink>
      <w:r w:rsidRPr="0017348E">
        <w:rPr>
          <w:rFonts w:ascii="Arial" w:eastAsia="Arial" w:hAnsi="Arial" w:cs="Arial"/>
        </w:rPr>
        <w:t xml:space="preserve"> </w:t>
      </w:r>
    </w:p>
    <w:p w:rsidR="009D0807" w:rsidRPr="0017348E" w:rsidRDefault="009D0807" w:rsidP="0017348E">
      <w:pPr>
        <w:keepNext/>
        <w:spacing w:before="240" w:after="240"/>
        <w:ind w:left="360"/>
        <w:jc w:val="both"/>
        <w:rPr>
          <w:rFonts w:ascii="Arial" w:eastAsia="Arial" w:hAnsi="Arial" w:cs="Arial"/>
        </w:rPr>
      </w:pPr>
      <w:proofErr w:type="spellStart"/>
      <w:r w:rsidRPr="0017348E">
        <w:rPr>
          <w:rFonts w:ascii="Arial" w:eastAsia="Arial" w:hAnsi="Arial" w:cs="Arial"/>
        </w:rPr>
        <w:t>Samuthpongtorn</w:t>
      </w:r>
      <w:proofErr w:type="spellEnd"/>
      <w:r w:rsidRPr="0017348E">
        <w:rPr>
          <w:rFonts w:ascii="Arial" w:eastAsia="Arial" w:hAnsi="Arial" w:cs="Arial"/>
        </w:rPr>
        <w:t xml:space="preserve">, C., Nguyen, L. H., Okereke, O. I., Wang, D. D., Song, M., Chan, A. T., &amp; Mehta, R. S. (2023). Consumption of </w:t>
      </w:r>
      <w:proofErr w:type="spellStart"/>
      <w:r w:rsidRPr="0017348E">
        <w:rPr>
          <w:rFonts w:ascii="Arial" w:eastAsia="Arial" w:hAnsi="Arial" w:cs="Arial"/>
        </w:rPr>
        <w:t>Ultraprocessed</w:t>
      </w:r>
      <w:proofErr w:type="spellEnd"/>
      <w:r w:rsidRPr="0017348E">
        <w:rPr>
          <w:rFonts w:ascii="Arial" w:eastAsia="Arial" w:hAnsi="Arial" w:cs="Arial"/>
        </w:rPr>
        <w:t xml:space="preserve"> Food and Risk of Depression. JAMA Network Open, 6(9), e2334770. </w:t>
      </w:r>
      <w:hyperlink r:id="rId22" w:history="1">
        <w:r w:rsidRPr="0017348E">
          <w:rPr>
            <w:rStyle w:val="Hyperlink"/>
            <w:rFonts w:ascii="Arial" w:eastAsia="Arial" w:hAnsi="Arial" w:cs="Arial"/>
          </w:rPr>
          <w:t>https://doi.org/10.1001/jamanetworkopen.2023.34770</w:t>
        </w:r>
      </w:hyperlink>
      <w:r w:rsidRPr="0017348E">
        <w:rPr>
          <w:rFonts w:ascii="Arial" w:eastAsia="Arial" w:hAnsi="Arial" w:cs="Arial"/>
        </w:rPr>
        <w:t xml:space="preserve"> </w:t>
      </w:r>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 xml:space="preserve">GBD 2019 Diseases and Injuries Collaborators. (2020). Global burden of 369 diseases and injuries in 204 countries and territories, 1990–2019: A systematic analysis for the </w:t>
      </w:r>
      <w:r w:rsidRPr="0017348E">
        <w:rPr>
          <w:rFonts w:ascii="Arial" w:eastAsia="Arial" w:hAnsi="Arial" w:cs="Arial"/>
        </w:rPr>
        <w:lastRenderedPageBreak/>
        <w:t xml:space="preserve">Global Burden of Disease Study 2019. *The Lancet*, *396*(10258), 1204–1222. </w:t>
      </w:r>
      <w:hyperlink r:id="rId23" w:history="1">
        <w:r w:rsidRPr="0017348E">
          <w:rPr>
            <w:rStyle w:val="Hyperlink"/>
            <w:rFonts w:ascii="Arial" w:eastAsia="Arial" w:hAnsi="Arial" w:cs="Arial"/>
          </w:rPr>
          <w:t>https://doi.org/10.1016/S0140-6736(20)30925-9</w:t>
        </w:r>
      </w:hyperlink>
      <w:r w:rsidRPr="0017348E">
        <w:rPr>
          <w:rFonts w:ascii="Arial" w:eastAsia="Arial" w:hAnsi="Arial" w:cs="Arial"/>
        </w:rPr>
        <w:t xml:space="preserve"> </w:t>
      </w:r>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 xml:space="preserve">Patel, V., Saxena, S., Lund, C., Thornicroft, G., </w:t>
      </w:r>
      <w:proofErr w:type="spellStart"/>
      <w:r w:rsidRPr="0017348E">
        <w:rPr>
          <w:rFonts w:ascii="Arial" w:eastAsia="Arial" w:hAnsi="Arial" w:cs="Arial"/>
        </w:rPr>
        <w:t>Baingana</w:t>
      </w:r>
      <w:proofErr w:type="spellEnd"/>
      <w:r w:rsidRPr="0017348E">
        <w:rPr>
          <w:rFonts w:ascii="Arial" w:eastAsia="Arial" w:hAnsi="Arial" w:cs="Arial"/>
        </w:rPr>
        <w:t xml:space="preserve">, F., Bolton, P., Chisholm, D., Collins, P. Y., Cooper, J. L., Eaton, J., </w:t>
      </w:r>
      <w:proofErr w:type="spellStart"/>
      <w:r w:rsidRPr="0017348E">
        <w:rPr>
          <w:rFonts w:ascii="Arial" w:eastAsia="Arial" w:hAnsi="Arial" w:cs="Arial"/>
        </w:rPr>
        <w:t>Herrman</w:t>
      </w:r>
      <w:proofErr w:type="spellEnd"/>
      <w:r w:rsidRPr="0017348E">
        <w:rPr>
          <w:rFonts w:ascii="Arial" w:eastAsia="Arial" w:hAnsi="Arial" w:cs="Arial"/>
        </w:rPr>
        <w:t xml:space="preserve">, H., </w:t>
      </w:r>
      <w:proofErr w:type="spellStart"/>
      <w:r w:rsidRPr="0017348E">
        <w:rPr>
          <w:rFonts w:ascii="Arial" w:eastAsia="Arial" w:hAnsi="Arial" w:cs="Arial"/>
        </w:rPr>
        <w:t>Herzallah</w:t>
      </w:r>
      <w:proofErr w:type="spellEnd"/>
      <w:r w:rsidRPr="0017348E">
        <w:rPr>
          <w:rFonts w:ascii="Arial" w:eastAsia="Arial" w:hAnsi="Arial" w:cs="Arial"/>
        </w:rPr>
        <w:t xml:space="preserve">, M. M., Huang, Y., </w:t>
      </w:r>
      <w:proofErr w:type="spellStart"/>
      <w:r w:rsidRPr="0017348E">
        <w:rPr>
          <w:rFonts w:ascii="Arial" w:eastAsia="Arial" w:hAnsi="Arial" w:cs="Arial"/>
        </w:rPr>
        <w:t>Jordans</w:t>
      </w:r>
      <w:proofErr w:type="spellEnd"/>
      <w:r w:rsidRPr="0017348E">
        <w:rPr>
          <w:rFonts w:ascii="Arial" w:eastAsia="Arial" w:hAnsi="Arial" w:cs="Arial"/>
        </w:rPr>
        <w:t xml:space="preserve">, M. J. D., Kleinman, A., Medina-Mora, M. E., Morgan, E., Niaz, U., </w:t>
      </w:r>
      <w:proofErr w:type="spellStart"/>
      <w:r w:rsidRPr="0017348E">
        <w:rPr>
          <w:rFonts w:ascii="Arial" w:eastAsia="Arial" w:hAnsi="Arial" w:cs="Arial"/>
        </w:rPr>
        <w:t>Omigbodun</w:t>
      </w:r>
      <w:proofErr w:type="spellEnd"/>
      <w:r w:rsidRPr="0017348E">
        <w:rPr>
          <w:rFonts w:ascii="Arial" w:eastAsia="Arial" w:hAnsi="Arial" w:cs="Arial"/>
        </w:rPr>
        <w:t xml:space="preserve">, O., Prince, M., Rahman, A., </w:t>
      </w:r>
      <w:proofErr w:type="spellStart"/>
      <w:r w:rsidRPr="0017348E">
        <w:rPr>
          <w:rFonts w:ascii="Arial" w:eastAsia="Arial" w:hAnsi="Arial" w:cs="Arial"/>
        </w:rPr>
        <w:t>Saraceno</w:t>
      </w:r>
      <w:proofErr w:type="spellEnd"/>
      <w:r w:rsidRPr="0017348E">
        <w:rPr>
          <w:rFonts w:ascii="Arial" w:eastAsia="Arial" w:hAnsi="Arial" w:cs="Arial"/>
        </w:rPr>
        <w:t xml:space="preserve">, B., Sarkar, B. K., De Silva, M., Singh, I., Stein, D. J., </w:t>
      </w:r>
      <w:proofErr w:type="spellStart"/>
      <w:r w:rsidRPr="0017348E">
        <w:rPr>
          <w:rFonts w:ascii="Arial" w:eastAsia="Arial" w:hAnsi="Arial" w:cs="Arial"/>
        </w:rPr>
        <w:t>Sunkel</w:t>
      </w:r>
      <w:proofErr w:type="spellEnd"/>
      <w:r w:rsidRPr="0017348E">
        <w:rPr>
          <w:rFonts w:ascii="Arial" w:eastAsia="Arial" w:hAnsi="Arial" w:cs="Arial"/>
        </w:rPr>
        <w:t xml:space="preserve">, C., &amp; </w:t>
      </w:r>
      <w:proofErr w:type="spellStart"/>
      <w:r w:rsidRPr="0017348E">
        <w:rPr>
          <w:rFonts w:ascii="Arial" w:eastAsia="Arial" w:hAnsi="Arial" w:cs="Arial"/>
        </w:rPr>
        <w:t>Unützer</w:t>
      </w:r>
      <w:proofErr w:type="spellEnd"/>
      <w:r w:rsidRPr="0017348E">
        <w:rPr>
          <w:rFonts w:ascii="Arial" w:eastAsia="Arial" w:hAnsi="Arial" w:cs="Arial"/>
        </w:rPr>
        <w:t xml:space="preserve">, J. (2018). The Lancet Commission on global mental health and sustainable development. The Lancet, 392(10157), 1553-1598. </w:t>
      </w:r>
      <w:hyperlink r:id="rId24" w:history="1">
        <w:r w:rsidRPr="0017348E">
          <w:rPr>
            <w:rStyle w:val="Hyperlink"/>
            <w:rFonts w:ascii="Arial" w:eastAsia="Arial" w:hAnsi="Arial" w:cs="Arial"/>
          </w:rPr>
          <w:t>https://doi.org/10.1016/S0140-6736(18)31612-X</w:t>
        </w:r>
      </w:hyperlink>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 xml:space="preserve">Monteiro, C. A., Cannon, G., Lawrence, M., Costa </w:t>
      </w:r>
      <w:proofErr w:type="spellStart"/>
      <w:r w:rsidRPr="0017348E">
        <w:rPr>
          <w:rFonts w:ascii="Arial" w:eastAsia="Arial" w:hAnsi="Arial" w:cs="Arial"/>
        </w:rPr>
        <w:t>Louzada</w:t>
      </w:r>
      <w:proofErr w:type="spellEnd"/>
      <w:r w:rsidRPr="0017348E">
        <w:rPr>
          <w:rFonts w:ascii="Arial" w:eastAsia="Arial" w:hAnsi="Arial" w:cs="Arial"/>
        </w:rPr>
        <w:t xml:space="preserve">, M. L., &amp; Pereira Machado, P. (2019). *Ultra-processed foods, diet quality, and health using the NOVA classification system*. Food and Agriculture Organization of the United Nations. </w:t>
      </w:r>
      <w:hyperlink r:id="rId25" w:history="1">
        <w:r w:rsidRPr="0017348E">
          <w:rPr>
            <w:rStyle w:val="Hyperlink"/>
            <w:rFonts w:ascii="Arial" w:eastAsia="Arial" w:hAnsi="Arial" w:cs="Arial"/>
          </w:rPr>
          <w:t>https://www.fao.org/documents/card/en/c/ca5644en/</w:t>
        </w:r>
      </w:hyperlink>
      <w:r w:rsidRPr="0017348E">
        <w:rPr>
          <w:rFonts w:ascii="Arial" w:eastAsia="Arial" w:hAnsi="Arial" w:cs="Arial"/>
        </w:rPr>
        <w:t xml:space="preserve"> </w:t>
      </w:r>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 xml:space="preserve">Elizabeth, L., Machado, P., </w:t>
      </w:r>
      <w:proofErr w:type="spellStart"/>
      <w:r w:rsidRPr="0017348E">
        <w:rPr>
          <w:rFonts w:ascii="Arial" w:eastAsia="Arial" w:hAnsi="Arial" w:cs="Arial"/>
        </w:rPr>
        <w:t>Zinöcker</w:t>
      </w:r>
      <w:proofErr w:type="spellEnd"/>
      <w:r w:rsidRPr="0017348E">
        <w:rPr>
          <w:rFonts w:ascii="Arial" w:eastAsia="Arial" w:hAnsi="Arial" w:cs="Arial"/>
        </w:rPr>
        <w:t xml:space="preserve">, M., Baker, P., &amp; Lawrence, M. (2020). Ultra-Processed Foods and Health Outcomes: A Narrative Review. Nutrients, 12(7), 1955. </w:t>
      </w:r>
      <w:hyperlink r:id="rId26" w:history="1">
        <w:r w:rsidRPr="0017348E">
          <w:rPr>
            <w:rStyle w:val="Hyperlink"/>
            <w:rFonts w:ascii="Arial" w:eastAsia="Arial" w:hAnsi="Arial" w:cs="Arial"/>
          </w:rPr>
          <w:t>https://doi.org/10.3390/nu12071955</w:t>
        </w:r>
      </w:hyperlink>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Lane, M. M., Davis, J. A., Beattie, S., Gómez-</w:t>
      </w:r>
      <w:proofErr w:type="spellStart"/>
      <w:r w:rsidRPr="0017348E">
        <w:rPr>
          <w:rFonts w:ascii="Arial" w:eastAsia="Arial" w:hAnsi="Arial" w:cs="Arial"/>
        </w:rPr>
        <w:t>Donoso</w:t>
      </w:r>
      <w:proofErr w:type="spellEnd"/>
      <w:r w:rsidRPr="0017348E">
        <w:rPr>
          <w:rFonts w:ascii="Arial" w:eastAsia="Arial" w:hAnsi="Arial" w:cs="Arial"/>
        </w:rPr>
        <w:t xml:space="preserve">, C., </w:t>
      </w:r>
      <w:proofErr w:type="spellStart"/>
      <w:r w:rsidRPr="0017348E">
        <w:rPr>
          <w:rFonts w:ascii="Arial" w:eastAsia="Arial" w:hAnsi="Arial" w:cs="Arial"/>
        </w:rPr>
        <w:t>Loughman</w:t>
      </w:r>
      <w:proofErr w:type="spellEnd"/>
      <w:r w:rsidRPr="0017348E">
        <w:rPr>
          <w:rFonts w:ascii="Arial" w:eastAsia="Arial" w:hAnsi="Arial" w:cs="Arial"/>
        </w:rPr>
        <w:t xml:space="preserve">, A., O'Neil, A., </w:t>
      </w:r>
      <w:proofErr w:type="spellStart"/>
      <w:r w:rsidRPr="0017348E">
        <w:rPr>
          <w:rFonts w:ascii="Arial" w:eastAsia="Arial" w:hAnsi="Arial" w:cs="Arial"/>
        </w:rPr>
        <w:t>Jacka</w:t>
      </w:r>
      <w:proofErr w:type="spellEnd"/>
      <w:r w:rsidRPr="0017348E">
        <w:rPr>
          <w:rFonts w:ascii="Arial" w:eastAsia="Arial" w:hAnsi="Arial" w:cs="Arial"/>
        </w:rPr>
        <w:t xml:space="preserve">, F., Berk, M., Page, R., Marx, W., &amp; Rocks, T. (2021). </w:t>
      </w:r>
      <w:proofErr w:type="spellStart"/>
      <w:r w:rsidRPr="0017348E">
        <w:rPr>
          <w:rFonts w:ascii="Arial" w:eastAsia="Arial" w:hAnsi="Arial" w:cs="Arial"/>
        </w:rPr>
        <w:t>Ultraprocessed</w:t>
      </w:r>
      <w:proofErr w:type="spellEnd"/>
      <w:r w:rsidRPr="0017348E">
        <w:rPr>
          <w:rFonts w:ascii="Arial" w:eastAsia="Arial" w:hAnsi="Arial" w:cs="Arial"/>
        </w:rPr>
        <w:t xml:space="preserve"> food and chronic noncommunicable diseases: A systematic review and meta-analysis of 43 observational studies. Obesity Reviews, 22(3), e13146. </w:t>
      </w:r>
      <w:hyperlink r:id="rId27" w:history="1">
        <w:r w:rsidRPr="0017348E">
          <w:rPr>
            <w:rStyle w:val="Hyperlink"/>
            <w:rFonts w:ascii="Arial" w:eastAsia="Arial" w:hAnsi="Arial" w:cs="Arial"/>
          </w:rPr>
          <w:t>https://doi.org/10.1111/obr.13146</w:t>
        </w:r>
      </w:hyperlink>
      <w:r w:rsidRPr="0017348E">
        <w:rPr>
          <w:rFonts w:ascii="Arial" w:eastAsia="Arial" w:hAnsi="Arial" w:cs="Arial"/>
        </w:rPr>
        <w:t xml:space="preserve"> </w:t>
      </w:r>
    </w:p>
    <w:p w:rsidR="009D0807" w:rsidRPr="0017348E" w:rsidRDefault="009D0807" w:rsidP="0017348E">
      <w:pPr>
        <w:keepNext/>
        <w:spacing w:before="240" w:after="240"/>
        <w:ind w:left="360"/>
        <w:jc w:val="both"/>
        <w:rPr>
          <w:rFonts w:ascii="Arial" w:eastAsia="Arial" w:hAnsi="Arial" w:cs="Arial"/>
        </w:rPr>
      </w:pPr>
      <w:proofErr w:type="spellStart"/>
      <w:r w:rsidRPr="0017348E">
        <w:rPr>
          <w:rFonts w:ascii="Arial" w:eastAsia="Arial" w:hAnsi="Arial" w:cs="Arial"/>
        </w:rPr>
        <w:t>Vancampfort</w:t>
      </w:r>
      <w:proofErr w:type="spellEnd"/>
      <w:r w:rsidRPr="0017348E">
        <w:rPr>
          <w:rFonts w:ascii="Arial" w:eastAsia="Arial" w:hAnsi="Arial" w:cs="Arial"/>
        </w:rPr>
        <w:t xml:space="preserve">, D., Firth, J., </w:t>
      </w:r>
      <w:proofErr w:type="spellStart"/>
      <w:r w:rsidRPr="0017348E">
        <w:rPr>
          <w:rFonts w:ascii="Arial" w:eastAsia="Arial" w:hAnsi="Arial" w:cs="Arial"/>
        </w:rPr>
        <w:t>Schuch</w:t>
      </w:r>
      <w:proofErr w:type="spellEnd"/>
      <w:r w:rsidRPr="0017348E">
        <w:rPr>
          <w:rFonts w:ascii="Arial" w:eastAsia="Arial" w:hAnsi="Arial" w:cs="Arial"/>
        </w:rPr>
        <w:t xml:space="preserve">, F. B., Rosenbaum, S., Mugisha, J., </w:t>
      </w:r>
      <w:proofErr w:type="spellStart"/>
      <w:r w:rsidRPr="0017348E">
        <w:rPr>
          <w:rFonts w:ascii="Arial" w:eastAsia="Arial" w:hAnsi="Arial" w:cs="Arial"/>
        </w:rPr>
        <w:t>Hallgren</w:t>
      </w:r>
      <w:proofErr w:type="spellEnd"/>
      <w:r w:rsidRPr="0017348E">
        <w:rPr>
          <w:rFonts w:ascii="Arial" w:eastAsia="Arial" w:hAnsi="Arial" w:cs="Arial"/>
        </w:rPr>
        <w:t xml:space="preserve">, M., Probst, M., Ward, P. B., </w:t>
      </w:r>
      <w:proofErr w:type="spellStart"/>
      <w:r w:rsidRPr="0017348E">
        <w:rPr>
          <w:rFonts w:ascii="Arial" w:eastAsia="Arial" w:hAnsi="Arial" w:cs="Arial"/>
        </w:rPr>
        <w:t>Gaughran</w:t>
      </w:r>
      <w:proofErr w:type="spellEnd"/>
      <w:r w:rsidRPr="0017348E">
        <w:rPr>
          <w:rFonts w:ascii="Arial" w:eastAsia="Arial" w:hAnsi="Arial" w:cs="Arial"/>
        </w:rPr>
        <w:t xml:space="preserve">, F., De </w:t>
      </w:r>
      <w:proofErr w:type="spellStart"/>
      <w:r w:rsidRPr="0017348E">
        <w:rPr>
          <w:rFonts w:ascii="Arial" w:eastAsia="Arial" w:hAnsi="Arial" w:cs="Arial"/>
        </w:rPr>
        <w:t>Hert</w:t>
      </w:r>
      <w:proofErr w:type="spellEnd"/>
      <w:r w:rsidRPr="0017348E">
        <w:rPr>
          <w:rFonts w:ascii="Arial" w:eastAsia="Arial" w:hAnsi="Arial" w:cs="Arial"/>
        </w:rPr>
        <w:t xml:space="preserve">, M., Carvalho, A. F., &amp; Stubbs, B. (2017). Sedentary behavior and physical activity levels in people with schizophrenia, bipolar disorder and major depressive disorder: A global systematic review and meta-analysis. World Psychiatry, 16(3), 308–315. </w:t>
      </w:r>
      <w:hyperlink r:id="rId28" w:history="1">
        <w:r w:rsidRPr="0017348E">
          <w:rPr>
            <w:rStyle w:val="Hyperlink"/>
            <w:rFonts w:ascii="Arial" w:eastAsia="Arial" w:hAnsi="Arial" w:cs="Arial"/>
          </w:rPr>
          <w:t>https://doi.org/10.1002/wps.20458</w:t>
        </w:r>
      </w:hyperlink>
      <w:r w:rsidRPr="0017348E">
        <w:rPr>
          <w:rFonts w:ascii="Arial" w:eastAsia="Arial" w:hAnsi="Arial" w:cs="Arial"/>
        </w:rPr>
        <w:t xml:space="preserve"> </w:t>
      </w:r>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 xml:space="preserve">Miller, A. H., &amp; Raison, C. L. (2016). The role of inflammation in depression: from evolutionary imperative to modern treatment target. Nature Reviews Immunology, 16(1), 22–34. </w:t>
      </w:r>
      <w:hyperlink r:id="rId29" w:history="1">
        <w:r w:rsidRPr="0017348E">
          <w:rPr>
            <w:rStyle w:val="Hyperlink"/>
            <w:rFonts w:ascii="Arial" w:eastAsia="Arial" w:hAnsi="Arial" w:cs="Arial"/>
          </w:rPr>
          <w:t>https://doi.org/10.1038/nri.2015.5</w:t>
        </w:r>
      </w:hyperlink>
      <w:r w:rsidRPr="0017348E">
        <w:rPr>
          <w:rFonts w:ascii="Arial" w:eastAsia="Arial" w:hAnsi="Arial" w:cs="Arial"/>
        </w:rPr>
        <w:t xml:space="preserve"> </w:t>
      </w:r>
    </w:p>
    <w:p w:rsidR="005E256A" w:rsidRPr="0017348E" w:rsidRDefault="001A204C" w:rsidP="0017348E">
      <w:pPr>
        <w:keepNext/>
        <w:spacing w:before="240" w:after="240"/>
        <w:ind w:left="360"/>
        <w:jc w:val="both"/>
        <w:rPr>
          <w:rFonts w:ascii="Arial" w:eastAsia="Arial" w:hAnsi="Arial" w:cs="Arial"/>
        </w:rPr>
      </w:pPr>
      <w:proofErr w:type="spellStart"/>
      <w:r w:rsidRPr="0017348E">
        <w:rPr>
          <w:rFonts w:ascii="Arial" w:eastAsia="Arial" w:hAnsi="Arial" w:cs="Arial"/>
        </w:rPr>
        <w:t>Cani</w:t>
      </w:r>
      <w:proofErr w:type="spellEnd"/>
      <w:r w:rsidRPr="0017348E">
        <w:rPr>
          <w:rFonts w:ascii="Arial" w:eastAsia="Arial" w:hAnsi="Arial" w:cs="Arial"/>
        </w:rPr>
        <w:t xml:space="preserve"> PD, Van </w:t>
      </w:r>
      <w:proofErr w:type="spellStart"/>
      <w:r w:rsidRPr="0017348E">
        <w:rPr>
          <w:rFonts w:ascii="Arial" w:eastAsia="Arial" w:hAnsi="Arial" w:cs="Arial"/>
        </w:rPr>
        <w:t>Hul</w:t>
      </w:r>
      <w:proofErr w:type="spellEnd"/>
      <w:r w:rsidRPr="0017348E">
        <w:rPr>
          <w:rFonts w:ascii="Arial" w:eastAsia="Arial" w:hAnsi="Arial" w:cs="Arial"/>
        </w:rPr>
        <w:t xml:space="preserve"> M. The gut microbiota: gateway to metabolic and immune homeostasis. Nat Rev Gastroenterol </w:t>
      </w:r>
      <w:proofErr w:type="spellStart"/>
      <w:r w:rsidRPr="0017348E">
        <w:rPr>
          <w:rFonts w:ascii="Arial" w:eastAsia="Arial" w:hAnsi="Arial" w:cs="Arial"/>
        </w:rPr>
        <w:t>Hepatol</w:t>
      </w:r>
      <w:proofErr w:type="spellEnd"/>
      <w:r w:rsidRPr="0017348E">
        <w:rPr>
          <w:rFonts w:ascii="Arial" w:eastAsia="Arial" w:hAnsi="Arial" w:cs="Arial"/>
        </w:rPr>
        <w:t>. 2020;17(4):259–70.</w:t>
      </w:r>
    </w:p>
    <w:p w:rsidR="005E256A" w:rsidRPr="0017348E" w:rsidRDefault="001A204C" w:rsidP="0017348E">
      <w:pPr>
        <w:keepNext/>
        <w:spacing w:before="240" w:after="240"/>
        <w:ind w:left="360"/>
        <w:jc w:val="both"/>
        <w:rPr>
          <w:rFonts w:ascii="Arial" w:eastAsia="Arial" w:hAnsi="Arial" w:cs="Arial"/>
        </w:rPr>
      </w:pPr>
      <w:r w:rsidRPr="0017348E">
        <w:rPr>
          <w:rFonts w:ascii="Arial" w:eastAsia="Arial" w:hAnsi="Arial" w:cs="Arial"/>
        </w:rPr>
        <w:t xml:space="preserve">Ribeiro M, Lopes AC, Azevedo MR. Exposure to endocrine disruptors and mental health. J </w:t>
      </w:r>
      <w:proofErr w:type="spellStart"/>
      <w:r w:rsidRPr="0017348E">
        <w:rPr>
          <w:rFonts w:ascii="Arial" w:eastAsia="Arial" w:hAnsi="Arial" w:cs="Arial"/>
        </w:rPr>
        <w:t>Psychiatr</w:t>
      </w:r>
      <w:proofErr w:type="spellEnd"/>
      <w:r w:rsidRPr="0017348E">
        <w:rPr>
          <w:rFonts w:ascii="Arial" w:eastAsia="Arial" w:hAnsi="Arial" w:cs="Arial"/>
        </w:rPr>
        <w:t xml:space="preserve"> Res. </w:t>
      </w:r>
      <w:proofErr w:type="gramStart"/>
      <w:r w:rsidRPr="0017348E">
        <w:rPr>
          <w:rFonts w:ascii="Arial" w:eastAsia="Arial" w:hAnsi="Arial" w:cs="Arial"/>
        </w:rPr>
        <w:t>2017;91:1</w:t>
      </w:r>
      <w:proofErr w:type="gramEnd"/>
      <w:r w:rsidRPr="0017348E">
        <w:rPr>
          <w:rFonts w:ascii="Arial" w:eastAsia="Arial" w:hAnsi="Arial" w:cs="Arial"/>
        </w:rPr>
        <w:t>–8.</w:t>
      </w:r>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 xml:space="preserve">Firth, J., Marx, W., Dash, S., Carney, R., Teasdale, S. B., </w:t>
      </w:r>
      <w:proofErr w:type="spellStart"/>
      <w:r w:rsidRPr="0017348E">
        <w:rPr>
          <w:rFonts w:ascii="Arial" w:eastAsia="Arial" w:hAnsi="Arial" w:cs="Arial"/>
        </w:rPr>
        <w:t>Solmi</w:t>
      </w:r>
      <w:proofErr w:type="spellEnd"/>
      <w:r w:rsidRPr="0017348E">
        <w:rPr>
          <w:rFonts w:ascii="Arial" w:eastAsia="Arial" w:hAnsi="Arial" w:cs="Arial"/>
        </w:rPr>
        <w:t xml:space="preserve">, M., Stubbs, B., </w:t>
      </w:r>
      <w:proofErr w:type="spellStart"/>
      <w:r w:rsidRPr="0017348E">
        <w:rPr>
          <w:rFonts w:ascii="Arial" w:eastAsia="Arial" w:hAnsi="Arial" w:cs="Arial"/>
        </w:rPr>
        <w:t>Schuch</w:t>
      </w:r>
      <w:proofErr w:type="spellEnd"/>
      <w:r w:rsidRPr="0017348E">
        <w:rPr>
          <w:rFonts w:ascii="Arial" w:eastAsia="Arial" w:hAnsi="Arial" w:cs="Arial"/>
        </w:rPr>
        <w:t xml:space="preserve">, F. B., Carvalho, A. F., </w:t>
      </w:r>
      <w:proofErr w:type="spellStart"/>
      <w:r w:rsidRPr="0017348E">
        <w:rPr>
          <w:rFonts w:ascii="Arial" w:eastAsia="Arial" w:hAnsi="Arial" w:cs="Arial"/>
        </w:rPr>
        <w:t>Jacka</w:t>
      </w:r>
      <w:proofErr w:type="spellEnd"/>
      <w:r w:rsidRPr="0017348E">
        <w:rPr>
          <w:rFonts w:ascii="Arial" w:eastAsia="Arial" w:hAnsi="Arial" w:cs="Arial"/>
        </w:rPr>
        <w:t xml:space="preserve">, F., &amp; Sarris, J. (2019). The effects of dietary improvement on symptoms of depression and anxiety: A meta-analysis of randomized controlled trials. Psychosomatic Medicine, 81(3), 265-280. </w:t>
      </w:r>
      <w:hyperlink r:id="rId30" w:history="1">
        <w:r w:rsidRPr="0017348E">
          <w:rPr>
            <w:rStyle w:val="Hyperlink"/>
            <w:rFonts w:ascii="Arial" w:eastAsia="Arial" w:hAnsi="Arial" w:cs="Arial"/>
          </w:rPr>
          <w:t>https://doi.org/10.1097/PSY.0000000000000673</w:t>
        </w:r>
      </w:hyperlink>
      <w:r w:rsidRPr="0017348E">
        <w:rPr>
          <w:rFonts w:ascii="Arial" w:eastAsia="Arial" w:hAnsi="Arial" w:cs="Arial"/>
        </w:rPr>
        <w:t xml:space="preserve"> </w:t>
      </w:r>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 xml:space="preserve">Monteiro, C. A., Cannon, G., </w:t>
      </w:r>
      <w:proofErr w:type="spellStart"/>
      <w:r w:rsidRPr="0017348E">
        <w:rPr>
          <w:rFonts w:ascii="Arial" w:eastAsia="Arial" w:hAnsi="Arial" w:cs="Arial"/>
        </w:rPr>
        <w:t>Moubarac</w:t>
      </w:r>
      <w:proofErr w:type="spellEnd"/>
      <w:r w:rsidRPr="0017348E">
        <w:rPr>
          <w:rFonts w:ascii="Arial" w:eastAsia="Arial" w:hAnsi="Arial" w:cs="Arial"/>
        </w:rPr>
        <w:t xml:space="preserve">, J. C., Levy, R. B., </w:t>
      </w:r>
      <w:proofErr w:type="spellStart"/>
      <w:r w:rsidRPr="0017348E">
        <w:rPr>
          <w:rFonts w:ascii="Arial" w:eastAsia="Arial" w:hAnsi="Arial" w:cs="Arial"/>
        </w:rPr>
        <w:t>Louzada</w:t>
      </w:r>
      <w:proofErr w:type="spellEnd"/>
      <w:r w:rsidRPr="0017348E">
        <w:rPr>
          <w:rFonts w:ascii="Arial" w:eastAsia="Arial" w:hAnsi="Arial" w:cs="Arial"/>
        </w:rPr>
        <w:t xml:space="preserve">, M. L. C., &amp; Jaime, P. C. (2018). The UN Decade of Nutrition, the NOVA food classification and the trouble with </w:t>
      </w:r>
      <w:r w:rsidRPr="0017348E">
        <w:rPr>
          <w:rFonts w:ascii="Arial" w:eastAsia="Arial" w:hAnsi="Arial" w:cs="Arial"/>
        </w:rPr>
        <w:lastRenderedPageBreak/>
        <w:t xml:space="preserve">ultra-processing. Public Health Nutrition, 21(1), 5-17. </w:t>
      </w:r>
      <w:hyperlink r:id="rId31" w:history="1">
        <w:r w:rsidRPr="0017348E">
          <w:rPr>
            <w:rStyle w:val="Hyperlink"/>
            <w:rFonts w:ascii="Arial" w:eastAsia="Arial" w:hAnsi="Arial" w:cs="Arial"/>
          </w:rPr>
          <w:t>https://doi.org/10.1017/S1368980017000234</w:t>
        </w:r>
      </w:hyperlink>
      <w:r w:rsidRPr="0017348E">
        <w:rPr>
          <w:rFonts w:ascii="Arial" w:eastAsia="Arial" w:hAnsi="Arial" w:cs="Arial"/>
        </w:rPr>
        <w:t xml:space="preserve"> </w:t>
      </w:r>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 xml:space="preserve">Page, M. J., McKenzie, J. E., </w:t>
      </w:r>
      <w:proofErr w:type="spellStart"/>
      <w:r w:rsidRPr="0017348E">
        <w:rPr>
          <w:rFonts w:ascii="Arial" w:eastAsia="Arial" w:hAnsi="Arial" w:cs="Arial"/>
        </w:rPr>
        <w:t>Bossuyt</w:t>
      </w:r>
      <w:proofErr w:type="spellEnd"/>
      <w:r w:rsidRPr="0017348E">
        <w:rPr>
          <w:rFonts w:ascii="Arial" w:eastAsia="Arial" w:hAnsi="Arial" w:cs="Arial"/>
        </w:rPr>
        <w:t xml:space="preserve">, P. M., </w:t>
      </w:r>
      <w:proofErr w:type="spellStart"/>
      <w:r w:rsidRPr="0017348E">
        <w:rPr>
          <w:rFonts w:ascii="Arial" w:eastAsia="Arial" w:hAnsi="Arial" w:cs="Arial"/>
        </w:rPr>
        <w:t>Boutron</w:t>
      </w:r>
      <w:proofErr w:type="spellEnd"/>
      <w:r w:rsidRPr="0017348E">
        <w:rPr>
          <w:rFonts w:ascii="Arial" w:eastAsia="Arial" w:hAnsi="Arial" w:cs="Arial"/>
        </w:rPr>
        <w:t xml:space="preserve">, I., Hoffmann, T. C., Mulrow, C. D., </w:t>
      </w:r>
      <w:proofErr w:type="spellStart"/>
      <w:r w:rsidRPr="0017348E">
        <w:rPr>
          <w:rFonts w:ascii="Arial" w:eastAsia="Arial" w:hAnsi="Arial" w:cs="Arial"/>
        </w:rPr>
        <w:t>Shamseer</w:t>
      </w:r>
      <w:proofErr w:type="spellEnd"/>
      <w:r w:rsidRPr="0017348E">
        <w:rPr>
          <w:rFonts w:ascii="Arial" w:eastAsia="Arial" w:hAnsi="Arial" w:cs="Arial"/>
        </w:rPr>
        <w:t xml:space="preserve">, L., </w:t>
      </w:r>
      <w:proofErr w:type="spellStart"/>
      <w:r w:rsidRPr="0017348E">
        <w:rPr>
          <w:rFonts w:ascii="Arial" w:eastAsia="Arial" w:hAnsi="Arial" w:cs="Arial"/>
        </w:rPr>
        <w:t>Tetzlaff</w:t>
      </w:r>
      <w:proofErr w:type="spellEnd"/>
      <w:r w:rsidRPr="0017348E">
        <w:rPr>
          <w:rFonts w:ascii="Arial" w:eastAsia="Arial" w:hAnsi="Arial" w:cs="Arial"/>
        </w:rPr>
        <w:t xml:space="preserve">, J. M., </w:t>
      </w:r>
      <w:proofErr w:type="spellStart"/>
      <w:r w:rsidRPr="0017348E">
        <w:rPr>
          <w:rFonts w:ascii="Arial" w:eastAsia="Arial" w:hAnsi="Arial" w:cs="Arial"/>
        </w:rPr>
        <w:t>Akl</w:t>
      </w:r>
      <w:proofErr w:type="spellEnd"/>
      <w:r w:rsidRPr="0017348E">
        <w:rPr>
          <w:rFonts w:ascii="Arial" w:eastAsia="Arial" w:hAnsi="Arial" w:cs="Arial"/>
        </w:rPr>
        <w:t xml:space="preserve">, E. A., Brennan, S. E., Chou, R., Glanville, J., Grimshaw, J. M., </w:t>
      </w:r>
      <w:proofErr w:type="spellStart"/>
      <w:r w:rsidRPr="0017348E">
        <w:rPr>
          <w:rFonts w:ascii="Arial" w:eastAsia="Arial" w:hAnsi="Arial" w:cs="Arial"/>
        </w:rPr>
        <w:t>Hróbjartsson</w:t>
      </w:r>
      <w:proofErr w:type="spellEnd"/>
      <w:r w:rsidRPr="0017348E">
        <w:rPr>
          <w:rFonts w:ascii="Arial" w:eastAsia="Arial" w:hAnsi="Arial" w:cs="Arial"/>
        </w:rPr>
        <w:t xml:space="preserve">, A., </w:t>
      </w:r>
      <w:proofErr w:type="spellStart"/>
      <w:r w:rsidRPr="0017348E">
        <w:rPr>
          <w:rFonts w:ascii="Arial" w:eastAsia="Arial" w:hAnsi="Arial" w:cs="Arial"/>
        </w:rPr>
        <w:t>Lalu</w:t>
      </w:r>
      <w:proofErr w:type="spellEnd"/>
      <w:r w:rsidRPr="0017348E">
        <w:rPr>
          <w:rFonts w:ascii="Arial" w:eastAsia="Arial" w:hAnsi="Arial" w:cs="Arial"/>
        </w:rPr>
        <w:t xml:space="preserve">, M. M., Li, T., </w:t>
      </w:r>
      <w:proofErr w:type="spellStart"/>
      <w:r w:rsidRPr="0017348E">
        <w:rPr>
          <w:rFonts w:ascii="Arial" w:eastAsia="Arial" w:hAnsi="Arial" w:cs="Arial"/>
        </w:rPr>
        <w:t>Loder</w:t>
      </w:r>
      <w:proofErr w:type="spellEnd"/>
      <w:r w:rsidRPr="0017348E">
        <w:rPr>
          <w:rFonts w:ascii="Arial" w:eastAsia="Arial" w:hAnsi="Arial" w:cs="Arial"/>
        </w:rPr>
        <w:t xml:space="preserve">, E. W., Mayo-Wilson, E., McDonald, S., McGuinness, L. A., Stewart, L. A., Thomas, J., </w:t>
      </w:r>
      <w:proofErr w:type="spellStart"/>
      <w:r w:rsidRPr="0017348E">
        <w:rPr>
          <w:rFonts w:ascii="Arial" w:eastAsia="Arial" w:hAnsi="Arial" w:cs="Arial"/>
        </w:rPr>
        <w:t>Tricco</w:t>
      </w:r>
      <w:proofErr w:type="spellEnd"/>
      <w:r w:rsidRPr="0017348E">
        <w:rPr>
          <w:rFonts w:ascii="Arial" w:eastAsia="Arial" w:hAnsi="Arial" w:cs="Arial"/>
        </w:rPr>
        <w:t xml:space="preserve">, A. C., Welch, V. A., Whiting, P., &amp; Moher, D. (2021). The PRISMA 2020 statement: An updated guideline for reporting systematic reviews. BMJ, 372, n71. </w:t>
      </w:r>
      <w:hyperlink r:id="rId32" w:history="1">
        <w:r w:rsidRPr="0017348E">
          <w:rPr>
            <w:rStyle w:val="Hyperlink"/>
            <w:rFonts w:ascii="Arial" w:eastAsia="Arial" w:hAnsi="Arial" w:cs="Arial"/>
          </w:rPr>
          <w:t>https://doi.org/10.1136/bmj.n71</w:t>
        </w:r>
      </w:hyperlink>
      <w:r w:rsidRPr="0017348E">
        <w:rPr>
          <w:rFonts w:ascii="Arial" w:eastAsia="Arial" w:hAnsi="Arial" w:cs="Arial"/>
        </w:rPr>
        <w:t xml:space="preserve"> </w:t>
      </w:r>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 xml:space="preserve">Higgins, J. P. T., Thomas, J., Chandler, J., </w:t>
      </w:r>
      <w:proofErr w:type="spellStart"/>
      <w:r w:rsidRPr="0017348E">
        <w:rPr>
          <w:rFonts w:ascii="Arial" w:eastAsia="Arial" w:hAnsi="Arial" w:cs="Arial"/>
        </w:rPr>
        <w:t>Cumpston</w:t>
      </w:r>
      <w:proofErr w:type="spellEnd"/>
      <w:r w:rsidRPr="0017348E">
        <w:rPr>
          <w:rFonts w:ascii="Arial" w:eastAsia="Arial" w:hAnsi="Arial" w:cs="Arial"/>
        </w:rPr>
        <w:t xml:space="preserve">, M., Li, T., Page, M. J., &amp; Welch, V. A. (Eds.). (2022). *Cochrane Handbook for Systematic Reviews of Interventions* (Version 6.3). Cochrane. </w:t>
      </w:r>
      <w:hyperlink r:id="rId33" w:history="1">
        <w:r w:rsidRPr="0017348E">
          <w:rPr>
            <w:rStyle w:val="Hyperlink"/>
            <w:rFonts w:ascii="Arial" w:eastAsia="Arial" w:hAnsi="Arial" w:cs="Arial"/>
          </w:rPr>
          <w:t>https://training.cochrane.org/handbook</w:t>
        </w:r>
      </w:hyperlink>
      <w:r w:rsidRPr="0017348E">
        <w:rPr>
          <w:rFonts w:ascii="Arial" w:eastAsia="Arial" w:hAnsi="Arial" w:cs="Arial"/>
        </w:rPr>
        <w:t xml:space="preserve"> </w:t>
      </w:r>
    </w:p>
    <w:p w:rsidR="009D0807" w:rsidRPr="0017348E" w:rsidRDefault="009D0807" w:rsidP="0017348E">
      <w:pPr>
        <w:keepNext/>
        <w:spacing w:before="240" w:after="240"/>
        <w:ind w:left="360"/>
        <w:jc w:val="both"/>
        <w:rPr>
          <w:rFonts w:ascii="Arial" w:eastAsia="Arial" w:hAnsi="Arial" w:cs="Arial"/>
        </w:rPr>
      </w:pPr>
      <w:r w:rsidRPr="0017348E">
        <w:rPr>
          <w:rFonts w:ascii="Arial" w:eastAsia="Arial" w:hAnsi="Arial" w:cs="Arial"/>
        </w:rPr>
        <w:t xml:space="preserve">von Elm, E., Altman, D. G., Egger, M., Pocock, S. J., </w:t>
      </w:r>
      <w:proofErr w:type="spellStart"/>
      <w:r w:rsidRPr="0017348E">
        <w:rPr>
          <w:rFonts w:ascii="Arial" w:eastAsia="Arial" w:hAnsi="Arial" w:cs="Arial"/>
        </w:rPr>
        <w:t>Gøtzsche</w:t>
      </w:r>
      <w:proofErr w:type="spellEnd"/>
      <w:r w:rsidRPr="0017348E">
        <w:rPr>
          <w:rFonts w:ascii="Arial" w:eastAsia="Arial" w:hAnsi="Arial" w:cs="Arial"/>
        </w:rPr>
        <w:t xml:space="preserve">, P. C., &amp; </w:t>
      </w:r>
      <w:proofErr w:type="spellStart"/>
      <w:r w:rsidRPr="0017348E">
        <w:rPr>
          <w:rFonts w:ascii="Arial" w:eastAsia="Arial" w:hAnsi="Arial" w:cs="Arial"/>
        </w:rPr>
        <w:t>Vandenbroucke</w:t>
      </w:r>
      <w:proofErr w:type="spellEnd"/>
      <w:r w:rsidRPr="0017348E">
        <w:rPr>
          <w:rFonts w:ascii="Arial" w:eastAsia="Arial" w:hAnsi="Arial" w:cs="Arial"/>
        </w:rPr>
        <w:t xml:space="preserve">, J. P. (2007). The Strengthening the Reporting of Observational Studies in Epidemiology (STROBE) statement: guidelines for reporting observational studies. Lancet, 370, 1453–7. </w:t>
      </w:r>
      <w:hyperlink r:id="rId34" w:history="1">
        <w:r w:rsidRPr="0017348E">
          <w:rPr>
            <w:rStyle w:val="Hyperlink"/>
            <w:rFonts w:ascii="Arial" w:eastAsia="Arial" w:hAnsi="Arial" w:cs="Arial"/>
          </w:rPr>
          <w:t>https://doi.org/10.1016/S0140-6736(07)61602-X</w:t>
        </w:r>
      </w:hyperlink>
      <w:r w:rsidRPr="0017348E">
        <w:rPr>
          <w:rFonts w:ascii="Arial" w:eastAsia="Arial" w:hAnsi="Arial" w:cs="Arial"/>
        </w:rPr>
        <w:t xml:space="preserve"> </w:t>
      </w:r>
    </w:p>
    <w:p w:rsidR="009D0807" w:rsidRPr="0017348E" w:rsidRDefault="009D0807" w:rsidP="0017348E">
      <w:pPr>
        <w:keepNext/>
        <w:spacing w:before="240" w:after="240"/>
        <w:ind w:left="360"/>
        <w:jc w:val="both"/>
        <w:rPr>
          <w:rFonts w:ascii="Arial" w:eastAsia="Arial" w:hAnsi="Arial" w:cs="Arial"/>
        </w:rPr>
      </w:pPr>
      <w:proofErr w:type="spellStart"/>
      <w:r w:rsidRPr="0017348E">
        <w:rPr>
          <w:rFonts w:ascii="Arial" w:eastAsia="Arial" w:hAnsi="Arial" w:cs="Arial"/>
        </w:rPr>
        <w:t>DerSimonian</w:t>
      </w:r>
      <w:proofErr w:type="spellEnd"/>
      <w:r w:rsidRPr="0017348E">
        <w:rPr>
          <w:rFonts w:ascii="Arial" w:eastAsia="Arial" w:hAnsi="Arial" w:cs="Arial"/>
        </w:rPr>
        <w:t xml:space="preserve">, R., &amp; Laird, N. (1986). Meta-analysis in clinical trials. Control Clinical Trials, 7(3), 177–188. </w:t>
      </w:r>
      <w:hyperlink r:id="rId35" w:history="1">
        <w:r w:rsidRPr="0017348E">
          <w:rPr>
            <w:rStyle w:val="Hyperlink"/>
            <w:rFonts w:ascii="Arial" w:eastAsia="Arial" w:hAnsi="Arial" w:cs="Arial"/>
          </w:rPr>
          <w:t>https://doi.org/10.1016/0197-2456(86)90046-2</w:t>
        </w:r>
      </w:hyperlink>
    </w:p>
    <w:p w:rsidR="005E256A" w:rsidRPr="0017348E" w:rsidRDefault="001A204C" w:rsidP="0017348E">
      <w:pPr>
        <w:keepNext/>
        <w:spacing w:before="240" w:after="240"/>
        <w:ind w:left="360"/>
        <w:jc w:val="both"/>
        <w:rPr>
          <w:rFonts w:ascii="Arial" w:eastAsia="Arial" w:hAnsi="Arial" w:cs="Arial"/>
        </w:rPr>
      </w:pPr>
      <w:r w:rsidRPr="0017348E">
        <w:rPr>
          <w:rFonts w:ascii="Arial" w:eastAsia="Arial" w:hAnsi="Arial" w:cs="Arial"/>
        </w:rPr>
        <w:t xml:space="preserve">Steele EM, </w:t>
      </w:r>
      <w:proofErr w:type="spellStart"/>
      <w:r w:rsidRPr="0017348E">
        <w:rPr>
          <w:rFonts w:ascii="Arial" w:eastAsia="Arial" w:hAnsi="Arial" w:cs="Arial"/>
        </w:rPr>
        <w:t>Rauber</w:t>
      </w:r>
      <w:proofErr w:type="spellEnd"/>
      <w:r w:rsidRPr="0017348E">
        <w:rPr>
          <w:rFonts w:ascii="Arial" w:eastAsia="Arial" w:hAnsi="Arial" w:cs="Arial"/>
        </w:rPr>
        <w:t xml:space="preserve"> F, Costa </w:t>
      </w:r>
      <w:proofErr w:type="spellStart"/>
      <w:r w:rsidRPr="0017348E">
        <w:rPr>
          <w:rFonts w:ascii="Arial" w:eastAsia="Arial" w:hAnsi="Arial" w:cs="Arial"/>
        </w:rPr>
        <w:t>Louzada</w:t>
      </w:r>
      <w:proofErr w:type="spellEnd"/>
      <w:r w:rsidRPr="0017348E">
        <w:rPr>
          <w:rFonts w:ascii="Arial" w:eastAsia="Arial" w:hAnsi="Arial" w:cs="Arial"/>
        </w:rPr>
        <w:t xml:space="preserve"> ML, et al. Ultra-processed foods and health in </w:t>
      </w:r>
      <w:proofErr w:type="spellStart"/>
      <w:r w:rsidRPr="0017348E">
        <w:rPr>
          <w:rFonts w:ascii="Arial" w:eastAsia="Arial" w:hAnsi="Arial" w:cs="Arial"/>
        </w:rPr>
        <w:t>NutriNet-Brasil</w:t>
      </w:r>
      <w:proofErr w:type="spellEnd"/>
      <w:r w:rsidRPr="0017348E">
        <w:rPr>
          <w:rFonts w:ascii="Arial" w:eastAsia="Arial" w:hAnsi="Arial" w:cs="Arial"/>
        </w:rPr>
        <w:t xml:space="preserve">. Rev </w:t>
      </w:r>
      <w:proofErr w:type="spellStart"/>
      <w:r w:rsidRPr="0017348E">
        <w:rPr>
          <w:rFonts w:ascii="Arial" w:eastAsia="Arial" w:hAnsi="Arial" w:cs="Arial"/>
        </w:rPr>
        <w:t>Saúde</w:t>
      </w:r>
      <w:proofErr w:type="spellEnd"/>
      <w:r w:rsidRPr="0017348E">
        <w:rPr>
          <w:rFonts w:ascii="Arial" w:eastAsia="Arial" w:hAnsi="Arial" w:cs="Arial"/>
        </w:rPr>
        <w:t xml:space="preserve"> </w:t>
      </w:r>
      <w:proofErr w:type="spellStart"/>
      <w:r w:rsidRPr="0017348E">
        <w:rPr>
          <w:rFonts w:ascii="Arial" w:eastAsia="Arial" w:hAnsi="Arial" w:cs="Arial"/>
        </w:rPr>
        <w:t>Pública</w:t>
      </w:r>
      <w:proofErr w:type="spellEnd"/>
      <w:r w:rsidRPr="0017348E">
        <w:rPr>
          <w:rFonts w:ascii="Arial" w:eastAsia="Arial" w:hAnsi="Arial" w:cs="Arial"/>
        </w:rPr>
        <w:t xml:space="preserve">. </w:t>
      </w:r>
      <w:proofErr w:type="gramStart"/>
      <w:r w:rsidRPr="0017348E">
        <w:rPr>
          <w:rFonts w:ascii="Arial" w:eastAsia="Arial" w:hAnsi="Arial" w:cs="Arial"/>
        </w:rPr>
        <w:t>2022;56:1</w:t>
      </w:r>
      <w:proofErr w:type="gramEnd"/>
      <w:r w:rsidRPr="0017348E">
        <w:rPr>
          <w:rFonts w:ascii="Arial" w:eastAsia="Arial" w:hAnsi="Arial" w:cs="Arial"/>
        </w:rPr>
        <w:t>–12.</w:t>
      </w:r>
    </w:p>
    <w:p w:rsidR="005E256A" w:rsidRDefault="005E256A">
      <w:pPr>
        <w:keepNext/>
        <w:jc w:val="both"/>
        <w:rPr>
          <w:rFonts w:ascii="Arial" w:eastAsia="Arial" w:hAnsi="Arial" w:cs="Arial"/>
        </w:rPr>
      </w:pPr>
    </w:p>
    <w:p w:rsidR="005E256A" w:rsidRDefault="005E256A">
      <w:pPr>
        <w:pBdr>
          <w:top w:val="nil"/>
          <w:left w:val="nil"/>
          <w:bottom w:val="nil"/>
          <w:right w:val="nil"/>
          <w:between w:val="nil"/>
        </w:pBdr>
        <w:jc w:val="both"/>
        <w:rPr>
          <w:rFonts w:ascii="Arial" w:eastAsia="Arial" w:hAnsi="Arial" w:cs="Arial"/>
          <w:color w:val="000000"/>
        </w:rPr>
      </w:pPr>
    </w:p>
    <w:p w:rsidR="005E256A" w:rsidRDefault="001A204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Definitions, Acronyms, Abbreviations</w:t>
      </w:r>
    </w:p>
    <w:p w:rsidR="005E256A" w:rsidRDefault="005E256A">
      <w:pPr>
        <w:keepNext/>
        <w:pBdr>
          <w:top w:val="nil"/>
          <w:left w:val="nil"/>
          <w:bottom w:val="nil"/>
          <w:right w:val="nil"/>
          <w:between w:val="nil"/>
        </w:pBdr>
        <w:jc w:val="both"/>
        <w:rPr>
          <w:rFonts w:ascii="Arial" w:eastAsia="Arial" w:hAnsi="Arial" w:cs="Arial"/>
          <w:b/>
          <w:bCs/>
          <w:smallCaps/>
          <w:sz w:val="22"/>
          <w:szCs w:val="22"/>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UPF (Ultra-Processed Foods):</w:t>
      </w:r>
      <w:r>
        <w:rPr>
          <w:rFonts w:ascii="Arial" w:eastAsia="Arial" w:hAnsi="Arial" w:cs="Arial"/>
        </w:rPr>
        <w:t xml:space="preserve"> Industrial formulations made predominantly from substances extracted or derived from foods and additives, typically containing little or no intact whole foods; categorized according to the NOVA classification system.</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NOVA Classification:</w:t>
      </w:r>
      <w:r>
        <w:rPr>
          <w:rFonts w:ascii="Arial" w:eastAsia="Arial" w:hAnsi="Arial" w:cs="Arial"/>
        </w:rPr>
        <w:t xml:space="preserve"> A food classification framework that categorizes foods according to the nature, extent and purpose of industrial processing (Groups 1–4, with Group 4 representing ultra-processed foods).</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MDD (Major Depressive Disorder):</w:t>
      </w:r>
      <w:r>
        <w:rPr>
          <w:rFonts w:ascii="Arial" w:eastAsia="Arial" w:hAnsi="Arial" w:cs="Arial"/>
        </w:rPr>
        <w:t xml:space="preserve"> A clinically diagnosed depressive disorder based on DSM or ICD criteria, physician diagnosis, structured interview, or documented antidepressant therapy.</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 xml:space="preserve">Depressive Symptoms: </w:t>
      </w:r>
      <w:r>
        <w:rPr>
          <w:rFonts w:ascii="Arial" w:eastAsia="Arial" w:hAnsi="Arial" w:cs="Arial"/>
        </w:rPr>
        <w:t>Symptoms assessed using validated screening scales (e.g., CES-D, PHQ-9, HADS-D), reflecting presence of depressive mood or affect but not necessarily meeting diagnostic thresholds for MDD.</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CES-D (Center for Epidemiologic Studies Depression Scale):</w:t>
      </w:r>
      <w:r>
        <w:rPr>
          <w:rFonts w:ascii="Arial" w:eastAsia="Arial" w:hAnsi="Arial" w:cs="Arial"/>
        </w:rPr>
        <w:t xml:space="preserve"> A widely used screening tool that assesses the frequency of depressive symptoms in the general population.</w:t>
      </w:r>
    </w:p>
    <w:p w:rsidR="005E256A" w:rsidRDefault="005E256A">
      <w:pPr>
        <w:pBdr>
          <w:top w:val="nil"/>
          <w:left w:val="nil"/>
          <w:bottom w:val="nil"/>
          <w:right w:val="nil"/>
          <w:between w:val="nil"/>
        </w:pBdr>
        <w:jc w:val="both"/>
        <w:rPr>
          <w:rFonts w:ascii="Arial" w:eastAsia="Arial" w:hAnsi="Arial" w:cs="Arial"/>
          <w:b/>
          <w:bCs/>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 xml:space="preserve">PHQ-9 (Patient Health Questionnaire-9): </w:t>
      </w:r>
      <w:r>
        <w:rPr>
          <w:rFonts w:ascii="Arial" w:eastAsia="Arial" w:hAnsi="Arial" w:cs="Arial"/>
        </w:rPr>
        <w:t>A diagnostic and severity-measurement tool for depression based on DSM criteria, commonly used in epidemiological research.</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lastRenderedPageBreak/>
        <w:t xml:space="preserve">HADS-D (Hospital Anxiety and Depression Scale – Depression Subscale): </w:t>
      </w:r>
      <w:r>
        <w:rPr>
          <w:rFonts w:ascii="Arial" w:eastAsia="Arial" w:hAnsi="Arial" w:cs="Arial"/>
        </w:rPr>
        <w:t>A tool designed to detect depressive states in clinical and non-clinical settings without somatic symptom overlap.</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GDS (Geriatric Depression Scale):</w:t>
      </w:r>
      <w:r>
        <w:rPr>
          <w:rFonts w:ascii="Arial" w:eastAsia="Arial" w:hAnsi="Arial" w:cs="Arial"/>
        </w:rPr>
        <w:t xml:space="preserve"> A depression screening tool tailored for older adults, minimizing somatic bias.</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HDRS (Hamilton Depression Rating Scale):</w:t>
      </w:r>
      <w:r>
        <w:rPr>
          <w:rFonts w:ascii="Arial" w:eastAsia="Arial" w:hAnsi="Arial" w:cs="Arial"/>
        </w:rPr>
        <w:t xml:space="preserve"> A clinician-administered scale measuring depression severity, often used in psychiatric research.</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DASS-21 (Depression, Anxiety and Stress Scale – 21 items):</w:t>
      </w:r>
      <w:r>
        <w:rPr>
          <w:rFonts w:ascii="Arial" w:eastAsia="Arial" w:hAnsi="Arial" w:cs="Arial"/>
        </w:rPr>
        <w:t xml:space="preserve"> A short-form instrument assessing these three emotional states through self-report.</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 xml:space="preserve">K10 (Kessler Psychological Distress Scale): </w:t>
      </w:r>
      <w:r>
        <w:rPr>
          <w:rFonts w:ascii="Arial" w:eastAsia="Arial" w:hAnsi="Arial" w:cs="Arial"/>
        </w:rPr>
        <w:t>A 10-item scale measuring non-specific psychological distress, often used as a proxy for mood disorders.</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 xml:space="preserve">FFQ (Food-Frequency Questionnaire): </w:t>
      </w:r>
      <w:r>
        <w:rPr>
          <w:rFonts w:ascii="Arial" w:eastAsia="Arial" w:hAnsi="Arial" w:cs="Arial"/>
        </w:rPr>
        <w:t>A dietary assessment tool that estimates habitual food intake over a defined period.</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24h Recall (24-Hour Dietary Recall):</w:t>
      </w:r>
      <w:r>
        <w:rPr>
          <w:rFonts w:ascii="Arial" w:eastAsia="Arial" w:hAnsi="Arial" w:cs="Arial"/>
        </w:rPr>
        <w:t xml:space="preserve"> A structured interview method in which participants recall all consumed foods and beverages during the previous 24 hours.</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 xml:space="preserve">PCA (Principal Component Analysis): </w:t>
      </w:r>
      <w:r>
        <w:rPr>
          <w:rFonts w:ascii="Arial" w:eastAsia="Arial" w:hAnsi="Arial" w:cs="Arial"/>
        </w:rPr>
        <w:t>A statistical method used to derive dietary patterns based on correlations among food groups.</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OR (Odds Ratio):</w:t>
      </w:r>
      <w:r>
        <w:rPr>
          <w:rFonts w:ascii="Arial" w:eastAsia="Arial" w:hAnsi="Arial" w:cs="Arial"/>
        </w:rPr>
        <w:t xml:space="preserve"> A measure of association comparing the odds of an outcome occurring in one exposure group vs. another.</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CI (Confidence Interval):</w:t>
      </w:r>
      <w:r>
        <w:rPr>
          <w:rFonts w:ascii="Arial" w:eastAsia="Arial" w:hAnsi="Arial" w:cs="Arial"/>
        </w:rPr>
        <w:t xml:space="preserve"> A statistical range reflecting the precision of an estimated effect; wider intervals indicate greater uncertainty.</w:t>
      </w:r>
    </w:p>
    <w:p w:rsidR="005E256A" w:rsidRDefault="005E256A">
      <w:pPr>
        <w:pBdr>
          <w:top w:val="nil"/>
          <w:left w:val="nil"/>
          <w:bottom w:val="nil"/>
          <w:right w:val="nil"/>
          <w:between w:val="nil"/>
        </w:pBdr>
        <w:jc w:val="both"/>
        <w:rPr>
          <w:rFonts w:ascii="Arial" w:eastAsia="Arial" w:hAnsi="Arial" w:cs="Arial"/>
        </w:rPr>
      </w:pPr>
    </w:p>
    <w:p w:rsidR="005E256A" w:rsidRDefault="001A204C">
      <w:pPr>
        <w:pBdr>
          <w:top w:val="nil"/>
          <w:left w:val="nil"/>
          <w:bottom w:val="nil"/>
          <w:right w:val="nil"/>
          <w:between w:val="nil"/>
        </w:pBdr>
        <w:jc w:val="both"/>
        <w:rPr>
          <w:rFonts w:ascii="Arial" w:eastAsia="Arial" w:hAnsi="Arial" w:cs="Arial"/>
        </w:rPr>
      </w:pPr>
      <w:r>
        <w:rPr>
          <w:rFonts w:ascii="Arial" w:eastAsia="Arial" w:hAnsi="Arial" w:cs="Arial"/>
          <w:b/>
          <w:bCs/>
        </w:rPr>
        <w:t>I² (I-squared Statistic):</w:t>
      </w:r>
      <w:r>
        <w:rPr>
          <w:rFonts w:ascii="Arial" w:eastAsia="Arial" w:hAnsi="Arial" w:cs="Arial"/>
        </w:rPr>
        <w:t xml:space="preserve"> A measure of heterogeneity in meta-analysis, indicating the percentage of variability across studies not due to chance.</w:t>
      </w:r>
    </w:p>
    <w:p w:rsidR="005E256A" w:rsidRDefault="005E256A">
      <w:pPr>
        <w:keepNext/>
        <w:pBdr>
          <w:top w:val="nil"/>
          <w:left w:val="nil"/>
          <w:bottom w:val="nil"/>
          <w:right w:val="nil"/>
          <w:between w:val="nil"/>
        </w:pBdr>
        <w:jc w:val="both"/>
        <w:rPr>
          <w:rFonts w:ascii="Arial" w:eastAsia="Arial" w:hAnsi="Arial" w:cs="Arial"/>
          <w:smallCaps/>
          <w:color w:val="000000"/>
          <w:sz w:val="22"/>
          <w:szCs w:val="22"/>
        </w:rPr>
        <w:sectPr w:rsidR="005E256A">
          <w:pgSz w:w="12240" w:h="15840"/>
          <w:pgMar w:top="1440" w:right="2016" w:bottom="2016" w:left="2016" w:header="720" w:footer="1123" w:gutter="0"/>
          <w:cols w:space="720"/>
        </w:sectPr>
      </w:pPr>
    </w:p>
    <w:p w:rsidR="005E256A" w:rsidRDefault="005E256A">
      <w:pPr>
        <w:keepNext/>
        <w:pBdr>
          <w:top w:val="nil"/>
          <w:left w:val="nil"/>
          <w:bottom w:val="nil"/>
          <w:right w:val="nil"/>
          <w:between w:val="nil"/>
        </w:pBdr>
        <w:jc w:val="both"/>
        <w:rPr>
          <w:rFonts w:ascii="Arial" w:eastAsia="Arial" w:hAnsi="Arial" w:cs="Arial"/>
          <w:smallCaps/>
          <w:color w:val="000000"/>
          <w:sz w:val="22"/>
          <w:szCs w:val="22"/>
        </w:rPr>
      </w:pPr>
    </w:p>
    <w:sectPr w:rsidR="005E256A">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654" w:rsidRDefault="00C84654">
      <w:r>
        <w:separator/>
      </w:r>
    </w:p>
  </w:endnote>
  <w:endnote w:type="continuationSeparator" w:id="0">
    <w:p w:rsidR="00C84654" w:rsidRDefault="00C84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charset w:val="00"/>
    <w:family w:val="auto"/>
    <w:pitch w:val="default"/>
    <w:embedRegular r:id="rId1" w:fontKey="{7788FC74-A7A0-40E7-808C-E7698965894D}"/>
    <w:embedBold r:id="rId2" w:fontKey="{1DA44B3B-BDD0-45A5-A1FB-A2F793BC3D0E}"/>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921F2E9-D04A-494F-886C-6F1291A0911E}"/>
  </w:font>
  <w:font w:name="Arial Unicode MS">
    <w:altName w:val="Arial"/>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embedRegular r:id="rId4" w:fontKey="{A84B1411-0E5A-4E41-BA88-F8D610B9574E}"/>
  </w:font>
  <w:font w:name="Vrinda">
    <w:panose1 w:val="00000400000000000000"/>
    <w:charset w:val="00"/>
    <w:family w:val="swiss"/>
    <w:pitch w:val="variable"/>
    <w:sig w:usb0="00010003" w:usb1="00000000" w:usb2="00000000" w:usb3="00000000" w:csb0="00000001" w:csb1="00000000"/>
    <w:embedRegular r:id="rId5" w:fontKey="{E10587DD-FD70-4A34-AB10-773823F71CC5}"/>
  </w:font>
  <w:font w:name="Cambria">
    <w:panose1 w:val="02040503050406030204"/>
    <w:charset w:val="00"/>
    <w:family w:val="roman"/>
    <w:pitch w:val="variable"/>
    <w:sig w:usb0="E00006FF" w:usb1="420024FF" w:usb2="02000000" w:usb3="00000000" w:csb0="0000019F" w:csb1="00000000"/>
    <w:embedRegular r:id="rId6" w:fontKey="{7D46F0A0-F8A4-4278-8C90-F692C3A351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56A" w:rsidRDefault="005E256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189" w:rsidRDefault="00177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56A" w:rsidRPr="00DF6A63" w:rsidRDefault="005E256A" w:rsidP="00DF6A6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56A" w:rsidRDefault="005E256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654" w:rsidRDefault="00C84654">
      <w:r>
        <w:separator/>
      </w:r>
    </w:p>
  </w:footnote>
  <w:footnote w:type="continuationSeparator" w:id="0">
    <w:p w:rsidR="00C84654" w:rsidRDefault="00C846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56A" w:rsidRDefault="00177189">
    <w:pPr>
      <w:pBdr>
        <w:top w:val="nil"/>
        <w:left w:val="nil"/>
        <w:bottom w:val="nil"/>
        <w:right w:val="nil"/>
        <w:between w:val="nil"/>
      </w:pBdr>
      <w:tabs>
        <w:tab w:val="center" w:pos="4320"/>
        <w:tab w:val="right" w:pos="8640"/>
      </w:tabs>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44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56A" w:rsidRDefault="00177189">
    <w:pPr>
      <w:pBdr>
        <w:top w:val="nil"/>
        <w:left w:val="nil"/>
        <w:bottom w:val="nil"/>
        <w:right w:val="nil"/>
        <w:between w:val="nil"/>
      </w:pBdr>
      <w:tabs>
        <w:tab w:val="center" w:pos="4320"/>
        <w:tab w:val="right" w:pos="8640"/>
      </w:tabs>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44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56A" w:rsidRDefault="00177189">
    <w:pPr>
      <w:ind w:left="2160"/>
      <w:jc w:val="center"/>
      <w:rPr>
        <w:rFonts w:ascii="Times New Roman" w:eastAsia="Times New Roman" w:hAnsi="Times New Roman" w:cs="Times New Roman"/>
        <w:i/>
        <w:iCs/>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44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rsidR="005E256A" w:rsidRDefault="001A204C">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5E256A" w:rsidRDefault="001A204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5E256A" w:rsidRDefault="001A204C">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5E256A" w:rsidRDefault="001A204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5E256A" w:rsidRDefault="001A204C">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5E256A" w:rsidRDefault="001A204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189" w:rsidRDefault="001771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44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189" w:rsidRDefault="001771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44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189" w:rsidRDefault="0017718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744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3812A3"/>
    <w:multiLevelType w:val="multilevel"/>
    <w:tmpl w:val="53DEF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EF24B1"/>
    <w:multiLevelType w:val="hybridMultilevel"/>
    <w:tmpl w:val="90F0DC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B1B04DF"/>
    <w:multiLevelType w:val="multilevel"/>
    <w:tmpl w:val="1A2C7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824583"/>
    <w:multiLevelType w:val="multilevel"/>
    <w:tmpl w:val="112AD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56A"/>
    <w:rsid w:val="0017348E"/>
    <w:rsid w:val="00177189"/>
    <w:rsid w:val="001A204C"/>
    <w:rsid w:val="005E256A"/>
    <w:rsid w:val="007E6492"/>
    <w:rsid w:val="009D0807"/>
    <w:rsid w:val="00B55BD8"/>
    <w:rsid w:val="00C84654"/>
    <w:rsid w:val="00DD0582"/>
    <w:rsid w:val="00DF6A63"/>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23D2893C-7E1E-4F71-843A-012ECF626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IN" w:bidi="as-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9D0807"/>
    <w:pPr>
      <w:ind w:left="720"/>
      <w:contextualSpacing/>
    </w:pPr>
    <w:rPr>
      <w:szCs w:val="25"/>
    </w:rPr>
  </w:style>
  <w:style w:type="character" w:styleId="Hyperlink">
    <w:name w:val="Hyperlink"/>
    <w:basedOn w:val="DefaultParagraphFont"/>
    <w:uiPriority w:val="99"/>
    <w:unhideWhenUsed/>
    <w:rsid w:val="009D0807"/>
    <w:rPr>
      <w:color w:val="0000FF" w:themeColor="hyperlink"/>
      <w:u w:val="single"/>
    </w:rPr>
  </w:style>
  <w:style w:type="character" w:customStyle="1" w:styleId="UnresolvedMention1">
    <w:name w:val="Unresolved Mention1"/>
    <w:basedOn w:val="DefaultParagraphFont"/>
    <w:uiPriority w:val="99"/>
    <w:semiHidden/>
    <w:unhideWhenUsed/>
    <w:rsid w:val="009D0807"/>
    <w:rPr>
      <w:color w:val="605E5C"/>
      <w:shd w:val="clear" w:color="auto" w:fill="E1DFDD"/>
    </w:rPr>
  </w:style>
  <w:style w:type="paragraph" w:styleId="Footer">
    <w:name w:val="footer"/>
    <w:basedOn w:val="Normal"/>
    <w:link w:val="FooterChar"/>
    <w:uiPriority w:val="99"/>
    <w:unhideWhenUsed/>
    <w:rsid w:val="00177189"/>
    <w:pPr>
      <w:tabs>
        <w:tab w:val="center" w:pos="4680"/>
        <w:tab w:val="right" w:pos="9360"/>
      </w:tabs>
    </w:pPr>
    <w:rPr>
      <w:szCs w:val="25"/>
    </w:rPr>
  </w:style>
  <w:style w:type="character" w:customStyle="1" w:styleId="FooterChar">
    <w:name w:val="Footer Char"/>
    <w:basedOn w:val="DefaultParagraphFont"/>
    <w:link w:val="Footer"/>
    <w:uiPriority w:val="99"/>
    <w:rsid w:val="00177189"/>
    <w:rPr>
      <w:szCs w:val="25"/>
    </w:rPr>
  </w:style>
  <w:style w:type="paragraph" w:styleId="Header">
    <w:name w:val="header"/>
    <w:basedOn w:val="Normal"/>
    <w:link w:val="HeaderChar"/>
    <w:uiPriority w:val="99"/>
    <w:unhideWhenUsed/>
    <w:rsid w:val="00177189"/>
    <w:pPr>
      <w:tabs>
        <w:tab w:val="center" w:pos="4680"/>
        <w:tab w:val="right" w:pos="9360"/>
      </w:tabs>
    </w:pPr>
    <w:rPr>
      <w:szCs w:val="25"/>
    </w:rPr>
  </w:style>
  <w:style w:type="character" w:customStyle="1" w:styleId="HeaderChar">
    <w:name w:val="Header Char"/>
    <w:basedOn w:val="DefaultParagraphFont"/>
    <w:link w:val="Header"/>
    <w:uiPriority w:val="99"/>
    <w:rsid w:val="00177189"/>
    <w:rPr>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hyperlink" Target="https://doi.org/10.3390/nu12071955" TargetMode="External"/><Relationship Id="rId21" Type="http://schemas.openxmlformats.org/officeDocument/2006/relationships/hyperlink" Target="https://doi.org/10.1017/S1368980022001586" TargetMode="External"/><Relationship Id="rId34" Type="http://schemas.openxmlformats.org/officeDocument/2006/relationships/hyperlink" Target="https://doi.org/10.1016/S0140-6736(07)61602-X"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hyperlink" Target="https://www.fao.org/documents/card/en/c/ca5644en/" TargetMode="External"/><Relationship Id="rId33" Type="http://schemas.openxmlformats.org/officeDocument/2006/relationships/hyperlink" Target="https://training.cochrane.org/handbook" TargetMode="Externa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yperlink" Target="https://doi.org/10.1007/s00394-019-01970-1" TargetMode="External"/><Relationship Id="rId29" Type="http://schemas.openxmlformats.org/officeDocument/2006/relationships/hyperlink" Target="https://doi.org/10.1038/nri.201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16/S0140-6736(18)31612-X" TargetMode="External"/><Relationship Id="rId32" Type="http://schemas.openxmlformats.org/officeDocument/2006/relationships/hyperlink" Target="https://doi.org/10.1136/bmj.n71"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doi.org/10.1016/S0140-6736(20)30925-9" TargetMode="External"/><Relationship Id="rId28" Type="http://schemas.openxmlformats.org/officeDocument/2006/relationships/hyperlink" Target="https://doi.org/10.1002/wps.20458"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doi.org/10.1186/s12916-019-1312-y" TargetMode="External"/><Relationship Id="rId31" Type="http://schemas.openxmlformats.org/officeDocument/2006/relationships/hyperlink" Target="https://doi.org/10.1017/S136898001700023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yperlink" Target="https://doi.org/10.1001/jamanetworkopen.2023.34770" TargetMode="External"/><Relationship Id="rId27" Type="http://schemas.openxmlformats.org/officeDocument/2006/relationships/hyperlink" Target="https://doi.org/10.1111/obr.13146" TargetMode="External"/><Relationship Id="rId30" Type="http://schemas.openxmlformats.org/officeDocument/2006/relationships/hyperlink" Target="https://doi.org/10.1097/PSY.0000000000000673" TargetMode="External"/><Relationship Id="rId35" Type="http://schemas.openxmlformats.org/officeDocument/2006/relationships/hyperlink" Target="https://doi.org/10.1016/0197-2456(86)90046-2" TargetMode="External"/><Relationship Id="rId8" Type="http://schemas.openxmlformats.org/officeDocument/2006/relationships/header" Target="header2.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4834</Words>
  <Characters>27558</Characters>
  <Application>Microsoft Office Word</Application>
  <DocSecurity>0</DocSecurity>
  <Lines>229</Lines>
  <Paragraphs>64</Paragraphs>
  <ScaleCrop>false</ScaleCrop>
  <Company/>
  <LinksUpToDate>false</LinksUpToDate>
  <CharactersWithSpaces>32328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6</cp:revision>
  <dcterms:created xsi:type="dcterms:W3CDTF">2025-12-05T06:20:00Z</dcterms:created>
  <dcterms:modified xsi:type="dcterms:W3CDTF">2025-12-05T09:56:00Z</dcterms:modified>
</cp:coreProperties>
</file>