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B060E" w14:textId="4B755968" w:rsidR="00FF5D6C" w:rsidRDefault="002E1457" w:rsidP="00687EE0">
      <w:pPr>
        <w:spacing w:after="0" w:line="480" w:lineRule="auto"/>
        <w:jc w:val="center"/>
        <w:rPr>
          <w:rStyle w:val="Strong"/>
          <w:rFonts w:ascii="Times New Roman" w:hAnsi="Times New Roman" w:cs="Times New Roman"/>
          <w:sz w:val="24"/>
          <w:szCs w:val="24"/>
        </w:rPr>
      </w:pPr>
      <w:r w:rsidRPr="00687EE0">
        <w:rPr>
          <w:rFonts w:ascii="Times New Roman" w:hAnsi="Times New Roman" w:cs="Times New Roman"/>
          <w:b/>
          <w:sz w:val="24"/>
          <w:szCs w:val="24"/>
        </w:rPr>
        <w:t>Lifestyle Factors Affecting Albuminuria in Patients with Type 2 Diabete</w:t>
      </w:r>
      <w:r w:rsidR="00687EE0" w:rsidRPr="00687EE0">
        <w:rPr>
          <w:rFonts w:ascii="Times New Roman" w:hAnsi="Times New Roman" w:cs="Times New Roman"/>
          <w:b/>
          <w:sz w:val="24"/>
          <w:szCs w:val="24"/>
        </w:rPr>
        <w:t>s Mellitus</w:t>
      </w:r>
      <w:r w:rsidR="00FF5D6C" w:rsidRPr="00687EE0">
        <w:rPr>
          <w:rStyle w:val="Strong"/>
          <w:rFonts w:ascii="Times New Roman" w:hAnsi="Times New Roman" w:cs="Times New Roman"/>
          <w:sz w:val="24"/>
          <w:szCs w:val="24"/>
        </w:rPr>
        <w:t>: Evidence from a Cross-Sectional Study in Edo State, Nigeria</w:t>
      </w:r>
    </w:p>
    <w:p w14:paraId="122E2DED" w14:textId="77777777" w:rsidR="002F2A54" w:rsidRDefault="002F2A54" w:rsidP="00687EE0">
      <w:pPr>
        <w:spacing w:after="0" w:line="480" w:lineRule="auto"/>
        <w:jc w:val="center"/>
        <w:rPr>
          <w:rStyle w:val="Strong"/>
          <w:rFonts w:ascii="Times New Roman" w:hAnsi="Times New Roman" w:cs="Times New Roman"/>
          <w:sz w:val="24"/>
          <w:szCs w:val="24"/>
        </w:rPr>
      </w:pPr>
    </w:p>
    <w:p w14:paraId="747A7661" w14:textId="77777777" w:rsidR="00997E95" w:rsidRDefault="00997E95" w:rsidP="000953F9">
      <w:pPr>
        <w:pStyle w:val="NormalWeb"/>
        <w:spacing w:before="0" w:beforeAutospacing="0" w:after="0" w:afterAutospacing="0" w:line="480" w:lineRule="auto"/>
        <w:jc w:val="both"/>
        <w:rPr>
          <w:rStyle w:val="Strong"/>
        </w:rPr>
      </w:pPr>
    </w:p>
    <w:p w14:paraId="74CF2CC5" w14:textId="2513679B" w:rsidR="002E1457" w:rsidRPr="00687EE0" w:rsidRDefault="002E1457" w:rsidP="000953F9">
      <w:pPr>
        <w:pStyle w:val="NormalWeb"/>
        <w:spacing w:before="0" w:beforeAutospacing="0" w:after="0" w:afterAutospacing="0" w:line="480" w:lineRule="auto"/>
        <w:jc w:val="both"/>
        <w:rPr>
          <w:rStyle w:val="Strong"/>
        </w:rPr>
      </w:pPr>
      <w:r w:rsidRPr="00687EE0">
        <w:rPr>
          <w:rStyle w:val="Strong"/>
        </w:rPr>
        <w:t xml:space="preserve">Abstract </w:t>
      </w:r>
    </w:p>
    <w:p w14:paraId="4AF57F5F" w14:textId="0E8B5FC3" w:rsidR="002E1457" w:rsidRPr="00687EE0" w:rsidRDefault="002E1457" w:rsidP="000953F9">
      <w:pPr>
        <w:pStyle w:val="NormalWeb"/>
        <w:spacing w:before="0" w:beforeAutospacing="0" w:after="0" w:afterAutospacing="0" w:line="480" w:lineRule="auto"/>
        <w:jc w:val="both"/>
      </w:pPr>
      <w:r w:rsidRPr="00687EE0">
        <w:rPr>
          <w:rStyle w:val="Strong"/>
        </w:rPr>
        <w:t>Background</w:t>
      </w:r>
      <w:r w:rsidRPr="00687EE0">
        <w:br/>
        <w:t>Albuminuria is a strong predictor of diabetic nephropathy. Lifestyle factors may influence its development and progression. This study assessed the association between lifestyle factors and albuminuria among patients with T2DM in Edo State, Nigeria.</w:t>
      </w:r>
    </w:p>
    <w:p w14:paraId="47243874" w14:textId="29BEC779" w:rsidR="002E1457" w:rsidRPr="00687EE0" w:rsidRDefault="002E1457" w:rsidP="000953F9">
      <w:pPr>
        <w:pStyle w:val="NormalWeb"/>
        <w:spacing w:before="0" w:beforeAutospacing="0" w:after="0" w:afterAutospacing="0" w:line="480" w:lineRule="auto"/>
        <w:jc w:val="both"/>
      </w:pPr>
      <w:r w:rsidRPr="00687EE0">
        <w:rPr>
          <w:rStyle w:val="Strong"/>
        </w:rPr>
        <w:t>Methods</w:t>
      </w:r>
      <w:r w:rsidRPr="00687EE0">
        <w:br/>
        <w:t>An analytic cross-sectional study was conducted among 778 adults aged 18–65 years with T2DM attending two tertiary hospitals in Edo State between May and July 2025. Data were collected using an interviewer-administered questionnaire and albuminuria assess</w:t>
      </w:r>
      <w:r w:rsidR="008D4FFC">
        <w:t>ed</w:t>
      </w:r>
      <w:r w:rsidRPr="00687EE0">
        <w:t xml:space="preserve"> using </w:t>
      </w:r>
      <w:proofErr w:type="spellStart"/>
      <w:r w:rsidRPr="00687EE0">
        <w:t>Albustix</w:t>
      </w:r>
      <w:proofErr w:type="spellEnd"/>
      <w:r w:rsidRPr="00687EE0">
        <w:t xml:space="preserve"> test strips. Associations between lifestyle factors and albuminuria were examined using chi-square tests and logistic regression analysis.</w:t>
      </w:r>
    </w:p>
    <w:p w14:paraId="539684EB" w14:textId="6B666452" w:rsidR="002E1457" w:rsidRPr="00687EE0" w:rsidRDefault="002E1457" w:rsidP="000953F9">
      <w:pPr>
        <w:pStyle w:val="NormalWeb"/>
        <w:spacing w:before="0" w:beforeAutospacing="0" w:after="0" w:afterAutospacing="0" w:line="480" w:lineRule="auto"/>
        <w:jc w:val="both"/>
      </w:pPr>
      <w:r w:rsidRPr="00687EE0">
        <w:rPr>
          <w:rStyle w:val="Strong"/>
        </w:rPr>
        <w:t>Results</w:t>
      </w:r>
      <w:r w:rsidRPr="00687EE0">
        <w:br/>
        <w:t>The mean age of respondents was 45 ± 12 years, with 58.1% females. Albuminuria was detected in 134 participants (17.2%). Significant associations were observed between albuminuria and inadequate dietary habits (p&lt;0.0001), obesity (p=0.012), inadequate sleep (p=0.0006), smoking (p=0.006), and alcohol intake (p=0.0005). Logistic regression revealed that inadequate diet, obesity, inadequate sleep, smoking</w:t>
      </w:r>
      <w:r w:rsidR="00F7257A">
        <w:t>, and alcohol consumption</w:t>
      </w:r>
      <w:r w:rsidRPr="00687EE0">
        <w:t xml:space="preserve"> independently predicted albuminuria.</w:t>
      </w:r>
    </w:p>
    <w:p w14:paraId="50760FD9" w14:textId="6546CC3D" w:rsidR="002E1457" w:rsidRPr="00687EE0" w:rsidRDefault="002E1457" w:rsidP="000953F9">
      <w:pPr>
        <w:pStyle w:val="NormalWeb"/>
        <w:spacing w:before="0" w:beforeAutospacing="0" w:after="0" w:afterAutospacing="0" w:line="480" w:lineRule="auto"/>
        <w:jc w:val="both"/>
      </w:pPr>
      <w:r w:rsidRPr="00687EE0">
        <w:rPr>
          <w:rStyle w:val="Strong"/>
        </w:rPr>
        <w:lastRenderedPageBreak/>
        <w:t>Conclusion</w:t>
      </w:r>
      <w:r w:rsidRPr="00687EE0">
        <w:br/>
        <w:t>Albuminuria was prevalent among patients with T2DM in Edo State</w:t>
      </w:r>
      <w:r w:rsidR="00CA4296">
        <w:t>, Nigeria</w:t>
      </w:r>
      <w:r w:rsidRPr="00687EE0">
        <w:t xml:space="preserve"> and was significantly influenced by modifiable lifestyle factors. </w:t>
      </w:r>
      <w:r w:rsidR="00F7257A">
        <w:t>Lifestyle modification</w:t>
      </w:r>
      <w:r w:rsidRPr="00687EE0">
        <w:t xml:space="preserve"> could help reduce the burden of diabetic nephropathy and its complications.</w:t>
      </w:r>
    </w:p>
    <w:p w14:paraId="5C4AE7EC" w14:textId="77777777" w:rsidR="002E1457" w:rsidRPr="00687EE0" w:rsidRDefault="002E1457" w:rsidP="000953F9">
      <w:pPr>
        <w:pStyle w:val="NormalWeb"/>
        <w:spacing w:before="0" w:beforeAutospacing="0" w:after="0" w:afterAutospacing="0" w:line="480" w:lineRule="auto"/>
        <w:jc w:val="both"/>
      </w:pPr>
      <w:r w:rsidRPr="00687EE0">
        <w:rPr>
          <w:rStyle w:val="Strong"/>
        </w:rPr>
        <w:t>Keywords:</w:t>
      </w:r>
      <w:r w:rsidRPr="00687EE0">
        <w:t xml:space="preserve"> Type 2 diabetes mellitus, Albuminuria, Lifestyle factors, Nephropathy, Nigeria</w:t>
      </w:r>
    </w:p>
    <w:p w14:paraId="40B03EBF" w14:textId="77777777" w:rsidR="004532F7" w:rsidRPr="00687EE0" w:rsidRDefault="004532F7" w:rsidP="000953F9">
      <w:pPr>
        <w:spacing w:after="0" w:line="480" w:lineRule="auto"/>
        <w:jc w:val="center"/>
        <w:rPr>
          <w:rFonts w:ascii="Times New Roman" w:hAnsi="Times New Roman" w:cs="Times New Roman"/>
          <w:b/>
          <w:sz w:val="24"/>
          <w:szCs w:val="24"/>
        </w:rPr>
      </w:pPr>
    </w:p>
    <w:p w14:paraId="4BBEC02E" w14:textId="77777777" w:rsidR="00CF427A" w:rsidRPr="00687EE0" w:rsidRDefault="00CF427A" w:rsidP="00CF427A">
      <w:pPr>
        <w:spacing w:after="0" w:line="480" w:lineRule="auto"/>
        <w:ind w:firstLine="20"/>
        <w:rPr>
          <w:rFonts w:ascii="Times New Roman" w:hAnsi="Times New Roman" w:cs="Times New Roman"/>
          <w:sz w:val="24"/>
          <w:szCs w:val="24"/>
        </w:rPr>
      </w:pPr>
      <w:r w:rsidRPr="00687EE0">
        <w:rPr>
          <w:rFonts w:ascii="Times New Roman" w:eastAsia="Calibri" w:hAnsi="Times New Roman" w:cs="Times New Roman"/>
          <w:b/>
          <w:color w:val="000000"/>
          <w:sz w:val="24"/>
          <w:szCs w:val="24"/>
        </w:rPr>
        <w:t>Introduction</w:t>
      </w:r>
    </w:p>
    <w:p w14:paraId="6FDF8CB5" w14:textId="77777777" w:rsidR="00CF427A" w:rsidRPr="00687EE0" w:rsidRDefault="00CF427A" w:rsidP="00CF427A">
      <w:pPr>
        <w:spacing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Diabetes mellitus (DM) is a major public health problem that is determined with impaired carbohydrate metabolism, protein, and fat due to unstable insulin secretion, insulin resistance secretion, or both </w:t>
      </w:r>
      <w:r w:rsidR="00AE5382" w:rsidRPr="00687EE0">
        <w:rPr>
          <w:rFonts w:ascii="Times New Roman" w:hAnsi="Times New Roman" w:cs="Times New Roman"/>
          <w:noProof/>
          <w:sz w:val="24"/>
          <w:szCs w:val="24"/>
        </w:rPr>
        <w:t>[1]</w:t>
      </w:r>
      <w:r w:rsidRPr="00687EE0">
        <w:rPr>
          <w:rFonts w:ascii="Times New Roman" w:hAnsi="Times New Roman" w:cs="Times New Roman"/>
          <w:sz w:val="24"/>
          <w:szCs w:val="24"/>
        </w:rPr>
        <w:t xml:space="preserve">. </w:t>
      </w:r>
      <w:r w:rsidRPr="00687EE0">
        <w:rPr>
          <w:rFonts w:ascii="Times New Roman" w:eastAsia="Calibri" w:hAnsi="Times New Roman" w:cs="Times New Roman"/>
          <w:color w:val="000000"/>
          <w:sz w:val="24"/>
          <w:szCs w:val="24"/>
        </w:rPr>
        <w:t>There is a rapid rise in global prevalence of diabetes, posing a signifi</w:t>
      </w:r>
      <w:r w:rsidR="00AE5382" w:rsidRPr="00687EE0">
        <w:rPr>
          <w:rFonts w:ascii="Times New Roman" w:eastAsia="Calibri" w:hAnsi="Times New Roman" w:cs="Times New Roman"/>
          <w:color w:val="000000"/>
          <w:sz w:val="24"/>
          <w:szCs w:val="24"/>
        </w:rPr>
        <w:t>cant public health challenge [2]</w:t>
      </w:r>
      <w:r w:rsidRPr="00687EE0">
        <w:rPr>
          <w:rFonts w:ascii="Times New Roman" w:eastAsia="Calibri" w:hAnsi="Times New Roman" w:cs="Times New Roman"/>
          <w:color w:val="000000"/>
          <w:sz w:val="24"/>
          <w:szCs w:val="24"/>
        </w:rPr>
        <w:t xml:space="preserve">. In line with the International Diabetes Federation (IDF) Diabetes Atlas - 10th edition, 537million individuals worldwide were living with diabetes in 2021, with a global </w:t>
      </w:r>
      <w:r w:rsidR="00AE5382" w:rsidRPr="00687EE0">
        <w:rPr>
          <w:rFonts w:ascii="Times New Roman" w:eastAsia="Calibri" w:hAnsi="Times New Roman" w:cs="Times New Roman"/>
          <w:color w:val="000000"/>
          <w:sz w:val="24"/>
          <w:szCs w:val="24"/>
        </w:rPr>
        <w:t>prevalence now exceeding 10% [3]</w:t>
      </w:r>
      <w:r w:rsidRPr="00687EE0">
        <w:rPr>
          <w:rFonts w:ascii="Times New Roman" w:eastAsia="Calibri" w:hAnsi="Times New Roman" w:cs="Times New Roman"/>
          <w:color w:val="000000"/>
          <w:sz w:val="24"/>
          <w:szCs w:val="24"/>
        </w:rPr>
        <w:t>. Projections indicate that, in Africa, the number of people with diabetes w</w:t>
      </w:r>
      <w:r w:rsidR="00AE5382" w:rsidRPr="00687EE0">
        <w:rPr>
          <w:rFonts w:ascii="Times New Roman" w:eastAsia="Calibri" w:hAnsi="Times New Roman" w:cs="Times New Roman"/>
          <w:color w:val="000000"/>
          <w:sz w:val="24"/>
          <w:szCs w:val="24"/>
        </w:rPr>
        <w:t>ill increase by 162.5% by 2045 [4]</w:t>
      </w:r>
      <w:r w:rsidRPr="00687EE0">
        <w:rPr>
          <w:rFonts w:ascii="Times New Roman" w:eastAsia="Calibri" w:hAnsi="Times New Roman" w:cs="Times New Roman"/>
          <w:color w:val="000000"/>
          <w:sz w:val="24"/>
          <w:szCs w:val="24"/>
        </w:rPr>
        <w:t xml:space="preserve">. </w:t>
      </w:r>
      <w:r w:rsidRPr="00687EE0">
        <w:rPr>
          <w:rFonts w:ascii="Times New Roman" w:hAnsi="Times New Roman" w:cs="Times New Roman"/>
          <w:sz w:val="24"/>
          <w:szCs w:val="24"/>
        </w:rPr>
        <w:t xml:space="preserve">In Nigeria, the most populous country in Africa, the prevalence of T2DM has been high and still increasing, with the country widely reported as having Africa’s highest burden of diabetes </w:t>
      </w:r>
      <w:r w:rsidR="00AE5382" w:rsidRPr="00687EE0">
        <w:rPr>
          <w:rFonts w:ascii="Times New Roman" w:hAnsi="Times New Roman" w:cs="Times New Roman"/>
          <w:noProof/>
          <w:sz w:val="24"/>
          <w:szCs w:val="24"/>
        </w:rPr>
        <w:t>[4,5]</w:t>
      </w:r>
      <w:r w:rsidRPr="00687EE0">
        <w:rPr>
          <w:rFonts w:ascii="Times New Roman" w:hAnsi="Times New Roman" w:cs="Times New Roman"/>
          <w:sz w:val="24"/>
          <w:szCs w:val="24"/>
        </w:rPr>
        <w:t xml:space="preserve">. This rapid rise in the prevalence of diabetes has been more marked over the past decade and has been attributed to an increase in the average age of the community, hereditary background, unhealthy dietary habits, sedentary lifestyle and increased obesity in line with the growth of urbanization </w:t>
      </w:r>
      <w:r w:rsidR="00AE5382" w:rsidRPr="00687EE0">
        <w:rPr>
          <w:rFonts w:ascii="Times New Roman" w:hAnsi="Times New Roman" w:cs="Times New Roman"/>
          <w:noProof/>
          <w:sz w:val="24"/>
          <w:szCs w:val="24"/>
        </w:rPr>
        <w:t>[6,7]</w:t>
      </w:r>
      <w:r w:rsidRPr="00687EE0">
        <w:rPr>
          <w:rFonts w:ascii="Times New Roman" w:hAnsi="Times New Roman" w:cs="Times New Roman"/>
          <w:sz w:val="24"/>
          <w:szCs w:val="24"/>
        </w:rPr>
        <w:t xml:space="preserve">. </w:t>
      </w:r>
    </w:p>
    <w:p w14:paraId="6E260073" w14:textId="77777777" w:rsidR="00CF427A" w:rsidRPr="00687EE0" w:rsidRDefault="00CF427A" w:rsidP="00CF427A">
      <w:pPr>
        <w:spacing w:before="224" w:after="0" w:line="480" w:lineRule="auto"/>
        <w:ind w:left="20" w:right="80"/>
        <w:jc w:val="both"/>
        <w:rPr>
          <w:rFonts w:ascii="Times New Roman" w:hAnsi="Times New Roman" w:cs="Times New Roman"/>
          <w:color w:val="000000"/>
          <w:sz w:val="24"/>
          <w:szCs w:val="24"/>
        </w:rPr>
      </w:pPr>
      <w:r w:rsidRPr="00687EE0">
        <w:rPr>
          <w:rFonts w:ascii="Times New Roman" w:hAnsi="Times New Roman" w:cs="Times New Roman"/>
          <w:sz w:val="24"/>
          <w:szCs w:val="24"/>
        </w:rPr>
        <w:t xml:space="preserve">DM and its complications are among the most important causes of mortality. </w:t>
      </w:r>
      <w:r w:rsidRPr="00687EE0">
        <w:rPr>
          <w:rFonts w:ascii="Times New Roman" w:eastAsia="Calibri" w:hAnsi="Times New Roman" w:cs="Times New Roman"/>
          <w:color w:val="000000"/>
          <w:sz w:val="24"/>
          <w:szCs w:val="24"/>
        </w:rPr>
        <w:t xml:space="preserve">Research indicates that 20 to 40% of individuals with type 2 DM will </w:t>
      </w:r>
      <w:r w:rsidR="00AE5382" w:rsidRPr="00687EE0">
        <w:rPr>
          <w:rFonts w:ascii="Times New Roman" w:eastAsia="Calibri" w:hAnsi="Times New Roman" w:cs="Times New Roman"/>
          <w:color w:val="000000"/>
          <w:sz w:val="24"/>
          <w:szCs w:val="24"/>
        </w:rPr>
        <w:t>eventually develop nephropathy [8]</w:t>
      </w:r>
      <w:r w:rsidRPr="00687EE0">
        <w:rPr>
          <w:rFonts w:ascii="Times New Roman" w:eastAsia="Calibri" w:hAnsi="Times New Roman" w:cs="Times New Roman"/>
          <w:color w:val="000000"/>
          <w:sz w:val="24"/>
          <w:szCs w:val="24"/>
        </w:rPr>
        <w:t>. The progression of DN occurs in several stages, beginning with microalbuminuria, which can advance to overt proteinuria</w:t>
      </w:r>
      <w:r w:rsidR="00AE5382" w:rsidRPr="00687EE0">
        <w:rPr>
          <w:rFonts w:ascii="Times New Roman" w:eastAsia="Calibri" w:hAnsi="Times New Roman" w:cs="Times New Roman"/>
          <w:color w:val="000000"/>
          <w:sz w:val="24"/>
          <w:szCs w:val="24"/>
        </w:rPr>
        <w:t xml:space="preserve"> and ultimately result in ESRD [9]</w:t>
      </w:r>
      <w:r w:rsidRPr="00687EE0">
        <w:rPr>
          <w:rFonts w:ascii="Times New Roman" w:eastAsia="Calibri" w:hAnsi="Times New Roman" w:cs="Times New Roman"/>
          <w:color w:val="000000"/>
          <w:sz w:val="24"/>
          <w:szCs w:val="24"/>
        </w:rPr>
        <w:t xml:space="preserve">. Diabetic nephropathy typically follows an </w:t>
      </w:r>
      <w:r w:rsidRPr="00687EE0">
        <w:rPr>
          <w:rFonts w:ascii="Times New Roman" w:eastAsia="Calibri" w:hAnsi="Times New Roman" w:cs="Times New Roman"/>
          <w:color w:val="000000"/>
          <w:sz w:val="24"/>
          <w:szCs w:val="24"/>
        </w:rPr>
        <w:lastRenderedPageBreak/>
        <w:t>irreversible course from the onset o</w:t>
      </w:r>
      <w:r w:rsidR="00AE5382" w:rsidRPr="00687EE0">
        <w:rPr>
          <w:rFonts w:ascii="Times New Roman" w:eastAsia="Calibri" w:hAnsi="Times New Roman" w:cs="Times New Roman"/>
          <w:color w:val="000000"/>
          <w:sz w:val="24"/>
          <w:szCs w:val="24"/>
        </w:rPr>
        <w:t>f clinical proteinuria to ESRD [10]</w:t>
      </w:r>
      <w:r w:rsidRPr="00687EE0">
        <w:rPr>
          <w:rFonts w:ascii="Times New Roman" w:eastAsia="Calibri" w:hAnsi="Times New Roman" w:cs="Times New Roman"/>
          <w:color w:val="000000"/>
          <w:sz w:val="24"/>
          <w:szCs w:val="24"/>
        </w:rPr>
        <w:t>. However, studies have shown that early detection, combined with medical management and appropriate lifestyle modifications, can halt or even reverse the progression from microa</w:t>
      </w:r>
      <w:r w:rsidR="00AE5382" w:rsidRPr="00687EE0">
        <w:rPr>
          <w:rFonts w:ascii="Times New Roman" w:eastAsia="Calibri" w:hAnsi="Times New Roman" w:cs="Times New Roman"/>
          <w:color w:val="000000"/>
          <w:sz w:val="24"/>
          <w:szCs w:val="24"/>
        </w:rPr>
        <w:t>lbuminuria to macroalbuminuria [11]</w:t>
      </w:r>
      <w:r w:rsidRPr="00687EE0">
        <w:rPr>
          <w:rFonts w:ascii="Times New Roman" w:eastAsia="Calibri" w:hAnsi="Times New Roman" w:cs="Times New Roman"/>
          <w:color w:val="000000"/>
          <w:sz w:val="24"/>
          <w:szCs w:val="24"/>
        </w:rPr>
        <w:t xml:space="preserve">. </w:t>
      </w:r>
    </w:p>
    <w:p w14:paraId="42EC2FFE" w14:textId="77777777" w:rsidR="00CF427A" w:rsidRPr="00687EE0" w:rsidRDefault="00CF427A" w:rsidP="00CF427A">
      <w:pPr>
        <w:spacing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Albuminuria is often detected in hypertension and diabetes, both of which are also risk factors for cardiovascular disease (CVD) </w:t>
      </w:r>
      <w:r w:rsidR="00AE5382" w:rsidRPr="00687EE0">
        <w:rPr>
          <w:rFonts w:ascii="Times New Roman" w:hAnsi="Times New Roman" w:cs="Times New Roman"/>
          <w:noProof/>
          <w:sz w:val="24"/>
          <w:szCs w:val="24"/>
        </w:rPr>
        <w:t>[12]</w:t>
      </w:r>
      <w:r w:rsidRPr="00687EE0">
        <w:rPr>
          <w:rFonts w:ascii="Times New Roman" w:hAnsi="Times New Roman" w:cs="Times New Roman"/>
          <w:sz w:val="24"/>
          <w:szCs w:val="24"/>
        </w:rPr>
        <w:t xml:space="preserve">. Albuminuria has a strong, independent association with hypertension and diabetes. Among 9198 patients in a primary care setting, albuminuria (based on test strips that detect ≥20 mg/L urine albumin concentrations) was found in 43% of patients with hypertension only and 51% of patients with diabetes only; patients with both conditions had the highest prevalence of albuminuria (58%) </w:t>
      </w:r>
      <w:r w:rsidR="00AE5382" w:rsidRPr="00687EE0">
        <w:rPr>
          <w:rFonts w:ascii="Times New Roman" w:hAnsi="Times New Roman" w:cs="Times New Roman"/>
          <w:noProof/>
          <w:sz w:val="24"/>
          <w:szCs w:val="24"/>
        </w:rPr>
        <w:t>[13]</w:t>
      </w:r>
      <w:r w:rsidRPr="00687EE0">
        <w:rPr>
          <w:rFonts w:ascii="Times New Roman" w:hAnsi="Times New Roman" w:cs="Times New Roman"/>
          <w:sz w:val="24"/>
          <w:szCs w:val="24"/>
        </w:rPr>
        <w:t>.</w:t>
      </w:r>
    </w:p>
    <w:p w14:paraId="79F9F29F" w14:textId="77777777" w:rsidR="00CF427A" w:rsidRPr="00687EE0" w:rsidRDefault="00CF427A" w:rsidP="00CF427A">
      <w:pPr>
        <w:spacing w:before="17" w:after="0" w:line="480" w:lineRule="auto"/>
        <w:ind w:left="20" w:right="140" w:firstLine="20"/>
        <w:jc w:val="both"/>
        <w:rPr>
          <w:rFonts w:ascii="Times New Roman" w:hAnsi="Times New Roman" w:cs="Times New Roman"/>
          <w:color w:val="000000"/>
          <w:sz w:val="24"/>
          <w:szCs w:val="24"/>
        </w:rPr>
      </w:pPr>
      <w:r w:rsidRPr="00687EE0">
        <w:rPr>
          <w:rFonts w:ascii="Times New Roman" w:eastAsia="Calibri" w:hAnsi="Times New Roman" w:cs="Times New Roman"/>
          <w:color w:val="000000"/>
          <w:sz w:val="24"/>
          <w:szCs w:val="24"/>
        </w:rPr>
        <w:t>This study is aimed at determining the association between lifestyle factors and albuminuria in T2DM patients in order to implement lifestyle modification strategies for the reduction of renal and cardiovascular complications in patients with T2DM.</w:t>
      </w:r>
    </w:p>
    <w:p w14:paraId="04DDA551" w14:textId="77777777" w:rsidR="00395AEE" w:rsidRPr="00687EE0" w:rsidRDefault="00395AEE" w:rsidP="000953F9">
      <w:pPr>
        <w:spacing w:after="0" w:line="480" w:lineRule="auto"/>
        <w:rPr>
          <w:rFonts w:ascii="Times New Roman" w:hAnsi="Times New Roman" w:cs="Times New Roman"/>
          <w:b/>
          <w:sz w:val="24"/>
          <w:szCs w:val="24"/>
        </w:rPr>
      </w:pPr>
    </w:p>
    <w:p w14:paraId="461BC8F3" w14:textId="77777777" w:rsidR="00395AEE" w:rsidRPr="00687EE0" w:rsidRDefault="00395AEE" w:rsidP="000953F9">
      <w:pPr>
        <w:spacing w:after="0" w:line="480" w:lineRule="auto"/>
        <w:rPr>
          <w:rFonts w:ascii="Times New Roman" w:hAnsi="Times New Roman" w:cs="Times New Roman"/>
          <w:b/>
          <w:sz w:val="24"/>
          <w:szCs w:val="24"/>
        </w:rPr>
      </w:pPr>
    </w:p>
    <w:p w14:paraId="32F8F8C8" w14:textId="77777777" w:rsidR="0063058E" w:rsidRPr="00687EE0" w:rsidRDefault="0063058E" w:rsidP="000953F9">
      <w:pPr>
        <w:spacing w:after="0" w:line="480" w:lineRule="auto"/>
        <w:rPr>
          <w:rFonts w:ascii="Times New Roman" w:hAnsi="Times New Roman" w:cs="Times New Roman"/>
          <w:b/>
          <w:sz w:val="24"/>
          <w:szCs w:val="24"/>
        </w:rPr>
      </w:pPr>
      <w:r w:rsidRPr="00687EE0">
        <w:rPr>
          <w:rFonts w:ascii="Times New Roman" w:hAnsi="Times New Roman" w:cs="Times New Roman"/>
          <w:b/>
          <w:sz w:val="24"/>
          <w:szCs w:val="24"/>
        </w:rPr>
        <w:t>Methodology</w:t>
      </w:r>
    </w:p>
    <w:p w14:paraId="146CD6B8" w14:textId="77777777" w:rsidR="0063058E"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 xml:space="preserve">Study </w:t>
      </w:r>
      <w:r w:rsidR="00FF5D6C" w:rsidRPr="00687EE0">
        <w:rPr>
          <w:rFonts w:ascii="Times New Roman" w:hAnsi="Times New Roman" w:cs="Times New Roman"/>
          <w:b/>
          <w:sz w:val="24"/>
          <w:szCs w:val="24"/>
        </w:rPr>
        <w:t xml:space="preserve">Design and </w:t>
      </w:r>
      <w:r w:rsidRPr="00687EE0">
        <w:rPr>
          <w:rFonts w:ascii="Times New Roman" w:hAnsi="Times New Roman" w:cs="Times New Roman"/>
          <w:b/>
          <w:sz w:val="24"/>
          <w:szCs w:val="24"/>
        </w:rPr>
        <w:t>Setting</w:t>
      </w:r>
      <w:r w:rsidR="00FF5D6C" w:rsidRPr="00687EE0">
        <w:rPr>
          <w:rFonts w:ascii="Times New Roman" w:hAnsi="Times New Roman" w:cs="Times New Roman"/>
          <w:b/>
          <w:sz w:val="24"/>
          <w:szCs w:val="24"/>
        </w:rPr>
        <w:t xml:space="preserve"> </w:t>
      </w:r>
    </w:p>
    <w:p w14:paraId="2E75FDF4" w14:textId="77777777" w:rsidR="00D31D7F"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sz w:val="24"/>
          <w:szCs w:val="24"/>
        </w:rPr>
        <w:t>The study w</w:t>
      </w:r>
      <w:r w:rsidR="008B35F8" w:rsidRPr="00687EE0">
        <w:rPr>
          <w:rFonts w:ascii="Times New Roman" w:hAnsi="Times New Roman" w:cs="Times New Roman"/>
          <w:sz w:val="24"/>
          <w:szCs w:val="24"/>
        </w:rPr>
        <w:t>as</w:t>
      </w:r>
      <w:r w:rsidRPr="00687EE0">
        <w:rPr>
          <w:rFonts w:ascii="Times New Roman" w:hAnsi="Times New Roman" w:cs="Times New Roman"/>
          <w:sz w:val="24"/>
          <w:szCs w:val="24"/>
        </w:rPr>
        <w:t xml:space="preserve"> </w:t>
      </w:r>
      <w:r w:rsidR="00CA78F6" w:rsidRPr="00687EE0">
        <w:rPr>
          <w:rFonts w:ascii="Times New Roman" w:hAnsi="Times New Roman" w:cs="Times New Roman"/>
          <w:sz w:val="24"/>
          <w:szCs w:val="24"/>
        </w:rPr>
        <w:t xml:space="preserve">an analytic </w:t>
      </w:r>
      <w:r w:rsidR="00FF5D6C" w:rsidRPr="00687EE0">
        <w:rPr>
          <w:rFonts w:ascii="Times New Roman" w:hAnsi="Times New Roman" w:cs="Times New Roman"/>
          <w:sz w:val="24"/>
          <w:szCs w:val="24"/>
        </w:rPr>
        <w:t>cross-sectional</w:t>
      </w:r>
      <w:r w:rsidR="00CA78F6" w:rsidRPr="00687EE0">
        <w:rPr>
          <w:rFonts w:ascii="Times New Roman" w:hAnsi="Times New Roman" w:cs="Times New Roman"/>
          <w:sz w:val="24"/>
          <w:szCs w:val="24"/>
        </w:rPr>
        <w:t xml:space="preserve"> study </w:t>
      </w:r>
      <w:r w:rsidRPr="00687EE0">
        <w:rPr>
          <w:rFonts w:ascii="Times New Roman" w:hAnsi="Times New Roman" w:cs="Times New Roman"/>
          <w:sz w:val="24"/>
          <w:szCs w:val="24"/>
        </w:rPr>
        <w:t xml:space="preserve">conducted in the general outpatient clinics (GOPC) of </w:t>
      </w:r>
      <w:r w:rsidR="00CA78F6" w:rsidRPr="00687EE0">
        <w:rPr>
          <w:rFonts w:ascii="Times New Roman" w:hAnsi="Times New Roman" w:cs="Times New Roman"/>
          <w:sz w:val="24"/>
          <w:szCs w:val="24"/>
        </w:rPr>
        <w:t xml:space="preserve">Edo State University Teaching Hospital (EDSUTH), </w:t>
      </w:r>
      <w:proofErr w:type="spellStart"/>
      <w:r w:rsidR="00CA78F6" w:rsidRPr="00687EE0">
        <w:rPr>
          <w:rFonts w:ascii="Times New Roman" w:hAnsi="Times New Roman" w:cs="Times New Roman"/>
          <w:sz w:val="24"/>
          <w:szCs w:val="24"/>
        </w:rPr>
        <w:t>Auchi</w:t>
      </w:r>
      <w:proofErr w:type="spellEnd"/>
      <w:r w:rsidR="00CA78F6" w:rsidRPr="00687EE0">
        <w:rPr>
          <w:rFonts w:ascii="Times New Roman" w:hAnsi="Times New Roman" w:cs="Times New Roman"/>
          <w:sz w:val="24"/>
          <w:szCs w:val="24"/>
        </w:rPr>
        <w:t xml:space="preserve"> and </w:t>
      </w:r>
      <w:proofErr w:type="spellStart"/>
      <w:r w:rsidR="00CA78F6" w:rsidRPr="00687EE0">
        <w:rPr>
          <w:rFonts w:ascii="Times New Roman" w:hAnsi="Times New Roman" w:cs="Times New Roman"/>
          <w:sz w:val="24"/>
          <w:szCs w:val="24"/>
        </w:rPr>
        <w:t>Irrua</w:t>
      </w:r>
      <w:proofErr w:type="spellEnd"/>
      <w:r w:rsidR="00CA78F6" w:rsidRPr="00687EE0">
        <w:rPr>
          <w:rFonts w:ascii="Times New Roman" w:hAnsi="Times New Roman" w:cs="Times New Roman"/>
          <w:sz w:val="24"/>
          <w:szCs w:val="24"/>
        </w:rPr>
        <w:t xml:space="preserve"> Specialist Teaching Hospital (ISTH)</w:t>
      </w:r>
      <w:r w:rsidR="00395AEE"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t>
      </w:r>
      <w:proofErr w:type="spellStart"/>
      <w:r w:rsidR="00CA78F6" w:rsidRPr="00687EE0">
        <w:rPr>
          <w:rFonts w:ascii="Times New Roman" w:hAnsi="Times New Roman" w:cs="Times New Roman"/>
          <w:sz w:val="24"/>
          <w:szCs w:val="24"/>
        </w:rPr>
        <w:t>Irrua</w:t>
      </w:r>
      <w:proofErr w:type="spellEnd"/>
      <w:r w:rsidR="00CA78F6" w:rsidRPr="00687EE0">
        <w:rPr>
          <w:rFonts w:ascii="Times New Roman" w:hAnsi="Times New Roman" w:cs="Times New Roman"/>
          <w:sz w:val="24"/>
          <w:szCs w:val="24"/>
        </w:rPr>
        <w:t>, b</w:t>
      </w:r>
      <w:r w:rsidRPr="00687EE0">
        <w:rPr>
          <w:rFonts w:ascii="Times New Roman" w:hAnsi="Times New Roman" w:cs="Times New Roman"/>
          <w:sz w:val="24"/>
          <w:szCs w:val="24"/>
        </w:rPr>
        <w:t>o</w:t>
      </w:r>
      <w:r w:rsidR="00CA78F6" w:rsidRPr="00687EE0">
        <w:rPr>
          <w:rFonts w:ascii="Times New Roman" w:hAnsi="Times New Roman" w:cs="Times New Roman"/>
          <w:sz w:val="24"/>
          <w:szCs w:val="24"/>
        </w:rPr>
        <w:t>th in Edo State</w:t>
      </w:r>
      <w:r w:rsidR="00395AEE"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with similar population dynamics, </w:t>
      </w:r>
      <w:r w:rsidRPr="00687EE0">
        <w:rPr>
          <w:rFonts w:ascii="Times New Roman" w:hAnsi="Times New Roman" w:cs="Times New Roman"/>
          <w:sz w:val="24"/>
          <w:szCs w:val="24"/>
        </w:rPr>
        <w:t>among newly diagnosed Type 2 DM adult patients presenting to the study facilities during the period of the study.</w:t>
      </w:r>
      <w:r w:rsidR="00CA78F6" w:rsidRPr="00687EE0">
        <w:rPr>
          <w:rFonts w:ascii="Times New Roman" w:hAnsi="Times New Roman" w:cs="Times New Roman"/>
          <w:sz w:val="24"/>
          <w:szCs w:val="24"/>
        </w:rPr>
        <w:t xml:space="preserve"> All consenting adult patients aged 18 to 65 years with T2DM presenting to both facilities were included in the study. Patients with secondary DM, comorbidities like CCF, CLD</w:t>
      </w:r>
      <w:r w:rsidR="00395AEE"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t>
      </w:r>
      <w:r w:rsidR="00395AEE" w:rsidRPr="00687EE0">
        <w:rPr>
          <w:rFonts w:ascii="Times New Roman" w:hAnsi="Times New Roman" w:cs="Times New Roman"/>
          <w:sz w:val="24"/>
          <w:szCs w:val="24"/>
        </w:rPr>
        <w:t>C.T.</w:t>
      </w:r>
      <w:r w:rsidR="00CA78F6" w:rsidRPr="00687EE0">
        <w:rPr>
          <w:rFonts w:ascii="Times New Roman" w:hAnsi="Times New Roman" w:cs="Times New Roman"/>
          <w:sz w:val="24"/>
          <w:szCs w:val="24"/>
        </w:rPr>
        <w:t xml:space="preserve"> </w:t>
      </w:r>
      <w:r w:rsidR="00CA78F6" w:rsidRPr="00687EE0">
        <w:rPr>
          <w:rFonts w:ascii="Times New Roman" w:hAnsi="Times New Roman" w:cs="Times New Roman"/>
          <w:sz w:val="24"/>
          <w:szCs w:val="24"/>
        </w:rPr>
        <w:lastRenderedPageBreak/>
        <w:t>diseases and malignancy, as well as those with proteinuria from UTI</w:t>
      </w:r>
      <w:r w:rsidR="00A5329F"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were excluded from the study.</w:t>
      </w:r>
      <w:r w:rsidR="00D31D7F" w:rsidRPr="00687EE0">
        <w:rPr>
          <w:rFonts w:ascii="Times New Roman" w:hAnsi="Times New Roman" w:cs="Times New Roman"/>
          <w:sz w:val="24"/>
          <w:szCs w:val="24"/>
        </w:rPr>
        <w:t xml:space="preserve"> </w:t>
      </w:r>
    </w:p>
    <w:p w14:paraId="7F9C3A73" w14:textId="77777777" w:rsidR="0092249E" w:rsidRPr="00687EE0" w:rsidRDefault="0092249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 xml:space="preserve">Study participants </w:t>
      </w:r>
    </w:p>
    <w:p w14:paraId="277B528D" w14:textId="77777777" w:rsidR="00980C03" w:rsidRPr="00687EE0" w:rsidRDefault="00980C03" w:rsidP="000953F9">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A total of 778 adults aged 18–65 years with type 2 diabetes mellitus (T2DM) were recruited through convenience sampling. Socio-demographic information and clinical data were collected using a structured interviewer-administered questionnaire complemented by a review of patients’ medical records.</w:t>
      </w:r>
    </w:p>
    <w:p w14:paraId="411ABFF8" w14:textId="77777777" w:rsidR="0092249E" w:rsidRPr="00687EE0" w:rsidRDefault="0092249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Inclusion and exclusion criteria</w:t>
      </w:r>
    </w:p>
    <w:p w14:paraId="3A435147" w14:textId="77777777" w:rsidR="0092249E" w:rsidRPr="00687EE0" w:rsidRDefault="0092249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sz w:val="24"/>
          <w:szCs w:val="24"/>
        </w:rPr>
        <w:t xml:space="preserve"> </w:t>
      </w:r>
      <w:r w:rsidR="00980C03" w:rsidRPr="00687EE0">
        <w:rPr>
          <w:rFonts w:ascii="Times New Roman" w:hAnsi="Times New Roman" w:cs="Times New Roman"/>
          <w:sz w:val="24"/>
          <w:szCs w:val="24"/>
        </w:rPr>
        <w:t>Eligible participants were adults aged 18–65 years with a confirmed diagnosis of type 2 diabetes mellitus (T2DM), including newly diagnosed cases presenting to the study facilities during the study period. Only patients who provided written informed consent were enrolled. Individuals with secondary diabetes, comorbidities such as congestive cardiac failure, chronic liver disease, chronic tuberculosis, or malignancy, as well as those with proteinuria attributable to urinary tract infection, were excluded to minimize confounding and ensure data validity.</w:t>
      </w:r>
    </w:p>
    <w:p w14:paraId="4391F5DF" w14:textId="77777777" w:rsidR="00395AEE" w:rsidRPr="00687EE0" w:rsidRDefault="00395AEE" w:rsidP="000953F9">
      <w:pPr>
        <w:spacing w:after="0" w:line="480" w:lineRule="auto"/>
        <w:jc w:val="both"/>
        <w:rPr>
          <w:rFonts w:ascii="Times New Roman" w:hAnsi="Times New Roman" w:cs="Times New Roman"/>
          <w:b/>
          <w:sz w:val="24"/>
          <w:szCs w:val="24"/>
        </w:rPr>
      </w:pPr>
    </w:p>
    <w:p w14:paraId="51924720" w14:textId="77777777" w:rsidR="0063058E"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Sample Size Determination</w:t>
      </w:r>
    </w:p>
    <w:p w14:paraId="73BF6BAA" w14:textId="77777777" w:rsidR="00F244B2" w:rsidRPr="00687EE0" w:rsidRDefault="0063058E" w:rsidP="000953F9">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The Sample size was calculated </w:t>
      </w:r>
      <w:r w:rsidR="00D31D7F" w:rsidRPr="00687EE0">
        <w:rPr>
          <w:rFonts w:ascii="Times New Roman" w:hAnsi="Times New Roman" w:cs="Times New Roman"/>
          <w:sz w:val="24"/>
          <w:szCs w:val="24"/>
        </w:rPr>
        <w:t xml:space="preserve">to be 706 (353 from each study site) </w:t>
      </w:r>
      <w:r w:rsidRPr="00687EE0">
        <w:rPr>
          <w:rFonts w:ascii="Times New Roman" w:hAnsi="Times New Roman" w:cs="Times New Roman"/>
          <w:sz w:val="24"/>
          <w:szCs w:val="24"/>
        </w:rPr>
        <w:t>usin</w:t>
      </w:r>
      <w:r w:rsidR="00EF67E0" w:rsidRPr="00687EE0">
        <w:rPr>
          <w:rFonts w:ascii="Times New Roman" w:hAnsi="Times New Roman" w:cs="Times New Roman"/>
          <w:sz w:val="24"/>
          <w:szCs w:val="24"/>
        </w:rPr>
        <w:t>g the Cochrane formula below (14</w:t>
      </w:r>
      <w:r w:rsidRPr="00687EE0">
        <w:rPr>
          <w:rFonts w:ascii="Times New Roman" w:hAnsi="Times New Roman" w:cs="Times New Roman"/>
          <w:sz w:val="24"/>
          <w:szCs w:val="24"/>
        </w:rPr>
        <w:t>):</w:t>
      </w:r>
      <w:r w:rsidR="00D31D7F" w:rsidRPr="00687EE0">
        <w:rPr>
          <w:rFonts w:ascii="Times New Roman" w:hAnsi="Times New Roman" w:cs="Times New Roman"/>
          <w:sz w:val="24"/>
          <w:szCs w:val="24"/>
        </w:rPr>
        <w:t xml:space="preserve"> </w:t>
      </w:r>
      <w:r w:rsidRPr="00687EE0">
        <w:rPr>
          <w:rFonts w:ascii="Times New Roman" w:hAnsi="Times New Roman" w:cs="Times New Roman"/>
          <w:sz w:val="24"/>
          <w:szCs w:val="24"/>
        </w:rPr>
        <w:t>N= Zα</w:t>
      </w:r>
      <w:r w:rsidRPr="00687EE0">
        <w:rPr>
          <w:rFonts w:ascii="Times New Roman" w:hAnsi="Times New Roman" w:cs="Times New Roman"/>
          <w:sz w:val="24"/>
          <w:szCs w:val="24"/>
          <w:vertAlign w:val="superscript"/>
        </w:rPr>
        <w:t>2</w:t>
      </w:r>
      <w:r w:rsidRPr="00687EE0">
        <w:rPr>
          <w:rFonts w:ascii="Times New Roman" w:hAnsi="Times New Roman" w:cs="Times New Roman"/>
          <w:sz w:val="24"/>
          <w:szCs w:val="24"/>
        </w:rPr>
        <w:t>pq/d</w:t>
      </w:r>
      <w:r w:rsidRPr="00687EE0">
        <w:rPr>
          <w:rFonts w:ascii="Times New Roman" w:hAnsi="Times New Roman" w:cs="Times New Roman"/>
          <w:sz w:val="24"/>
          <w:szCs w:val="24"/>
          <w:vertAlign w:val="superscript"/>
        </w:rPr>
        <w:t>2</w:t>
      </w:r>
      <w:r w:rsidRPr="00687EE0">
        <w:rPr>
          <w:rFonts w:ascii="Times New Roman" w:hAnsi="Times New Roman" w:cs="Times New Roman"/>
          <w:sz w:val="24"/>
          <w:szCs w:val="24"/>
        </w:rPr>
        <w:t xml:space="preserve">, N= minimum sample size, </w:t>
      </w:r>
      <w:r w:rsidRPr="00687EE0">
        <w:rPr>
          <w:rFonts w:ascii="Times New Roman" w:eastAsia="Times New Roman" w:hAnsi="Times New Roman" w:cs="Times New Roman"/>
          <w:sz w:val="24"/>
          <w:szCs w:val="24"/>
        </w:rPr>
        <w:t>Zα</w:t>
      </w:r>
      <w:r w:rsidRPr="00687EE0">
        <w:rPr>
          <w:rFonts w:ascii="Times New Roman" w:hAnsi="Times New Roman" w:cs="Times New Roman"/>
          <w:sz w:val="24"/>
          <w:szCs w:val="24"/>
        </w:rPr>
        <w:t>= standard normal deviate corresponding to a 5% level of significance (1.96), p= 31.6% (prevalence of microalbuminuria among diabetic patients in a study c</w:t>
      </w:r>
      <w:r w:rsidR="0021014C" w:rsidRPr="00687EE0">
        <w:rPr>
          <w:rFonts w:ascii="Times New Roman" w:hAnsi="Times New Roman" w:cs="Times New Roman"/>
          <w:sz w:val="24"/>
          <w:szCs w:val="24"/>
        </w:rPr>
        <w:t>onducted in Pakistan = 0.32) (15</w:t>
      </w:r>
      <w:r w:rsidRPr="00687EE0">
        <w:rPr>
          <w:rFonts w:ascii="Times New Roman" w:hAnsi="Times New Roman" w:cs="Times New Roman"/>
          <w:sz w:val="24"/>
          <w:szCs w:val="24"/>
        </w:rPr>
        <w:t>),</w:t>
      </w:r>
      <w:r w:rsidRPr="00687EE0">
        <w:rPr>
          <w:rFonts w:ascii="Times New Roman" w:hAnsi="Times New Roman" w:cs="Times New Roman"/>
          <w:sz w:val="24"/>
          <w:szCs w:val="24"/>
          <w:vertAlign w:val="superscript"/>
        </w:rPr>
        <w:t xml:space="preserve"> </w:t>
      </w:r>
      <w:r w:rsidRPr="00687EE0">
        <w:rPr>
          <w:rFonts w:ascii="Times New Roman" w:hAnsi="Times New Roman" w:cs="Times New Roman"/>
          <w:sz w:val="24"/>
          <w:szCs w:val="24"/>
        </w:rPr>
        <w:t xml:space="preserve">q= 1-0.32=0.68, d= </w:t>
      </w:r>
      <w:r w:rsidRPr="00687EE0">
        <w:rPr>
          <w:rFonts w:ascii="Times New Roman" w:eastAsia="SimSun" w:hAnsi="Times New Roman" w:cs="Times New Roman"/>
          <w:sz w:val="24"/>
          <w:szCs w:val="24"/>
          <w:lang w:eastAsia="zh-CN"/>
        </w:rPr>
        <w:t>level o</w:t>
      </w:r>
      <w:r w:rsidR="000953F9" w:rsidRPr="00687EE0">
        <w:rPr>
          <w:rFonts w:ascii="Times New Roman" w:eastAsia="SimSun" w:hAnsi="Times New Roman" w:cs="Times New Roman"/>
          <w:sz w:val="24"/>
          <w:szCs w:val="24"/>
          <w:lang w:eastAsia="zh-CN"/>
        </w:rPr>
        <w:t>f precision which was set as 5%</w:t>
      </w:r>
      <w:r w:rsidR="00D31D7F" w:rsidRPr="00687EE0">
        <w:rPr>
          <w:rFonts w:ascii="Times New Roman" w:hAnsi="Times New Roman" w:cs="Times New Roman"/>
          <w:sz w:val="24"/>
          <w:szCs w:val="24"/>
        </w:rPr>
        <w:t>.</w:t>
      </w:r>
    </w:p>
    <w:p w14:paraId="11925F2F" w14:textId="77777777" w:rsidR="00F244B2" w:rsidRPr="00687EE0" w:rsidRDefault="00F244B2" w:rsidP="00F244B2">
      <w:pPr>
        <w:pStyle w:val="Heading3"/>
        <w:spacing w:before="0" w:beforeAutospacing="0" w:after="0" w:afterAutospacing="0" w:line="480" w:lineRule="auto"/>
        <w:rPr>
          <w:color w:val="000000" w:themeColor="text1"/>
          <w:sz w:val="24"/>
          <w:szCs w:val="24"/>
        </w:rPr>
      </w:pPr>
      <w:r w:rsidRPr="00687EE0">
        <w:rPr>
          <w:color w:val="000000" w:themeColor="text1"/>
          <w:sz w:val="24"/>
          <w:szCs w:val="24"/>
        </w:rPr>
        <w:t>Ethics statement and informed consent</w:t>
      </w:r>
    </w:p>
    <w:p w14:paraId="375A3C4E" w14:textId="77777777" w:rsidR="00F244B2" w:rsidRPr="00687EE0" w:rsidRDefault="00F244B2" w:rsidP="00F244B2">
      <w:pPr>
        <w:pStyle w:val="Heading3"/>
        <w:spacing w:before="0" w:beforeAutospacing="0" w:after="0" w:afterAutospacing="0" w:line="480" w:lineRule="auto"/>
        <w:jc w:val="both"/>
        <w:rPr>
          <w:b w:val="0"/>
          <w:color w:val="000000" w:themeColor="text1"/>
          <w:sz w:val="24"/>
          <w:szCs w:val="24"/>
        </w:rPr>
      </w:pPr>
      <w:r w:rsidRPr="00687EE0">
        <w:rPr>
          <w:b w:val="0"/>
          <w:color w:val="000000" w:themeColor="text1"/>
          <w:sz w:val="24"/>
          <w:szCs w:val="24"/>
        </w:rPr>
        <w:lastRenderedPageBreak/>
        <w:t xml:space="preserve">Ethical approval for this study was obtained from the Health Research Ethics Committees of Edo State University Teaching Hospital (EDSUTH/HREC/2025/002; approved 6 February 2025) and </w:t>
      </w:r>
      <w:proofErr w:type="spellStart"/>
      <w:r w:rsidRPr="00687EE0">
        <w:rPr>
          <w:b w:val="0"/>
          <w:color w:val="000000" w:themeColor="text1"/>
          <w:sz w:val="24"/>
          <w:szCs w:val="24"/>
        </w:rPr>
        <w:t>Irrua</w:t>
      </w:r>
      <w:proofErr w:type="spellEnd"/>
      <w:r w:rsidRPr="00687EE0">
        <w:rPr>
          <w:b w:val="0"/>
          <w:color w:val="000000" w:themeColor="text1"/>
          <w:sz w:val="24"/>
          <w:szCs w:val="24"/>
        </w:rPr>
        <w:t xml:space="preserve"> Specialist Teaching Hospital (ISTH/HREC/20250502/679; approved 28 March 2025). Written informed consent was obtained from all participants following a detailed explanation of the study objectives and procedures. The research was conducted in accordance with the principles of the Declaration of Helsinki. Participants were assured of confidentiality, informed of the study outcomes, and the findings will be disseminated through peer-reviewed scientific publications.</w:t>
      </w:r>
    </w:p>
    <w:p w14:paraId="417A4D1C" w14:textId="77777777" w:rsidR="00CA4296" w:rsidRDefault="00CA4296" w:rsidP="008D44D3">
      <w:pPr>
        <w:pStyle w:val="Heading3"/>
        <w:spacing w:before="0" w:beforeAutospacing="0" w:after="0" w:afterAutospacing="0" w:line="480" w:lineRule="auto"/>
        <w:rPr>
          <w:color w:val="000000" w:themeColor="text1"/>
          <w:sz w:val="24"/>
          <w:szCs w:val="24"/>
        </w:rPr>
      </w:pPr>
      <w:r>
        <w:rPr>
          <w:color w:val="000000" w:themeColor="text1"/>
          <w:sz w:val="24"/>
          <w:szCs w:val="24"/>
        </w:rPr>
        <w:t>Data Collection</w:t>
      </w:r>
    </w:p>
    <w:p w14:paraId="1BC858F3" w14:textId="0BECFA73" w:rsidR="008D44D3" w:rsidRPr="00687EE0" w:rsidRDefault="00F244B2" w:rsidP="008D44D3">
      <w:pPr>
        <w:pStyle w:val="Heading3"/>
        <w:spacing w:before="0" w:beforeAutospacing="0" w:after="0" w:afterAutospacing="0" w:line="480" w:lineRule="auto"/>
        <w:rPr>
          <w:color w:val="000000" w:themeColor="text1"/>
          <w:sz w:val="24"/>
          <w:szCs w:val="24"/>
        </w:rPr>
      </w:pPr>
      <w:r w:rsidRPr="00687EE0">
        <w:rPr>
          <w:color w:val="000000" w:themeColor="text1"/>
          <w:sz w:val="24"/>
          <w:szCs w:val="24"/>
        </w:rPr>
        <w:t>Socio-demographic and clinical data</w:t>
      </w:r>
    </w:p>
    <w:p w14:paraId="7009293B" w14:textId="77777777" w:rsidR="00C40895" w:rsidRPr="00687EE0" w:rsidRDefault="008D44D3" w:rsidP="008D44D3">
      <w:pPr>
        <w:pStyle w:val="Heading3"/>
        <w:spacing w:before="0" w:beforeAutospacing="0" w:after="0" w:afterAutospacing="0" w:line="480" w:lineRule="auto"/>
        <w:jc w:val="both"/>
        <w:rPr>
          <w:b w:val="0"/>
          <w:sz w:val="24"/>
          <w:szCs w:val="24"/>
        </w:rPr>
      </w:pPr>
      <w:r w:rsidRPr="00687EE0">
        <w:rPr>
          <w:b w:val="0"/>
          <w:sz w:val="24"/>
          <w:szCs w:val="24"/>
        </w:rPr>
        <w:t>Socio-demographic information collected included age, sex, marital status, occupation, and educational attainment. Clinical data comprised lifestyle factors such as dietary habits, physical activity, body mass index (BMI), sleep duration, smoking, alcohol consumption, history of hypertension, and blood pressure control at presentation.</w:t>
      </w:r>
    </w:p>
    <w:p w14:paraId="2A7FBD29" w14:textId="77777777" w:rsidR="00C40895" w:rsidRPr="00687EE0" w:rsidRDefault="00655BA1" w:rsidP="008D44D3">
      <w:pPr>
        <w:pStyle w:val="Heading3"/>
        <w:spacing w:before="0" w:beforeAutospacing="0" w:after="0" w:afterAutospacing="0" w:line="480" w:lineRule="auto"/>
        <w:jc w:val="both"/>
        <w:rPr>
          <w:sz w:val="24"/>
          <w:szCs w:val="24"/>
        </w:rPr>
      </w:pPr>
      <w:r w:rsidRPr="00687EE0">
        <w:rPr>
          <w:sz w:val="24"/>
          <w:szCs w:val="24"/>
        </w:rPr>
        <w:t>Anthropometric and Clinical Measurements</w:t>
      </w:r>
    </w:p>
    <w:p w14:paraId="0188A9FC" w14:textId="77777777" w:rsidR="00C40895" w:rsidRPr="00687EE0" w:rsidRDefault="00C40895" w:rsidP="008D44D3">
      <w:pPr>
        <w:pStyle w:val="Heading3"/>
        <w:spacing w:before="0" w:beforeAutospacing="0" w:after="0" w:afterAutospacing="0" w:line="480" w:lineRule="auto"/>
        <w:jc w:val="both"/>
        <w:rPr>
          <w:b w:val="0"/>
          <w:color w:val="000000" w:themeColor="text1"/>
          <w:sz w:val="24"/>
          <w:szCs w:val="24"/>
        </w:rPr>
      </w:pPr>
      <w:r w:rsidRPr="00687EE0">
        <w:rPr>
          <w:b w:val="0"/>
          <w:sz w:val="24"/>
          <w:szCs w:val="24"/>
        </w:rPr>
        <w:t>Body weight and height were measured with participants wearing light clothing and no shoes, and BMI was calculated as weight in kilograms divided by height in meters squared (kg/m²), categorized as normal (&lt;25), overweight (25–29.9), or obese (≥30). Blood pressure was taken using a standard sphygmomanometer after five minutes of rest, with three readings obtained and the mean of the last two recorded; hypertension was defined as ≥140/90 mmHg or current treatment. Dietary habits were assessed by daily fruit and vegetable intake, with ≥5 servings classified as adequate. Physical activity was defined by WHO criteria as ≥150 minutes of moderate-to-vigorous activity per week. Smoking and alcohol status were determined by self-</w:t>
      </w:r>
      <w:r w:rsidRPr="00687EE0">
        <w:rPr>
          <w:b w:val="0"/>
          <w:sz w:val="24"/>
          <w:szCs w:val="24"/>
        </w:rPr>
        <w:lastRenderedPageBreak/>
        <w:t>report, with current use or use within the past year classified as positive. Sleep duration was self-reported, with 7–9 hours per night considered adequate.</w:t>
      </w:r>
    </w:p>
    <w:p w14:paraId="72EDE516" w14:textId="77777777" w:rsidR="009F672D" w:rsidRPr="00687EE0" w:rsidRDefault="009F672D" w:rsidP="007349A5">
      <w:pPr>
        <w:pStyle w:val="Heading3"/>
        <w:spacing w:before="0" w:beforeAutospacing="0" w:after="0" w:afterAutospacing="0" w:line="480" w:lineRule="auto"/>
        <w:jc w:val="both"/>
        <w:rPr>
          <w:sz w:val="24"/>
          <w:szCs w:val="24"/>
        </w:rPr>
      </w:pPr>
      <w:r w:rsidRPr="00687EE0">
        <w:rPr>
          <w:sz w:val="24"/>
          <w:szCs w:val="24"/>
        </w:rPr>
        <w:t>Sa</w:t>
      </w:r>
      <w:r w:rsidR="00C46BC0" w:rsidRPr="00687EE0">
        <w:rPr>
          <w:sz w:val="24"/>
          <w:szCs w:val="24"/>
        </w:rPr>
        <w:t>mple Collection</w:t>
      </w:r>
    </w:p>
    <w:p w14:paraId="2B7A7435" w14:textId="77777777" w:rsidR="007349A5" w:rsidRPr="00687EE0" w:rsidRDefault="007349A5" w:rsidP="007349A5">
      <w:pPr>
        <w:pStyle w:val="NormalWeb"/>
        <w:spacing w:before="0" w:beforeAutospacing="0" w:after="0" w:afterAutospacing="0" w:line="480" w:lineRule="auto"/>
        <w:jc w:val="both"/>
      </w:pPr>
      <w:r w:rsidRPr="00687EE0">
        <w:t xml:space="preserve">Approximately 10 mL of venous blood was collected from each participant after an overnight fast of 8–10 hours. Of this, 2 mL was placed into a fluoride oxalate tube for the determination of fasting blood glucose (FBG), 2 mL into an EDTA tube for glycated haemoglobin (HbA1c), and 4 mL into a plain tube for lipid profile analysis, including total cholesterol, triglycerides, low-density lipoprotein (LDL), and high-density lipoprotein (HDL). The remaining 2 mL was retained for confirmatory or repeat analyses where necessary. All blood samples were promptly transported to the chemical pathology laboratory under cold chain conditions and processed within two hours of collection. In addition, 20–30 mL of midstream urine was collected from each participant into sterile universal containers using standard aseptic procedures. Participants were instructed on proper perineal cleaning and midstream collection to minimize contamination. Urine samples were securely capped, appropriately </w:t>
      </w:r>
      <w:r w:rsidR="00F7147A" w:rsidRPr="00687EE0">
        <w:t>labelled</w:t>
      </w:r>
      <w:r w:rsidRPr="00687EE0">
        <w:t>, and transported promptly to the chemical pathology laboratory under recommended storage conditions for analysis.</w:t>
      </w:r>
    </w:p>
    <w:p w14:paraId="13C8D3D2" w14:textId="77777777" w:rsidR="00F7147A" w:rsidRPr="00687EE0" w:rsidRDefault="00C46BC0" w:rsidP="00F7147A">
      <w:pPr>
        <w:pStyle w:val="NormalWeb"/>
        <w:spacing w:before="0" w:beforeAutospacing="0" w:after="0" w:afterAutospacing="0" w:line="480" w:lineRule="auto"/>
        <w:jc w:val="both"/>
        <w:rPr>
          <w:rStyle w:val="Strong"/>
        </w:rPr>
      </w:pPr>
      <w:r w:rsidRPr="00687EE0">
        <w:rPr>
          <w:rStyle w:val="Strong"/>
        </w:rPr>
        <w:t>Laboratory analysis</w:t>
      </w:r>
    </w:p>
    <w:p w14:paraId="1A72EC78" w14:textId="77777777" w:rsidR="009F672D" w:rsidRPr="00687EE0" w:rsidRDefault="00C46BC0" w:rsidP="000B3B3F">
      <w:pPr>
        <w:pStyle w:val="NormalWeb"/>
        <w:spacing w:before="0" w:beforeAutospacing="0" w:after="0" w:afterAutospacing="0" w:line="480" w:lineRule="auto"/>
        <w:jc w:val="both"/>
        <w:rPr>
          <w:b/>
          <w:bCs/>
        </w:rPr>
      </w:pPr>
      <w:r w:rsidRPr="00687EE0">
        <w:t xml:space="preserve">Fasting blood glucose was determined using the glucose oxidase-peroxidase enzymatic method, with values &lt;126 mg/dl classified as controlled and ≥126 mg/dl as uncontrolled. HbA1c was measured using high-performance liquid chromatography (HPLC), the gold standard method, with &lt;6.5% considered normal and ≥6.5% elevated. Serum lipid profile was </w:t>
      </w:r>
      <w:proofErr w:type="spellStart"/>
      <w:r w:rsidRPr="00687EE0">
        <w:t>analyzed</w:t>
      </w:r>
      <w:proofErr w:type="spellEnd"/>
      <w:r w:rsidRPr="00687EE0">
        <w:t xml:space="preserve"> using enzymatic colorimetric methods, and abnormal values were defined as total cholesterol &gt;200 mg/dl, triglycerides &gt;150 mg/dl, LDL &gt;150 mg/dl, and HDL &lt;35 mg/dl. Albuminuria was assessed from urine samples using </w:t>
      </w:r>
      <w:proofErr w:type="spellStart"/>
      <w:r w:rsidRPr="00687EE0">
        <w:t>Albustix</w:t>
      </w:r>
      <w:proofErr w:type="spellEnd"/>
      <w:r w:rsidRPr="00687EE0">
        <w:t xml:space="preserve"> test strips (Siemens Healthcare Diagnostics, Dublin, Ireland) </w:t>
      </w:r>
      <w:r w:rsidRPr="00687EE0">
        <w:lastRenderedPageBreak/>
        <w:t>following manufacturer instructions, with results categorized as negative (− or +/−) or positive (+, ++, +++).</w:t>
      </w:r>
    </w:p>
    <w:p w14:paraId="45E66E84" w14:textId="77777777" w:rsidR="0063058E"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Data Analysis</w:t>
      </w:r>
    </w:p>
    <w:p w14:paraId="342A9D43" w14:textId="77777777" w:rsidR="00F244B2" w:rsidRPr="00687EE0" w:rsidRDefault="00DA7C16" w:rsidP="00CE178E">
      <w:pPr>
        <w:spacing w:before="17" w:after="0" w:line="480" w:lineRule="auto"/>
        <w:ind w:left="20" w:right="140" w:firstLine="20"/>
        <w:jc w:val="both"/>
        <w:rPr>
          <w:rFonts w:ascii="Times New Roman" w:hAnsi="Times New Roman" w:cs="Times New Roman"/>
          <w:b/>
          <w:sz w:val="24"/>
          <w:szCs w:val="24"/>
        </w:rPr>
      </w:pPr>
      <w:r w:rsidRPr="00687EE0">
        <w:rPr>
          <w:rFonts w:ascii="Times New Roman" w:hAnsi="Times New Roman" w:cs="Times New Roman"/>
          <w:sz w:val="24"/>
          <w:szCs w:val="24"/>
        </w:rPr>
        <w:t>Data were entered into a spreadsheet and analyzed using Epi Info version 7.2.7 (Centers for Disease Control and Prevention, Atlanta, GA, USA). Descriptive statistics were presented as frequencies and percentages for categorical variables and as means with standard deviations for continuous variables. Associations between categorical variables were assessed using the chi-square test. Logistic regression analysis was performed to identify independent predictors and estimate the strength of associations, with results expressed as odds ratios (ORs) and 95% confidence intervals (CIs). A p-value of &lt;0.05 was considered statistically significant.</w:t>
      </w:r>
    </w:p>
    <w:p w14:paraId="61DFEEFA" w14:textId="77777777" w:rsidR="00763E20" w:rsidRPr="00687EE0" w:rsidRDefault="00763E20" w:rsidP="00F244B2">
      <w:pPr>
        <w:spacing w:before="17" w:after="0" w:line="480" w:lineRule="auto"/>
        <w:ind w:right="140"/>
        <w:jc w:val="both"/>
        <w:rPr>
          <w:rFonts w:ascii="Times New Roman" w:hAnsi="Times New Roman" w:cs="Times New Roman"/>
          <w:sz w:val="24"/>
          <w:szCs w:val="24"/>
        </w:rPr>
      </w:pPr>
      <w:r w:rsidRPr="00687EE0">
        <w:rPr>
          <w:rFonts w:ascii="Times New Roman" w:hAnsi="Times New Roman" w:cs="Times New Roman"/>
          <w:b/>
          <w:sz w:val="24"/>
          <w:szCs w:val="24"/>
        </w:rPr>
        <w:t>Results</w:t>
      </w:r>
    </w:p>
    <w:p w14:paraId="66DFCC47" w14:textId="77777777" w:rsidR="00CF427A" w:rsidRPr="00687EE0" w:rsidRDefault="00CF427A" w:rsidP="000953F9">
      <w:pPr>
        <w:spacing w:after="0" w:line="480" w:lineRule="auto"/>
        <w:jc w:val="both"/>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 xml:space="preserve">Sociodemographic characteristics of study participants </w:t>
      </w:r>
    </w:p>
    <w:p w14:paraId="32ACA95E" w14:textId="77777777" w:rsidR="00CE178E" w:rsidRPr="00687EE0" w:rsidRDefault="00CE178E" w:rsidP="00CF427A">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Table 1 presents the sociodemographic characteristics of 778 adults aged 18–65 years with T2DM attending the Family Medicine Clinics of two tertiary health facilities in Edo State between May and July 2025. The mean age was 45 ± 12 years, with the majority of the participants aged 40–59 years (65.7%). Females accounted for 58.1% of the cohort, and the majority were married (61.2%). More than half of the respondents (56.9%) were self-employed, while 58.0% had attained secondary education or less.</w:t>
      </w:r>
    </w:p>
    <w:p w14:paraId="148741CD" w14:textId="77777777" w:rsidR="006C21B5" w:rsidRDefault="006C21B5" w:rsidP="00CF427A">
      <w:pPr>
        <w:spacing w:after="0" w:line="480" w:lineRule="auto"/>
        <w:jc w:val="both"/>
        <w:rPr>
          <w:rFonts w:ascii="Times New Roman" w:eastAsia="Times New Roman" w:hAnsi="Times New Roman" w:cs="Times New Roman"/>
          <w:b/>
          <w:bCs/>
          <w:sz w:val="24"/>
          <w:szCs w:val="24"/>
          <w:lang w:eastAsia="en-GB"/>
        </w:rPr>
      </w:pPr>
    </w:p>
    <w:p w14:paraId="24EA525E" w14:textId="4BCEB33D" w:rsidR="00763E20" w:rsidRPr="00687EE0" w:rsidRDefault="006C21B5" w:rsidP="006C21B5">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Table 1: </w:t>
      </w:r>
      <w:r w:rsidR="00CF427A" w:rsidRPr="00687EE0">
        <w:rPr>
          <w:rFonts w:ascii="Times New Roman" w:eastAsia="Times New Roman" w:hAnsi="Times New Roman" w:cs="Times New Roman"/>
          <w:b/>
          <w:bCs/>
          <w:sz w:val="24"/>
          <w:szCs w:val="24"/>
          <w:lang w:eastAsia="en-GB"/>
        </w:rPr>
        <w:t xml:space="preserve">Sociodemographic characteristics of study </w:t>
      </w:r>
      <w:r w:rsidR="00CE178E" w:rsidRPr="00687EE0">
        <w:rPr>
          <w:rFonts w:ascii="Times New Roman" w:eastAsia="Times New Roman" w:hAnsi="Times New Roman" w:cs="Times New Roman"/>
          <w:b/>
          <w:bCs/>
          <w:sz w:val="24"/>
          <w:szCs w:val="24"/>
          <w:lang w:eastAsia="en-GB"/>
        </w:rPr>
        <w:t xml:space="preserve">participants </w:t>
      </w:r>
      <w:r w:rsidR="00CE178E" w:rsidRPr="00687EE0">
        <w:rPr>
          <w:rFonts w:ascii="Times New Roman" w:hAnsi="Times New Roman" w:cs="Times New Roman"/>
          <w:sz w:val="24"/>
          <w:szCs w:val="24"/>
        </w:rPr>
        <w:t>(</w:t>
      </w:r>
      <w:r w:rsidR="00FD54E1" w:rsidRPr="00687EE0">
        <w:rPr>
          <w:rFonts w:ascii="Times New Roman" w:hAnsi="Times New Roman" w:cs="Times New Roman"/>
          <w:sz w:val="24"/>
          <w:szCs w:val="24"/>
        </w:rPr>
        <w:t>N=778)</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6A7635" w:rsidRPr="00687EE0" w14:paraId="79F80A55" w14:textId="77777777" w:rsidTr="00CF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4C66A41C"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Variables</w:t>
            </w:r>
          </w:p>
        </w:tc>
        <w:tc>
          <w:tcPr>
            <w:tcW w:w="3117" w:type="dxa"/>
            <w:tcBorders>
              <w:bottom w:val="single" w:sz="4" w:space="0" w:color="auto"/>
            </w:tcBorders>
          </w:tcPr>
          <w:p w14:paraId="18B29659" w14:textId="77777777" w:rsidR="006A7635" w:rsidRPr="00687EE0" w:rsidRDefault="006A7635"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Frequency</w:t>
            </w:r>
          </w:p>
        </w:tc>
        <w:tc>
          <w:tcPr>
            <w:tcW w:w="3117" w:type="dxa"/>
            <w:tcBorders>
              <w:bottom w:val="single" w:sz="4" w:space="0" w:color="auto"/>
            </w:tcBorders>
          </w:tcPr>
          <w:p w14:paraId="163E9573" w14:textId="77777777" w:rsidR="006A7635" w:rsidRPr="00687EE0" w:rsidRDefault="006A7635"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Percentage</w:t>
            </w:r>
          </w:p>
        </w:tc>
      </w:tr>
      <w:tr w:rsidR="006A7635" w:rsidRPr="00687EE0" w14:paraId="2CDE67DA"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auto"/>
          </w:tcPr>
          <w:p w14:paraId="3BB14981"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Age (Years)</w:t>
            </w:r>
            <w:r w:rsidR="0054183C" w:rsidRPr="00687EE0">
              <w:rPr>
                <w:rFonts w:ascii="Times New Roman" w:hAnsi="Times New Roman" w:cs="Times New Roman"/>
                <w:sz w:val="24"/>
                <w:szCs w:val="24"/>
              </w:rPr>
              <w:t xml:space="preserve"> </w:t>
            </w:r>
          </w:p>
          <w:p w14:paraId="1B5D9FA0" w14:textId="77777777" w:rsidR="0054183C" w:rsidRPr="006C21B5" w:rsidRDefault="0054183C" w:rsidP="006C21B5">
            <w:pPr>
              <w:rPr>
                <w:rFonts w:ascii="Times New Roman" w:hAnsi="Times New Roman" w:cs="Times New Roman"/>
                <w:b w:val="0"/>
                <w:sz w:val="24"/>
                <w:szCs w:val="24"/>
              </w:rPr>
            </w:pPr>
            <w:r w:rsidRPr="006C21B5">
              <w:rPr>
                <w:rFonts w:ascii="Times New Roman" w:hAnsi="Times New Roman" w:cs="Times New Roman"/>
                <w:b w:val="0"/>
                <w:sz w:val="24"/>
                <w:szCs w:val="24"/>
              </w:rPr>
              <w:t>Mean 45±12 years</w:t>
            </w:r>
          </w:p>
        </w:tc>
        <w:tc>
          <w:tcPr>
            <w:tcW w:w="3117" w:type="dxa"/>
            <w:tcBorders>
              <w:top w:val="single" w:sz="4" w:space="0" w:color="auto"/>
            </w:tcBorders>
            <w:shd w:val="clear" w:color="auto" w:fill="auto"/>
          </w:tcPr>
          <w:p w14:paraId="71C174B8"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tcBorders>
              <w:top w:val="single" w:sz="4" w:space="0" w:color="auto"/>
            </w:tcBorders>
            <w:shd w:val="clear" w:color="auto" w:fill="auto"/>
          </w:tcPr>
          <w:p w14:paraId="25A7AE82"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234F2719"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6B42D9A1"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&lt; 40</w:t>
            </w:r>
          </w:p>
        </w:tc>
        <w:tc>
          <w:tcPr>
            <w:tcW w:w="3117" w:type="dxa"/>
          </w:tcPr>
          <w:p w14:paraId="7EA3E19B"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210</w:t>
            </w:r>
          </w:p>
        </w:tc>
        <w:tc>
          <w:tcPr>
            <w:tcW w:w="3117" w:type="dxa"/>
          </w:tcPr>
          <w:p w14:paraId="7012FBB4"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27.0</w:t>
            </w:r>
          </w:p>
        </w:tc>
      </w:tr>
      <w:tr w:rsidR="006A7635" w:rsidRPr="00687EE0" w14:paraId="6B05179D"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E9BA38E"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40 – 59</w:t>
            </w:r>
          </w:p>
        </w:tc>
        <w:tc>
          <w:tcPr>
            <w:tcW w:w="3117" w:type="dxa"/>
            <w:shd w:val="clear" w:color="auto" w:fill="auto"/>
          </w:tcPr>
          <w:p w14:paraId="23DE3E47" w14:textId="77777777" w:rsidR="006A7635" w:rsidRPr="00687EE0" w:rsidRDefault="002F7FDC"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511</w:t>
            </w:r>
          </w:p>
        </w:tc>
        <w:tc>
          <w:tcPr>
            <w:tcW w:w="3117" w:type="dxa"/>
            <w:shd w:val="clear" w:color="auto" w:fill="auto"/>
          </w:tcPr>
          <w:p w14:paraId="2007EC68" w14:textId="77777777" w:rsidR="006A7635" w:rsidRPr="00687EE0" w:rsidRDefault="002F7FDC"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65.7</w:t>
            </w:r>
          </w:p>
        </w:tc>
      </w:tr>
      <w:tr w:rsidR="006A7635" w:rsidRPr="00687EE0" w14:paraId="43FFAEE0"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3D67C6F7"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 60</w:t>
            </w:r>
          </w:p>
        </w:tc>
        <w:tc>
          <w:tcPr>
            <w:tcW w:w="3117" w:type="dxa"/>
          </w:tcPr>
          <w:p w14:paraId="5148BEFB"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57</w:t>
            </w:r>
          </w:p>
        </w:tc>
        <w:tc>
          <w:tcPr>
            <w:tcW w:w="3117" w:type="dxa"/>
          </w:tcPr>
          <w:p w14:paraId="6ED3876F"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7.3</w:t>
            </w:r>
          </w:p>
        </w:tc>
      </w:tr>
      <w:tr w:rsidR="006A7635" w:rsidRPr="00687EE0" w14:paraId="19DDBFC3"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2E4A376"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Sex</w:t>
            </w:r>
          </w:p>
        </w:tc>
        <w:tc>
          <w:tcPr>
            <w:tcW w:w="3117" w:type="dxa"/>
            <w:shd w:val="clear" w:color="auto" w:fill="auto"/>
          </w:tcPr>
          <w:p w14:paraId="585FC8C5"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6DA624C6"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1AC7A39D"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6B124AAB"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lastRenderedPageBreak/>
              <w:t>Female</w:t>
            </w:r>
          </w:p>
        </w:tc>
        <w:tc>
          <w:tcPr>
            <w:tcW w:w="3117" w:type="dxa"/>
          </w:tcPr>
          <w:p w14:paraId="37C7701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452</w:t>
            </w:r>
          </w:p>
        </w:tc>
        <w:tc>
          <w:tcPr>
            <w:tcW w:w="3117" w:type="dxa"/>
          </w:tcPr>
          <w:p w14:paraId="7924FB3F"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58.1</w:t>
            </w:r>
          </w:p>
        </w:tc>
      </w:tr>
      <w:tr w:rsidR="006A7635" w:rsidRPr="00687EE0" w14:paraId="3C9ECCD2"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77DC7DF2"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Male</w:t>
            </w:r>
          </w:p>
        </w:tc>
        <w:tc>
          <w:tcPr>
            <w:tcW w:w="3117" w:type="dxa"/>
            <w:shd w:val="clear" w:color="auto" w:fill="auto"/>
          </w:tcPr>
          <w:p w14:paraId="60D8AACB"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326</w:t>
            </w:r>
          </w:p>
        </w:tc>
        <w:tc>
          <w:tcPr>
            <w:tcW w:w="3117" w:type="dxa"/>
            <w:shd w:val="clear" w:color="auto" w:fill="auto"/>
          </w:tcPr>
          <w:p w14:paraId="731D0D94"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41.9</w:t>
            </w:r>
          </w:p>
        </w:tc>
      </w:tr>
      <w:tr w:rsidR="006A7635" w:rsidRPr="00687EE0" w14:paraId="1EB70B64"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332456E7"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Marital Status</w:t>
            </w:r>
          </w:p>
        </w:tc>
        <w:tc>
          <w:tcPr>
            <w:tcW w:w="3117" w:type="dxa"/>
          </w:tcPr>
          <w:p w14:paraId="1426A1C1"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291827A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A7635" w:rsidRPr="00687EE0" w14:paraId="3E6DFEF4"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F3CB23F"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Married</w:t>
            </w:r>
          </w:p>
        </w:tc>
        <w:tc>
          <w:tcPr>
            <w:tcW w:w="3117" w:type="dxa"/>
            <w:shd w:val="clear" w:color="auto" w:fill="auto"/>
          </w:tcPr>
          <w:p w14:paraId="068F2090"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476</w:t>
            </w:r>
          </w:p>
        </w:tc>
        <w:tc>
          <w:tcPr>
            <w:tcW w:w="3117" w:type="dxa"/>
            <w:shd w:val="clear" w:color="auto" w:fill="auto"/>
          </w:tcPr>
          <w:p w14:paraId="3BE0E996"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61.2</w:t>
            </w:r>
          </w:p>
        </w:tc>
      </w:tr>
      <w:tr w:rsidR="006A7635" w:rsidRPr="00687EE0" w14:paraId="15AD28C5"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1CDA99DB"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Unmarried (Single, Divorced, Widowed)</w:t>
            </w:r>
          </w:p>
        </w:tc>
        <w:tc>
          <w:tcPr>
            <w:tcW w:w="3117" w:type="dxa"/>
          </w:tcPr>
          <w:p w14:paraId="094D176A"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302</w:t>
            </w:r>
          </w:p>
        </w:tc>
        <w:tc>
          <w:tcPr>
            <w:tcW w:w="3117" w:type="dxa"/>
          </w:tcPr>
          <w:p w14:paraId="6D880177"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38.8</w:t>
            </w:r>
          </w:p>
        </w:tc>
      </w:tr>
      <w:tr w:rsidR="006A7635" w:rsidRPr="00687EE0" w14:paraId="18589DCC"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F01CEAE"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Occupation</w:t>
            </w:r>
          </w:p>
        </w:tc>
        <w:tc>
          <w:tcPr>
            <w:tcW w:w="3117" w:type="dxa"/>
            <w:shd w:val="clear" w:color="auto" w:fill="auto"/>
          </w:tcPr>
          <w:p w14:paraId="7362BD21"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2DFE859D"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6BED2FAE"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1AAA52B5"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Employed</w:t>
            </w:r>
          </w:p>
        </w:tc>
        <w:tc>
          <w:tcPr>
            <w:tcW w:w="3117" w:type="dxa"/>
          </w:tcPr>
          <w:p w14:paraId="1333BB0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217</w:t>
            </w:r>
          </w:p>
        </w:tc>
        <w:tc>
          <w:tcPr>
            <w:tcW w:w="3117" w:type="dxa"/>
          </w:tcPr>
          <w:p w14:paraId="429BBEA2"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27.9</w:t>
            </w:r>
          </w:p>
        </w:tc>
      </w:tr>
      <w:tr w:rsidR="006A7635" w:rsidRPr="00687EE0" w14:paraId="0987107C"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54B1675"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Self-Employed</w:t>
            </w:r>
          </w:p>
        </w:tc>
        <w:tc>
          <w:tcPr>
            <w:tcW w:w="3117" w:type="dxa"/>
            <w:shd w:val="clear" w:color="auto" w:fill="auto"/>
          </w:tcPr>
          <w:p w14:paraId="2CA93DBA"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443</w:t>
            </w:r>
          </w:p>
        </w:tc>
        <w:tc>
          <w:tcPr>
            <w:tcW w:w="3117" w:type="dxa"/>
            <w:shd w:val="clear" w:color="auto" w:fill="auto"/>
          </w:tcPr>
          <w:p w14:paraId="73B1DD63"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56.9</w:t>
            </w:r>
          </w:p>
        </w:tc>
      </w:tr>
      <w:tr w:rsidR="006A7635" w:rsidRPr="00687EE0" w14:paraId="383679AF"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1D901FB8"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Unemployed</w:t>
            </w:r>
          </w:p>
        </w:tc>
        <w:tc>
          <w:tcPr>
            <w:tcW w:w="3117" w:type="dxa"/>
          </w:tcPr>
          <w:p w14:paraId="3D1D91F0"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118</w:t>
            </w:r>
          </w:p>
        </w:tc>
        <w:tc>
          <w:tcPr>
            <w:tcW w:w="3117" w:type="dxa"/>
          </w:tcPr>
          <w:p w14:paraId="32747197"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15.2</w:t>
            </w:r>
          </w:p>
        </w:tc>
      </w:tr>
      <w:tr w:rsidR="006A7635" w:rsidRPr="00687EE0" w14:paraId="1D346305"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1CE70186"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Level of Education</w:t>
            </w:r>
          </w:p>
        </w:tc>
        <w:tc>
          <w:tcPr>
            <w:tcW w:w="3117" w:type="dxa"/>
            <w:shd w:val="clear" w:color="auto" w:fill="auto"/>
          </w:tcPr>
          <w:p w14:paraId="65322813"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50385C29"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39DA6F2D"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7DC76D49"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Secondary and Below</w:t>
            </w:r>
          </w:p>
        </w:tc>
        <w:tc>
          <w:tcPr>
            <w:tcW w:w="3117" w:type="dxa"/>
          </w:tcPr>
          <w:p w14:paraId="66B88BB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451</w:t>
            </w:r>
          </w:p>
        </w:tc>
        <w:tc>
          <w:tcPr>
            <w:tcW w:w="3117" w:type="dxa"/>
          </w:tcPr>
          <w:p w14:paraId="50D5EC63"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58.0</w:t>
            </w:r>
          </w:p>
        </w:tc>
      </w:tr>
      <w:tr w:rsidR="006A7635" w:rsidRPr="00687EE0" w14:paraId="180C0F7C"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BE7E9B1"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Post-Secondary</w:t>
            </w:r>
          </w:p>
        </w:tc>
        <w:tc>
          <w:tcPr>
            <w:tcW w:w="3117" w:type="dxa"/>
            <w:shd w:val="clear" w:color="auto" w:fill="auto"/>
          </w:tcPr>
          <w:p w14:paraId="5AFCE4B2"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327</w:t>
            </w:r>
          </w:p>
        </w:tc>
        <w:tc>
          <w:tcPr>
            <w:tcW w:w="3117" w:type="dxa"/>
            <w:shd w:val="clear" w:color="auto" w:fill="auto"/>
          </w:tcPr>
          <w:p w14:paraId="32DE5FC0"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42.0</w:t>
            </w:r>
          </w:p>
        </w:tc>
      </w:tr>
    </w:tbl>
    <w:p w14:paraId="21BACD82" w14:textId="77777777" w:rsidR="004D4240" w:rsidRPr="00687EE0" w:rsidRDefault="00763E20" w:rsidP="006C21B5">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 xml:space="preserve"> </w:t>
      </w:r>
    </w:p>
    <w:p w14:paraId="166AB651" w14:textId="77777777" w:rsidR="00CF427A" w:rsidRPr="00687EE0" w:rsidRDefault="00CF427A" w:rsidP="000953F9">
      <w:pPr>
        <w:spacing w:after="0" w:line="480" w:lineRule="auto"/>
        <w:jc w:val="both"/>
        <w:rPr>
          <w:rFonts w:ascii="Times New Roman" w:hAnsi="Times New Roman" w:cs="Times New Roman"/>
          <w:b/>
          <w:sz w:val="24"/>
          <w:szCs w:val="24"/>
        </w:rPr>
      </w:pPr>
    </w:p>
    <w:p w14:paraId="16E0FCD9" w14:textId="77777777" w:rsidR="00CF427A" w:rsidRPr="00687EE0" w:rsidRDefault="00CF427A" w:rsidP="000953F9">
      <w:pPr>
        <w:spacing w:after="0" w:line="480" w:lineRule="auto"/>
        <w:jc w:val="both"/>
        <w:rPr>
          <w:rFonts w:ascii="Times New Roman" w:hAnsi="Times New Roman" w:cs="Times New Roman"/>
          <w:b/>
          <w:sz w:val="24"/>
          <w:szCs w:val="24"/>
        </w:rPr>
      </w:pPr>
    </w:p>
    <w:p w14:paraId="5050C5E1" w14:textId="77777777" w:rsidR="0066145A" w:rsidRPr="00687EE0" w:rsidRDefault="00CF427A" w:rsidP="0066145A">
      <w:pPr>
        <w:spacing w:after="0" w:line="480" w:lineRule="auto"/>
        <w:jc w:val="both"/>
        <w:rPr>
          <w:rFonts w:ascii="Times New Roman" w:hAnsi="Times New Roman" w:cs="Times New Roman"/>
          <w:b/>
          <w:sz w:val="24"/>
          <w:szCs w:val="24"/>
        </w:rPr>
      </w:pPr>
      <w:r w:rsidRPr="00687EE0">
        <w:rPr>
          <w:rFonts w:ascii="Times New Roman" w:eastAsia="Times New Roman" w:hAnsi="Times New Roman" w:cs="Times New Roman"/>
          <w:b/>
          <w:bCs/>
          <w:sz w:val="24"/>
          <w:szCs w:val="24"/>
          <w:lang w:eastAsia="en-GB"/>
        </w:rPr>
        <w:t>Lifestyle factors among participants (N=778)</w:t>
      </w:r>
    </w:p>
    <w:p w14:paraId="45C439A8" w14:textId="77777777" w:rsidR="00CF427A" w:rsidRPr="00687EE0" w:rsidRDefault="00CE17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sz w:val="24"/>
          <w:szCs w:val="24"/>
        </w:rPr>
        <w:t>Table 2 presents the distribution of lifestyle factors among the study participants. Adequate dietary habits were reported by 30.6% of respondents, while 47.9% engaged in sufficient physical activity. A normal body mass index (BMI) was observed in 44.8% of participants, whereas 35.9% were classified as overweight and 19.3% as obese. Nearly half of the respondents (49.2%) reported adequate sleep duration of 7–9 hours per night. Smoking prevalence was low (5.5%), while 43.2% reported alcohol consumption.</w:t>
      </w:r>
    </w:p>
    <w:p w14:paraId="1BB0CD1F" w14:textId="77777777" w:rsidR="006C21B5" w:rsidRDefault="006C21B5" w:rsidP="00CE178E">
      <w:pPr>
        <w:spacing w:after="0" w:line="480" w:lineRule="auto"/>
        <w:jc w:val="both"/>
        <w:rPr>
          <w:rFonts w:ascii="Times New Roman" w:hAnsi="Times New Roman" w:cs="Times New Roman"/>
          <w:b/>
          <w:sz w:val="24"/>
          <w:szCs w:val="24"/>
        </w:rPr>
      </w:pPr>
    </w:p>
    <w:p w14:paraId="13E4B19C" w14:textId="77777777" w:rsidR="002F7FDC" w:rsidRPr="00687EE0" w:rsidRDefault="00CE178E" w:rsidP="006C21B5">
      <w:pPr>
        <w:spacing w:after="0" w:line="240" w:lineRule="auto"/>
        <w:jc w:val="both"/>
        <w:rPr>
          <w:rFonts w:ascii="Times New Roman" w:hAnsi="Times New Roman" w:cs="Times New Roman"/>
          <w:b/>
          <w:sz w:val="24"/>
          <w:szCs w:val="24"/>
        </w:rPr>
      </w:pPr>
      <w:r w:rsidRPr="00687EE0">
        <w:rPr>
          <w:rFonts w:ascii="Times New Roman" w:hAnsi="Times New Roman" w:cs="Times New Roman"/>
          <w:b/>
          <w:sz w:val="24"/>
          <w:szCs w:val="24"/>
        </w:rPr>
        <w:t>Table 2:</w:t>
      </w:r>
      <w:r w:rsidRPr="00687EE0">
        <w:rPr>
          <w:rFonts w:ascii="Times New Roman" w:hAnsi="Times New Roman" w:cs="Times New Roman"/>
          <w:sz w:val="24"/>
          <w:szCs w:val="24"/>
        </w:rPr>
        <w:t xml:space="preserve"> </w:t>
      </w:r>
      <w:r w:rsidRPr="00687EE0">
        <w:rPr>
          <w:rFonts w:ascii="Times New Roman" w:eastAsia="Times New Roman" w:hAnsi="Times New Roman" w:cs="Times New Roman"/>
          <w:b/>
          <w:bCs/>
          <w:sz w:val="24"/>
          <w:szCs w:val="24"/>
          <w:lang w:eastAsia="en-GB"/>
        </w:rPr>
        <w:t>Lifestyle factors among participants (N=778)</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DF791A" w:rsidRPr="00687EE0" w14:paraId="2CF52735" w14:textId="77777777" w:rsidTr="00CE1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477E5D67"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3117" w:type="dxa"/>
            <w:tcBorders>
              <w:bottom w:val="single" w:sz="4" w:space="0" w:color="auto"/>
            </w:tcBorders>
          </w:tcPr>
          <w:p w14:paraId="55D206F1"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Frequency</w:t>
            </w:r>
          </w:p>
        </w:tc>
        <w:tc>
          <w:tcPr>
            <w:tcW w:w="3117" w:type="dxa"/>
            <w:tcBorders>
              <w:bottom w:val="single" w:sz="4" w:space="0" w:color="auto"/>
            </w:tcBorders>
          </w:tcPr>
          <w:p w14:paraId="7561332C"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Percentage</w:t>
            </w:r>
          </w:p>
        </w:tc>
      </w:tr>
      <w:tr w:rsidR="00DF791A" w:rsidRPr="00687EE0" w14:paraId="3739195E"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auto"/>
          </w:tcPr>
          <w:p w14:paraId="53EDD845"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3117" w:type="dxa"/>
            <w:tcBorders>
              <w:top w:val="single" w:sz="4" w:space="0" w:color="auto"/>
            </w:tcBorders>
            <w:shd w:val="clear" w:color="auto" w:fill="auto"/>
          </w:tcPr>
          <w:p w14:paraId="668EBBDC"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tcBorders>
              <w:top w:val="single" w:sz="4" w:space="0" w:color="auto"/>
            </w:tcBorders>
            <w:shd w:val="clear" w:color="auto" w:fill="auto"/>
          </w:tcPr>
          <w:p w14:paraId="0CC9DD3D"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5D07EDFA"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248F0B6F"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Adequate</w:t>
            </w:r>
          </w:p>
        </w:tc>
        <w:tc>
          <w:tcPr>
            <w:tcW w:w="3117" w:type="dxa"/>
          </w:tcPr>
          <w:p w14:paraId="1EB66476"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238</w:t>
            </w:r>
          </w:p>
        </w:tc>
        <w:tc>
          <w:tcPr>
            <w:tcW w:w="3117" w:type="dxa"/>
          </w:tcPr>
          <w:p w14:paraId="5638D31D"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30.6</w:t>
            </w:r>
          </w:p>
        </w:tc>
      </w:tr>
      <w:tr w:rsidR="00DF791A" w:rsidRPr="00687EE0" w14:paraId="36F9C08C"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144185FC"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Inadequate</w:t>
            </w:r>
          </w:p>
        </w:tc>
        <w:tc>
          <w:tcPr>
            <w:tcW w:w="3117" w:type="dxa"/>
            <w:shd w:val="clear" w:color="auto" w:fill="auto"/>
          </w:tcPr>
          <w:p w14:paraId="30BDD92F"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540</w:t>
            </w:r>
          </w:p>
        </w:tc>
        <w:tc>
          <w:tcPr>
            <w:tcW w:w="3117" w:type="dxa"/>
            <w:shd w:val="clear" w:color="auto" w:fill="auto"/>
          </w:tcPr>
          <w:p w14:paraId="7E41A23C"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69.4</w:t>
            </w:r>
          </w:p>
        </w:tc>
      </w:tr>
      <w:tr w:rsidR="00DF791A" w:rsidRPr="00687EE0" w14:paraId="6D8E5433"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265C9227"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3117" w:type="dxa"/>
          </w:tcPr>
          <w:p w14:paraId="485FAD19"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19806423"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F791A" w:rsidRPr="00687EE0" w14:paraId="0C1D0F99"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8411F4B"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shd w:val="clear" w:color="auto" w:fill="auto"/>
          </w:tcPr>
          <w:p w14:paraId="455A2FFA"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373</w:t>
            </w:r>
          </w:p>
        </w:tc>
        <w:tc>
          <w:tcPr>
            <w:tcW w:w="3117" w:type="dxa"/>
            <w:shd w:val="clear" w:color="auto" w:fill="auto"/>
          </w:tcPr>
          <w:p w14:paraId="2FEF5859"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47.9</w:t>
            </w:r>
          </w:p>
        </w:tc>
      </w:tr>
      <w:tr w:rsidR="00DF791A" w:rsidRPr="00687EE0" w14:paraId="7CB7DD96"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51EC1C13"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tcPr>
          <w:p w14:paraId="69FDE748"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405</w:t>
            </w:r>
          </w:p>
        </w:tc>
        <w:tc>
          <w:tcPr>
            <w:tcW w:w="3117" w:type="dxa"/>
          </w:tcPr>
          <w:p w14:paraId="4C9EA1F4"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52.1</w:t>
            </w:r>
          </w:p>
        </w:tc>
      </w:tr>
      <w:tr w:rsidR="00DF791A" w:rsidRPr="00687EE0" w14:paraId="3A8BBA69"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4BCBC6D"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BMI</w:t>
            </w:r>
          </w:p>
        </w:tc>
        <w:tc>
          <w:tcPr>
            <w:tcW w:w="3117" w:type="dxa"/>
            <w:shd w:val="clear" w:color="auto" w:fill="auto"/>
          </w:tcPr>
          <w:p w14:paraId="479581E1"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4DA47E3D"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57DFA377"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1D7B163A" w14:textId="77777777" w:rsidR="00DF791A" w:rsidRPr="006C21B5" w:rsidRDefault="00152B2D" w:rsidP="006C21B5">
            <w:pPr>
              <w:rPr>
                <w:rFonts w:ascii="Times New Roman" w:hAnsi="Times New Roman" w:cs="Times New Roman"/>
                <w:b w:val="0"/>
                <w:sz w:val="24"/>
                <w:szCs w:val="24"/>
              </w:rPr>
            </w:pPr>
            <w:r w:rsidRPr="006C21B5">
              <w:rPr>
                <w:rFonts w:ascii="Times New Roman" w:hAnsi="Times New Roman" w:cs="Times New Roman"/>
                <w:b w:val="0"/>
                <w:sz w:val="24"/>
                <w:szCs w:val="24"/>
              </w:rPr>
              <w:t>Normal</w:t>
            </w:r>
          </w:p>
        </w:tc>
        <w:tc>
          <w:tcPr>
            <w:tcW w:w="3117" w:type="dxa"/>
          </w:tcPr>
          <w:p w14:paraId="16107EDF"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349</w:t>
            </w:r>
          </w:p>
        </w:tc>
        <w:tc>
          <w:tcPr>
            <w:tcW w:w="3117" w:type="dxa"/>
          </w:tcPr>
          <w:p w14:paraId="11DFF5A6"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44.8</w:t>
            </w:r>
          </w:p>
        </w:tc>
      </w:tr>
      <w:tr w:rsidR="00DF791A" w:rsidRPr="00687EE0" w14:paraId="22DE224E"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98EF4FB" w14:textId="77777777" w:rsidR="00DF791A" w:rsidRPr="006C21B5" w:rsidRDefault="00152B2D" w:rsidP="006C21B5">
            <w:pPr>
              <w:rPr>
                <w:rFonts w:ascii="Times New Roman" w:hAnsi="Times New Roman" w:cs="Times New Roman"/>
                <w:b w:val="0"/>
                <w:sz w:val="24"/>
                <w:szCs w:val="24"/>
              </w:rPr>
            </w:pPr>
            <w:r w:rsidRPr="006C21B5">
              <w:rPr>
                <w:rFonts w:ascii="Times New Roman" w:hAnsi="Times New Roman" w:cs="Times New Roman"/>
                <w:b w:val="0"/>
                <w:sz w:val="24"/>
                <w:szCs w:val="24"/>
              </w:rPr>
              <w:t>Overweight</w:t>
            </w:r>
          </w:p>
        </w:tc>
        <w:tc>
          <w:tcPr>
            <w:tcW w:w="3117" w:type="dxa"/>
            <w:shd w:val="clear" w:color="auto" w:fill="auto"/>
          </w:tcPr>
          <w:p w14:paraId="3C59187A" w14:textId="77777777" w:rsidR="00DF791A" w:rsidRPr="00687EE0" w:rsidRDefault="00152B2D"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279</w:t>
            </w:r>
          </w:p>
        </w:tc>
        <w:tc>
          <w:tcPr>
            <w:tcW w:w="3117" w:type="dxa"/>
            <w:shd w:val="clear" w:color="auto" w:fill="auto"/>
          </w:tcPr>
          <w:p w14:paraId="410CCB40" w14:textId="77777777" w:rsidR="00DF791A" w:rsidRPr="00687EE0" w:rsidRDefault="00152B2D"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35.9</w:t>
            </w:r>
          </w:p>
        </w:tc>
      </w:tr>
      <w:tr w:rsidR="00DF791A" w:rsidRPr="00687EE0" w14:paraId="6FD80694"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3ED6CBD3" w14:textId="77777777" w:rsidR="00DF791A" w:rsidRPr="006C21B5" w:rsidRDefault="00152B2D" w:rsidP="006C21B5">
            <w:pPr>
              <w:rPr>
                <w:rFonts w:ascii="Times New Roman" w:hAnsi="Times New Roman" w:cs="Times New Roman"/>
                <w:b w:val="0"/>
                <w:sz w:val="24"/>
                <w:szCs w:val="24"/>
              </w:rPr>
            </w:pPr>
            <w:r w:rsidRPr="006C21B5">
              <w:rPr>
                <w:rFonts w:ascii="Times New Roman" w:hAnsi="Times New Roman" w:cs="Times New Roman"/>
                <w:b w:val="0"/>
                <w:sz w:val="24"/>
                <w:szCs w:val="24"/>
              </w:rPr>
              <w:t>Obese</w:t>
            </w:r>
          </w:p>
        </w:tc>
        <w:tc>
          <w:tcPr>
            <w:tcW w:w="3117" w:type="dxa"/>
          </w:tcPr>
          <w:p w14:paraId="51562E0D"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150</w:t>
            </w:r>
          </w:p>
        </w:tc>
        <w:tc>
          <w:tcPr>
            <w:tcW w:w="3117" w:type="dxa"/>
          </w:tcPr>
          <w:p w14:paraId="72317EBD"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19.3</w:t>
            </w:r>
          </w:p>
        </w:tc>
      </w:tr>
      <w:tr w:rsidR="00DF791A" w:rsidRPr="00687EE0" w14:paraId="4426FA2F"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D814796"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lastRenderedPageBreak/>
              <w:t xml:space="preserve">Sleep </w:t>
            </w:r>
            <w:r w:rsidR="00EB5C31" w:rsidRPr="00687EE0">
              <w:rPr>
                <w:rFonts w:ascii="Times New Roman" w:hAnsi="Times New Roman" w:cs="Times New Roman"/>
                <w:sz w:val="24"/>
                <w:szCs w:val="24"/>
              </w:rPr>
              <w:t>Duration (Hours)</w:t>
            </w:r>
          </w:p>
        </w:tc>
        <w:tc>
          <w:tcPr>
            <w:tcW w:w="3117" w:type="dxa"/>
            <w:shd w:val="clear" w:color="auto" w:fill="auto"/>
          </w:tcPr>
          <w:p w14:paraId="73A42E04"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7C863833"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12A79607"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2658A814"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&lt; 7</w:t>
            </w:r>
          </w:p>
        </w:tc>
        <w:tc>
          <w:tcPr>
            <w:tcW w:w="3117" w:type="dxa"/>
          </w:tcPr>
          <w:p w14:paraId="3234DA4A"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303</w:t>
            </w:r>
          </w:p>
        </w:tc>
        <w:tc>
          <w:tcPr>
            <w:tcW w:w="3117" w:type="dxa"/>
          </w:tcPr>
          <w:p w14:paraId="30A70640"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39.0</w:t>
            </w:r>
          </w:p>
        </w:tc>
      </w:tr>
      <w:tr w:rsidR="00DF791A" w:rsidRPr="00687EE0" w14:paraId="4089A5D4"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23336AD"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7-9</w:t>
            </w:r>
          </w:p>
        </w:tc>
        <w:tc>
          <w:tcPr>
            <w:tcW w:w="3117" w:type="dxa"/>
            <w:shd w:val="clear" w:color="auto" w:fill="auto"/>
          </w:tcPr>
          <w:p w14:paraId="41C5642A"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383</w:t>
            </w:r>
          </w:p>
        </w:tc>
        <w:tc>
          <w:tcPr>
            <w:tcW w:w="3117" w:type="dxa"/>
            <w:shd w:val="clear" w:color="auto" w:fill="auto"/>
          </w:tcPr>
          <w:p w14:paraId="4CA06684"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49.2</w:t>
            </w:r>
          </w:p>
        </w:tc>
      </w:tr>
      <w:tr w:rsidR="00DF791A" w:rsidRPr="00687EE0" w14:paraId="2BC79C6E"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7BAB819D"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&gt;9</w:t>
            </w:r>
          </w:p>
        </w:tc>
        <w:tc>
          <w:tcPr>
            <w:tcW w:w="3117" w:type="dxa"/>
          </w:tcPr>
          <w:p w14:paraId="7D986ECD"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92</w:t>
            </w:r>
          </w:p>
        </w:tc>
        <w:tc>
          <w:tcPr>
            <w:tcW w:w="3117" w:type="dxa"/>
          </w:tcPr>
          <w:p w14:paraId="5BDF9798"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11.8</w:t>
            </w:r>
          </w:p>
        </w:tc>
      </w:tr>
      <w:tr w:rsidR="00DF791A" w:rsidRPr="00687EE0" w14:paraId="41E60F5A"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3C8E541" w14:textId="77777777" w:rsidR="00DF791A" w:rsidRPr="00687EE0" w:rsidRDefault="00EB5C31" w:rsidP="006C21B5">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3117" w:type="dxa"/>
            <w:shd w:val="clear" w:color="auto" w:fill="auto"/>
          </w:tcPr>
          <w:p w14:paraId="6D0FB86A"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0F22B77E"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56273A85"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31E7BA7A"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tcPr>
          <w:p w14:paraId="21E99870"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43</w:t>
            </w:r>
          </w:p>
        </w:tc>
        <w:tc>
          <w:tcPr>
            <w:tcW w:w="3117" w:type="dxa"/>
          </w:tcPr>
          <w:p w14:paraId="1989CA6B"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5.5</w:t>
            </w:r>
          </w:p>
        </w:tc>
      </w:tr>
      <w:tr w:rsidR="00DF791A" w:rsidRPr="00687EE0" w14:paraId="3F56371A"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9FCDD61"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shd w:val="clear" w:color="auto" w:fill="auto"/>
          </w:tcPr>
          <w:p w14:paraId="34C59CA5"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735</w:t>
            </w:r>
          </w:p>
        </w:tc>
        <w:tc>
          <w:tcPr>
            <w:tcW w:w="3117" w:type="dxa"/>
            <w:shd w:val="clear" w:color="auto" w:fill="auto"/>
          </w:tcPr>
          <w:p w14:paraId="1C172795"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94.5</w:t>
            </w:r>
          </w:p>
        </w:tc>
      </w:tr>
      <w:tr w:rsidR="001A2B26" w:rsidRPr="00687EE0" w14:paraId="3AA27662"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698CAE38" w14:textId="77777777" w:rsidR="001A2B26" w:rsidRPr="00687EE0" w:rsidRDefault="001A2B26" w:rsidP="006C21B5">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3117" w:type="dxa"/>
          </w:tcPr>
          <w:p w14:paraId="55048903"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2A091CCC"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2B26" w:rsidRPr="00687EE0" w14:paraId="109C3BC7"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5A450E4" w14:textId="77777777" w:rsidR="001A2B26" w:rsidRPr="006C21B5" w:rsidRDefault="001A2B26"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shd w:val="clear" w:color="auto" w:fill="auto"/>
          </w:tcPr>
          <w:p w14:paraId="0BBFF2A7" w14:textId="77777777" w:rsidR="001A2B26" w:rsidRPr="00687EE0" w:rsidRDefault="001A2B26"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336</w:t>
            </w:r>
          </w:p>
        </w:tc>
        <w:tc>
          <w:tcPr>
            <w:tcW w:w="3117" w:type="dxa"/>
            <w:shd w:val="clear" w:color="auto" w:fill="auto"/>
          </w:tcPr>
          <w:p w14:paraId="5DCCB081" w14:textId="77777777" w:rsidR="001A2B26" w:rsidRPr="00687EE0" w:rsidRDefault="001A2B26"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43.2</w:t>
            </w:r>
          </w:p>
        </w:tc>
      </w:tr>
      <w:tr w:rsidR="001A2B26" w:rsidRPr="00687EE0" w14:paraId="1C6A36D3"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54ADFEE2" w14:textId="77777777" w:rsidR="001A2B26" w:rsidRPr="006C21B5" w:rsidRDefault="001A2B26"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tcPr>
          <w:p w14:paraId="321809C8"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442</w:t>
            </w:r>
          </w:p>
        </w:tc>
        <w:tc>
          <w:tcPr>
            <w:tcW w:w="3117" w:type="dxa"/>
          </w:tcPr>
          <w:p w14:paraId="5F3C03CA"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56.8</w:t>
            </w:r>
          </w:p>
        </w:tc>
      </w:tr>
    </w:tbl>
    <w:p w14:paraId="31C5F958" w14:textId="77777777" w:rsidR="00DF791A" w:rsidRPr="00687EE0" w:rsidRDefault="00DF791A" w:rsidP="006C21B5">
      <w:pPr>
        <w:spacing w:after="0" w:line="240" w:lineRule="auto"/>
        <w:jc w:val="both"/>
        <w:rPr>
          <w:rFonts w:ascii="Times New Roman" w:hAnsi="Times New Roman" w:cs="Times New Roman"/>
          <w:sz w:val="24"/>
          <w:szCs w:val="24"/>
        </w:rPr>
      </w:pPr>
    </w:p>
    <w:p w14:paraId="12FB83C2" w14:textId="77777777" w:rsidR="00CE178E" w:rsidRPr="00687EE0" w:rsidRDefault="00CE178E" w:rsidP="000953F9">
      <w:pPr>
        <w:spacing w:after="0" w:line="480" w:lineRule="auto"/>
        <w:jc w:val="both"/>
        <w:rPr>
          <w:rFonts w:ascii="Times New Roman" w:hAnsi="Times New Roman" w:cs="Times New Roman"/>
          <w:b/>
          <w:sz w:val="24"/>
          <w:szCs w:val="24"/>
        </w:rPr>
      </w:pPr>
    </w:p>
    <w:p w14:paraId="55FA5456" w14:textId="77777777" w:rsidR="00CE178E" w:rsidRPr="00687EE0" w:rsidRDefault="00CE178E" w:rsidP="000953F9">
      <w:pPr>
        <w:spacing w:after="0" w:line="480" w:lineRule="auto"/>
        <w:jc w:val="both"/>
        <w:rPr>
          <w:rFonts w:ascii="Times New Roman" w:hAnsi="Times New Roman" w:cs="Times New Roman"/>
          <w:b/>
          <w:sz w:val="24"/>
          <w:szCs w:val="24"/>
        </w:rPr>
      </w:pPr>
    </w:p>
    <w:p w14:paraId="7F823D2E" w14:textId="77777777" w:rsidR="00BE72CB" w:rsidRPr="00687EE0" w:rsidRDefault="00BE72CB" w:rsidP="00BE72CB">
      <w:pPr>
        <w:spacing w:after="0" w:line="480" w:lineRule="auto"/>
        <w:jc w:val="both"/>
        <w:rPr>
          <w:rFonts w:ascii="Times New Roman" w:hAnsi="Times New Roman" w:cs="Times New Roman"/>
          <w:b/>
          <w:bCs/>
          <w:sz w:val="24"/>
          <w:szCs w:val="24"/>
          <w:lang w:val="en-GB"/>
        </w:rPr>
      </w:pPr>
      <w:r w:rsidRPr="00687EE0">
        <w:rPr>
          <w:rFonts w:ascii="Times New Roman" w:hAnsi="Times New Roman" w:cs="Times New Roman"/>
          <w:b/>
          <w:bCs/>
          <w:iCs/>
          <w:sz w:val="24"/>
          <w:szCs w:val="24"/>
          <w:lang w:val="en-GB"/>
        </w:rPr>
        <w:t>Clinical characteristics and comorbidities of the study participants</w:t>
      </w:r>
    </w:p>
    <w:p w14:paraId="42721B07" w14:textId="77777777" w:rsidR="00BE72CB" w:rsidRPr="00687EE0" w:rsidRDefault="00BE72CB" w:rsidP="00BE72CB">
      <w:pPr>
        <w:spacing w:after="0" w:line="480" w:lineRule="auto"/>
        <w:jc w:val="both"/>
        <w:rPr>
          <w:rFonts w:ascii="Times New Roman" w:hAnsi="Times New Roman" w:cs="Times New Roman"/>
          <w:b/>
          <w:bCs/>
          <w:sz w:val="24"/>
          <w:szCs w:val="24"/>
          <w:lang w:val="en-GB"/>
        </w:rPr>
      </w:pPr>
      <w:r w:rsidRPr="00687EE0">
        <w:rPr>
          <w:rFonts w:ascii="Times New Roman" w:hAnsi="Times New Roman" w:cs="Times New Roman"/>
          <w:bCs/>
          <w:sz w:val="24"/>
          <w:szCs w:val="24"/>
          <w:lang w:val="en-GB"/>
        </w:rPr>
        <w:t>Table 3 presents the clinical characteristics and comorbidities of the study participants. Hypertension was the most common comorbidity, affecting 476 (61.2%) respondents, of whom only 179 (37.6%) had controlled blood pressure. Most participants had lived with diabetes for less than five years, and 488 (62.7%) achieved good glycaemic control. Elevated HbA1c levels (&gt;6.5%) were observed in 288 (37.0%) respondents, while albuminuria was present in 134 (17.2%). Lipid abnormalities were detected in 262 (33.7%) participants, with elevated total cholesterol reported in 237 (90.5%) of these cases.</w:t>
      </w:r>
    </w:p>
    <w:p w14:paraId="47008721" w14:textId="77777777" w:rsidR="006C21B5" w:rsidRDefault="006C21B5" w:rsidP="00BE72CB">
      <w:pPr>
        <w:spacing w:after="0" w:line="480" w:lineRule="auto"/>
        <w:jc w:val="both"/>
        <w:rPr>
          <w:rFonts w:ascii="Times New Roman" w:hAnsi="Times New Roman" w:cs="Times New Roman"/>
          <w:b/>
          <w:bCs/>
          <w:iCs/>
          <w:sz w:val="24"/>
          <w:szCs w:val="24"/>
          <w:lang w:val="en-GB"/>
        </w:rPr>
      </w:pPr>
    </w:p>
    <w:p w14:paraId="7A4CD4A7" w14:textId="77777777" w:rsidR="006C21B5" w:rsidRDefault="006C21B5" w:rsidP="00BE72CB">
      <w:pPr>
        <w:spacing w:after="0" w:line="480" w:lineRule="auto"/>
        <w:jc w:val="both"/>
        <w:rPr>
          <w:rFonts w:ascii="Times New Roman" w:hAnsi="Times New Roman" w:cs="Times New Roman"/>
          <w:b/>
          <w:bCs/>
          <w:iCs/>
          <w:sz w:val="24"/>
          <w:szCs w:val="24"/>
          <w:lang w:val="en-GB"/>
        </w:rPr>
      </w:pPr>
    </w:p>
    <w:p w14:paraId="2E83A50D" w14:textId="4BB0B17C" w:rsidR="00F81C43" w:rsidRPr="00687EE0" w:rsidRDefault="006C21B5" w:rsidP="006C21B5">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iCs/>
          <w:sz w:val="24"/>
          <w:szCs w:val="24"/>
          <w:lang w:val="en-GB"/>
        </w:rPr>
        <w:t xml:space="preserve">Table 3: </w:t>
      </w:r>
      <w:r w:rsidR="00BE72CB" w:rsidRPr="00687EE0">
        <w:rPr>
          <w:rFonts w:ascii="Times New Roman" w:hAnsi="Times New Roman" w:cs="Times New Roman"/>
          <w:b/>
          <w:bCs/>
          <w:iCs/>
          <w:sz w:val="24"/>
          <w:szCs w:val="24"/>
          <w:lang w:val="en-GB"/>
        </w:rPr>
        <w:t>Clinical characteristics and comorbidities of the study participants</w:t>
      </w:r>
      <w:r w:rsidR="008D232B">
        <w:rPr>
          <w:rFonts w:ascii="Times New Roman" w:hAnsi="Times New Roman" w:cs="Times New Roman"/>
          <w:b/>
          <w:bCs/>
          <w:iCs/>
          <w:sz w:val="24"/>
          <w:szCs w:val="24"/>
          <w:lang w:val="en-GB"/>
        </w:rPr>
        <w:t xml:space="preserve"> (N=778)</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DF791A" w:rsidRPr="00687EE0" w14:paraId="001E6B45" w14:textId="77777777" w:rsidTr="00212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0B5F9E78"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Variables</w:t>
            </w:r>
          </w:p>
        </w:tc>
        <w:tc>
          <w:tcPr>
            <w:tcW w:w="3117" w:type="dxa"/>
            <w:tcBorders>
              <w:bottom w:val="single" w:sz="4" w:space="0" w:color="auto"/>
            </w:tcBorders>
          </w:tcPr>
          <w:p w14:paraId="6E4F24A7"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Frequency</w:t>
            </w:r>
          </w:p>
        </w:tc>
        <w:tc>
          <w:tcPr>
            <w:tcW w:w="3117" w:type="dxa"/>
            <w:tcBorders>
              <w:bottom w:val="single" w:sz="4" w:space="0" w:color="auto"/>
            </w:tcBorders>
          </w:tcPr>
          <w:p w14:paraId="6D3E0A4F"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Percentage</w:t>
            </w:r>
          </w:p>
        </w:tc>
      </w:tr>
      <w:tr w:rsidR="00754D97" w:rsidRPr="00687EE0" w14:paraId="03550E82"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auto"/>
          </w:tcPr>
          <w:p w14:paraId="2A05DF34" w14:textId="77777777" w:rsidR="00754D97" w:rsidRPr="00687EE0" w:rsidRDefault="00754D97" w:rsidP="006C21B5">
            <w:pPr>
              <w:rPr>
                <w:rFonts w:ascii="Times New Roman" w:hAnsi="Times New Roman" w:cs="Times New Roman"/>
                <w:sz w:val="24"/>
                <w:szCs w:val="24"/>
              </w:rPr>
            </w:pPr>
            <w:r w:rsidRPr="00687EE0">
              <w:rPr>
                <w:rFonts w:ascii="Times New Roman" w:hAnsi="Times New Roman" w:cs="Times New Roman"/>
                <w:sz w:val="24"/>
                <w:szCs w:val="24"/>
              </w:rPr>
              <w:t xml:space="preserve">Hypertension </w:t>
            </w:r>
          </w:p>
        </w:tc>
        <w:tc>
          <w:tcPr>
            <w:tcW w:w="3117" w:type="dxa"/>
            <w:tcBorders>
              <w:top w:val="single" w:sz="4" w:space="0" w:color="auto"/>
            </w:tcBorders>
            <w:shd w:val="clear" w:color="auto" w:fill="auto"/>
          </w:tcPr>
          <w:p w14:paraId="3E509D04"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tcBorders>
              <w:top w:val="single" w:sz="4" w:space="0" w:color="auto"/>
            </w:tcBorders>
            <w:shd w:val="clear" w:color="auto" w:fill="auto"/>
          </w:tcPr>
          <w:p w14:paraId="35A4837C"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4D97" w:rsidRPr="00687EE0" w14:paraId="01ACC9E3"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711A3843" w14:textId="77777777" w:rsidR="00754D97"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tcPr>
          <w:p w14:paraId="15ED5489" w14:textId="77777777" w:rsidR="00754D97" w:rsidRPr="00687EE0" w:rsidRDefault="00754D97"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476</w:t>
            </w:r>
          </w:p>
        </w:tc>
        <w:tc>
          <w:tcPr>
            <w:tcW w:w="3117" w:type="dxa"/>
          </w:tcPr>
          <w:p w14:paraId="4CD0CF48" w14:textId="77777777" w:rsidR="00754D97" w:rsidRPr="00687EE0" w:rsidRDefault="00754D97"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61.2</w:t>
            </w:r>
          </w:p>
        </w:tc>
      </w:tr>
      <w:tr w:rsidR="00754D97" w:rsidRPr="00687EE0" w14:paraId="4BCFAC9B"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CC9BCF0" w14:textId="77777777" w:rsidR="00754D97"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shd w:val="clear" w:color="auto" w:fill="auto"/>
          </w:tcPr>
          <w:p w14:paraId="42623B3A"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302</w:t>
            </w:r>
          </w:p>
        </w:tc>
        <w:tc>
          <w:tcPr>
            <w:tcW w:w="3117" w:type="dxa"/>
            <w:shd w:val="clear" w:color="auto" w:fill="auto"/>
          </w:tcPr>
          <w:p w14:paraId="4D86EA19"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38.8</w:t>
            </w:r>
          </w:p>
        </w:tc>
      </w:tr>
      <w:tr w:rsidR="00DF791A" w:rsidRPr="00687EE0" w14:paraId="1BF02867"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791D82E2"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Blood pressure</w:t>
            </w:r>
            <w:r w:rsidR="00754D97" w:rsidRPr="00687EE0">
              <w:rPr>
                <w:rFonts w:ascii="Times New Roman" w:hAnsi="Times New Roman" w:cs="Times New Roman"/>
                <w:sz w:val="24"/>
                <w:szCs w:val="24"/>
              </w:rPr>
              <w:t xml:space="preserve"> control (n=476)</w:t>
            </w:r>
          </w:p>
        </w:tc>
        <w:tc>
          <w:tcPr>
            <w:tcW w:w="3117" w:type="dxa"/>
          </w:tcPr>
          <w:p w14:paraId="7C330A5D"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4D219223"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F791A" w:rsidRPr="00687EE0" w14:paraId="7B09456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74AA92B" w14:textId="77777777" w:rsidR="00DF791A"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Controlled</w:t>
            </w:r>
          </w:p>
        </w:tc>
        <w:tc>
          <w:tcPr>
            <w:tcW w:w="3117" w:type="dxa"/>
            <w:shd w:val="clear" w:color="auto" w:fill="auto"/>
          </w:tcPr>
          <w:p w14:paraId="3648C7D7" w14:textId="77777777" w:rsidR="00DF791A"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179</w:t>
            </w:r>
          </w:p>
        </w:tc>
        <w:tc>
          <w:tcPr>
            <w:tcW w:w="3117" w:type="dxa"/>
            <w:shd w:val="clear" w:color="auto" w:fill="auto"/>
          </w:tcPr>
          <w:p w14:paraId="21274831" w14:textId="77777777" w:rsidR="00DF791A"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37.6</w:t>
            </w:r>
          </w:p>
        </w:tc>
      </w:tr>
      <w:tr w:rsidR="00DF791A" w:rsidRPr="00687EE0" w14:paraId="3EE453F6"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2DB89D2B" w14:textId="77777777" w:rsidR="00DF791A"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Uncontrolled</w:t>
            </w:r>
          </w:p>
        </w:tc>
        <w:tc>
          <w:tcPr>
            <w:tcW w:w="3117" w:type="dxa"/>
          </w:tcPr>
          <w:p w14:paraId="1E72542A" w14:textId="77777777" w:rsidR="00DF791A"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297</w:t>
            </w:r>
          </w:p>
        </w:tc>
        <w:tc>
          <w:tcPr>
            <w:tcW w:w="3117" w:type="dxa"/>
          </w:tcPr>
          <w:p w14:paraId="2313850F" w14:textId="77777777" w:rsidR="00DF791A" w:rsidRPr="00687EE0" w:rsidRDefault="00754D97"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62.4</w:t>
            </w:r>
          </w:p>
        </w:tc>
      </w:tr>
      <w:tr w:rsidR="009D5B19" w:rsidRPr="00687EE0" w14:paraId="0698272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875D118" w14:textId="77777777" w:rsidR="009D5B19" w:rsidRPr="00687EE0" w:rsidRDefault="009D5B19" w:rsidP="006C21B5">
            <w:pPr>
              <w:rPr>
                <w:rFonts w:ascii="Times New Roman" w:hAnsi="Times New Roman" w:cs="Times New Roman"/>
                <w:sz w:val="24"/>
                <w:szCs w:val="24"/>
              </w:rPr>
            </w:pPr>
            <w:r w:rsidRPr="00687EE0">
              <w:rPr>
                <w:rFonts w:ascii="Times New Roman" w:hAnsi="Times New Roman" w:cs="Times New Roman"/>
                <w:sz w:val="24"/>
                <w:szCs w:val="24"/>
              </w:rPr>
              <w:t>Duration of DM (Years)</w:t>
            </w:r>
          </w:p>
        </w:tc>
        <w:tc>
          <w:tcPr>
            <w:tcW w:w="3117" w:type="dxa"/>
            <w:shd w:val="clear" w:color="auto" w:fill="auto"/>
          </w:tcPr>
          <w:p w14:paraId="3AE35F8F"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3FD5C29F"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D5B19" w:rsidRPr="00687EE0" w14:paraId="42F68D36"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1622D165" w14:textId="77777777" w:rsidR="009D5B19"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 2</w:t>
            </w:r>
          </w:p>
        </w:tc>
        <w:tc>
          <w:tcPr>
            <w:tcW w:w="3117" w:type="dxa"/>
          </w:tcPr>
          <w:p w14:paraId="50C7DB71"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276</w:t>
            </w:r>
          </w:p>
        </w:tc>
        <w:tc>
          <w:tcPr>
            <w:tcW w:w="3117" w:type="dxa"/>
          </w:tcPr>
          <w:p w14:paraId="1E3A7065"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35.5</w:t>
            </w:r>
          </w:p>
        </w:tc>
      </w:tr>
      <w:tr w:rsidR="009D5B19" w:rsidRPr="00687EE0" w14:paraId="4D82397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7942524" w14:textId="77777777" w:rsidR="009D5B19"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lastRenderedPageBreak/>
              <w:t>3 – 4</w:t>
            </w:r>
          </w:p>
        </w:tc>
        <w:tc>
          <w:tcPr>
            <w:tcW w:w="3117" w:type="dxa"/>
            <w:shd w:val="clear" w:color="auto" w:fill="auto"/>
          </w:tcPr>
          <w:p w14:paraId="5961855B"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327</w:t>
            </w:r>
          </w:p>
        </w:tc>
        <w:tc>
          <w:tcPr>
            <w:tcW w:w="3117" w:type="dxa"/>
            <w:shd w:val="clear" w:color="auto" w:fill="auto"/>
          </w:tcPr>
          <w:p w14:paraId="0D45E581"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42.0</w:t>
            </w:r>
          </w:p>
        </w:tc>
      </w:tr>
      <w:tr w:rsidR="009D5B19" w:rsidRPr="00687EE0" w14:paraId="61F5746F"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2CDEA0F7" w14:textId="1A57AD14" w:rsidR="00F81C43" w:rsidRPr="006C21B5" w:rsidRDefault="006C21B5" w:rsidP="006C21B5">
            <w:pPr>
              <w:rPr>
                <w:rFonts w:ascii="Times New Roman" w:hAnsi="Times New Roman" w:cs="Times New Roman"/>
                <w:b w:val="0"/>
                <w:sz w:val="24"/>
                <w:szCs w:val="24"/>
              </w:rPr>
            </w:pPr>
            <w:r>
              <w:rPr>
                <w:rFonts w:ascii="Times New Roman" w:hAnsi="Times New Roman" w:cs="Times New Roman"/>
                <w:b w:val="0"/>
                <w:sz w:val="24"/>
                <w:szCs w:val="24"/>
              </w:rPr>
              <w:t>≥ 5</w:t>
            </w:r>
          </w:p>
        </w:tc>
        <w:tc>
          <w:tcPr>
            <w:tcW w:w="3117" w:type="dxa"/>
          </w:tcPr>
          <w:p w14:paraId="73D1F2B4"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175</w:t>
            </w:r>
          </w:p>
        </w:tc>
        <w:tc>
          <w:tcPr>
            <w:tcW w:w="3117" w:type="dxa"/>
          </w:tcPr>
          <w:p w14:paraId="5858CE76"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22.5</w:t>
            </w:r>
          </w:p>
        </w:tc>
      </w:tr>
      <w:tr w:rsidR="00DF791A" w:rsidRPr="00687EE0" w14:paraId="7E156C79"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080B1EC" w14:textId="77777777" w:rsidR="00DF791A" w:rsidRPr="00687EE0" w:rsidRDefault="009D5B19" w:rsidP="006C21B5">
            <w:pPr>
              <w:rPr>
                <w:rFonts w:ascii="Times New Roman" w:hAnsi="Times New Roman" w:cs="Times New Roman"/>
                <w:sz w:val="24"/>
                <w:szCs w:val="24"/>
              </w:rPr>
            </w:pPr>
            <w:proofErr w:type="spellStart"/>
            <w:r w:rsidRPr="00687EE0">
              <w:rPr>
                <w:rFonts w:ascii="Times New Roman" w:hAnsi="Times New Roman" w:cs="Times New Roman"/>
                <w:sz w:val="24"/>
                <w:szCs w:val="24"/>
              </w:rPr>
              <w:t>Glycaemic</w:t>
            </w:r>
            <w:proofErr w:type="spellEnd"/>
            <w:r w:rsidRPr="00687EE0">
              <w:rPr>
                <w:rFonts w:ascii="Times New Roman" w:hAnsi="Times New Roman" w:cs="Times New Roman"/>
                <w:sz w:val="24"/>
                <w:szCs w:val="24"/>
              </w:rPr>
              <w:t xml:space="preserve"> Control</w:t>
            </w:r>
          </w:p>
        </w:tc>
        <w:tc>
          <w:tcPr>
            <w:tcW w:w="3117" w:type="dxa"/>
            <w:shd w:val="clear" w:color="auto" w:fill="auto"/>
          </w:tcPr>
          <w:p w14:paraId="04367E49"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399757F0"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026D5DA1"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16EF5971" w14:textId="77777777" w:rsidR="00DF791A"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Controlled</w:t>
            </w:r>
          </w:p>
        </w:tc>
        <w:tc>
          <w:tcPr>
            <w:tcW w:w="3117" w:type="dxa"/>
          </w:tcPr>
          <w:p w14:paraId="774704B6"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488</w:t>
            </w:r>
          </w:p>
        </w:tc>
        <w:tc>
          <w:tcPr>
            <w:tcW w:w="3117" w:type="dxa"/>
          </w:tcPr>
          <w:p w14:paraId="7A8CB0F3"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62.7</w:t>
            </w:r>
          </w:p>
        </w:tc>
      </w:tr>
      <w:tr w:rsidR="00DF791A" w:rsidRPr="00687EE0" w14:paraId="4D04C81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8ADAD00" w14:textId="77777777" w:rsidR="00DF791A"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Uncontrolled</w:t>
            </w:r>
          </w:p>
        </w:tc>
        <w:tc>
          <w:tcPr>
            <w:tcW w:w="3117" w:type="dxa"/>
            <w:shd w:val="clear" w:color="auto" w:fill="auto"/>
          </w:tcPr>
          <w:p w14:paraId="79D2A5BA"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290</w:t>
            </w:r>
          </w:p>
        </w:tc>
        <w:tc>
          <w:tcPr>
            <w:tcW w:w="3117" w:type="dxa"/>
            <w:shd w:val="clear" w:color="auto" w:fill="auto"/>
          </w:tcPr>
          <w:p w14:paraId="212CC16A"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37.3</w:t>
            </w:r>
          </w:p>
        </w:tc>
      </w:tr>
      <w:tr w:rsidR="009D5B19" w:rsidRPr="00687EE0" w14:paraId="2FDB107E"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4B7DDAC0" w14:textId="77777777" w:rsidR="009D5B19" w:rsidRPr="00687EE0" w:rsidRDefault="009D5B19" w:rsidP="006C21B5">
            <w:pPr>
              <w:rPr>
                <w:rFonts w:ascii="Times New Roman" w:hAnsi="Times New Roman" w:cs="Times New Roman"/>
                <w:sz w:val="24"/>
                <w:szCs w:val="24"/>
              </w:rPr>
            </w:pPr>
            <w:proofErr w:type="spellStart"/>
            <w:r w:rsidRPr="00687EE0">
              <w:rPr>
                <w:rFonts w:ascii="Times New Roman" w:hAnsi="Times New Roman" w:cs="Times New Roman"/>
                <w:sz w:val="24"/>
                <w:szCs w:val="24"/>
              </w:rPr>
              <w:t>Glycaeted</w:t>
            </w:r>
            <w:proofErr w:type="spellEnd"/>
            <w:r w:rsidRPr="00687EE0">
              <w:rPr>
                <w:rFonts w:ascii="Times New Roman" w:hAnsi="Times New Roman" w:cs="Times New Roman"/>
                <w:sz w:val="24"/>
                <w:szCs w:val="24"/>
              </w:rPr>
              <w:t xml:space="preserve"> </w:t>
            </w:r>
            <w:proofErr w:type="spellStart"/>
            <w:r w:rsidRPr="00687EE0">
              <w:rPr>
                <w:rFonts w:ascii="Times New Roman" w:hAnsi="Times New Roman" w:cs="Times New Roman"/>
                <w:sz w:val="24"/>
                <w:szCs w:val="24"/>
              </w:rPr>
              <w:t>Haemoglobin</w:t>
            </w:r>
            <w:proofErr w:type="spellEnd"/>
          </w:p>
        </w:tc>
        <w:tc>
          <w:tcPr>
            <w:tcW w:w="3117" w:type="dxa"/>
          </w:tcPr>
          <w:p w14:paraId="363DC5E7"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7ADDF3B3"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D5B19" w:rsidRPr="00687EE0" w14:paraId="6C417F1A"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2146BFF" w14:textId="77777777" w:rsidR="009D5B19"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3117" w:type="dxa"/>
            <w:shd w:val="clear" w:color="auto" w:fill="auto"/>
          </w:tcPr>
          <w:p w14:paraId="647FCE48"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490</w:t>
            </w:r>
          </w:p>
        </w:tc>
        <w:tc>
          <w:tcPr>
            <w:tcW w:w="3117" w:type="dxa"/>
            <w:shd w:val="clear" w:color="auto" w:fill="auto"/>
          </w:tcPr>
          <w:p w14:paraId="1619864A"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63.0</w:t>
            </w:r>
          </w:p>
        </w:tc>
      </w:tr>
      <w:tr w:rsidR="009D5B19" w:rsidRPr="00687EE0" w14:paraId="07404D05"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27B5E775" w14:textId="77777777" w:rsidR="009D5B19"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Elevated</w:t>
            </w:r>
          </w:p>
        </w:tc>
        <w:tc>
          <w:tcPr>
            <w:tcW w:w="3117" w:type="dxa"/>
          </w:tcPr>
          <w:p w14:paraId="087D3346"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288</w:t>
            </w:r>
          </w:p>
        </w:tc>
        <w:tc>
          <w:tcPr>
            <w:tcW w:w="3117" w:type="dxa"/>
          </w:tcPr>
          <w:p w14:paraId="4624A7A5"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37.0</w:t>
            </w:r>
          </w:p>
        </w:tc>
      </w:tr>
      <w:tr w:rsidR="009D5B19" w:rsidRPr="00687EE0" w14:paraId="4D69E016"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8D777C2" w14:textId="77777777" w:rsidR="009D5B19" w:rsidRPr="00687EE0" w:rsidRDefault="009D5B19" w:rsidP="006C21B5">
            <w:pPr>
              <w:rPr>
                <w:rFonts w:ascii="Times New Roman" w:hAnsi="Times New Roman" w:cs="Times New Roman"/>
                <w:sz w:val="24"/>
                <w:szCs w:val="24"/>
              </w:rPr>
            </w:pPr>
            <w:r w:rsidRPr="00687EE0">
              <w:rPr>
                <w:rFonts w:ascii="Times New Roman" w:hAnsi="Times New Roman" w:cs="Times New Roman"/>
                <w:sz w:val="24"/>
                <w:szCs w:val="24"/>
              </w:rPr>
              <w:t>Albuminuria</w:t>
            </w:r>
          </w:p>
        </w:tc>
        <w:tc>
          <w:tcPr>
            <w:tcW w:w="3117" w:type="dxa"/>
            <w:shd w:val="clear" w:color="auto" w:fill="auto"/>
          </w:tcPr>
          <w:p w14:paraId="0D1A1722"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3CF63C08"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D5B19" w:rsidRPr="00687EE0" w14:paraId="52E86DBD"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71C69C62" w14:textId="77777777" w:rsidR="009D5B19"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 xml:space="preserve">Present </w:t>
            </w:r>
          </w:p>
        </w:tc>
        <w:tc>
          <w:tcPr>
            <w:tcW w:w="3117" w:type="dxa"/>
          </w:tcPr>
          <w:p w14:paraId="6B6A471F"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134</w:t>
            </w:r>
          </w:p>
        </w:tc>
        <w:tc>
          <w:tcPr>
            <w:tcW w:w="3117" w:type="dxa"/>
          </w:tcPr>
          <w:p w14:paraId="67376346" w14:textId="77777777" w:rsidR="009D5B19"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17.2</w:t>
            </w:r>
          </w:p>
        </w:tc>
      </w:tr>
      <w:tr w:rsidR="009D5B19" w:rsidRPr="00687EE0" w14:paraId="0A7B4F03"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9C6C86C" w14:textId="77777777" w:rsidR="009D5B19"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Absent</w:t>
            </w:r>
          </w:p>
        </w:tc>
        <w:tc>
          <w:tcPr>
            <w:tcW w:w="3117" w:type="dxa"/>
            <w:shd w:val="clear" w:color="auto" w:fill="auto"/>
          </w:tcPr>
          <w:p w14:paraId="1A03AC21" w14:textId="77777777" w:rsidR="009D5B19"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644</w:t>
            </w:r>
          </w:p>
        </w:tc>
        <w:tc>
          <w:tcPr>
            <w:tcW w:w="3117" w:type="dxa"/>
            <w:shd w:val="clear" w:color="auto" w:fill="auto"/>
          </w:tcPr>
          <w:p w14:paraId="19EF401D" w14:textId="77777777" w:rsidR="009D5B19"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82.8</w:t>
            </w:r>
          </w:p>
        </w:tc>
      </w:tr>
      <w:tr w:rsidR="00DF791A" w:rsidRPr="00687EE0" w14:paraId="1D9438E9"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3792DB97" w14:textId="77777777" w:rsidR="00DF791A" w:rsidRPr="00687EE0" w:rsidRDefault="009D5B19" w:rsidP="006C21B5">
            <w:pPr>
              <w:rPr>
                <w:rFonts w:ascii="Times New Roman" w:hAnsi="Times New Roman" w:cs="Times New Roman"/>
                <w:sz w:val="24"/>
                <w:szCs w:val="24"/>
              </w:rPr>
            </w:pPr>
            <w:r w:rsidRPr="00687EE0">
              <w:rPr>
                <w:rFonts w:ascii="Times New Roman" w:hAnsi="Times New Roman" w:cs="Times New Roman"/>
                <w:sz w:val="24"/>
                <w:szCs w:val="24"/>
              </w:rPr>
              <w:t>Lipid Profile</w:t>
            </w:r>
          </w:p>
        </w:tc>
        <w:tc>
          <w:tcPr>
            <w:tcW w:w="3117" w:type="dxa"/>
          </w:tcPr>
          <w:p w14:paraId="17FEFDDC"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2C5D97C5"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F791A" w:rsidRPr="00687EE0" w14:paraId="2647023A"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A57FC0A" w14:textId="77777777" w:rsidR="00DF791A"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3117" w:type="dxa"/>
            <w:shd w:val="clear" w:color="auto" w:fill="auto"/>
          </w:tcPr>
          <w:p w14:paraId="7C6CEAB7"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516</w:t>
            </w:r>
          </w:p>
        </w:tc>
        <w:tc>
          <w:tcPr>
            <w:tcW w:w="3117" w:type="dxa"/>
            <w:shd w:val="clear" w:color="auto" w:fill="auto"/>
          </w:tcPr>
          <w:p w14:paraId="79755B93"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66.3</w:t>
            </w:r>
          </w:p>
        </w:tc>
      </w:tr>
      <w:tr w:rsidR="00DF791A" w:rsidRPr="00687EE0" w14:paraId="1BBD9C14"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0D2D2D3C" w14:textId="77777777" w:rsidR="00DF791A"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Abnormal</w:t>
            </w:r>
          </w:p>
        </w:tc>
        <w:tc>
          <w:tcPr>
            <w:tcW w:w="3117" w:type="dxa"/>
          </w:tcPr>
          <w:p w14:paraId="192D1930"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262</w:t>
            </w:r>
          </w:p>
        </w:tc>
        <w:tc>
          <w:tcPr>
            <w:tcW w:w="3117" w:type="dxa"/>
          </w:tcPr>
          <w:p w14:paraId="722BF75D"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33.7</w:t>
            </w:r>
          </w:p>
        </w:tc>
      </w:tr>
      <w:tr w:rsidR="00DF791A" w:rsidRPr="00687EE0" w14:paraId="051147E6"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4197751" w14:textId="77777777" w:rsidR="00DF791A" w:rsidRPr="00687EE0" w:rsidRDefault="00E17FCB" w:rsidP="006C21B5">
            <w:pPr>
              <w:rPr>
                <w:rFonts w:ascii="Times New Roman" w:hAnsi="Times New Roman" w:cs="Times New Roman"/>
                <w:sz w:val="24"/>
                <w:szCs w:val="24"/>
              </w:rPr>
            </w:pPr>
            <w:r w:rsidRPr="00687EE0">
              <w:rPr>
                <w:rFonts w:ascii="Times New Roman" w:hAnsi="Times New Roman" w:cs="Times New Roman"/>
                <w:sz w:val="24"/>
                <w:szCs w:val="24"/>
              </w:rPr>
              <w:t>Abnormal Lipid Profile (n=262)</w:t>
            </w:r>
          </w:p>
        </w:tc>
        <w:tc>
          <w:tcPr>
            <w:tcW w:w="3117" w:type="dxa"/>
            <w:shd w:val="clear" w:color="auto" w:fill="auto"/>
          </w:tcPr>
          <w:p w14:paraId="70034646"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48ABE231"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17FCB" w:rsidRPr="00687EE0" w14:paraId="13F81225"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02FFEAB8"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Elevated Total Cholesterol</w:t>
            </w:r>
          </w:p>
        </w:tc>
        <w:tc>
          <w:tcPr>
            <w:tcW w:w="3117" w:type="dxa"/>
          </w:tcPr>
          <w:p w14:paraId="2EDC561C"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237</w:t>
            </w:r>
          </w:p>
        </w:tc>
        <w:tc>
          <w:tcPr>
            <w:tcW w:w="3117" w:type="dxa"/>
          </w:tcPr>
          <w:p w14:paraId="55E02BAB"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90.5</w:t>
            </w:r>
          </w:p>
        </w:tc>
      </w:tr>
      <w:tr w:rsidR="00E17FCB" w:rsidRPr="00687EE0" w14:paraId="0E7F1AF5"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EDCD2CF"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Elevated Triglycerides</w:t>
            </w:r>
          </w:p>
        </w:tc>
        <w:tc>
          <w:tcPr>
            <w:tcW w:w="3117" w:type="dxa"/>
            <w:shd w:val="clear" w:color="auto" w:fill="auto"/>
          </w:tcPr>
          <w:p w14:paraId="68901FF8"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187</w:t>
            </w:r>
          </w:p>
        </w:tc>
        <w:tc>
          <w:tcPr>
            <w:tcW w:w="3117" w:type="dxa"/>
            <w:shd w:val="clear" w:color="auto" w:fill="auto"/>
          </w:tcPr>
          <w:p w14:paraId="7C2765F3"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71.4</w:t>
            </w:r>
          </w:p>
        </w:tc>
      </w:tr>
      <w:tr w:rsidR="00E17FCB" w:rsidRPr="00687EE0" w14:paraId="20A2579C"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3D39F043"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 xml:space="preserve">Elevated </w:t>
            </w:r>
            <w:r w:rsidR="002129A1" w:rsidRPr="008D232B">
              <w:rPr>
                <w:rFonts w:ascii="Times New Roman" w:hAnsi="Times New Roman" w:cs="Times New Roman"/>
                <w:b w:val="0"/>
                <w:sz w:val="24"/>
                <w:szCs w:val="24"/>
              </w:rPr>
              <w:t>Low-Density</w:t>
            </w:r>
            <w:r w:rsidRPr="008D232B">
              <w:rPr>
                <w:rFonts w:ascii="Times New Roman" w:hAnsi="Times New Roman" w:cs="Times New Roman"/>
                <w:b w:val="0"/>
                <w:sz w:val="24"/>
                <w:szCs w:val="24"/>
              </w:rPr>
              <w:t xml:space="preserve"> Lipoprotein (LDL)</w:t>
            </w:r>
          </w:p>
        </w:tc>
        <w:tc>
          <w:tcPr>
            <w:tcW w:w="3117" w:type="dxa"/>
          </w:tcPr>
          <w:p w14:paraId="72C30A36"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159</w:t>
            </w:r>
          </w:p>
        </w:tc>
        <w:tc>
          <w:tcPr>
            <w:tcW w:w="3117" w:type="dxa"/>
          </w:tcPr>
          <w:p w14:paraId="3F6BAB95"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60.7</w:t>
            </w:r>
          </w:p>
        </w:tc>
      </w:tr>
      <w:tr w:rsidR="00E17FCB" w:rsidRPr="00687EE0" w14:paraId="1A046391"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F07C568"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 xml:space="preserve">Reduced </w:t>
            </w:r>
            <w:r w:rsidR="002129A1" w:rsidRPr="008D232B">
              <w:rPr>
                <w:rFonts w:ascii="Times New Roman" w:hAnsi="Times New Roman" w:cs="Times New Roman"/>
                <w:b w:val="0"/>
                <w:sz w:val="24"/>
                <w:szCs w:val="24"/>
              </w:rPr>
              <w:t>high-density lipoprotein</w:t>
            </w:r>
            <w:r w:rsidRPr="008D232B">
              <w:rPr>
                <w:rFonts w:ascii="Times New Roman" w:hAnsi="Times New Roman" w:cs="Times New Roman"/>
                <w:b w:val="0"/>
                <w:sz w:val="24"/>
                <w:szCs w:val="24"/>
              </w:rPr>
              <w:t xml:space="preserve"> (HDL)</w:t>
            </w:r>
          </w:p>
        </w:tc>
        <w:tc>
          <w:tcPr>
            <w:tcW w:w="3117" w:type="dxa"/>
            <w:shd w:val="clear" w:color="auto" w:fill="auto"/>
          </w:tcPr>
          <w:p w14:paraId="382CD011"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125</w:t>
            </w:r>
          </w:p>
        </w:tc>
        <w:tc>
          <w:tcPr>
            <w:tcW w:w="3117" w:type="dxa"/>
            <w:shd w:val="clear" w:color="auto" w:fill="auto"/>
          </w:tcPr>
          <w:p w14:paraId="2A36F93D"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47.7</w:t>
            </w:r>
          </w:p>
        </w:tc>
      </w:tr>
    </w:tbl>
    <w:p w14:paraId="356C7350" w14:textId="77777777" w:rsidR="00DF791A" w:rsidRPr="00687EE0" w:rsidRDefault="00DF791A" w:rsidP="006C21B5">
      <w:pPr>
        <w:spacing w:after="0" w:line="240" w:lineRule="auto"/>
        <w:rPr>
          <w:rFonts w:ascii="Times New Roman" w:hAnsi="Times New Roman" w:cs="Times New Roman"/>
          <w:sz w:val="24"/>
          <w:szCs w:val="24"/>
        </w:rPr>
      </w:pPr>
    </w:p>
    <w:p w14:paraId="1C90A266" w14:textId="77777777" w:rsidR="002129A1" w:rsidRPr="00687EE0" w:rsidRDefault="002129A1" w:rsidP="002129A1">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 xml:space="preserve">Association Between Lifestyle Factors and </w:t>
      </w:r>
      <w:proofErr w:type="spellStart"/>
      <w:r w:rsidRPr="00687EE0">
        <w:rPr>
          <w:rFonts w:ascii="Times New Roman" w:hAnsi="Times New Roman" w:cs="Times New Roman"/>
          <w:b/>
          <w:sz w:val="24"/>
          <w:szCs w:val="24"/>
        </w:rPr>
        <w:t>Glycaemic</w:t>
      </w:r>
      <w:proofErr w:type="spellEnd"/>
      <w:r w:rsidRPr="00687EE0">
        <w:rPr>
          <w:rFonts w:ascii="Times New Roman" w:hAnsi="Times New Roman" w:cs="Times New Roman"/>
          <w:b/>
          <w:sz w:val="24"/>
          <w:szCs w:val="24"/>
        </w:rPr>
        <w:t xml:space="preserve"> Control</w:t>
      </w:r>
    </w:p>
    <w:p w14:paraId="73B2F0D4" w14:textId="77777777" w:rsidR="002129A1" w:rsidRPr="00687EE0" w:rsidRDefault="002129A1" w:rsidP="002129A1">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Table 4 presents the association between lifestyle factors and </w:t>
      </w:r>
      <w:proofErr w:type="spellStart"/>
      <w:r w:rsidRPr="00687EE0">
        <w:rPr>
          <w:rFonts w:ascii="Times New Roman" w:hAnsi="Times New Roman" w:cs="Times New Roman"/>
          <w:sz w:val="24"/>
          <w:szCs w:val="24"/>
        </w:rPr>
        <w:t>glycaemic</w:t>
      </w:r>
      <w:proofErr w:type="spellEnd"/>
      <w:r w:rsidRPr="00687EE0">
        <w:rPr>
          <w:rFonts w:ascii="Times New Roman" w:hAnsi="Times New Roman" w:cs="Times New Roman"/>
          <w:sz w:val="24"/>
          <w:szCs w:val="24"/>
        </w:rPr>
        <w:t xml:space="preserve"> control. Respondents with adequate dietary habits (p = 0.0002), sufficient physical activity (p = 0.012), a normal BMI (p = 0.002), and those who did not consume alcohol (p = 0.010) demonstrated significantly better </w:t>
      </w:r>
      <w:proofErr w:type="spellStart"/>
      <w:r w:rsidRPr="00687EE0">
        <w:rPr>
          <w:rFonts w:ascii="Times New Roman" w:hAnsi="Times New Roman" w:cs="Times New Roman"/>
          <w:sz w:val="24"/>
          <w:szCs w:val="24"/>
        </w:rPr>
        <w:t>glycaemic</w:t>
      </w:r>
      <w:proofErr w:type="spellEnd"/>
      <w:r w:rsidRPr="00687EE0">
        <w:rPr>
          <w:rFonts w:ascii="Times New Roman" w:hAnsi="Times New Roman" w:cs="Times New Roman"/>
          <w:sz w:val="24"/>
          <w:szCs w:val="24"/>
        </w:rPr>
        <w:t xml:space="preserve"> control. In contrast, no significant associations were observed between glycemic control and sleep duration (p = 0.143) or smoking (p = 0.510).</w:t>
      </w:r>
    </w:p>
    <w:p w14:paraId="32CDE3B0" w14:textId="77777777" w:rsidR="00FD54E1" w:rsidRPr="00687EE0" w:rsidRDefault="00FD54E1" w:rsidP="008D232B">
      <w:pPr>
        <w:spacing w:after="0" w:line="240" w:lineRule="auto"/>
        <w:jc w:val="both"/>
        <w:rPr>
          <w:rFonts w:ascii="Times New Roman" w:hAnsi="Times New Roman" w:cs="Times New Roman"/>
          <w:b/>
          <w:sz w:val="24"/>
          <w:szCs w:val="24"/>
        </w:rPr>
      </w:pPr>
      <w:r w:rsidRPr="00687EE0">
        <w:rPr>
          <w:rFonts w:ascii="Times New Roman" w:hAnsi="Times New Roman" w:cs="Times New Roman"/>
          <w:b/>
          <w:sz w:val="24"/>
          <w:szCs w:val="24"/>
        </w:rPr>
        <w:t>Table 4</w:t>
      </w:r>
      <w:r w:rsidRPr="00687EE0">
        <w:rPr>
          <w:rFonts w:ascii="Times New Roman" w:hAnsi="Times New Roman" w:cs="Times New Roman"/>
          <w:sz w:val="24"/>
          <w:szCs w:val="24"/>
        </w:rPr>
        <w:t xml:space="preserve">: </w:t>
      </w:r>
      <w:r w:rsidR="002129A1" w:rsidRPr="00687EE0">
        <w:rPr>
          <w:rFonts w:ascii="Times New Roman" w:hAnsi="Times New Roman" w:cs="Times New Roman"/>
          <w:b/>
          <w:sz w:val="24"/>
          <w:szCs w:val="24"/>
        </w:rPr>
        <w:t xml:space="preserve">Association Between Lifestyle Factors and </w:t>
      </w:r>
      <w:proofErr w:type="spellStart"/>
      <w:r w:rsidR="002129A1" w:rsidRPr="00687EE0">
        <w:rPr>
          <w:rFonts w:ascii="Times New Roman" w:hAnsi="Times New Roman" w:cs="Times New Roman"/>
          <w:b/>
          <w:sz w:val="24"/>
          <w:szCs w:val="24"/>
        </w:rPr>
        <w:t>Glycaemic</w:t>
      </w:r>
      <w:proofErr w:type="spellEnd"/>
      <w:r w:rsidR="002129A1" w:rsidRPr="00687EE0">
        <w:rPr>
          <w:rFonts w:ascii="Times New Roman" w:hAnsi="Times New Roman" w:cs="Times New Roman"/>
          <w:b/>
          <w:sz w:val="24"/>
          <w:szCs w:val="24"/>
        </w:rPr>
        <w:t xml:space="preserve"> Control</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001"/>
        <w:gridCol w:w="1730"/>
        <w:gridCol w:w="2027"/>
        <w:gridCol w:w="1609"/>
        <w:gridCol w:w="1983"/>
      </w:tblGrid>
      <w:tr w:rsidR="00053EDF" w:rsidRPr="00687EE0" w14:paraId="255D46C4" w14:textId="77777777" w:rsidTr="00212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bottom w:val="single" w:sz="4" w:space="0" w:color="auto"/>
            </w:tcBorders>
          </w:tcPr>
          <w:p w14:paraId="1FA4955B"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1730" w:type="dxa"/>
            <w:tcBorders>
              <w:bottom w:val="single" w:sz="4" w:space="0" w:color="auto"/>
            </w:tcBorders>
          </w:tcPr>
          <w:p w14:paraId="0802834D"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Controlled</w:t>
            </w:r>
          </w:p>
          <w:p w14:paraId="6373E023"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290 (37.3%)</w:t>
            </w:r>
          </w:p>
        </w:tc>
        <w:tc>
          <w:tcPr>
            <w:tcW w:w="2027" w:type="dxa"/>
            <w:tcBorders>
              <w:bottom w:val="single" w:sz="4" w:space="0" w:color="auto"/>
            </w:tcBorders>
          </w:tcPr>
          <w:p w14:paraId="6F6A7D46"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Uncontrolled</w:t>
            </w:r>
          </w:p>
          <w:p w14:paraId="6354C91C"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488 (62.7)</w:t>
            </w:r>
          </w:p>
        </w:tc>
        <w:tc>
          <w:tcPr>
            <w:tcW w:w="1609" w:type="dxa"/>
            <w:tcBorders>
              <w:bottom w:val="single" w:sz="4" w:space="0" w:color="auto"/>
            </w:tcBorders>
          </w:tcPr>
          <w:p w14:paraId="46B4198D"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ꭓ</w:t>
            </w:r>
            <w:r w:rsidRPr="00687EE0">
              <w:rPr>
                <w:rFonts w:ascii="Times New Roman" w:hAnsi="Times New Roman" w:cs="Times New Roman"/>
                <w:sz w:val="24"/>
                <w:szCs w:val="24"/>
                <w:vertAlign w:val="superscript"/>
              </w:rPr>
              <w:t>2</w:t>
            </w:r>
          </w:p>
        </w:tc>
        <w:tc>
          <w:tcPr>
            <w:tcW w:w="1983" w:type="dxa"/>
            <w:tcBorders>
              <w:bottom w:val="single" w:sz="4" w:space="0" w:color="auto"/>
            </w:tcBorders>
          </w:tcPr>
          <w:p w14:paraId="06452306"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053EDF" w:rsidRPr="00687EE0" w14:paraId="740D5443"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tcBorders>
            <w:shd w:val="clear" w:color="auto" w:fill="auto"/>
          </w:tcPr>
          <w:p w14:paraId="06709FC7"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1730" w:type="dxa"/>
            <w:tcBorders>
              <w:top w:val="single" w:sz="4" w:space="0" w:color="auto"/>
            </w:tcBorders>
            <w:shd w:val="clear" w:color="auto" w:fill="auto"/>
          </w:tcPr>
          <w:p w14:paraId="29AE4F37"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1F21B41E"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6B07B325"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14.038</w:t>
            </w:r>
          </w:p>
        </w:tc>
        <w:tc>
          <w:tcPr>
            <w:tcW w:w="1983" w:type="dxa"/>
            <w:tcBorders>
              <w:top w:val="single" w:sz="4" w:space="0" w:color="auto"/>
            </w:tcBorders>
            <w:shd w:val="clear" w:color="auto" w:fill="auto"/>
          </w:tcPr>
          <w:p w14:paraId="217080E3"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0.0002*</w:t>
            </w:r>
          </w:p>
        </w:tc>
      </w:tr>
      <w:tr w:rsidR="00053EDF" w:rsidRPr="00687EE0" w14:paraId="176A092B"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E667956"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1730" w:type="dxa"/>
          </w:tcPr>
          <w:p w14:paraId="7C49C0C4"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112 (47.1)</w:t>
            </w:r>
          </w:p>
        </w:tc>
        <w:tc>
          <w:tcPr>
            <w:tcW w:w="2027" w:type="dxa"/>
          </w:tcPr>
          <w:p w14:paraId="347507F4"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126 (52.9)</w:t>
            </w:r>
          </w:p>
        </w:tc>
        <w:tc>
          <w:tcPr>
            <w:tcW w:w="1609" w:type="dxa"/>
          </w:tcPr>
          <w:p w14:paraId="08BEF2F0"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207A85C1"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0DAF69A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9EE781B"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1730" w:type="dxa"/>
            <w:shd w:val="clear" w:color="auto" w:fill="auto"/>
          </w:tcPr>
          <w:p w14:paraId="2C829A92"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178 (33.0)</w:t>
            </w:r>
          </w:p>
        </w:tc>
        <w:tc>
          <w:tcPr>
            <w:tcW w:w="2027" w:type="dxa"/>
            <w:shd w:val="clear" w:color="auto" w:fill="auto"/>
          </w:tcPr>
          <w:p w14:paraId="2970A90F"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362 (67.0)</w:t>
            </w:r>
          </w:p>
        </w:tc>
        <w:tc>
          <w:tcPr>
            <w:tcW w:w="1609" w:type="dxa"/>
            <w:shd w:val="clear" w:color="auto" w:fill="auto"/>
          </w:tcPr>
          <w:p w14:paraId="62126C01"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77C64E1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23CFDD34"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1D7511A6"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1730" w:type="dxa"/>
          </w:tcPr>
          <w:p w14:paraId="2F32C8F3"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4A53DC3B"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E34A7FE" w14:textId="77777777" w:rsidR="00053EDF" w:rsidRPr="00687EE0" w:rsidRDefault="00FE3F76"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6.339</w:t>
            </w:r>
          </w:p>
        </w:tc>
        <w:tc>
          <w:tcPr>
            <w:tcW w:w="1983" w:type="dxa"/>
          </w:tcPr>
          <w:p w14:paraId="151D659C" w14:textId="77777777" w:rsidR="00053EDF" w:rsidRPr="00687EE0" w:rsidRDefault="00FE3F76"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0.012*</w:t>
            </w:r>
          </w:p>
        </w:tc>
      </w:tr>
      <w:tr w:rsidR="00053EDF" w:rsidRPr="00687EE0" w14:paraId="7355846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865CAF6"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74282C9C"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156 (41.8)</w:t>
            </w:r>
          </w:p>
        </w:tc>
        <w:tc>
          <w:tcPr>
            <w:tcW w:w="2027" w:type="dxa"/>
            <w:shd w:val="clear" w:color="auto" w:fill="auto"/>
          </w:tcPr>
          <w:p w14:paraId="4444566E"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217 (58.2)</w:t>
            </w:r>
          </w:p>
        </w:tc>
        <w:tc>
          <w:tcPr>
            <w:tcW w:w="1609" w:type="dxa"/>
            <w:shd w:val="clear" w:color="auto" w:fill="auto"/>
          </w:tcPr>
          <w:p w14:paraId="0CB49A3F"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078E2607"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2CCAE2F7"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2C6380B"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7960CDCB"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134 (33.1)</w:t>
            </w:r>
          </w:p>
        </w:tc>
        <w:tc>
          <w:tcPr>
            <w:tcW w:w="2027" w:type="dxa"/>
          </w:tcPr>
          <w:p w14:paraId="11C3CFBF"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271 (66.9)</w:t>
            </w:r>
          </w:p>
        </w:tc>
        <w:tc>
          <w:tcPr>
            <w:tcW w:w="1609" w:type="dxa"/>
          </w:tcPr>
          <w:p w14:paraId="2005948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1120A79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1FFE16E2"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E71E8A8"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BMI</w:t>
            </w:r>
          </w:p>
        </w:tc>
        <w:tc>
          <w:tcPr>
            <w:tcW w:w="1730" w:type="dxa"/>
            <w:shd w:val="clear" w:color="auto" w:fill="auto"/>
          </w:tcPr>
          <w:p w14:paraId="72F76772"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18486858"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2CD7A90C"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12.251</w:t>
            </w:r>
          </w:p>
        </w:tc>
        <w:tc>
          <w:tcPr>
            <w:tcW w:w="1983" w:type="dxa"/>
            <w:shd w:val="clear" w:color="auto" w:fill="auto"/>
          </w:tcPr>
          <w:p w14:paraId="687D0A39"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0.002*</w:t>
            </w:r>
          </w:p>
        </w:tc>
      </w:tr>
      <w:tr w:rsidR="00053EDF" w:rsidRPr="00687EE0" w14:paraId="7AA75DCA"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71C09E56"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1730" w:type="dxa"/>
          </w:tcPr>
          <w:p w14:paraId="058738F7"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151 (43.2)</w:t>
            </w:r>
          </w:p>
        </w:tc>
        <w:tc>
          <w:tcPr>
            <w:tcW w:w="2027" w:type="dxa"/>
          </w:tcPr>
          <w:p w14:paraId="2FA1089D"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198 (56.8)</w:t>
            </w:r>
          </w:p>
        </w:tc>
        <w:tc>
          <w:tcPr>
            <w:tcW w:w="1609" w:type="dxa"/>
          </w:tcPr>
          <w:p w14:paraId="4FD4414E"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1CDA381C"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5E54DA86"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01C60380"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lastRenderedPageBreak/>
              <w:t>Overweight</w:t>
            </w:r>
          </w:p>
        </w:tc>
        <w:tc>
          <w:tcPr>
            <w:tcW w:w="1730" w:type="dxa"/>
            <w:shd w:val="clear" w:color="auto" w:fill="auto"/>
          </w:tcPr>
          <w:p w14:paraId="2480F562" w14:textId="77777777" w:rsidR="00053EDF"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98 (35.1)</w:t>
            </w:r>
          </w:p>
        </w:tc>
        <w:tc>
          <w:tcPr>
            <w:tcW w:w="2027" w:type="dxa"/>
            <w:shd w:val="clear" w:color="auto" w:fill="auto"/>
          </w:tcPr>
          <w:p w14:paraId="025266B5" w14:textId="77777777" w:rsidR="00053EDF"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181 (64.9)</w:t>
            </w:r>
          </w:p>
        </w:tc>
        <w:tc>
          <w:tcPr>
            <w:tcW w:w="1609" w:type="dxa"/>
            <w:shd w:val="clear" w:color="auto" w:fill="auto"/>
          </w:tcPr>
          <w:p w14:paraId="2E3AD76A"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2266D70D"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47445AA3"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7850277C"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1730" w:type="dxa"/>
          </w:tcPr>
          <w:p w14:paraId="3607B3F6"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41 (27.3)</w:t>
            </w:r>
          </w:p>
        </w:tc>
        <w:tc>
          <w:tcPr>
            <w:tcW w:w="2027" w:type="dxa"/>
          </w:tcPr>
          <w:p w14:paraId="608FBE34"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109 (72.7)</w:t>
            </w:r>
          </w:p>
        </w:tc>
        <w:tc>
          <w:tcPr>
            <w:tcW w:w="1609" w:type="dxa"/>
          </w:tcPr>
          <w:p w14:paraId="0580C8EE"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38A9057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4E44AC8E"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2455EAF8"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Sleep Duration (Hours)</w:t>
            </w:r>
          </w:p>
        </w:tc>
        <w:tc>
          <w:tcPr>
            <w:tcW w:w="1730" w:type="dxa"/>
            <w:shd w:val="clear" w:color="auto" w:fill="auto"/>
          </w:tcPr>
          <w:p w14:paraId="0F23F813"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71F0AB6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38ED22C1"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3.894</w:t>
            </w:r>
          </w:p>
        </w:tc>
        <w:tc>
          <w:tcPr>
            <w:tcW w:w="1983" w:type="dxa"/>
            <w:shd w:val="clear" w:color="auto" w:fill="auto"/>
          </w:tcPr>
          <w:p w14:paraId="7C5B1BC1"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0.143</w:t>
            </w:r>
          </w:p>
        </w:tc>
      </w:tr>
      <w:tr w:rsidR="00053EDF" w:rsidRPr="00687EE0" w14:paraId="524ABD06"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B9C9D93"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&lt; 7</w:t>
            </w:r>
          </w:p>
        </w:tc>
        <w:tc>
          <w:tcPr>
            <w:tcW w:w="1730" w:type="dxa"/>
          </w:tcPr>
          <w:p w14:paraId="0255F004"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125 (41.3)</w:t>
            </w:r>
          </w:p>
        </w:tc>
        <w:tc>
          <w:tcPr>
            <w:tcW w:w="2027" w:type="dxa"/>
          </w:tcPr>
          <w:p w14:paraId="35E5743D"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178 (58.7)</w:t>
            </w:r>
          </w:p>
        </w:tc>
        <w:tc>
          <w:tcPr>
            <w:tcW w:w="1609" w:type="dxa"/>
          </w:tcPr>
          <w:p w14:paraId="3EA91723"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77E9756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5CADA01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84274B6" w14:textId="77777777" w:rsidR="00053EDF" w:rsidRPr="008D232B" w:rsidRDefault="008D1E51" w:rsidP="008D232B">
            <w:pPr>
              <w:rPr>
                <w:rFonts w:ascii="Times New Roman" w:hAnsi="Times New Roman" w:cs="Times New Roman"/>
                <w:b w:val="0"/>
                <w:sz w:val="24"/>
                <w:szCs w:val="24"/>
              </w:rPr>
            </w:pPr>
            <w:r w:rsidRPr="008D232B">
              <w:rPr>
                <w:rFonts w:ascii="Times New Roman" w:hAnsi="Times New Roman" w:cs="Times New Roman"/>
                <w:b w:val="0"/>
                <w:sz w:val="24"/>
                <w:szCs w:val="24"/>
              </w:rPr>
              <w:t xml:space="preserve">7 – </w:t>
            </w:r>
            <w:r w:rsidR="00053EDF" w:rsidRPr="008D232B">
              <w:rPr>
                <w:rFonts w:ascii="Times New Roman" w:hAnsi="Times New Roman" w:cs="Times New Roman"/>
                <w:b w:val="0"/>
                <w:sz w:val="24"/>
                <w:szCs w:val="24"/>
              </w:rPr>
              <w:t>9</w:t>
            </w:r>
          </w:p>
        </w:tc>
        <w:tc>
          <w:tcPr>
            <w:tcW w:w="1730" w:type="dxa"/>
            <w:shd w:val="clear" w:color="auto" w:fill="auto"/>
          </w:tcPr>
          <w:p w14:paraId="48842250"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130 (33.9)</w:t>
            </w:r>
          </w:p>
        </w:tc>
        <w:tc>
          <w:tcPr>
            <w:tcW w:w="2027" w:type="dxa"/>
            <w:shd w:val="clear" w:color="auto" w:fill="auto"/>
          </w:tcPr>
          <w:p w14:paraId="102539BF"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253 (66.1)</w:t>
            </w:r>
          </w:p>
        </w:tc>
        <w:tc>
          <w:tcPr>
            <w:tcW w:w="1609" w:type="dxa"/>
            <w:shd w:val="clear" w:color="auto" w:fill="auto"/>
          </w:tcPr>
          <w:p w14:paraId="7F251053"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4BF04C58"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5DE25DB8"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0BE451B4"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&gt;9</w:t>
            </w:r>
          </w:p>
        </w:tc>
        <w:tc>
          <w:tcPr>
            <w:tcW w:w="1730" w:type="dxa"/>
          </w:tcPr>
          <w:p w14:paraId="511F1FB6"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35 (38.0)</w:t>
            </w:r>
          </w:p>
        </w:tc>
        <w:tc>
          <w:tcPr>
            <w:tcW w:w="2027" w:type="dxa"/>
          </w:tcPr>
          <w:p w14:paraId="3210613C"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57 (62.0)</w:t>
            </w:r>
          </w:p>
        </w:tc>
        <w:tc>
          <w:tcPr>
            <w:tcW w:w="1609" w:type="dxa"/>
          </w:tcPr>
          <w:p w14:paraId="396F05A7"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73389CC0"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6FCE0247"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032524E"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1730" w:type="dxa"/>
            <w:shd w:val="clear" w:color="auto" w:fill="auto"/>
          </w:tcPr>
          <w:p w14:paraId="358C5AD8"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6485E882"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0035AD7B"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0.433</w:t>
            </w:r>
          </w:p>
        </w:tc>
        <w:tc>
          <w:tcPr>
            <w:tcW w:w="1983" w:type="dxa"/>
            <w:shd w:val="clear" w:color="auto" w:fill="auto"/>
          </w:tcPr>
          <w:p w14:paraId="264CEA87"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0.51</w:t>
            </w:r>
            <w:r w:rsidR="0078145B" w:rsidRPr="00687EE0">
              <w:rPr>
                <w:rFonts w:ascii="Times New Roman" w:hAnsi="Times New Roman" w:cs="Times New Roman"/>
                <w:sz w:val="24"/>
                <w:szCs w:val="24"/>
              </w:rPr>
              <w:t>0</w:t>
            </w:r>
          </w:p>
        </w:tc>
      </w:tr>
      <w:tr w:rsidR="00053EDF" w:rsidRPr="00687EE0" w14:paraId="20FD7F3F"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4D3A3FB9"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tcPr>
          <w:p w14:paraId="4EAB85A1"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 (32.6)</w:t>
            </w:r>
          </w:p>
        </w:tc>
        <w:tc>
          <w:tcPr>
            <w:tcW w:w="2027" w:type="dxa"/>
          </w:tcPr>
          <w:p w14:paraId="25326122"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 (67.4)</w:t>
            </w:r>
          </w:p>
        </w:tc>
        <w:tc>
          <w:tcPr>
            <w:tcW w:w="1609" w:type="dxa"/>
          </w:tcPr>
          <w:p w14:paraId="18C5218E"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5DA51402"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66DC6B09"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8076AA8"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shd w:val="clear" w:color="auto" w:fill="auto"/>
          </w:tcPr>
          <w:p w14:paraId="0F936F8C"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276 (37.5)</w:t>
            </w:r>
          </w:p>
        </w:tc>
        <w:tc>
          <w:tcPr>
            <w:tcW w:w="2027" w:type="dxa"/>
            <w:shd w:val="clear" w:color="auto" w:fill="auto"/>
          </w:tcPr>
          <w:p w14:paraId="262B1066"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459 (62.5)</w:t>
            </w:r>
          </w:p>
        </w:tc>
        <w:tc>
          <w:tcPr>
            <w:tcW w:w="1609" w:type="dxa"/>
            <w:shd w:val="clear" w:color="auto" w:fill="auto"/>
          </w:tcPr>
          <w:p w14:paraId="5D20D7E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50083B6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36AE973A"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1031914"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1730" w:type="dxa"/>
          </w:tcPr>
          <w:p w14:paraId="5EE5E1D1"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3414E8B1"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212F9902" w14:textId="77777777" w:rsidR="00053EDF" w:rsidRPr="00687EE0" w:rsidRDefault="00352009"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6.663</w:t>
            </w:r>
          </w:p>
        </w:tc>
        <w:tc>
          <w:tcPr>
            <w:tcW w:w="1983" w:type="dxa"/>
          </w:tcPr>
          <w:p w14:paraId="3A0D98E0" w14:textId="77777777" w:rsidR="00053EDF" w:rsidRPr="00687EE0" w:rsidRDefault="00352009"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0.010</w:t>
            </w:r>
            <w:r w:rsidR="00FB3B1F" w:rsidRPr="00687EE0">
              <w:rPr>
                <w:rFonts w:ascii="Times New Roman" w:hAnsi="Times New Roman" w:cs="Times New Roman"/>
                <w:sz w:val="24"/>
                <w:szCs w:val="24"/>
              </w:rPr>
              <w:t>*</w:t>
            </w:r>
          </w:p>
        </w:tc>
      </w:tr>
      <w:tr w:rsidR="00053EDF" w:rsidRPr="00687EE0" w14:paraId="1A188FE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62EC5B58"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20791F8E" w14:textId="77777777" w:rsidR="00053EDF" w:rsidRPr="00687EE0" w:rsidRDefault="00352009"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w:t>
            </w:r>
            <w:r w:rsidR="0078145B" w:rsidRPr="00687EE0">
              <w:rPr>
                <w:rFonts w:ascii="Times New Roman" w:hAnsi="Times New Roman" w:cs="Times New Roman"/>
                <w:sz w:val="24"/>
                <w:szCs w:val="24"/>
              </w:rPr>
              <w:t>8 (</w:t>
            </w:r>
            <w:r w:rsidRPr="00687EE0">
              <w:rPr>
                <w:rFonts w:ascii="Times New Roman" w:hAnsi="Times New Roman" w:cs="Times New Roman"/>
                <w:sz w:val="24"/>
                <w:szCs w:val="24"/>
              </w:rPr>
              <w:t>32.1</w:t>
            </w:r>
            <w:r w:rsidR="0078145B" w:rsidRPr="00687EE0">
              <w:rPr>
                <w:rFonts w:ascii="Times New Roman" w:hAnsi="Times New Roman" w:cs="Times New Roman"/>
                <w:sz w:val="24"/>
                <w:szCs w:val="24"/>
              </w:rPr>
              <w:t>)</w:t>
            </w:r>
          </w:p>
        </w:tc>
        <w:tc>
          <w:tcPr>
            <w:tcW w:w="2027" w:type="dxa"/>
            <w:shd w:val="clear" w:color="auto" w:fill="auto"/>
          </w:tcPr>
          <w:p w14:paraId="61BC433B" w14:textId="77777777" w:rsidR="00053EDF" w:rsidRPr="00687EE0" w:rsidRDefault="00352009"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228 (67.9)</w:t>
            </w:r>
          </w:p>
        </w:tc>
        <w:tc>
          <w:tcPr>
            <w:tcW w:w="1609" w:type="dxa"/>
            <w:shd w:val="clear" w:color="auto" w:fill="auto"/>
          </w:tcPr>
          <w:p w14:paraId="0E6C1490"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635DA1E4"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1CD03F4B"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B557639"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58A5325C" w14:textId="77777777" w:rsidR="00053EDF" w:rsidRPr="00687EE0" w:rsidRDefault="00FB3B1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182 (41</w:t>
            </w:r>
            <w:r w:rsidR="0078145B" w:rsidRPr="00687EE0">
              <w:rPr>
                <w:rFonts w:ascii="Times New Roman" w:hAnsi="Times New Roman" w:cs="Times New Roman"/>
                <w:sz w:val="24"/>
                <w:szCs w:val="24"/>
              </w:rPr>
              <w:t>.1)</w:t>
            </w:r>
          </w:p>
        </w:tc>
        <w:tc>
          <w:tcPr>
            <w:tcW w:w="2027" w:type="dxa"/>
          </w:tcPr>
          <w:p w14:paraId="5489E277" w14:textId="77777777" w:rsidR="00053EDF" w:rsidRPr="00687EE0" w:rsidRDefault="00FB3B1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260 (58.9)</w:t>
            </w:r>
          </w:p>
        </w:tc>
        <w:tc>
          <w:tcPr>
            <w:tcW w:w="1609" w:type="dxa"/>
          </w:tcPr>
          <w:p w14:paraId="48C1D06A"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4E653C89"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C18ECD2" w14:textId="77777777" w:rsidR="00FD54E1" w:rsidRPr="00687EE0" w:rsidRDefault="00FE3F76" w:rsidP="008D232B">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6342268E" w14:textId="77777777" w:rsidR="00912410" w:rsidRPr="00687EE0" w:rsidRDefault="00912410" w:rsidP="000953F9">
      <w:pPr>
        <w:spacing w:after="0" w:line="480" w:lineRule="auto"/>
        <w:jc w:val="both"/>
        <w:rPr>
          <w:rFonts w:ascii="Times New Roman" w:hAnsi="Times New Roman" w:cs="Times New Roman"/>
          <w:b/>
          <w:sz w:val="24"/>
          <w:szCs w:val="24"/>
        </w:rPr>
      </w:pPr>
    </w:p>
    <w:p w14:paraId="7BCDEF92" w14:textId="77777777" w:rsidR="00912410" w:rsidRPr="00687EE0" w:rsidRDefault="00912410" w:rsidP="00912410">
      <w:pPr>
        <w:spacing w:after="0" w:line="480" w:lineRule="auto"/>
        <w:jc w:val="both"/>
        <w:rPr>
          <w:rFonts w:ascii="Times New Roman" w:hAnsi="Times New Roman" w:cs="Times New Roman"/>
          <w:sz w:val="24"/>
          <w:szCs w:val="24"/>
        </w:rPr>
      </w:pPr>
      <w:r w:rsidRPr="00687EE0">
        <w:rPr>
          <w:rFonts w:ascii="Times New Roman" w:hAnsi="Times New Roman" w:cs="Times New Roman"/>
          <w:b/>
          <w:bCs/>
          <w:sz w:val="24"/>
          <w:szCs w:val="24"/>
        </w:rPr>
        <w:t>Lifestyle Correlates of Albuminuria Among Study Participants</w:t>
      </w:r>
    </w:p>
    <w:p w14:paraId="266CBA03" w14:textId="77777777" w:rsidR="00912410" w:rsidRPr="00687EE0" w:rsidRDefault="00912410" w:rsidP="00912410">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Table 5 shows the association between lifestyle factors and albuminuria. Albuminuria was significantly less prevalent among participants who reported adequate dietary habits (p=0.00001), maintained a normal BMI (p=0.012), had adequate sleep duration (p=0.0006), did not smoke (p=0.006), and abstained from alcohol consumption (p=0.005). However, physical activity was not significantly associated with albuminuria (p=0.064).</w:t>
      </w:r>
    </w:p>
    <w:p w14:paraId="3428D63D" w14:textId="77777777" w:rsidR="00912410" w:rsidRPr="00687EE0" w:rsidRDefault="00912410" w:rsidP="000953F9">
      <w:pPr>
        <w:spacing w:after="0"/>
        <w:rPr>
          <w:rFonts w:ascii="Times New Roman" w:hAnsi="Times New Roman" w:cs="Times New Roman"/>
          <w:b/>
          <w:sz w:val="24"/>
          <w:szCs w:val="24"/>
        </w:rPr>
      </w:pPr>
    </w:p>
    <w:p w14:paraId="266D6E38" w14:textId="77777777" w:rsidR="008D232B" w:rsidRDefault="008D232B" w:rsidP="000953F9">
      <w:pPr>
        <w:spacing w:after="0"/>
        <w:rPr>
          <w:rFonts w:ascii="Times New Roman" w:hAnsi="Times New Roman" w:cs="Times New Roman"/>
          <w:b/>
          <w:bCs/>
          <w:sz w:val="24"/>
          <w:szCs w:val="24"/>
        </w:rPr>
      </w:pPr>
    </w:p>
    <w:p w14:paraId="4F2A1CCE" w14:textId="77777777" w:rsidR="008D232B" w:rsidRDefault="008D232B" w:rsidP="000953F9">
      <w:pPr>
        <w:spacing w:after="0"/>
        <w:rPr>
          <w:rFonts w:ascii="Times New Roman" w:hAnsi="Times New Roman" w:cs="Times New Roman"/>
          <w:b/>
          <w:bCs/>
          <w:sz w:val="24"/>
          <w:szCs w:val="24"/>
        </w:rPr>
      </w:pPr>
    </w:p>
    <w:p w14:paraId="1D9FE919" w14:textId="77777777" w:rsidR="008D232B" w:rsidRDefault="008D232B" w:rsidP="000953F9">
      <w:pPr>
        <w:spacing w:after="0"/>
        <w:rPr>
          <w:rFonts w:ascii="Times New Roman" w:hAnsi="Times New Roman" w:cs="Times New Roman"/>
          <w:b/>
          <w:bCs/>
          <w:sz w:val="24"/>
          <w:szCs w:val="24"/>
        </w:rPr>
      </w:pPr>
    </w:p>
    <w:p w14:paraId="1ABE2AE4" w14:textId="77777777" w:rsidR="008D232B" w:rsidRDefault="008D232B" w:rsidP="000953F9">
      <w:pPr>
        <w:spacing w:after="0"/>
        <w:rPr>
          <w:rFonts w:ascii="Times New Roman" w:hAnsi="Times New Roman" w:cs="Times New Roman"/>
          <w:b/>
          <w:bCs/>
          <w:sz w:val="24"/>
          <w:szCs w:val="24"/>
        </w:rPr>
      </w:pPr>
    </w:p>
    <w:p w14:paraId="0C803942" w14:textId="77777777" w:rsidR="008D232B" w:rsidRDefault="008D232B" w:rsidP="000953F9">
      <w:pPr>
        <w:spacing w:after="0"/>
        <w:rPr>
          <w:rFonts w:ascii="Times New Roman" w:hAnsi="Times New Roman" w:cs="Times New Roman"/>
          <w:b/>
          <w:bCs/>
          <w:sz w:val="24"/>
          <w:szCs w:val="24"/>
        </w:rPr>
      </w:pPr>
    </w:p>
    <w:p w14:paraId="1DAFB123" w14:textId="77777777" w:rsidR="00FD54E1" w:rsidRPr="00687EE0" w:rsidRDefault="00912410" w:rsidP="008D232B">
      <w:pPr>
        <w:spacing w:after="0" w:line="240" w:lineRule="auto"/>
        <w:rPr>
          <w:rFonts w:ascii="Times New Roman" w:hAnsi="Times New Roman" w:cs="Times New Roman"/>
          <w:b/>
          <w:sz w:val="24"/>
          <w:szCs w:val="24"/>
        </w:rPr>
      </w:pPr>
      <w:r w:rsidRPr="00687EE0">
        <w:rPr>
          <w:rFonts w:ascii="Times New Roman" w:hAnsi="Times New Roman" w:cs="Times New Roman"/>
          <w:b/>
          <w:bCs/>
          <w:sz w:val="24"/>
          <w:szCs w:val="24"/>
        </w:rPr>
        <w:t>Table 5. Lifestyle Correlates of Albuminuria Among Study Participants</w:t>
      </w:r>
      <w:r w:rsidRPr="00687EE0">
        <w:rPr>
          <w:rFonts w:ascii="Times New Roman" w:hAnsi="Times New Roman" w:cs="Times New Roman"/>
          <w:b/>
          <w:sz w:val="24"/>
          <w:szCs w:val="24"/>
        </w:rPr>
        <w:br/>
      </w:r>
    </w:p>
    <w:tbl>
      <w:tblPr>
        <w:tblStyle w:val="PlainTable4"/>
        <w:tblW w:w="9923" w:type="dxa"/>
        <w:tblInd w:w="-284" w:type="dxa"/>
        <w:tblBorders>
          <w:top w:val="single" w:sz="4" w:space="0" w:color="auto"/>
          <w:bottom w:val="single" w:sz="4" w:space="0" w:color="auto"/>
        </w:tblBorders>
        <w:tblLook w:val="04A0" w:firstRow="1" w:lastRow="0" w:firstColumn="1" w:lastColumn="0" w:noHBand="0" w:noVBand="1"/>
      </w:tblPr>
      <w:tblGrid>
        <w:gridCol w:w="1985"/>
        <w:gridCol w:w="2030"/>
        <w:gridCol w:w="2027"/>
        <w:gridCol w:w="1609"/>
        <w:gridCol w:w="2272"/>
      </w:tblGrid>
      <w:tr w:rsidR="003D4A14" w:rsidRPr="00687EE0" w14:paraId="490E4FBE" w14:textId="77777777" w:rsidTr="00B9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tcPr>
          <w:p w14:paraId="782B506C"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2030" w:type="dxa"/>
            <w:tcBorders>
              <w:bottom w:val="single" w:sz="4" w:space="0" w:color="auto"/>
            </w:tcBorders>
          </w:tcPr>
          <w:p w14:paraId="30B92EBB"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Albuminuria Present</w:t>
            </w:r>
          </w:p>
          <w:p w14:paraId="5056CE31" w14:textId="77BC2D0F" w:rsidR="003D4A14" w:rsidRPr="00687EE0" w:rsidRDefault="008D232B"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 (17.8%)</w:t>
            </w:r>
          </w:p>
        </w:tc>
        <w:tc>
          <w:tcPr>
            <w:tcW w:w="2027" w:type="dxa"/>
            <w:tcBorders>
              <w:bottom w:val="single" w:sz="4" w:space="0" w:color="auto"/>
            </w:tcBorders>
          </w:tcPr>
          <w:p w14:paraId="2D311B92"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Albuminuria Absent</w:t>
            </w:r>
          </w:p>
          <w:p w14:paraId="4FFB8DD9"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644 (82.8%)</w:t>
            </w:r>
          </w:p>
        </w:tc>
        <w:tc>
          <w:tcPr>
            <w:tcW w:w="1609" w:type="dxa"/>
            <w:tcBorders>
              <w:bottom w:val="single" w:sz="4" w:space="0" w:color="auto"/>
            </w:tcBorders>
          </w:tcPr>
          <w:p w14:paraId="007DA78F"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ꭓ</w:t>
            </w:r>
            <w:r w:rsidRPr="00687EE0">
              <w:rPr>
                <w:rFonts w:ascii="Times New Roman" w:hAnsi="Times New Roman" w:cs="Times New Roman"/>
                <w:sz w:val="24"/>
                <w:szCs w:val="24"/>
                <w:vertAlign w:val="superscript"/>
              </w:rPr>
              <w:t>2</w:t>
            </w:r>
          </w:p>
        </w:tc>
        <w:tc>
          <w:tcPr>
            <w:tcW w:w="2272" w:type="dxa"/>
            <w:tcBorders>
              <w:bottom w:val="single" w:sz="4" w:space="0" w:color="auto"/>
            </w:tcBorders>
          </w:tcPr>
          <w:p w14:paraId="6F91D7BD"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3D4A14" w:rsidRPr="00687EE0" w14:paraId="241EFB5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auto"/>
          </w:tcPr>
          <w:p w14:paraId="45160869"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2030" w:type="dxa"/>
            <w:tcBorders>
              <w:top w:val="single" w:sz="4" w:space="0" w:color="auto"/>
            </w:tcBorders>
            <w:shd w:val="clear" w:color="auto" w:fill="auto"/>
          </w:tcPr>
          <w:p w14:paraId="794D7C8F"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2CB060AD"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0579A7E4"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30.936</w:t>
            </w:r>
          </w:p>
        </w:tc>
        <w:tc>
          <w:tcPr>
            <w:tcW w:w="2272" w:type="dxa"/>
            <w:tcBorders>
              <w:top w:val="single" w:sz="4" w:space="0" w:color="auto"/>
            </w:tcBorders>
            <w:shd w:val="clear" w:color="auto" w:fill="auto"/>
          </w:tcPr>
          <w:p w14:paraId="272A7D8B"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0.00001*</w:t>
            </w:r>
          </w:p>
        </w:tc>
      </w:tr>
      <w:tr w:rsidR="003D4A14" w:rsidRPr="00687EE0" w14:paraId="4D2F75E0"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539C0048"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2030" w:type="dxa"/>
          </w:tcPr>
          <w:p w14:paraId="22C3AA4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 (</w:t>
            </w:r>
            <w:r w:rsidR="008D1E51" w:rsidRPr="00687EE0">
              <w:rPr>
                <w:rFonts w:ascii="Times New Roman" w:hAnsi="Times New Roman" w:cs="Times New Roman"/>
                <w:sz w:val="24"/>
                <w:szCs w:val="24"/>
              </w:rPr>
              <w:t>5.9)</w:t>
            </w:r>
          </w:p>
        </w:tc>
        <w:tc>
          <w:tcPr>
            <w:tcW w:w="2027" w:type="dxa"/>
          </w:tcPr>
          <w:p w14:paraId="4768B472" w14:textId="77777777" w:rsidR="003D4A14" w:rsidRPr="00687EE0" w:rsidRDefault="008D1E5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224 (94.1)</w:t>
            </w:r>
          </w:p>
        </w:tc>
        <w:tc>
          <w:tcPr>
            <w:tcW w:w="1609" w:type="dxa"/>
          </w:tcPr>
          <w:p w14:paraId="16DF51E8"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1055F89E"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58CDCFF1"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0CA003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2030" w:type="dxa"/>
            <w:shd w:val="clear" w:color="auto" w:fill="auto"/>
          </w:tcPr>
          <w:p w14:paraId="5077491F"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120 (22.2)</w:t>
            </w:r>
          </w:p>
        </w:tc>
        <w:tc>
          <w:tcPr>
            <w:tcW w:w="2027" w:type="dxa"/>
            <w:shd w:val="clear" w:color="auto" w:fill="auto"/>
          </w:tcPr>
          <w:p w14:paraId="0B3D0FDE"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420 (77.8)</w:t>
            </w:r>
          </w:p>
        </w:tc>
        <w:tc>
          <w:tcPr>
            <w:tcW w:w="1609" w:type="dxa"/>
            <w:shd w:val="clear" w:color="auto" w:fill="auto"/>
          </w:tcPr>
          <w:p w14:paraId="409676D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6758E81F"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6DC32C02"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6AAF32DB"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2030" w:type="dxa"/>
          </w:tcPr>
          <w:p w14:paraId="5E3EE162"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2D596709"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59D29677"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3.438</w:t>
            </w:r>
          </w:p>
        </w:tc>
        <w:tc>
          <w:tcPr>
            <w:tcW w:w="2272" w:type="dxa"/>
          </w:tcPr>
          <w:p w14:paraId="7EE33708"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0.064</w:t>
            </w:r>
          </w:p>
        </w:tc>
      </w:tr>
      <w:tr w:rsidR="003D4A14" w:rsidRPr="00687EE0" w14:paraId="1C1B9661"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37C3D8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2030" w:type="dxa"/>
            <w:shd w:val="clear" w:color="auto" w:fill="auto"/>
          </w:tcPr>
          <w:p w14:paraId="0051B7DF"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74 (19.8)</w:t>
            </w:r>
          </w:p>
        </w:tc>
        <w:tc>
          <w:tcPr>
            <w:tcW w:w="2027" w:type="dxa"/>
            <w:shd w:val="clear" w:color="auto" w:fill="auto"/>
          </w:tcPr>
          <w:p w14:paraId="5A07864E"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299 (80.2)</w:t>
            </w:r>
          </w:p>
        </w:tc>
        <w:tc>
          <w:tcPr>
            <w:tcW w:w="1609" w:type="dxa"/>
            <w:shd w:val="clear" w:color="auto" w:fill="auto"/>
          </w:tcPr>
          <w:p w14:paraId="6DB8433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50F68365"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1D1F7666"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6964D52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2030" w:type="dxa"/>
          </w:tcPr>
          <w:p w14:paraId="5C528280" w14:textId="77777777" w:rsidR="003D4A14" w:rsidRPr="00687EE0" w:rsidRDefault="008D1E5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60 (14.8)</w:t>
            </w:r>
          </w:p>
        </w:tc>
        <w:tc>
          <w:tcPr>
            <w:tcW w:w="2027" w:type="dxa"/>
          </w:tcPr>
          <w:p w14:paraId="646544F6" w14:textId="77777777" w:rsidR="003D4A14" w:rsidRPr="00687EE0" w:rsidRDefault="00D465A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345 (85.2)</w:t>
            </w:r>
          </w:p>
        </w:tc>
        <w:tc>
          <w:tcPr>
            <w:tcW w:w="1609" w:type="dxa"/>
          </w:tcPr>
          <w:p w14:paraId="1C1370C1"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30D9585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33FD55CC"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B0DEAA4"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BMI</w:t>
            </w:r>
          </w:p>
        </w:tc>
        <w:tc>
          <w:tcPr>
            <w:tcW w:w="2030" w:type="dxa"/>
            <w:shd w:val="clear" w:color="auto" w:fill="auto"/>
          </w:tcPr>
          <w:p w14:paraId="3FEF6946"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5EA67825"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335C1BDA"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8.799</w:t>
            </w:r>
          </w:p>
        </w:tc>
        <w:tc>
          <w:tcPr>
            <w:tcW w:w="2272" w:type="dxa"/>
            <w:shd w:val="clear" w:color="auto" w:fill="auto"/>
          </w:tcPr>
          <w:p w14:paraId="6FA55010"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0.012*</w:t>
            </w:r>
          </w:p>
        </w:tc>
      </w:tr>
      <w:tr w:rsidR="003D4A14" w:rsidRPr="00687EE0" w14:paraId="3B164F20"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18D140D0"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lastRenderedPageBreak/>
              <w:t>Normal</w:t>
            </w:r>
          </w:p>
        </w:tc>
        <w:tc>
          <w:tcPr>
            <w:tcW w:w="2030" w:type="dxa"/>
          </w:tcPr>
          <w:p w14:paraId="2EB02CE7"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48 (13.8)</w:t>
            </w:r>
          </w:p>
        </w:tc>
        <w:tc>
          <w:tcPr>
            <w:tcW w:w="2027" w:type="dxa"/>
          </w:tcPr>
          <w:p w14:paraId="37B75C61"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301 (86.2)</w:t>
            </w:r>
          </w:p>
        </w:tc>
        <w:tc>
          <w:tcPr>
            <w:tcW w:w="1609" w:type="dxa"/>
          </w:tcPr>
          <w:p w14:paraId="105FD380"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47419C4F"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1861D614"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1E662F4"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Overweight</w:t>
            </w:r>
          </w:p>
        </w:tc>
        <w:tc>
          <w:tcPr>
            <w:tcW w:w="2030" w:type="dxa"/>
            <w:shd w:val="clear" w:color="auto" w:fill="auto"/>
          </w:tcPr>
          <w:p w14:paraId="5E6F0CCC" w14:textId="77777777" w:rsidR="003D4A14"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49 (17.6)</w:t>
            </w:r>
          </w:p>
        </w:tc>
        <w:tc>
          <w:tcPr>
            <w:tcW w:w="2027" w:type="dxa"/>
            <w:shd w:val="clear" w:color="auto" w:fill="auto"/>
          </w:tcPr>
          <w:p w14:paraId="654AC600" w14:textId="77777777" w:rsidR="003D4A14"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230 (82.4)</w:t>
            </w:r>
          </w:p>
        </w:tc>
        <w:tc>
          <w:tcPr>
            <w:tcW w:w="1609" w:type="dxa"/>
            <w:shd w:val="clear" w:color="auto" w:fill="auto"/>
          </w:tcPr>
          <w:p w14:paraId="009ACA51"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4D503082"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5722C6EE"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7C5E7CF4"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2030" w:type="dxa"/>
          </w:tcPr>
          <w:p w14:paraId="4FEC859D"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 (24.7)</w:t>
            </w:r>
          </w:p>
        </w:tc>
        <w:tc>
          <w:tcPr>
            <w:tcW w:w="2027" w:type="dxa"/>
          </w:tcPr>
          <w:p w14:paraId="3FCEC44F"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113 (75.3)</w:t>
            </w:r>
          </w:p>
        </w:tc>
        <w:tc>
          <w:tcPr>
            <w:tcW w:w="1609" w:type="dxa"/>
          </w:tcPr>
          <w:p w14:paraId="7A4DD03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163A56D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7198F88B"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C367B37"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Sleep Duration (Hours)</w:t>
            </w:r>
          </w:p>
        </w:tc>
        <w:tc>
          <w:tcPr>
            <w:tcW w:w="2030" w:type="dxa"/>
            <w:shd w:val="clear" w:color="auto" w:fill="auto"/>
          </w:tcPr>
          <w:p w14:paraId="0121D642"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0A255D66"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567CC71B" w14:textId="77777777" w:rsidR="003D4A14" w:rsidRPr="00687EE0" w:rsidRDefault="006D4C13"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11.730</w:t>
            </w:r>
          </w:p>
        </w:tc>
        <w:tc>
          <w:tcPr>
            <w:tcW w:w="2272" w:type="dxa"/>
            <w:shd w:val="clear" w:color="auto" w:fill="auto"/>
          </w:tcPr>
          <w:p w14:paraId="0BEF2CDE" w14:textId="77777777" w:rsidR="003D4A14" w:rsidRPr="00687EE0" w:rsidRDefault="006D4C13"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0.0006*</w:t>
            </w:r>
          </w:p>
        </w:tc>
      </w:tr>
      <w:tr w:rsidR="003D4A14" w:rsidRPr="00687EE0" w14:paraId="4325FFDA"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1483D9AB" w14:textId="77777777" w:rsidR="003D4A14" w:rsidRPr="008D232B" w:rsidRDefault="006D4C13"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2030" w:type="dxa"/>
          </w:tcPr>
          <w:p w14:paraId="214241A0" w14:textId="77777777" w:rsidR="003D4A14" w:rsidRPr="00687EE0" w:rsidRDefault="006D4C13"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50 (12.7)</w:t>
            </w:r>
          </w:p>
        </w:tc>
        <w:tc>
          <w:tcPr>
            <w:tcW w:w="2027" w:type="dxa"/>
          </w:tcPr>
          <w:p w14:paraId="05DC5C10" w14:textId="77777777" w:rsidR="003D4A14" w:rsidRPr="00687EE0" w:rsidRDefault="006D4C13"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345 (86</w:t>
            </w:r>
            <w:r w:rsidR="00A34901" w:rsidRPr="00687EE0">
              <w:rPr>
                <w:rFonts w:ascii="Times New Roman" w:hAnsi="Times New Roman" w:cs="Times New Roman"/>
                <w:sz w:val="24"/>
                <w:szCs w:val="24"/>
              </w:rPr>
              <w:t>.3)</w:t>
            </w:r>
          </w:p>
        </w:tc>
        <w:tc>
          <w:tcPr>
            <w:tcW w:w="1609" w:type="dxa"/>
          </w:tcPr>
          <w:p w14:paraId="71C4897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1BDB3251"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6C254CA4"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3D53167" w14:textId="77777777" w:rsidR="003D4A14" w:rsidRPr="008D232B" w:rsidRDefault="00A34901"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2030" w:type="dxa"/>
            <w:shd w:val="clear" w:color="auto" w:fill="auto"/>
          </w:tcPr>
          <w:p w14:paraId="44D502C7"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84 (21.9)</w:t>
            </w:r>
          </w:p>
        </w:tc>
        <w:tc>
          <w:tcPr>
            <w:tcW w:w="2027" w:type="dxa"/>
            <w:shd w:val="clear" w:color="auto" w:fill="auto"/>
          </w:tcPr>
          <w:p w14:paraId="3AD85546"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299 (78.1)</w:t>
            </w:r>
          </w:p>
        </w:tc>
        <w:tc>
          <w:tcPr>
            <w:tcW w:w="1609" w:type="dxa"/>
            <w:shd w:val="clear" w:color="auto" w:fill="auto"/>
          </w:tcPr>
          <w:p w14:paraId="184C352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3E9EC62C"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747FFC96"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6DFA146E"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2030" w:type="dxa"/>
          </w:tcPr>
          <w:p w14:paraId="2DEEAC89"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385DBEE4"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7F70F05D"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7.507</w:t>
            </w:r>
          </w:p>
        </w:tc>
        <w:tc>
          <w:tcPr>
            <w:tcW w:w="2272" w:type="dxa"/>
          </w:tcPr>
          <w:p w14:paraId="2AC22130"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0.006*</w:t>
            </w:r>
          </w:p>
        </w:tc>
      </w:tr>
      <w:tr w:rsidR="003D4A14" w:rsidRPr="00687EE0" w14:paraId="7697BF49"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D09F1A3"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2030" w:type="dxa"/>
            <w:shd w:val="clear" w:color="auto" w:fill="auto"/>
          </w:tcPr>
          <w:p w14:paraId="3187F0AD"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 (32.6)</w:t>
            </w:r>
          </w:p>
        </w:tc>
        <w:tc>
          <w:tcPr>
            <w:tcW w:w="2027" w:type="dxa"/>
            <w:shd w:val="clear" w:color="auto" w:fill="auto"/>
          </w:tcPr>
          <w:p w14:paraId="4728FD6E"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 (67.4)</w:t>
            </w:r>
          </w:p>
        </w:tc>
        <w:tc>
          <w:tcPr>
            <w:tcW w:w="1609" w:type="dxa"/>
            <w:shd w:val="clear" w:color="auto" w:fill="auto"/>
          </w:tcPr>
          <w:p w14:paraId="0A8F43F9"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352F6739"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2F0E02C5"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36923B9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2030" w:type="dxa"/>
          </w:tcPr>
          <w:p w14:paraId="23051B99"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120 (16.3)</w:t>
            </w:r>
          </w:p>
        </w:tc>
        <w:tc>
          <w:tcPr>
            <w:tcW w:w="2027" w:type="dxa"/>
          </w:tcPr>
          <w:p w14:paraId="16008D35"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615 (83.7)</w:t>
            </w:r>
          </w:p>
        </w:tc>
        <w:tc>
          <w:tcPr>
            <w:tcW w:w="1609" w:type="dxa"/>
          </w:tcPr>
          <w:p w14:paraId="2E35EED1"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6617831E"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5EC0A8EF"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78D167C"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2030" w:type="dxa"/>
            <w:shd w:val="clear" w:color="auto" w:fill="auto"/>
          </w:tcPr>
          <w:p w14:paraId="0AA4618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5F3D25CB"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47DFC2B9"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12.076</w:t>
            </w:r>
          </w:p>
        </w:tc>
        <w:tc>
          <w:tcPr>
            <w:tcW w:w="2272" w:type="dxa"/>
            <w:shd w:val="clear" w:color="auto" w:fill="auto"/>
          </w:tcPr>
          <w:p w14:paraId="6E3E1536"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0.0005*</w:t>
            </w:r>
          </w:p>
        </w:tc>
      </w:tr>
      <w:tr w:rsidR="003D4A14" w:rsidRPr="00687EE0" w14:paraId="3B20D6EA"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201DBD75"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2030" w:type="dxa"/>
          </w:tcPr>
          <w:p w14:paraId="2FF9E2CF"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76 (22.6)</w:t>
            </w:r>
          </w:p>
        </w:tc>
        <w:tc>
          <w:tcPr>
            <w:tcW w:w="2027" w:type="dxa"/>
          </w:tcPr>
          <w:p w14:paraId="207EE69C"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260 (77.4)</w:t>
            </w:r>
          </w:p>
        </w:tc>
        <w:tc>
          <w:tcPr>
            <w:tcW w:w="1609" w:type="dxa"/>
          </w:tcPr>
          <w:p w14:paraId="3F61A61F"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202EB6A0"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1DF9CB8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5E1B116"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2030" w:type="dxa"/>
            <w:shd w:val="clear" w:color="auto" w:fill="auto"/>
          </w:tcPr>
          <w:p w14:paraId="6E539047" w14:textId="77777777" w:rsidR="003D4A14" w:rsidRPr="00687EE0" w:rsidRDefault="008B01F0"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58 (13.1)</w:t>
            </w:r>
          </w:p>
        </w:tc>
        <w:tc>
          <w:tcPr>
            <w:tcW w:w="2027" w:type="dxa"/>
            <w:shd w:val="clear" w:color="auto" w:fill="auto"/>
          </w:tcPr>
          <w:p w14:paraId="16D2D43B" w14:textId="77777777" w:rsidR="003D4A14" w:rsidRPr="00687EE0" w:rsidRDefault="008B01F0"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384 (86.9)</w:t>
            </w:r>
          </w:p>
        </w:tc>
        <w:tc>
          <w:tcPr>
            <w:tcW w:w="1609" w:type="dxa"/>
            <w:shd w:val="clear" w:color="auto" w:fill="auto"/>
          </w:tcPr>
          <w:p w14:paraId="31248638"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613DE151"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300B6A2" w14:textId="77777777" w:rsidR="00B113B8" w:rsidRPr="00687EE0" w:rsidRDefault="00B113B8" w:rsidP="008D232B">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1D6B231F" w14:textId="77777777" w:rsidR="003D4A14" w:rsidRPr="00687EE0" w:rsidRDefault="003D4A14" w:rsidP="000953F9">
      <w:pPr>
        <w:spacing w:after="0"/>
        <w:rPr>
          <w:rFonts w:ascii="Times New Roman" w:hAnsi="Times New Roman" w:cs="Times New Roman"/>
          <w:sz w:val="24"/>
          <w:szCs w:val="24"/>
        </w:rPr>
      </w:pPr>
    </w:p>
    <w:p w14:paraId="322F0D91" w14:textId="77777777" w:rsidR="003D4A14" w:rsidRPr="00687EE0" w:rsidRDefault="003D4A14" w:rsidP="000953F9">
      <w:pPr>
        <w:spacing w:after="0"/>
        <w:rPr>
          <w:rFonts w:ascii="Times New Roman" w:hAnsi="Times New Roman" w:cs="Times New Roman"/>
          <w:sz w:val="24"/>
          <w:szCs w:val="24"/>
        </w:rPr>
      </w:pPr>
    </w:p>
    <w:p w14:paraId="52283B15" w14:textId="77777777" w:rsidR="00B90748" w:rsidRPr="00687EE0" w:rsidRDefault="00B90748" w:rsidP="000953F9">
      <w:pPr>
        <w:spacing w:after="0"/>
        <w:rPr>
          <w:rFonts w:ascii="Times New Roman" w:hAnsi="Times New Roman" w:cs="Times New Roman"/>
          <w:sz w:val="24"/>
          <w:szCs w:val="24"/>
        </w:rPr>
      </w:pPr>
    </w:p>
    <w:p w14:paraId="6C6F7270" w14:textId="77777777" w:rsidR="00B90748" w:rsidRPr="00687EE0" w:rsidRDefault="00B90748" w:rsidP="000953F9">
      <w:pPr>
        <w:spacing w:after="0"/>
        <w:rPr>
          <w:rFonts w:ascii="Times New Roman" w:hAnsi="Times New Roman" w:cs="Times New Roman"/>
          <w:sz w:val="24"/>
          <w:szCs w:val="24"/>
        </w:rPr>
      </w:pPr>
    </w:p>
    <w:p w14:paraId="0A861C6A" w14:textId="77777777" w:rsidR="00B90748" w:rsidRPr="00687EE0" w:rsidRDefault="00B90748" w:rsidP="000953F9">
      <w:pPr>
        <w:spacing w:after="0"/>
        <w:rPr>
          <w:rFonts w:ascii="Times New Roman" w:hAnsi="Times New Roman" w:cs="Times New Roman"/>
          <w:sz w:val="24"/>
          <w:szCs w:val="24"/>
        </w:rPr>
      </w:pPr>
    </w:p>
    <w:p w14:paraId="5E5F9E8F" w14:textId="77777777" w:rsidR="00B90748" w:rsidRPr="00687EE0" w:rsidRDefault="00B90748" w:rsidP="00B90748">
      <w:pPr>
        <w:spacing w:after="0" w:line="480" w:lineRule="auto"/>
        <w:jc w:val="both"/>
        <w:outlineLvl w:val="2"/>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 xml:space="preserve">Logistic regression analysis of lifestyle factors and </w:t>
      </w:r>
      <w:proofErr w:type="spellStart"/>
      <w:r w:rsidRPr="00687EE0">
        <w:rPr>
          <w:rFonts w:ascii="Times New Roman" w:eastAsia="Times New Roman" w:hAnsi="Times New Roman" w:cs="Times New Roman"/>
          <w:b/>
          <w:bCs/>
          <w:sz w:val="24"/>
          <w:szCs w:val="24"/>
          <w:lang w:eastAsia="en-GB"/>
        </w:rPr>
        <w:t>glycaemic</w:t>
      </w:r>
      <w:proofErr w:type="spellEnd"/>
      <w:r w:rsidRPr="00687EE0">
        <w:rPr>
          <w:rFonts w:ascii="Times New Roman" w:eastAsia="Times New Roman" w:hAnsi="Times New Roman" w:cs="Times New Roman"/>
          <w:b/>
          <w:bCs/>
          <w:sz w:val="24"/>
          <w:szCs w:val="24"/>
          <w:lang w:eastAsia="en-GB"/>
        </w:rPr>
        <w:t xml:space="preserve"> control</w:t>
      </w:r>
    </w:p>
    <w:p w14:paraId="1552C71E" w14:textId="77777777" w:rsidR="00B90748" w:rsidRPr="00687EE0" w:rsidRDefault="00B90748" w:rsidP="00B90748">
      <w:pPr>
        <w:spacing w:after="0" w:line="480" w:lineRule="auto"/>
        <w:jc w:val="both"/>
        <w:rPr>
          <w:rFonts w:ascii="Times New Roman" w:eastAsia="Times New Roman" w:hAnsi="Times New Roman" w:cs="Times New Roman"/>
          <w:sz w:val="24"/>
          <w:szCs w:val="24"/>
          <w:lang w:eastAsia="en-GB"/>
        </w:rPr>
      </w:pPr>
      <w:r w:rsidRPr="00687EE0">
        <w:rPr>
          <w:rFonts w:ascii="Times New Roman" w:eastAsia="Times New Roman" w:hAnsi="Times New Roman" w:cs="Times New Roman"/>
          <w:sz w:val="24"/>
          <w:szCs w:val="24"/>
          <w:lang w:eastAsia="en-GB"/>
        </w:rPr>
        <w:t xml:space="preserve">Multivariable analysis revealed that inadequate diet (OR=1.81, 95% CI: 1.32–2.47, p=0.0002), physical inactivity (OR=1.45, 95% CI: 1.09–1.95, p=0.012), overweight (OR=1.41, 95% CI: 1.02–1.95, p=0.039), obesity (OR=2.03, 95% CI: 1.34–3.08, p=0.0009), and alcohol intake (OR=1.66, 95% CI: 1.24–2.23, p=0.0007) independently predicted poor </w:t>
      </w:r>
      <w:proofErr w:type="spellStart"/>
      <w:r w:rsidRPr="00687EE0">
        <w:rPr>
          <w:rFonts w:ascii="Times New Roman" w:eastAsia="Times New Roman" w:hAnsi="Times New Roman" w:cs="Times New Roman"/>
          <w:sz w:val="24"/>
          <w:szCs w:val="24"/>
          <w:lang w:eastAsia="en-GB"/>
        </w:rPr>
        <w:t>glycaemic</w:t>
      </w:r>
      <w:proofErr w:type="spellEnd"/>
      <w:r w:rsidRPr="00687EE0">
        <w:rPr>
          <w:rFonts w:ascii="Times New Roman" w:eastAsia="Times New Roman" w:hAnsi="Times New Roman" w:cs="Times New Roman"/>
          <w:sz w:val="24"/>
          <w:szCs w:val="24"/>
          <w:lang w:eastAsia="en-GB"/>
        </w:rPr>
        <w:t xml:space="preserve"> control (Table 6).</w:t>
      </w:r>
    </w:p>
    <w:p w14:paraId="0919834E" w14:textId="77777777" w:rsidR="008D232B" w:rsidRDefault="008D232B" w:rsidP="00B90748">
      <w:pPr>
        <w:spacing w:after="0" w:line="480" w:lineRule="auto"/>
        <w:rPr>
          <w:rFonts w:ascii="Times New Roman" w:hAnsi="Times New Roman" w:cs="Times New Roman"/>
          <w:b/>
          <w:sz w:val="24"/>
          <w:szCs w:val="24"/>
        </w:rPr>
      </w:pPr>
    </w:p>
    <w:p w14:paraId="32CEEC47" w14:textId="77777777" w:rsidR="008D232B" w:rsidRDefault="008D232B" w:rsidP="00B90748">
      <w:pPr>
        <w:spacing w:after="0" w:line="480" w:lineRule="auto"/>
        <w:rPr>
          <w:rFonts w:ascii="Times New Roman" w:hAnsi="Times New Roman" w:cs="Times New Roman"/>
          <w:b/>
          <w:sz w:val="24"/>
          <w:szCs w:val="24"/>
        </w:rPr>
      </w:pPr>
    </w:p>
    <w:p w14:paraId="474B2853" w14:textId="77777777" w:rsidR="008D232B" w:rsidRDefault="008D232B" w:rsidP="00B90748">
      <w:pPr>
        <w:spacing w:after="0" w:line="480" w:lineRule="auto"/>
        <w:rPr>
          <w:rFonts w:ascii="Times New Roman" w:hAnsi="Times New Roman" w:cs="Times New Roman"/>
          <w:b/>
          <w:sz w:val="24"/>
          <w:szCs w:val="24"/>
        </w:rPr>
      </w:pPr>
    </w:p>
    <w:p w14:paraId="23AD8458" w14:textId="77777777" w:rsidR="00B113B8" w:rsidRPr="00687EE0" w:rsidRDefault="004E0464" w:rsidP="00B90748">
      <w:pPr>
        <w:spacing w:after="0" w:line="480" w:lineRule="auto"/>
        <w:rPr>
          <w:rFonts w:ascii="Times New Roman" w:hAnsi="Times New Roman" w:cs="Times New Roman"/>
          <w:b/>
          <w:sz w:val="24"/>
          <w:szCs w:val="24"/>
        </w:rPr>
      </w:pPr>
      <w:r w:rsidRPr="00687EE0">
        <w:rPr>
          <w:rFonts w:ascii="Times New Roman" w:hAnsi="Times New Roman" w:cs="Times New Roman"/>
          <w:b/>
          <w:sz w:val="24"/>
          <w:szCs w:val="24"/>
        </w:rPr>
        <w:t>Table 6: Logistic Regression Analysis of</w:t>
      </w:r>
      <w:r w:rsidR="00B113B8" w:rsidRPr="00687EE0">
        <w:rPr>
          <w:rFonts w:ascii="Times New Roman" w:hAnsi="Times New Roman" w:cs="Times New Roman"/>
          <w:b/>
          <w:sz w:val="24"/>
          <w:szCs w:val="24"/>
        </w:rPr>
        <w:t xml:space="preserve"> Lifestyle </w:t>
      </w:r>
      <w:r w:rsidR="00B90748" w:rsidRPr="00687EE0">
        <w:rPr>
          <w:rFonts w:ascii="Times New Roman" w:hAnsi="Times New Roman" w:cs="Times New Roman"/>
          <w:b/>
          <w:sz w:val="24"/>
          <w:szCs w:val="24"/>
        </w:rPr>
        <w:t>Factors</w:t>
      </w:r>
      <w:r w:rsidR="00B113B8" w:rsidRPr="00687EE0">
        <w:rPr>
          <w:rFonts w:ascii="Times New Roman" w:hAnsi="Times New Roman" w:cs="Times New Roman"/>
          <w:b/>
          <w:sz w:val="24"/>
          <w:szCs w:val="24"/>
        </w:rPr>
        <w:t xml:space="preserve"> and </w:t>
      </w:r>
      <w:proofErr w:type="spellStart"/>
      <w:r w:rsidR="00B113B8" w:rsidRPr="00687EE0">
        <w:rPr>
          <w:rFonts w:ascii="Times New Roman" w:hAnsi="Times New Roman" w:cs="Times New Roman"/>
          <w:b/>
          <w:sz w:val="24"/>
          <w:szCs w:val="24"/>
        </w:rPr>
        <w:t>Glycaemic</w:t>
      </w:r>
      <w:proofErr w:type="spellEnd"/>
      <w:r w:rsidR="00B113B8" w:rsidRPr="00687EE0">
        <w:rPr>
          <w:rFonts w:ascii="Times New Roman" w:hAnsi="Times New Roman" w:cs="Times New Roman"/>
          <w:b/>
          <w:sz w:val="24"/>
          <w:szCs w:val="24"/>
        </w:rPr>
        <w:t xml:space="preserve"> Control</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001"/>
        <w:gridCol w:w="1730"/>
        <w:gridCol w:w="2027"/>
        <w:gridCol w:w="1609"/>
        <w:gridCol w:w="1983"/>
      </w:tblGrid>
      <w:tr w:rsidR="00B113B8" w:rsidRPr="00687EE0" w14:paraId="770C14FB" w14:textId="77777777" w:rsidTr="00B9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bottom w:val="single" w:sz="4" w:space="0" w:color="auto"/>
            </w:tcBorders>
          </w:tcPr>
          <w:p w14:paraId="52BAF185"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1730" w:type="dxa"/>
            <w:tcBorders>
              <w:bottom w:val="single" w:sz="4" w:space="0" w:color="auto"/>
            </w:tcBorders>
          </w:tcPr>
          <w:p w14:paraId="68D05514" w14:textId="77777777" w:rsidR="00B113B8" w:rsidRPr="00687EE0" w:rsidRDefault="004E0464"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OR</w:t>
            </w:r>
          </w:p>
        </w:tc>
        <w:tc>
          <w:tcPr>
            <w:tcW w:w="2027" w:type="dxa"/>
            <w:tcBorders>
              <w:bottom w:val="single" w:sz="4" w:space="0" w:color="auto"/>
            </w:tcBorders>
          </w:tcPr>
          <w:p w14:paraId="1B5CD156" w14:textId="77777777" w:rsidR="00B113B8" w:rsidRPr="00687EE0" w:rsidRDefault="004E0464"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95% CI</w:t>
            </w:r>
          </w:p>
        </w:tc>
        <w:tc>
          <w:tcPr>
            <w:tcW w:w="1609" w:type="dxa"/>
            <w:tcBorders>
              <w:bottom w:val="single" w:sz="4" w:space="0" w:color="auto"/>
            </w:tcBorders>
          </w:tcPr>
          <w:p w14:paraId="52D78763" w14:textId="77777777" w:rsidR="00B113B8" w:rsidRPr="00687EE0" w:rsidRDefault="004E0464"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Z statistics</w:t>
            </w:r>
          </w:p>
        </w:tc>
        <w:tc>
          <w:tcPr>
            <w:tcW w:w="1983" w:type="dxa"/>
            <w:tcBorders>
              <w:bottom w:val="single" w:sz="4" w:space="0" w:color="auto"/>
            </w:tcBorders>
          </w:tcPr>
          <w:p w14:paraId="3171D52E" w14:textId="77777777" w:rsidR="00B113B8" w:rsidRPr="00687EE0" w:rsidRDefault="00B113B8"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B113B8" w:rsidRPr="00687EE0" w14:paraId="221B8E7A"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tcBorders>
            <w:shd w:val="clear" w:color="auto" w:fill="auto"/>
          </w:tcPr>
          <w:p w14:paraId="258DE822"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1730" w:type="dxa"/>
            <w:tcBorders>
              <w:top w:val="single" w:sz="4" w:space="0" w:color="auto"/>
            </w:tcBorders>
            <w:shd w:val="clear" w:color="auto" w:fill="auto"/>
          </w:tcPr>
          <w:p w14:paraId="500F191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6E41B4A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69BB96AC"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tcBorders>
              <w:top w:val="single" w:sz="4" w:space="0" w:color="auto"/>
            </w:tcBorders>
            <w:shd w:val="clear" w:color="auto" w:fill="auto"/>
          </w:tcPr>
          <w:p w14:paraId="5C902D0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79EAC25"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1635B59D"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1730" w:type="dxa"/>
          </w:tcPr>
          <w:p w14:paraId="258512F7"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7D3559C7"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2C23583"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6F8B8C9F"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5BFE02C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D3EE5EC"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1730" w:type="dxa"/>
            <w:shd w:val="clear" w:color="auto" w:fill="auto"/>
          </w:tcPr>
          <w:p w14:paraId="710790CF"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1.808</w:t>
            </w:r>
          </w:p>
        </w:tc>
        <w:tc>
          <w:tcPr>
            <w:tcW w:w="2027" w:type="dxa"/>
            <w:shd w:val="clear" w:color="auto" w:fill="auto"/>
          </w:tcPr>
          <w:p w14:paraId="4A4B3BA0"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1.324 – 2.468</w:t>
            </w:r>
          </w:p>
        </w:tc>
        <w:tc>
          <w:tcPr>
            <w:tcW w:w="1609" w:type="dxa"/>
            <w:shd w:val="clear" w:color="auto" w:fill="auto"/>
          </w:tcPr>
          <w:p w14:paraId="433B4EA7"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3.726</w:t>
            </w:r>
          </w:p>
        </w:tc>
        <w:tc>
          <w:tcPr>
            <w:tcW w:w="1983" w:type="dxa"/>
            <w:shd w:val="clear" w:color="auto" w:fill="auto"/>
          </w:tcPr>
          <w:p w14:paraId="55453B3A"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0.0002</w:t>
            </w:r>
            <w:r w:rsidR="00125480" w:rsidRPr="00687EE0">
              <w:rPr>
                <w:rFonts w:ascii="Times New Roman" w:hAnsi="Times New Roman" w:cs="Times New Roman"/>
                <w:sz w:val="24"/>
                <w:szCs w:val="24"/>
              </w:rPr>
              <w:t>*</w:t>
            </w:r>
          </w:p>
        </w:tc>
      </w:tr>
      <w:tr w:rsidR="00B113B8" w:rsidRPr="00687EE0" w14:paraId="404E3219"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3ABC620E"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1730" w:type="dxa"/>
          </w:tcPr>
          <w:p w14:paraId="680A98E9"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79991D13"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1FD5A77"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6F8444BE"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681DC035"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2E4CA44"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6E305CBB"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50625D74"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68A81E27"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1499B768"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1E1A4A5A"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5863B0A1"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037C089A"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1.454</w:t>
            </w:r>
          </w:p>
        </w:tc>
        <w:tc>
          <w:tcPr>
            <w:tcW w:w="2027" w:type="dxa"/>
          </w:tcPr>
          <w:p w14:paraId="4862B5F1"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1.086 – 1.947</w:t>
            </w:r>
          </w:p>
        </w:tc>
        <w:tc>
          <w:tcPr>
            <w:tcW w:w="1609" w:type="dxa"/>
          </w:tcPr>
          <w:p w14:paraId="0DEAA8A9"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2.513</w:t>
            </w:r>
          </w:p>
        </w:tc>
        <w:tc>
          <w:tcPr>
            <w:tcW w:w="1983" w:type="dxa"/>
          </w:tcPr>
          <w:p w14:paraId="7E550128"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0.012</w:t>
            </w:r>
            <w:r w:rsidR="00125480" w:rsidRPr="00687EE0">
              <w:rPr>
                <w:rFonts w:ascii="Times New Roman" w:hAnsi="Times New Roman" w:cs="Times New Roman"/>
                <w:sz w:val="24"/>
                <w:szCs w:val="24"/>
              </w:rPr>
              <w:t>*</w:t>
            </w:r>
          </w:p>
        </w:tc>
      </w:tr>
      <w:tr w:rsidR="00B113B8" w:rsidRPr="00687EE0" w14:paraId="3D32DCAE"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1A32B0B"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BMI</w:t>
            </w:r>
          </w:p>
        </w:tc>
        <w:tc>
          <w:tcPr>
            <w:tcW w:w="1730" w:type="dxa"/>
            <w:shd w:val="clear" w:color="auto" w:fill="auto"/>
          </w:tcPr>
          <w:p w14:paraId="1BB748B9"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616DA11F"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45CAF9C7"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16DD2721"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D79D6EF"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6348C1D2"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1730" w:type="dxa"/>
          </w:tcPr>
          <w:p w14:paraId="7940817B"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3AB456FA"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33798213"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577FD0CB"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70A646AC"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26376AD7"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lastRenderedPageBreak/>
              <w:t>Overweight</w:t>
            </w:r>
          </w:p>
        </w:tc>
        <w:tc>
          <w:tcPr>
            <w:tcW w:w="1730" w:type="dxa"/>
            <w:shd w:val="clear" w:color="auto" w:fill="auto"/>
          </w:tcPr>
          <w:p w14:paraId="370A6FAE"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1.409</w:t>
            </w:r>
          </w:p>
        </w:tc>
        <w:tc>
          <w:tcPr>
            <w:tcW w:w="2027" w:type="dxa"/>
            <w:shd w:val="clear" w:color="auto" w:fill="auto"/>
          </w:tcPr>
          <w:p w14:paraId="266B3B2E"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1.018 – 1.948</w:t>
            </w:r>
          </w:p>
        </w:tc>
        <w:tc>
          <w:tcPr>
            <w:tcW w:w="1609" w:type="dxa"/>
            <w:shd w:val="clear" w:color="auto" w:fill="auto"/>
          </w:tcPr>
          <w:p w14:paraId="7ACA2CCC"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2.069</w:t>
            </w:r>
          </w:p>
        </w:tc>
        <w:tc>
          <w:tcPr>
            <w:tcW w:w="1983" w:type="dxa"/>
            <w:shd w:val="clear" w:color="auto" w:fill="auto"/>
          </w:tcPr>
          <w:p w14:paraId="39258D30"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0.039</w:t>
            </w:r>
            <w:r w:rsidR="00125480" w:rsidRPr="00687EE0">
              <w:rPr>
                <w:rFonts w:ascii="Times New Roman" w:hAnsi="Times New Roman" w:cs="Times New Roman"/>
                <w:sz w:val="24"/>
                <w:szCs w:val="24"/>
              </w:rPr>
              <w:t>*</w:t>
            </w:r>
          </w:p>
        </w:tc>
      </w:tr>
      <w:tr w:rsidR="00B113B8" w:rsidRPr="00687EE0" w14:paraId="330747FE"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35F22554"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1730" w:type="dxa"/>
          </w:tcPr>
          <w:p w14:paraId="258ED020"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2.028</w:t>
            </w:r>
          </w:p>
        </w:tc>
        <w:tc>
          <w:tcPr>
            <w:tcW w:w="2027" w:type="dxa"/>
          </w:tcPr>
          <w:p w14:paraId="72D30F79"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1.336 – 3.076</w:t>
            </w:r>
          </w:p>
        </w:tc>
        <w:tc>
          <w:tcPr>
            <w:tcW w:w="1609" w:type="dxa"/>
          </w:tcPr>
          <w:p w14:paraId="26058979"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3.323</w:t>
            </w:r>
          </w:p>
        </w:tc>
        <w:tc>
          <w:tcPr>
            <w:tcW w:w="1983" w:type="dxa"/>
          </w:tcPr>
          <w:p w14:paraId="3D77ABD1"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0.0009</w:t>
            </w:r>
            <w:r w:rsidR="00125480" w:rsidRPr="00687EE0">
              <w:rPr>
                <w:rFonts w:ascii="Times New Roman" w:hAnsi="Times New Roman" w:cs="Times New Roman"/>
                <w:sz w:val="24"/>
                <w:szCs w:val="24"/>
              </w:rPr>
              <w:t>*</w:t>
            </w:r>
          </w:p>
        </w:tc>
      </w:tr>
      <w:tr w:rsidR="00B113B8" w:rsidRPr="00687EE0" w14:paraId="4063399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961B7A9"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1730" w:type="dxa"/>
            <w:shd w:val="clear" w:color="auto" w:fill="auto"/>
          </w:tcPr>
          <w:p w14:paraId="74CFA6CF"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5D3F39ED"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5D9E142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147750CB"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9B069FF"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39A41D88"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tcPr>
          <w:p w14:paraId="680DCA8A" w14:textId="77777777" w:rsidR="00B113B8" w:rsidRPr="00687EE0" w:rsidRDefault="00125480"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741FEBB1"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7A1E428"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68BA99F0"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51E1829E"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FDF455C"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shd w:val="clear" w:color="auto" w:fill="auto"/>
          </w:tcPr>
          <w:p w14:paraId="1374BF94"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1.663</w:t>
            </w:r>
          </w:p>
        </w:tc>
        <w:tc>
          <w:tcPr>
            <w:tcW w:w="2027" w:type="dxa"/>
            <w:shd w:val="clear" w:color="auto" w:fill="auto"/>
          </w:tcPr>
          <w:p w14:paraId="00E64C7D"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1.240 – 2.231</w:t>
            </w:r>
          </w:p>
        </w:tc>
        <w:tc>
          <w:tcPr>
            <w:tcW w:w="1609" w:type="dxa"/>
            <w:shd w:val="clear" w:color="auto" w:fill="auto"/>
          </w:tcPr>
          <w:p w14:paraId="1E1101F9"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3.395</w:t>
            </w:r>
          </w:p>
        </w:tc>
        <w:tc>
          <w:tcPr>
            <w:tcW w:w="1983" w:type="dxa"/>
            <w:shd w:val="clear" w:color="auto" w:fill="auto"/>
          </w:tcPr>
          <w:p w14:paraId="0D856788"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0.0007*</w:t>
            </w:r>
          </w:p>
        </w:tc>
      </w:tr>
    </w:tbl>
    <w:p w14:paraId="535CBE0D" w14:textId="77777777" w:rsidR="00B113B8" w:rsidRPr="00687EE0" w:rsidRDefault="00B113B8" w:rsidP="000953F9">
      <w:pPr>
        <w:spacing w:after="0"/>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27F3E85E" w14:textId="77777777" w:rsidR="00B113B8" w:rsidRPr="00687EE0" w:rsidRDefault="00B113B8" w:rsidP="000953F9">
      <w:pPr>
        <w:spacing w:after="0"/>
        <w:rPr>
          <w:rFonts w:ascii="Times New Roman" w:hAnsi="Times New Roman" w:cs="Times New Roman"/>
          <w:sz w:val="24"/>
          <w:szCs w:val="24"/>
        </w:rPr>
      </w:pPr>
    </w:p>
    <w:p w14:paraId="53262A5A" w14:textId="77777777" w:rsidR="00B90748" w:rsidRPr="00687EE0" w:rsidRDefault="00B90748" w:rsidP="000953F9">
      <w:pPr>
        <w:spacing w:after="0"/>
        <w:rPr>
          <w:rFonts w:ascii="Times New Roman" w:hAnsi="Times New Roman" w:cs="Times New Roman"/>
          <w:sz w:val="24"/>
          <w:szCs w:val="24"/>
        </w:rPr>
      </w:pPr>
    </w:p>
    <w:p w14:paraId="7A338E1E" w14:textId="77777777" w:rsidR="00B90748" w:rsidRPr="00687EE0" w:rsidRDefault="00B90748" w:rsidP="00B90748">
      <w:pPr>
        <w:spacing w:after="0" w:line="480" w:lineRule="auto"/>
        <w:jc w:val="both"/>
        <w:outlineLvl w:val="2"/>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Logistic regression analysis of lifestyle factors and albuminuria</w:t>
      </w:r>
    </w:p>
    <w:p w14:paraId="26E0036B" w14:textId="77777777" w:rsidR="00B90748" w:rsidRPr="00687EE0" w:rsidRDefault="00B90748" w:rsidP="00B90748">
      <w:pPr>
        <w:spacing w:after="0" w:line="480" w:lineRule="auto"/>
        <w:jc w:val="both"/>
        <w:rPr>
          <w:rFonts w:ascii="Times New Roman" w:eastAsia="Times New Roman" w:hAnsi="Times New Roman" w:cs="Times New Roman"/>
          <w:sz w:val="24"/>
          <w:szCs w:val="24"/>
          <w:lang w:eastAsia="en-GB"/>
        </w:rPr>
      </w:pPr>
      <w:r w:rsidRPr="00687EE0">
        <w:rPr>
          <w:rFonts w:ascii="Times New Roman" w:eastAsia="Times New Roman" w:hAnsi="Times New Roman" w:cs="Times New Roman"/>
          <w:sz w:val="24"/>
          <w:szCs w:val="24"/>
          <w:lang w:eastAsia="en-GB"/>
        </w:rPr>
        <w:t>Inadequate diet (OR=0.22, 95% CI: 0.12–0.39, p&lt;0.0001), obesity (OR=0.49, 95% CI: 0.30–0.79, p=0.003), inadequate sleep (7–9 h: OR=0.35, 95% CI: 0.22–0.55, p&lt;0.0001; &gt;9 h: OR=0.29, 95% CI: 0.16–0.54, p=0.0001), non-smoking (OR=2.47, 95% CI: 1.27–4.82, p=0.008), and abstinence from alcohol (OR=1.94, 95% CI: 1.33–2.82, p=0.0006) were significant protective factors against albuminuria (Table 7).</w:t>
      </w:r>
    </w:p>
    <w:p w14:paraId="7AEFF6B6" w14:textId="77777777" w:rsidR="00B90748" w:rsidRPr="00687EE0" w:rsidRDefault="00B90748" w:rsidP="000953F9">
      <w:pPr>
        <w:spacing w:after="0"/>
        <w:rPr>
          <w:rFonts w:ascii="Times New Roman" w:hAnsi="Times New Roman" w:cs="Times New Roman"/>
          <w:sz w:val="24"/>
          <w:szCs w:val="24"/>
        </w:rPr>
      </w:pPr>
    </w:p>
    <w:p w14:paraId="08A1563E" w14:textId="77777777" w:rsidR="00B90748" w:rsidRPr="00687EE0" w:rsidRDefault="00B90748" w:rsidP="008D232B">
      <w:pPr>
        <w:spacing w:after="0" w:line="240" w:lineRule="auto"/>
        <w:jc w:val="both"/>
        <w:outlineLvl w:val="2"/>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Table 7. Logistic regression analysis of lifestyle factors and albuminuria</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001"/>
        <w:gridCol w:w="1730"/>
        <w:gridCol w:w="2027"/>
        <w:gridCol w:w="1609"/>
        <w:gridCol w:w="1983"/>
      </w:tblGrid>
      <w:tr w:rsidR="00B113B8" w:rsidRPr="00687EE0" w14:paraId="5FAF7678" w14:textId="77777777" w:rsidTr="00B9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bottom w:val="single" w:sz="4" w:space="0" w:color="auto"/>
            </w:tcBorders>
          </w:tcPr>
          <w:p w14:paraId="307644D8"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1730" w:type="dxa"/>
            <w:tcBorders>
              <w:bottom w:val="single" w:sz="4" w:space="0" w:color="auto"/>
            </w:tcBorders>
          </w:tcPr>
          <w:p w14:paraId="443BCE69" w14:textId="77777777" w:rsidR="00B113B8" w:rsidRPr="00687EE0" w:rsidRDefault="00125480"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OR</w:t>
            </w:r>
          </w:p>
          <w:p w14:paraId="456A77F9" w14:textId="77777777" w:rsidR="00B113B8" w:rsidRPr="00687EE0" w:rsidRDefault="00B113B8"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Borders>
              <w:bottom w:val="single" w:sz="4" w:space="0" w:color="auto"/>
            </w:tcBorders>
          </w:tcPr>
          <w:p w14:paraId="20895F87" w14:textId="77777777" w:rsidR="00B113B8" w:rsidRPr="00687EE0" w:rsidRDefault="00125480"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95% CI</w:t>
            </w:r>
          </w:p>
        </w:tc>
        <w:tc>
          <w:tcPr>
            <w:tcW w:w="1609" w:type="dxa"/>
            <w:tcBorders>
              <w:bottom w:val="single" w:sz="4" w:space="0" w:color="auto"/>
            </w:tcBorders>
          </w:tcPr>
          <w:p w14:paraId="5122903D" w14:textId="77777777" w:rsidR="00B113B8" w:rsidRPr="00687EE0" w:rsidRDefault="00125480"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Z statistics</w:t>
            </w:r>
          </w:p>
        </w:tc>
        <w:tc>
          <w:tcPr>
            <w:tcW w:w="1983" w:type="dxa"/>
            <w:tcBorders>
              <w:bottom w:val="single" w:sz="4" w:space="0" w:color="auto"/>
            </w:tcBorders>
          </w:tcPr>
          <w:p w14:paraId="360457F7" w14:textId="77777777" w:rsidR="00B113B8" w:rsidRPr="00687EE0" w:rsidRDefault="00B113B8"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B113B8" w:rsidRPr="00687EE0" w14:paraId="1B816A2E"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tcBorders>
            <w:shd w:val="clear" w:color="auto" w:fill="auto"/>
          </w:tcPr>
          <w:p w14:paraId="6960CE54"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1730" w:type="dxa"/>
            <w:tcBorders>
              <w:top w:val="single" w:sz="4" w:space="0" w:color="auto"/>
            </w:tcBorders>
            <w:shd w:val="clear" w:color="auto" w:fill="auto"/>
          </w:tcPr>
          <w:p w14:paraId="41D86C91"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26C9E0C7"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29C0ED90"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tcBorders>
              <w:top w:val="single" w:sz="4" w:space="0" w:color="auto"/>
            </w:tcBorders>
            <w:shd w:val="clear" w:color="auto" w:fill="auto"/>
          </w:tcPr>
          <w:p w14:paraId="69667AC9"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1473D84C"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4ED33589"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1730" w:type="dxa"/>
          </w:tcPr>
          <w:p w14:paraId="17B9A5E8"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481E86A7"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5620988C"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3B891192"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1A945D18"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B3D8F4F"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1730" w:type="dxa"/>
            <w:shd w:val="clear" w:color="auto" w:fill="auto"/>
          </w:tcPr>
          <w:p w14:paraId="43AFB047"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0.219</w:t>
            </w:r>
          </w:p>
        </w:tc>
        <w:tc>
          <w:tcPr>
            <w:tcW w:w="2027" w:type="dxa"/>
            <w:shd w:val="clear" w:color="auto" w:fill="auto"/>
          </w:tcPr>
          <w:p w14:paraId="460A60D2"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0.123 – 0.390</w:t>
            </w:r>
          </w:p>
        </w:tc>
        <w:tc>
          <w:tcPr>
            <w:tcW w:w="1609" w:type="dxa"/>
            <w:shd w:val="clear" w:color="auto" w:fill="auto"/>
          </w:tcPr>
          <w:p w14:paraId="173127A4"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5.164</w:t>
            </w:r>
          </w:p>
        </w:tc>
        <w:tc>
          <w:tcPr>
            <w:tcW w:w="1983" w:type="dxa"/>
            <w:shd w:val="clear" w:color="auto" w:fill="auto"/>
          </w:tcPr>
          <w:p w14:paraId="53CA7FC4"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&lt;0.0001</w:t>
            </w:r>
            <w:r w:rsidR="00FF76B2" w:rsidRPr="00687EE0">
              <w:rPr>
                <w:rFonts w:ascii="Times New Roman" w:hAnsi="Times New Roman" w:cs="Times New Roman"/>
                <w:sz w:val="24"/>
                <w:szCs w:val="24"/>
              </w:rPr>
              <w:t>*</w:t>
            </w:r>
          </w:p>
        </w:tc>
      </w:tr>
      <w:tr w:rsidR="00B113B8" w:rsidRPr="00687EE0" w14:paraId="1FF2777C"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48C421DB"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BMI</w:t>
            </w:r>
          </w:p>
        </w:tc>
        <w:tc>
          <w:tcPr>
            <w:tcW w:w="1730" w:type="dxa"/>
          </w:tcPr>
          <w:p w14:paraId="2753BAFB"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523902A7"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7027A7D7"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3C5EE7E1"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471A6832"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3DE943C"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1730" w:type="dxa"/>
            <w:shd w:val="clear" w:color="auto" w:fill="auto"/>
          </w:tcPr>
          <w:p w14:paraId="7CE98082"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24F3FCB4"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3F325A6F"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09C43463"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65EDD6A"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5B1C22C6"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Overweight</w:t>
            </w:r>
          </w:p>
        </w:tc>
        <w:tc>
          <w:tcPr>
            <w:tcW w:w="1730" w:type="dxa"/>
          </w:tcPr>
          <w:p w14:paraId="616EF340"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0.749</w:t>
            </w:r>
          </w:p>
        </w:tc>
        <w:tc>
          <w:tcPr>
            <w:tcW w:w="2027" w:type="dxa"/>
          </w:tcPr>
          <w:p w14:paraId="7876B89C"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0.485 – 1.155</w:t>
            </w:r>
          </w:p>
        </w:tc>
        <w:tc>
          <w:tcPr>
            <w:tcW w:w="1609" w:type="dxa"/>
          </w:tcPr>
          <w:p w14:paraId="7D953B1E"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1.310</w:t>
            </w:r>
          </w:p>
        </w:tc>
        <w:tc>
          <w:tcPr>
            <w:tcW w:w="1983" w:type="dxa"/>
          </w:tcPr>
          <w:p w14:paraId="6109F73E"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0.190</w:t>
            </w:r>
          </w:p>
        </w:tc>
      </w:tr>
      <w:tr w:rsidR="00B113B8" w:rsidRPr="00687EE0" w14:paraId="57C7E45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06107D3"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1730" w:type="dxa"/>
            <w:shd w:val="clear" w:color="auto" w:fill="auto"/>
          </w:tcPr>
          <w:p w14:paraId="7575D4BC"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0.487</w:t>
            </w:r>
          </w:p>
        </w:tc>
        <w:tc>
          <w:tcPr>
            <w:tcW w:w="2027" w:type="dxa"/>
            <w:shd w:val="clear" w:color="auto" w:fill="auto"/>
          </w:tcPr>
          <w:p w14:paraId="446F1B25"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0.301 – 0.787</w:t>
            </w:r>
          </w:p>
        </w:tc>
        <w:tc>
          <w:tcPr>
            <w:tcW w:w="1609" w:type="dxa"/>
            <w:shd w:val="clear" w:color="auto" w:fill="auto"/>
          </w:tcPr>
          <w:p w14:paraId="75713507"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2.936</w:t>
            </w:r>
          </w:p>
        </w:tc>
        <w:tc>
          <w:tcPr>
            <w:tcW w:w="1983" w:type="dxa"/>
            <w:shd w:val="clear" w:color="auto" w:fill="auto"/>
          </w:tcPr>
          <w:p w14:paraId="130C3E8A"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0.003</w:t>
            </w:r>
            <w:r w:rsidR="00FF76B2" w:rsidRPr="00687EE0">
              <w:rPr>
                <w:rFonts w:ascii="Times New Roman" w:hAnsi="Times New Roman" w:cs="Times New Roman"/>
                <w:sz w:val="24"/>
                <w:szCs w:val="24"/>
              </w:rPr>
              <w:t>*</w:t>
            </w:r>
          </w:p>
        </w:tc>
      </w:tr>
      <w:tr w:rsidR="00B113B8" w:rsidRPr="00687EE0" w14:paraId="27025FB0"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2A8EA309"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Sleep Duration (Hours)</w:t>
            </w:r>
          </w:p>
        </w:tc>
        <w:tc>
          <w:tcPr>
            <w:tcW w:w="1730" w:type="dxa"/>
          </w:tcPr>
          <w:p w14:paraId="3D115F2B"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5E7CD8B9"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769324D2"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05F8708C"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19DA814C"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211D9897"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&lt; 7</w:t>
            </w:r>
          </w:p>
        </w:tc>
        <w:tc>
          <w:tcPr>
            <w:tcW w:w="1730" w:type="dxa"/>
            <w:shd w:val="clear" w:color="auto" w:fill="auto"/>
          </w:tcPr>
          <w:p w14:paraId="07738E6F"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772BE6ED"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6A47118C"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43792703"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4361F1CC"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6E9F06F7"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7-9</w:t>
            </w:r>
          </w:p>
        </w:tc>
        <w:tc>
          <w:tcPr>
            <w:tcW w:w="1730" w:type="dxa"/>
          </w:tcPr>
          <w:p w14:paraId="65DB2112"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0.348</w:t>
            </w:r>
          </w:p>
        </w:tc>
        <w:tc>
          <w:tcPr>
            <w:tcW w:w="2027" w:type="dxa"/>
          </w:tcPr>
          <w:p w14:paraId="2290AC99"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0.219 – 0.554</w:t>
            </w:r>
          </w:p>
        </w:tc>
        <w:tc>
          <w:tcPr>
            <w:tcW w:w="1609" w:type="dxa"/>
          </w:tcPr>
          <w:p w14:paraId="233A2321"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4.462</w:t>
            </w:r>
          </w:p>
        </w:tc>
        <w:tc>
          <w:tcPr>
            <w:tcW w:w="1983" w:type="dxa"/>
          </w:tcPr>
          <w:p w14:paraId="08626FA6"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&lt;0.0001</w:t>
            </w:r>
            <w:r w:rsidR="00FF76B2" w:rsidRPr="00687EE0">
              <w:rPr>
                <w:rFonts w:ascii="Times New Roman" w:hAnsi="Times New Roman" w:cs="Times New Roman"/>
                <w:sz w:val="24"/>
                <w:szCs w:val="24"/>
              </w:rPr>
              <w:t>*</w:t>
            </w:r>
          </w:p>
        </w:tc>
      </w:tr>
      <w:tr w:rsidR="00B113B8" w:rsidRPr="00687EE0" w14:paraId="2CFDD26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F85E552"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&gt;9</w:t>
            </w:r>
          </w:p>
        </w:tc>
        <w:tc>
          <w:tcPr>
            <w:tcW w:w="1730" w:type="dxa"/>
            <w:shd w:val="clear" w:color="auto" w:fill="auto"/>
          </w:tcPr>
          <w:p w14:paraId="6EBB35D4"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0.294</w:t>
            </w:r>
          </w:p>
        </w:tc>
        <w:tc>
          <w:tcPr>
            <w:tcW w:w="2027" w:type="dxa"/>
            <w:shd w:val="clear" w:color="auto" w:fill="auto"/>
          </w:tcPr>
          <w:p w14:paraId="1F0D0B51"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0.159 – 0.543</w:t>
            </w:r>
          </w:p>
        </w:tc>
        <w:tc>
          <w:tcPr>
            <w:tcW w:w="1609" w:type="dxa"/>
            <w:shd w:val="clear" w:color="auto" w:fill="auto"/>
          </w:tcPr>
          <w:p w14:paraId="5277DB4C"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3.904</w:t>
            </w:r>
          </w:p>
        </w:tc>
        <w:tc>
          <w:tcPr>
            <w:tcW w:w="1983" w:type="dxa"/>
            <w:shd w:val="clear" w:color="auto" w:fill="auto"/>
          </w:tcPr>
          <w:p w14:paraId="5B24C747"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0.0001</w:t>
            </w:r>
            <w:r w:rsidR="00FF76B2" w:rsidRPr="00687EE0">
              <w:rPr>
                <w:rFonts w:ascii="Times New Roman" w:hAnsi="Times New Roman" w:cs="Times New Roman"/>
                <w:sz w:val="24"/>
                <w:szCs w:val="24"/>
              </w:rPr>
              <w:t>*</w:t>
            </w:r>
          </w:p>
        </w:tc>
      </w:tr>
      <w:tr w:rsidR="00B113B8" w:rsidRPr="00687EE0" w14:paraId="1852D426"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207C6FB7"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1730" w:type="dxa"/>
          </w:tcPr>
          <w:p w14:paraId="60D673DB"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1E277120"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6A2BA6EC"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27AFA4D2"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5E972C66"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CA170B3"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186D5407"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353D5195"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0C6F8E15"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2EAA8403"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74CCF509"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688F1F91"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55BAE7B3"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2.474</w:t>
            </w:r>
          </w:p>
        </w:tc>
        <w:tc>
          <w:tcPr>
            <w:tcW w:w="2027" w:type="dxa"/>
          </w:tcPr>
          <w:p w14:paraId="7E5798B0"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1.270 – 4.821</w:t>
            </w:r>
          </w:p>
        </w:tc>
        <w:tc>
          <w:tcPr>
            <w:tcW w:w="1609" w:type="dxa"/>
          </w:tcPr>
          <w:p w14:paraId="01898FE7"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2.661</w:t>
            </w:r>
          </w:p>
        </w:tc>
        <w:tc>
          <w:tcPr>
            <w:tcW w:w="1983" w:type="dxa"/>
          </w:tcPr>
          <w:p w14:paraId="15623D0E"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0.008*</w:t>
            </w:r>
          </w:p>
        </w:tc>
      </w:tr>
      <w:tr w:rsidR="00B113B8" w:rsidRPr="00687EE0" w14:paraId="7AE7C4E1"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5E15363"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1730" w:type="dxa"/>
            <w:shd w:val="clear" w:color="auto" w:fill="auto"/>
          </w:tcPr>
          <w:p w14:paraId="604901D0"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6BD76459"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413197BA"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26969BE7"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A5724B2"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2878F562"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tcPr>
          <w:p w14:paraId="436A7E01"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6770B830"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6A5702BF"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27113626"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338B9F2A"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C27B926"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shd w:val="clear" w:color="auto" w:fill="auto"/>
          </w:tcPr>
          <w:p w14:paraId="7AF6C3A3"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1.935</w:t>
            </w:r>
          </w:p>
        </w:tc>
        <w:tc>
          <w:tcPr>
            <w:tcW w:w="2027" w:type="dxa"/>
            <w:shd w:val="clear" w:color="auto" w:fill="auto"/>
          </w:tcPr>
          <w:p w14:paraId="67BC4670"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1.328 – 2.819</w:t>
            </w:r>
          </w:p>
        </w:tc>
        <w:tc>
          <w:tcPr>
            <w:tcW w:w="1609" w:type="dxa"/>
            <w:shd w:val="clear" w:color="auto" w:fill="auto"/>
          </w:tcPr>
          <w:p w14:paraId="3CE72B0D"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3.439</w:t>
            </w:r>
          </w:p>
        </w:tc>
        <w:tc>
          <w:tcPr>
            <w:tcW w:w="1983" w:type="dxa"/>
            <w:shd w:val="clear" w:color="auto" w:fill="auto"/>
          </w:tcPr>
          <w:p w14:paraId="0B6B6EF0"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0.0006*</w:t>
            </w:r>
          </w:p>
        </w:tc>
      </w:tr>
    </w:tbl>
    <w:p w14:paraId="0E65EE05" w14:textId="77777777" w:rsidR="00B113B8" w:rsidRPr="00687EE0" w:rsidRDefault="00B113B8" w:rsidP="008D232B">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7768EE89" w14:textId="77777777" w:rsidR="00FD54E1" w:rsidRPr="00687EE0" w:rsidRDefault="00FD54E1" w:rsidP="000953F9">
      <w:pPr>
        <w:spacing w:after="0"/>
        <w:rPr>
          <w:rFonts w:ascii="Times New Roman" w:hAnsi="Times New Roman" w:cs="Times New Roman"/>
          <w:sz w:val="24"/>
          <w:szCs w:val="24"/>
        </w:rPr>
      </w:pPr>
    </w:p>
    <w:p w14:paraId="0F93EADE" w14:textId="77777777" w:rsidR="0063058E" w:rsidRPr="00687EE0" w:rsidRDefault="0063058E" w:rsidP="000953F9">
      <w:pPr>
        <w:spacing w:after="0"/>
        <w:rPr>
          <w:rFonts w:ascii="Times New Roman" w:hAnsi="Times New Roman" w:cs="Times New Roman"/>
          <w:b/>
          <w:sz w:val="24"/>
          <w:szCs w:val="24"/>
        </w:rPr>
      </w:pPr>
    </w:p>
    <w:p w14:paraId="38A60C1C" w14:textId="77777777" w:rsidR="00CF427A" w:rsidRPr="00687EE0" w:rsidRDefault="00CF427A" w:rsidP="00CF427A">
      <w:pPr>
        <w:rPr>
          <w:rFonts w:ascii="Times New Roman" w:hAnsi="Times New Roman" w:cs="Times New Roman"/>
          <w:sz w:val="24"/>
          <w:szCs w:val="24"/>
        </w:rPr>
      </w:pPr>
      <w:r w:rsidRPr="00687EE0">
        <w:rPr>
          <w:rFonts w:ascii="Times New Roman" w:hAnsi="Times New Roman" w:cs="Times New Roman"/>
          <w:b/>
          <w:sz w:val="24"/>
          <w:szCs w:val="24"/>
        </w:rPr>
        <w:t xml:space="preserve">Discussion </w:t>
      </w:r>
    </w:p>
    <w:p w14:paraId="552B5042"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lastRenderedPageBreak/>
        <w:t>This study set out to investigate the association between various modifiable lifestyle factors and the presence of albuminuria, a key marker for renal impairment, in a cohort of patients with Type 2 Diabetes Mellitus (T2DM) in Edo State, Nigeria. The findings reveal a significant burden of albuminuria (17.2%) and demonstrate that several lifestyle factors are strongly and independently associated with its prevalence.</w:t>
      </w:r>
    </w:p>
    <w:p w14:paraId="79B2D5C1"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The prevalence of albuminuria observed in this study (17.2%) falls within the range reported by other studies in Nigeria and across Africa. A study in South-Western Nigeria using a similar method </w:t>
      </w:r>
      <w:r w:rsidR="00AE5382" w:rsidRPr="00687EE0">
        <w:rPr>
          <w:rFonts w:ascii="Times New Roman" w:eastAsia="Arial" w:hAnsi="Times New Roman" w:cs="Times New Roman"/>
          <w:color w:val="252525"/>
          <w:sz w:val="24"/>
          <w:szCs w:val="24"/>
        </w:rPr>
        <w:t>reported a prevalence of 21.4% [</w:t>
      </w:r>
      <w:r w:rsidRPr="00687EE0">
        <w:rPr>
          <w:rFonts w:ascii="Times New Roman" w:eastAsia="Arial" w:hAnsi="Times New Roman" w:cs="Times New Roman"/>
          <w:color w:val="252525"/>
          <w:sz w:val="24"/>
          <w:szCs w:val="24"/>
        </w:rPr>
        <w:t>1</w:t>
      </w:r>
      <w:r w:rsidR="00AE5382" w:rsidRPr="00687EE0">
        <w:rPr>
          <w:rFonts w:ascii="Times New Roman" w:eastAsia="Arial" w:hAnsi="Times New Roman" w:cs="Times New Roman"/>
          <w:color w:val="252525"/>
          <w:sz w:val="24"/>
          <w:szCs w:val="24"/>
        </w:rPr>
        <w:t>6]</w:t>
      </w:r>
      <w:r w:rsidRPr="00687EE0">
        <w:rPr>
          <w:rFonts w:ascii="Times New Roman" w:eastAsia="Arial" w:hAnsi="Times New Roman" w:cs="Times New Roman"/>
          <w:color w:val="252525"/>
          <w:sz w:val="24"/>
          <w:szCs w:val="24"/>
        </w:rPr>
        <w:t>, while another in southern Nigeria, with values ranging between 58% and 72.63%</w:t>
      </w:r>
      <w:r w:rsidR="00AE5382" w:rsidRPr="00687EE0">
        <w:rPr>
          <w:rFonts w:ascii="Times New Roman" w:eastAsia="Arial" w:hAnsi="Times New Roman" w:cs="Times New Roman"/>
          <w:color w:val="252525"/>
          <w:sz w:val="24"/>
          <w:szCs w:val="24"/>
        </w:rPr>
        <w:t xml:space="preserve"> [17]</w:t>
      </w:r>
      <w:r w:rsidRPr="00687EE0">
        <w:rPr>
          <w:rFonts w:ascii="Times New Roman" w:eastAsia="Arial" w:hAnsi="Times New Roman" w:cs="Times New Roman"/>
          <w:color w:val="252525"/>
          <w:sz w:val="24"/>
          <w:szCs w:val="24"/>
        </w:rPr>
        <w:t>. Patel </w:t>
      </w:r>
      <w:r w:rsidRPr="00687EE0">
        <w:rPr>
          <w:rFonts w:ascii="Times New Roman" w:eastAsia="Arial" w:hAnsi="Times New Roman" w:cs="Times New Roman"/>
          <w:i/>
          <w:color w:val="252525"/>
          <w:sz w:val="24"/>
          <w:szCs w:val="24"/>
        </w:rPr>
        <w:t>et</w:t>
      </w:r>
      <w:r w:rsidR="0043750D" w:rsidRPr="00687EE0">
        <w:rPr>
          <w:rFonts w:ascii="Times New Roman" w:eastAsia="Arial" w:hAnsi="Times New Roman" w:cs="Times New Roman"/>
          <w:i/>
          <w:color w:val="252525"/>
          <w:sz w:val="24"/>
          <w:szCs w:val="24"/>
        </w:rPr>
        <w:t xml:space="preserve"> </w:t>
      </w:r>
      <w:r w:rsidRPr="00687EE0">
        <w:rPr>
          <w:rFonts w:ascii="Times New Roman" w:eastAsia="Arial" w:hAnsi="Times New Roman" w:cs="Times New Roman"/>
          <w:i/>
          <w:color w:val="252525"/>
          <w:sz w:val="24"/>
          <w:szCs w:val="24"/>
        </w:rPr>
        <w:t>al</w:t>
      </w:r>
      <w:r w:rsidR="0043750D" w:rsidRPr="00687EE0">
        <w:rPr>
          <w:rFonts w:ascii="Times New Roman" w:eastAsia="Arial" w:hAnsi="Times New Roman" w:cs="Times New Roman"/>
          <w:i/>
          <w:color w:val="252525"/>
          <w:sz w:val="24"/>
          <w:szCs w:val="24"/>
        </w:rPr>
        <w:t>.</w:t>
      </w:r>
      <w:r w:rsidRPr="00687EE0">
        <w:rPr>
          <w:rFonts w:ascii="Times New Roman" w:eastAsia="Arial" w:hAnsi="Times New Roman" w:cs="Times New Roman"/>
          <w:color w:val="252525"/>
          <w:sz w:val="24"/>
          <w:szCs w:val="24"/>
        </w:rPr>
        <w:t xml:space="preserve"> in a Portuguese primary care study found albuminuria in 51% of patients with diabetes only, though they used a lower detection threshold </w:t>
      </w:r>
      <w:r w:rsidR="00AE5382" w:rsidRPr="00687EE0">
        <w:rPr>
          <w:rFonts w:ascii="Times New Roman" w:eastAsia="Arial" w:hAnsi="Times New Roman" w:cs="Times New Roman"/>
          <w:color w:val="252525"/>
          <w:sz w:val="24"/>
          <w:szCs w:val="24"/>
        </w:rPr>
        <w:t>(≥20mg/dl) [18]</w:t>
      </w:r>
      <w:r w:rsidRPr="00687EE0">
        <w:rPr>
          <w:rFonts w:ascii="Times New Roman" w:eastAsia="Arial" w:hAnsi="Times New Roman" w:cs="Times New Roman"/>
          <w:color w:val="252525"/>
          <w:sz w:val="24"/>
          <w:szCs w:val="24"/>
        </w:rPr>
        <w:t xml:space="preserve">. A study conducted in Pakistan reported a microalbuminuria prevalence of 31.6% </w:t>
      </w:r>
      <w:r w:rsidR="00AE5382"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19</w:t>
      </w:r>
      <w:r w:rsidR="00AE5382"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 Variations in the prevalence observed are expected due to differences in population characteristics, methods of albuminuria detection, and stages of diabetes progression.</w:t>
      </w:r>
    </w:p>
    <w:p w14:paraId="5CBF4EE3"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A central finding of this study is the strong protective association of an adequate diet against albuminuria. Participants with adequate dietary habits had </w:t>
      </w:r>
      <w:r w:rsidR="00B90748" w:rsidRPr="00687EE0">
        <w:rPr>
          <w:rFonts w:ascii="Times New Roman" w:eastAsia="Arial" w:hAnsi="Times New Roman" w:cs="Times New Roman"/>
          <w:color w:val="252525"/>
          <w:sz w:val="24"/>
          <w:szCs w:val="24"/>
        </w:rPr>
        <w:t xml:space="preserve">a </w:t>
      </w:r>
      <w:proofErr w:type="gramStart"/>
      <w:r w:rsidR="00B90748" w:rsidRPr="00687EE0">
        <w:rPr>
          <w:rFonts w:ascii="Times New Roman" w:eastAsia="Arial" w:hAnsi="Times New Roman" w:cs="Times New Roman"/>
          <w:color w:val="252525"/>
          <w:sz w:val="24"/>
          <w:szCs w:val="24"/>
        </w:rPr>
        <w:t xml:space="preserve">lower </w:t>
      </w:r>
      <w:r w:rsidR="003C7F86" w:rsidRPr="00687EE0">
        <w:rPr>
          <w:rFonts w:ascii="Times New Roman" w:eastAsia="Arial" w:hAnsi="Times New Roman" w:cs="Times New Roman"/>
          <w:color w:val="252525"/>
          <w:sz w:val="24"/>
          <w:szCs w:val="24"/>
        </w:rPr>
        <w:t>odds</w:t>
      </w:r>
      <w:proofErr w:type="gramEnd"/>
      <w:r w:rsidRPr="00687EE0">
        <w:rPr>
          <w:rFonts w:ascii="Times New Roman" w:eastAsia="Arial" w:hAnsi="Times New Roman" w:cs="Times New Roman"/>
          <w:color w:val="252525"/>
          <w:sz w:val="24"/>
          <w:szCs w:val="24"/>
        </w:rPr>
        <w:t xml:space="preserve"> of having albuminuria (OR: 0.219, p&lt;0.0001). This finding is consistent with international evidence. Studies from Europe and North America have consistently shown that dietary patterns rich in fruits, vegetables, and whole grains—such as the DASH (Dietary Approaches to Stop Hypertension) or Mediterranean diets—are associated with a lower incidence of chronic kidney disease and albuminuri</w:t>
      </w:r>
      <w:r w:rsidR="00AE5382" w:rsidRPr="00687EE0">
        <w:rPr>
          <w:rFonts w:ascii="Times New Roman" w:eastAsia="Arial" w:hAnsi="Times New Roman" w:cs="Times New Roman"/>
          <w:color w:val="252525"/>
          <w:sz w:val="24"/>
          <w:szCs w:val="24"/>
        </w:rPr>
        <w:t>a in diabetic populations [</w:t>
      </w:r>
      <w:r w:rsidRPr="00687EE0">
        <w:rPr>
          <w:rFonts w:ascii="Times New Roman" w:eastAsia="Arial" w:hAnsi="Times New Roman" w:cs="Times New Roman"/>
          <w:color w:val="252525"/>
          <w:sz w:val="24"/>
          <w:szCs w:val="24"/>
        </w:rPr>
        <w:t>20,</w:t>
      </w:r>
      <w:r w:rsidR="00AE5382" w:rsidRPr="00687EE0">
        <w:rPr>
          <w:rFonts w:ascii="Times New Roman" w:eastAsia="Arial" w:hAnsi="Times New Roman" w:cs="Times New Roman"/>
          <w:color w:val="252525"/>
          <w:sz w:val="24"/>
          <w:szCs w:val="24"/>
        </w:rPr>
        <w:t xml:space="preserve"> 21]</w:t>
      </w:r>
      <w:r w:rsidRPr="00687EE0">
        <w:rPr>
          <w:rFonts w:ascii="Times New Roman" w:eastAsia="Arial" w:hAnsi="Times New Roman" w:cs="Times New Roman"/>
          <w:color w:val="252525"/>
          <w:sz w:val="24"/>
          <w:szCs w:val="24"/>
        </w:rPr>
        <w:t xml:space="preserve">. These diets are thought to confer </w:t>
      </w:r>
      <w:proofErr w:type="spellStart"/>
      <w:r w:rsidRPr="00687EE0">
        <w:rPr>
          <w:rFonts w:ascii="Times New Roman" w:eastAsia="Arial" w:hAnsi="Times New Roman" w:cs="Times New Roman"/>
          <w:color w:val="252525"/>
          <w:sz w:val="24"/>
          <w:szCs w:val="24"/>
        </w:rPr>
        <w:t>renoprotective</w:t>
      </w:r>
      <w:proofErr w:type="spellEnd"/>
      <w:r w:rsidRPr="00687EE0">
        <w:rPr>
          <w:rFonts w:ascii="Times New Roman" w:eastAsia="Arial" w:hAnsi="Times New Roman" w:cs="Times New Roman"/>
          <w:color w:val="252525"/>
          <w:sz w:val="24"/>
          <w:szCs w:val="24"/>
        </w:rPr>
        <w:t xml:space="preserve"> effects by improving endothelial function, reducing oxidative stress, and lowering blood pressure. Our study confirms that this relationship holds in the Nigerian context, where dietary transitions towards more processed foods are occurring alongs</w:t>
      </w:r>
      <w:r w:rsidR="00AE5382" w:rsidRPr="00687EE0">
        <w:rPr>
          <w:rFonts w:ascii="Times New Roman" w:eastAsia="Arial" w:hAnsi="Times New Roman" w:cs="Times New Roman"/>
          <w:color w:val="252525"/>
          <w:sz w:val="24"/>
          <w:szCs w:val="24"/>
        </w:rPr>
        <w:t>ide urbanization [</w:t>
      </w:r>
      <w:r w:rsidRPr="00687EE0">
        <w:rPr>
          <w:rFonts w:ascii="Times New Roman" w:eastAsia="Arial" w:hAnsi="Times New Roman" w:cs="Times New Roman"/>
          <w:color w:val="252525"/>
          <w:sz w:val="24"/>
          <w:szCs w:val="24"/>
        </w:rPr>
        <w:t>21,</w:t>
      </w:r>
      <w:r w:rsidR="00AE5382" w:rsidRPr="00687EE0">
        <w:rPr>
          <w:rFonts w:ascii="Times New Roman" w:eastAsia="Arial" w:hAnsi="Times New Roman" w:cs="Times New Roman"/>
          <w:color w:val="252525"/>
          <w:sz w:val="24"/>
          <w:szCs w:val="24"/>
        </w:rPr>
        <w:t xml:space="preserve"> 22]</w:t>
      </w:r>
      <w:r w:rsidRPr="00687EE0">
        <w:rPr>
          <w:rFonts w:ascii="Times New Roman" w:eastAsia="Arial" w:hAnsi="Times New Roman" w:cs="Times New Roman"/>
          <w:color w:val="252525"/>
          <w:sz w:val="24"/>
          <w:szCs w:val="24"/>
        </w:rPr>
        <w:t>.</w:t>
      </w:r>
    </w:p>
    <w:p w14:paraId="32424B62"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lastRenderedPageBreak/>
        <w:t>The study also confirmed a strong gradient of risk associated with body mass index (BMI). Obesity was significantly associated with a higher prevalence of albuminuria (p=0.012). This finding is supported by that of a study by Thakur et al</w:t>
      </w:r>
      <w:r w:rsidR="00B90748"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 xml:space="preserve"> which recorded a significant association between body mass index and microalbumi</w:t>
      </w:r>
      <w:r w:rsidR="00AE5382" w:rsidRPr="00687EE0">
        <w:rPr>
          <w:rFonts w:ascii="Times New Roman" w:eastAsia="Arial" w:hAnsi="Times New Roman" w:cs="Times New Roman"/>
          <w:color w:val="252525"/>
          <w:sz w:val="24"/>
          <w:szCs w:val="24"/>
        </w:rPr>
        <w:t>nuria [23]</w:t>
      </w:r>
      <w:r w:rsidRPr="00687EE0">
        <w:rPr>
          <w:rFonts w:ascii="Times New Roman" w:eastAsia="Arial" w:hAnsi="Times New Roman" w:cs="Times New Roman"/>
          <w:color w:val="252525"/>
          <w:sz w:val="24"/>
          <w:szCs w:val="24"/>
        </w:rPr>
        <w:t>. The pathophysiological link is well-established: obesity contributes to insulin resistance, glomerular hyperfiltration, and a chronic state of low-grade inflammation, all of which can damage the glomerular filtration barrier and promote albumin</w:t>
      </w:r>
      <w:r w:rsidR="00AE5382" w:rsidRPr="00687EE0">
        <w:rPr>
          <w:rFonts w:ascii="Times New Roman" w:eastAsia="Arial" w:hAnsi="Times New Roman" w:cs="Times New Roman"/>
          <w:color w:val="252525"/>
          <w:sz w:val="24"/>
          <w:szCs w:val="24"/>
        </w:rPr>
        <w:t xml:space="preserve"> leakage [24]</w:t>
      </w:r>
      <w:r w:rsidRPr="00687EE0">
        <w:rPr>
          <w:rFonts w:ascii="Times New Roman" w:eastAsia="Arial" w:hAnsi="Times New Roman" w:cs="Times New Roman"/>
          <w:color w:val="252525"/>
          <w:sz w:val="24"/>
          <w:szCs w:val="24"/>
        </w:rPr>
        <w:t>. This is a critical public health concern for Nigeria, which is experiencing a rapid rise in obesity rates due to changing lifestyles, making weight management a cornerstone of preve</w:t>
      </w:r>
      <w:r w:rsidR="00AE5382" w:rsidRPr="00687EE0">
        <w:rPr>
          <w:rFonts w:ascii="Times New Roman" w:eastAsia="Arial" w:hAnsi="Times New Roman" w:cs="Times New Roman"/>
          <w:color w:val="252525"/>
          <w:sz w:val="24"/>
          <w:szCs w:val="24"/>
        </w:rPr>
        <w:t>nting diabetic complications [25]</w:t>
      </w:r>
      <w:r w:rsidRPr="00687EE0">
        <w:rPr>
          <w:rFonts w:ascii="Times New Roman" w:eastAsia="Arial" w:hAnsi="Times New Roman" w:cs="Times New Roman"/>
          <w:color w:val="252525"/>
          <w:sz w:val="24"/>
          <w:szCs w:val="24"/>
        </w:rPr>
        <w:t>. However, another study that was carried out in Nigeria reported an insignificant association between body mass index and albuminuria </w:t>
      </w:r>
      <w:r w:rsidR="00AE5382" w:rsidRPr="00687EE0">
        <w:rPr>
          <w:rFonts w:ascii="Times New Roman" w:eastAsia="Arial" w:hAnsi="Times New Roman" w:cs="Times New Roman"/>
          <w:color w:val="252525"/>
          <w:sz w:val="24"/>
          <w:szCs w:val="24"/>
        </w:rPr>
        <w:t>[26]</w:t>
      </w:r>
      <w:r w:rsidRPr="00687EE0">
        <w:rPr>
          <w:rFonts w:ascii="Times New Roman" w:eastAsia="Arial" w:hAnsi="Times New Roman" w:cs="Times New Roman"/>
          <w:color w:val="252525"/>
          <w:sz w:val="24"/>
          <w:szCs w:val="24"/>
        </w:rPr>
        <w:t xml:space="preserve">. This difference in BMI impact on albuminuria could be due to regional body mass index variations. </w:t>
      </w:r>
    </w:p>
    <w:p w14:paraId="3452BE2D"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This study found a significant independent association between adequate sleep duration and a reduced risk of albuminuria. This relationship is less frequently studied in the African context but is gaining recognition internationally. Our finding that 7-9 hours of sleep was highly protective (OR: 0.348, p&lt;0.0001) aligns with cohort studies from the US and Asia, which have linked both short and long sleep duration to an increased risk of incident CKD and albuminuria </w:t>
      </w:r>
      <w:r w:rsidR="00AE5382" w:rsidRPr="00687EE0">
        <w:rPr>
          <w:rFonts w:ascii="Times New Roman" w:eastAsia="Arial" w:hAnsi="Times New Roman" w:cs="Times New Roman"/>
          <w:color w:val="252525"/>
          <w:sz w:val="24"/>
          <w:szCs w:val="24"/>
        </w:rPr>
        <w:t>[27, 28]</w:t>
      </w:r>
      <w:r w:rsidRPr="00687EE0">
        <w:rPr>
          <w:rFonts w:ascii="Times New Roman" w:eastAsia="Arial" w:hAnsi="Times New Roman" w:cs="Times New Roman"/>
          <w:color w:val="252525"/>
          <w:sz w:val="24"/>
          <w:szCs w:val="24"/>
        </w:rPr>
        <w:t xml:space="preserve">. The proposed mechanisms include sleep deprivation-induced sympathetic nervous system activation, hormonal dysregulation (e.g., increased cortisol), and increased systemic inflammation, all of which can exacerbate insulin resistance and endothelial dysfunction </w:t>
      </w:r>
      <w:r w:rsidR="00AE5382" w:rsidRPr="00687EE0">
        <w:rPr>
          <w:rFonts w:ascii="Times New Roman" w:eastAsia="Arial" w:hAnsi="Times New Roman" w:cs="Times New Roman"/>
          <w:color w:val="252525"/>
          <w:sz w:val="24"/>
          <w:szCs w:val="24"/>
        </w:rPr>
        <w:t>[29]</w:t>
      </w:r>
      <w:r w:rsidRPr="00687EE0">
        <w:rPr>
          <w:rFonts w:ascii="Times New Roman" w:eastAsia="Arial" w:hAnsi="Times New Roman" w:cs="Times New Roman"/>
          <w:color w:val="252525"/>
          <w:sz w:val="24"/>
          <w:szCs w:val="24"/>
        </w:rPr>
        <w:t>. This suggests that sleep hygiene should be considered an integral, yet often overlooked, component of lifestyle modification counselling for patients with T2DM in Nigeria.</w:t>
      </w:r>
    </w:p>
    <w:p w14:paraId="65569A70"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Smoking and alcohol consumption were significantly associated with albuminuria. Smokers and alcohol consumers had higher proportions of albuminuria, and abstinence was associated with </w:t>
      </w:r>
      <w:r w:rsidRPr="00687EE0">
        <w:rPr>
          <w:rFonts w:ascii="Times New Roman" w:eastAsia="Arial" w:hAnsi="Times New Roman" w:cs="Times New Roman"/>
          <w:color w:val="252525"/>
          <w:sz w:val="24"/>
          <w:szCs w:val="24"/>
        </w:rPr>
        <w:lastRenderedPageBreak/>
        <w:t xml:space="preserve">markedly lower odds of the condition (OR: 2.474 and OR: 1.935, respectively). Tobacco smoke contains toxins that induce endothelial dysfunction and vascular damage, while excessive alcohol intake can contribute to hypertension and direct glomerular injury </w:t>
      </w:r>
      <w:r w:rsidR="00AE5382" w:rsidRPr="00687EE0">
        <w:rPr>
          <w:rFonts w:ascii="Times New Roman" w:eastAsia="Arial" w:hAnsi="Times New Roman" w:cs="Times New Roman"/>
          <w:color w:val="252525"/>
          <w:sz w:val="24"/>
          <w:szCs w:val="24"/>
        </w:rPr>
        <w:t>[30]</w:t>
      </w:r>
      <w:r w:rsidRPr="00687EE0">
        <w:rPr>
          <w:rFonts w:ascii="Times New Roman" w:eastAsia="Arial" w:hAnsi="Times New Roman" w:cs="Times New Roman"/>
          <w:color w:val="252525"/>
          <w:sz w:val="24"/>
          <w:szCs w:val="24"/>
        </w:rPr>
        <w:t>. These findings reinforce the imperative for routine screening and robust smoking cessation and alcohol moderation programs within diabetic care.</w:t>
      </w:r>
    </w:p>
    <w:p w14:paraId="466FAF93"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Interestingly, while physical activity was significantly associated with better </w:t>
      </w:r>
      <w:proofErr w:type="spellStart"/>
      <w:r w:rsidRPr="00687EE0">
        <w:rPr>
          <w:rFonts w:ascii="Times New Roman" w:eastAsia="Arial" w:hAnsi="Times New Roman" w:cs="Times New Roman"/>
          <w:color w:val="252525"/>
          <w:sz w:val="24"/>
          <w:szCs w:val="24"/>
        </w:rPr>
        <w:t>glycaemic</w:t>
      </w:r>
      <w:proofErr w:type="spellEnd"/>
      <w:r w:rsidRPr="00687EE0">
        <w:rPr>
          <w:rFonts w:ascii="Times New Roman" w:eastAsia="Arial" w:hAnsi="Times New Roman" w:cs="Times New Roman"/>
          <w:color w:val="252525"/>
          <w:sz w:val="24"/>
          <w:szCs w:val="24"/>
        </w:rPr>
        <w:t xml:space="preserve"> control (p=0.012), its direct association with albuminuria did not reach statistical significance (p=0.064). This discrepancy is not uncommon in observational studies. The </w:t>
      </w:r>
      <w:proofErr w:type="spellStart"/>
      <w:r w:rsidRPr="00687EE0">
        <w:rPr>
          <w:rFonts w:ascii="Times New Roman" w:eastAsia="Arial" w:hAnsi="Times New Roman" w:cs="Times New Roman"/>
          <w:color w:val="252525"/>
          <w:sz w:val="24"/>
          <w:szCs w:val="24"/>
        </w:rPr>
        <w:t>renoprotective</w:t>
      </w:r>
      <w:proofErr w:type="spellEnd"/>
      <w:r w:rsidRPr="00687EE0">
        <w:rPr>
          <w:rFonts w:ascii="Times New Roman" w:eastAsia="Arial" w:hAnsi="Times New Roman" w:cs="Times New Roman"/>
          <w:color w:val="252525"/>
          <w:sz w:val="24"/>
          <w:szCs w:val="24"/>
        </w:rPr>
        <w:t xml:space="preserve"> benefits of physical activity are often indirect, mediated primarily through improvements in weight, blood pressure, and </w:t>
      </w:r>
      <w:proofErr w:type="spellStart"/>
      <w:r w:rsidRPr="00687EE0">
        <w:rPr>
          <w:rFonts w:ascii="Times New Roman" w:eastAsia="Arial" w:hAnsi="Times New Roman" w:cs="Times New Roman"/>
          <w:color w:val="252525"/>
          <w:sz w:val="24"/>
          <w:szCs w:val="24"/>
        </w:rPr>
        <w:t>glycaemic</w:t>
      </w:r>
      <w:proofErr w:type="spellEnd"/>
      <w:r w:rsidRPr="00687EE0">
        <w:rPr>
          <w:rFonts w:ascii="Times New Roman" w:eastAsia="Arial" w:hAnsi="Times New Roman" w:cs="Times New Roman"/>
          <w:color w:val="252525"/>
          <w:sz w:val="24"/>
          <w:szCs w:val="24"/>
        </w:rPr>
        <w:t xml:space="preserve"> control over a longer period. A meta-analysis concluded that while exercise training improves traditional cardiorenal risk facto</w:t>
      </w:r>
      <w:r w:rsidR="00AE5382" w:rsidRPr="00687EE0">
        <w:rPr>
          <w:rFonts w:ascii="Times New Roman" w:eastAsia="Arial" w:hAnsi="Times New Roman" w:cs="Times New Roman"/>
          <w:color w:val="252525"/>
          <w:sz w:val="24"/>
          <w:szCs w:val="24"/>
        </w:rPr>
        <w:t>rs [</w:t>
      </w:r>
      <w:r w:rsidRPr="00687EE0">
        <w:rPr>
          <w:rFonts w:ascii="Times New Roman" w:eastAsia="Arial" w:hAnsi="Times New Roman" w:cs="Times New Roman"/>
          <w:color w:val="252525"/>
          <w:sz w:val="24"/>
          <w:szCs w:val="24"/>
        </w:rPr>
        <w:t>31</w:t>
      </w:r>
      <w:r w:rsidR="00AE5382"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 evidence for a direct independent effect on alb</w:t>
      </w:r>
      <w:r w:rsidR="00AE5382" w:rsidRPr="00687EE0">
        <w:rPr>
          <w:rFonts w:ascii="Times New Roman" w:eastAsia="Arial" w:hAnsi="Times New Roman" w:cs="Times New Roman"/>
          <w:color w:val="252525"/>
          <w:sz w:val="24"/>
          <w:szCs w:val="24"/>
        </w:rPr>
        <w:t>uminuria is less consistent [32]</w:t>
      </w:r>
      <w:r w:rsidRPr="00687EE0">
        <w:rPr>
          <w:rFonts w:ascii="Times New Roman" w:eastAsia="Arial" w:hAnsi="Times New Roman" w:cs="Times New Roman"/>
          <w:color w:val="252525"/>
          <w:sz w:val="24"/>
          <w:szCs w:val="24"/>
        </w:rPr>
        <w:t>. The method of assessment (self-report vs. accelerometer) may also play a role in this variability.</w:t>
      </w:r>
    </w:p>
    <w:p w14:paraId="590BC743" w14:textId="77777777" w:rsidR="00373D8D" w:rsidRPr="00687EE0" w:rsidRDefault="00373D8D" w:rsidP="00373D8D">
      <w:pPr>
        <w:spacing w:after="0" w:line="480" w:lineRule="auto"/>
        <w:jc w:val="both"/>
        <w:rPr>
          <w:rFonts w:ascii="Times New Roman" w:eastAsia="Times New Roman" w:hAnsi="Times New Roman" w:cs="Times New Roman"/>
          <w:sz w:val="24"/>
          <w:szCs w:val="24"/>
          <w:lang w:eastAsia="en-GB"/>
        </w:rPr>
      </w:pPr>
      <w:r w:rsidRPr="00687EE0">
        <w:rPr>
          <w:rFonts w:ascii="Times New Roman" w:eastAsia="Times New Roman" w:hAnsi="Times New Roman" w:cs="Times New Roman"/>
          <w:sz w:val="24"/>
          <w:szCs w:val="24"/>
          <w:lang w:eastAsia="en-GB"/>
        </w:rPr>
        <w:t xml:space="preserve">These findings have important clinical and public health implications. Integrating lifestyle-focused interventions—such as structured dietary counseling, weight reduction programs, alcohol cessation strategies, and physical activity promotion—into routine diabetes care is critical. Equally important is the strengthening of albuminuria screening, both at diagnosis and during follow-up visits. Early detection facilitates timely interventions, including tighter </w:t>
      </w:r>
      <w:proofErr w:type="spellStart"/>
      <w:r w:rsidRPr="00687EE0">
        <w:rPr>
          <w:rFonts w:ascii="Times New Roman" w:eastAsia="Times New Roman" w:hAnsi="Times New Roman" w:cs="Times New Roman"/>
          <w:sz w:val="24"/>
          <w:szCs w:val="24"/>
          <w:lang w:eastAsia="en-GB"/>
        </w:rPr>
        <w:t>glycaemic</w:t>
      </w:r>
      <w:proofErr w:type="spellEnd"/>
      <w:r w:rsidRPr="00687EE0">
        <w:rPr>
          <w:rFonts w:ascii="Times New Roman" w:eastAsia="Times New Roman" w:hAnsi="Times New Roman" w:cs="Times New Roman"/>
          <w:sz w:val="24"/>
          <w:szCs w:val="24"/>
          <w:lang w:eastAsia="en-GB"/>
        </w:rPr>
        <w:t xml:space="preserve"> control and </w:t>
      </w:r>
      <w:proofErr w:type="spellStart"/>
      <w:r w:rsidRPr="00687EE0">
        <w:rPr>
          <w:rFonts w:ascii="Times New Roman" w:eastAsia="Times New Roman" w:hAnsi="Times New Roman" w:cs="Times New Roman"/>
          <w:sz w:val="24"/>
          <w:szCs w:val="24"/>
          <w:lang w:eastAsia="en-GB"/>
        </w:rPr>
        <w:t>renoprotective</w:t>
      </w:r>
      <w:proofErr w:type="spellEnd"/>
      <w:r w:rsidRPr="00687EE0">
        <w:rPr>
          <w:rFonts w:ascii="Times New Roman" w:eastAsia="Times New Roman" w:hAnsi="Times New Roman" w:cs="Times New Roman"/>
          <w:sz w:val="24"/>
          <w:szCs w:val="24"/>
          <w:lang w:eastAsia="en-GB"/>
        </w:rPr>
        <w:t xml:space="preserve"> therapies, which can delay progression to overt nephropathy and end-stage kidney disease.</w:t>
      </w:r>
    </w:p>
    <w:p w14:paraId="45AF8207" w14:textId="77777777" w:rsidR="00CF427A" w:rsidRPr="00687EE0" w:rsidRDefault="00CF427A" w:rsidP="00CF427A">
      <w:pPr>
        <w:rPr>
          <w:rFonts w:ascii="Times New Roman" w:hAnsi="Times New Roman" w:cs="Times New Roman"/>
          <w:sz w:val="24"/>
          <w:szCs w:val="24"/>
        </w:rPr>
      </w:pPr>
      <w:r w:rsidRPr="00687EE0">
        <w:rPr>
          <w:rFonts w:ascii="Times New Roman" w:hAnsi="Times New Roman" w:cs="Times New Roman"/>
          <w:b/>
          <w:sz w:val="24"/>
          <w:szCs w:val="24"/>
        </w:rPr>
        <w:t xml:space="preserve">Conclusion </w:t>
      </w:r>
    </w:p>
    <w:p w14:paraId="791C2865" w14:textId="77777777" w:rsidR="00AE5382" w:rsidRPr="00687EE0" w:rsidRDefault="00AE5382" w:rsidP="00AE5382">
      <w:pPr>
        <w:pStyle w:val="NormalWeb"/>
        <w:spacing w:before="0" w:beforeAutospacing="0" w:after="0" w:afterAutospacing="0" w:line="480" w:lineRule="auto"/>
        <w:jc w:val="both"/>
      </w:pPr>
      <w:r w:rsidRPr="00687EE0">
        <w:t xml:space="preserve">This study demonstrates that lifestyle factors play a pivotal role in shaping both glycaemic control and renal outcomes among Nigerian adults with T2DM. The relatively low prevalence of </w:t>
      </w:r>
      <w:r w:rsidRPr="00687EE0">
        <w:lastRenderedPageBreak/>
        <w:t>albuminuria compared with previous Nigerian studies may reflect the younger age and shorter diabetes duration in this cohort. Nonetheless, poor dietary habits, obesity, alcohol consumption, and inadequate sleep emerged as consistent predictors of both poor glycaemic control and albuminuria. These findings highlight the need for lifestyle-centred interventions alongside pharmacological management, as well as routine albuminuria screening, to prevent or delay the onset of diabetic nephropathy and reduce the long-term burden of renal complications.</w:t>
      </w:r>
    </w:p>
    <w:p w14:paraId="4846B36F" w14:textId="77777777" w:rsidR="00AE5382" w:rsidRPr="00687EE0" w:rsidRDefault="00AE5382" w:rsidP="00AE5382">
      <w:pPr>
        <w:pStyle w:val="Heading3"/>
        <w:spacing w:before="0" w:beforeAutospacing="0" w:after="0" w:afterAutospacing="0" w:line="480" w:lineRule="auto"/>
        <w:jc w:val="both"/>
        <w:rPr>
          <w:rStyle w:val="Strong"/>
          <w:b/>
          <w:bCs/>
          <w:sz w:val="24"/>
          <w:szCs w:val="24"/>
        </w:rPr>
      </w:pPr>
      <w:r w:rsidRPr="00687EE0">
        <w:rPr>
          <w:rStyle w:val="Strong"/>
          <w:b/>
          <w:bCs/>
          <w:sz w:val="24"/>
          <w:szCs w:val="24"/>
        </w:rPr>
        <w:t>Limitations</w:t>
      </w:r>
    </w:p>
    <w:p w14:paraId="5B5E9632" w14:textId="77777777" w:rsidR="00CF427A" w:rsidRDefault="00AE5382" w:rsidP="00AE5382">
      <w:pPr>
        <w:pStyle w:val="Heading3"/>
        <w:spacing w:before="0" w:beforeAutospacing="0" w:after="0" w:afterAutospacing="0" w:line="480" w:lineRule="auto"/>
        <w:jc w:val="both"/>
        <w:rPr>
          <w:b w:val="0"/>
          <w:sz w:val="24"/>
          <w:szCs w:val="24"/>
        </w:rPr>
      </w:pPr>
      <w:r w:rsidRPr="00687EE0">
        <w:rPr>
          <w:b w:val="0"/>
          <w:sz w:val="24"/>
          <w:szCs w:val="24"/>
        </w:rPr>
        <w:t>The cross-sectional design of this study limits causal inference between lifestyle factors and clinical outcomes. Reliance on self-reported data for diet, physical activity, alcohol intake, and sleep introduces potential recall and social desirability bias. Albuminuria was assessed using a single spot urine measurement rather than repeated testing, which may overestimate or underestimate its true prevalence. Furthermore, as a hospital-based study, the findings may not be generalizable to all individuals with T2DM in the community. Despite these limitations, the relatively large sample size and comprehensive evaluation of lifestyle and clinical factors strengthen the validity of the results and provide valuable insights for clinical practice and public health interventions in Nigeria.</w:t>
      </w:r>
    </w:p>
    <w:p w14:paraId="6F0D0A93" w14:textId="77777777" w:rsidR="00997E95" w:rsidRDefault="00997E95" w:rsidP="00AE5382">
      <w:pPr>
        <w:pStyle w:val="Heading3"/>
        <w:spacing w:before="0" w:beforeAutospacing="0" w:after="0" w:afterAutospacing="0" w:line="480" w:lineRule="auto"/>
        <w:jc w:val="both"/>
        <w:rPr>
          <w:sz w:val="24"/>
          <w:szCs w:val="24"/>
        </w:rPr>
      </w:pPr>
    </w:p>
    <w:p w14:paraId="263DB553" w14:textId="191C559C" w:rsidR="00730303" w:rsidRDefault="00730303" w:rsidP="00AE5382">
      <w:pPr>
        <w:pStyle w:val="Heading3"/>
        <w:spacing w:before="0" w:beforeAutospacing="0" w:after="0" w:afterAutospacing="0" w:line="480" w:lineRule="auto"/>
        <w:jc w:val="both"/>
        <w:rPr>
          <w:sz w:val="24"/>
          <w:szCs w:val="24"/>
        </w:rPr>
      </w:pPr>
      <w:bookmarkStart w:id="0" w:name="_GoBack"/>
      <w:bookmarkEnd w:id="0"/>
      <w:r>
        <w:rPr>
          <w:sz w:val="24"/>
          <w:szCs w:val="24"/>
        </w:rPr>
        <w:t>Statements and Declarations</w:t>
      </w:r>
    </w:p>
    <w:p w14:paraId="7106028A" w14:textId="0664C6D3" w:rsidR="00730303" w:rsidRDefault="00730303" w:rsidP="00AE5382">
      <w:pPr>
        <w:pStyle w:val="Heading3"/>
        <w:spacing w:before="0" w:beforeAutospacing="0" w:after="0" w:afterAutospacing="0" w:line="480" w:lineRule="auto"/>
        <w:jc w:val="both"/>
        <w:rPr>
          <w:sz w:val="24"/>
          <w:szCs w:val="24"/>
        </w:rPr>
      </w:pPr>
      <w:r>
        <w:rPr>
          <w:sz w:val="24"/>
          <w:szCs w:val="24"/>
        </w:rPr>
        <w:t>Ethical Considerations</w:t>
      </w:r>
    </w:p>
    <w:p w14:paraId="67548C7D" w14:textId="35E75AFD" w:rsidR="00A301D4" w:rsidRPr="00687EE0" w:rsidRDefault="00A301D4" w:rsidP="00A301D4">
      <w:pPr>
        <w:pStyle w:val="Heading3"/>
        <w:spacing w:before="0" w:beforeAutospacing="0" w:after="0" w:afterAutospacing="0" w:line="480" w:lineRule="auto"/>
        <w:jc w:val="both"/>
        <w:rPr>
          <w:b w:val="0"/>
          <w:color w:val="000000" w:themeColor="text1"/>
          <w:sz w:val="24"/>
          <w:szCs w:val="24"/>
        </w:rPr>
      </w:pPr>
      <w:r w:rsidRPr="00687EE0">
        <w:rPr>
          <w:b w:val="0"/>
          <w:color w:val="000000" w:themeColor="text1"/>
          <w:sz w:val="24"/>
          <w:szCs w:val="24"/>
        </w:rPr>
        <w:t xml:space="preserve">Ethical approval for this study was obtained from the Health Research Ethics Committees of Edo State University Teaching Hospital (EDSUTH/HREC/2025/002; approved 6 February 2025) and </w:t>
      </w:r>
      <w:proofErr w:type="spellStart"/>
      <w:r w:rsidRPr="00687EE0">
        <w:rPr>
          <w:b w:val="0"/>
          <w:color w:val="000000" w:themeColor="text1"/>
          <w:sz w:val="24"/>
          <w:szCs w:val="24"/>
        </w:rPr>
        <w:t>Irrua</w:t>
      </w:r>
      <w:proofErr w:type="spellEnd"/>
      <w:r w:rsidRPr="00687EE0">
        <w:rPr>
          <w:b w:val="0"/>
          <w:color w:val="000000" w:themeColor="text1"/>
          <w:sz w:val="24"/>
          <w:szCs w:val="24"/>
        </w:rPr>
        <w:t xml:space="preserve"> Specialist Teaching Hospital (ISTH/HREC/20250502/679; approved 28 March 2025). The research was conducted in accordance with the principles of the Declaration of Helsinki. </w:t>
      </w:r>
    </w:p>
    <w:p w14:paraId="73BF2113" w14:textId="0C6F8676" w:rsidR="00730303" w:rsidRDefault="00730303" w:rsidP="00AE5382">
      <w:pPr>
        <w:pStyle w:val="Heading3"/>
        <w:spacing w:before="0" w:beforeAutospacing="0" w:after="0" w:afterAutospacing="0" w:line="480" w:lineRule="auto"/>
        <w:jc w:val="both"/>
        <w:rPr>
          <w:sz w:val="24"/>
          <w:szCs w:val="24"/>
        </w:rPr>
      </w:pPr>
      <w:r>
        <w:rPr>
          <w:sz w:val="24"/>
          <w:szCs w:val="24"/>
        </w:rPr>
        <w:lastRenderedPageBreak/>
        <w:t>Consent to Participate</w:t>
      </w:r>
    </w:p>
    <w:p w14:paraId="079A79E0" w14:textId="4C42314F" w:rsidR="00A301D4" w:rsidRPr="00687EE0" w:rsidRDefault="00A301D4" w:rsidP="00A301D4">
      <w:pPr>
        <w:pStyle w:val="Heading3"/>
        <w:spacing w:before="0" w:beforeAutospacing="0" w:after="0" w:afterAutospacing="0" w:line="480" w:lineRule="auto"/>
        <w:jc w:val="both"/>
        <w:rPr>
          <w:b w:val="0"/>
          <w:color w:val="000000" w:themeColor="text1"/>
          <w:sz w:val="24"/>
          <w:szCs w:val="24"/>
        </w:rPr>
      </w:pPr>
      <w:r w:rsidRPr="00687EE0">
        <w:rPr>
          <w:b w:val="0"/>
          <w:color w:val="000000" w:themeColor="text1"/>
          <w:sz w:val="24"/>
          <w:szCs w:val="24"/>
        </w:rPr>
        <w:t>Written informed consent was obtained from all participants following a detailed explanation of the study objectives and procedures.</w:t>
      </w:r>
      <w:r w:rsidRPr="00A301D4">
        <w:rPr>
          <w:b w:val="0"/>
          <w:color w:val="000000" w:themeColor="text1"/>
          <w:sz w:val="24"/>
          <w:szCs w:val="24"/>
        </w:rPr>
        <w:t xml:space="preserve"> </w:t>
      </w:r>
      <w:r w:rsidRPr="00687EE0">
        <w:rPr>
          <w:b w:val="0"/>
          <w:color w:val="000000" w:themeColor="text1"/>
          <w:sz w:val="24"/>
          <w:szCs w:val="24"/>
        </w:rPr>
        <w:t>Participants were assured of confidentiality, informed of the study outcomes, and the findings will be disseminated through peer-reviewed scientific publications.</w:t>
      </w:r>
    </w:p>
    <w:p w14:paraId="7ECCA8AA" w14:textId="3BF4E7FF" w:rsidR="00730303" w:rsidRDefault="00730303" w:rsidP="00AE5382">
      <w:pPr>
        <w:pStyle w:val="Heading3"/>
        <w:spacing w:before="0" w:beforeAutospacing="0" w:after="0" w:afterAutospacing="0" w:line="480" w:lineRule="auto"/>
        <w:jc w:val="both"/>
        <w:rPr>
          <w:sz w:val="24"/>
          <w:szCs w:val="24"/>
        </w:rPr>
      </w:pPr>
      <w:r>
        <w:rPr>
          <w:sz w:val="24"/>
          <w:szCs w:val="24"/>
        </w:rPr>
        <w:t>Consent for Publication</w:t>
      </w:r>
    </w:p>
    <w:p w14:paraId="2A5FE585" w14:textId="4967F9C8" w:rsidR="00730303" w:rsidRDefault="00730303" w:rsidP="00AE5382">
      <w:pPr>
        <w:pStyle w:val="Heading3"/>
        <w:spacing w:before="0" w:beforeAutospacing="0" w:after="0" w:afterAutospacing="0" w:line="480" w:lineRule="auto"/>
        <w:jc w:val="both"/>
        <w:rPr>
          <w:b w:val="0"/>
          <w:sz w:val="24"/>
          <w:szCs w:val="24"/>
        </w:rPr>
      </w:pPr>
      <w:r>
        <w:rPr>
          <w:b w:val="0"/>
          <w:sz w:val="24"/>
          <w:szCs w:val="24"/>
        </w:rPr>
        <w:t>Not Applicable</w:t>
      </w:r>
    </w:p>
    <w:p w14:paraId="03D62577" w14:textId="2BAA3DFD" w:rsidR="00730303" w:rsidRPr="00730303" w:rsidRDefault="00730303" w:rsidP="00730303">
      <w:pPr>
        <w:pStyle w:val="Heading3"/>
        <w:spacing w:before="0" w:beforeAutospacing="0" w:after="0" w:afterAutospacing="0" w:line="480" w:lineRule="auto"/>
        <w:jc w:val="both"/>
        <w:rPr>
          <w:sz w:val="24"/>
          <w:szCs w:val="24"/>
        </w:rPr>
      </w:pPr>
      <w:r w:rsidRPr="00730303">
        <w:rPr>
          <w:sz w:val="24"/>
          <w:szCs w:val="24"/>
        </w:rPr>
        <w:t>Declaration of Conflict of Interest</w:t>
      </w:r>
    </w:p>
    <w:p w14:paraId="4E9CFD04" w14:textId="6E9FAEBB" w:rsidR="00730303" w:rsidRPr="00730303" w:rsidRDefault="00730303" w:rsidP="00730303">
      <w:pPr>
        <w:spacing w:line="48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The authors</w:t>
      </w:r>
      <w:r w:rsidRPr="00730303">
        <w:rPr>
          <w:rFonts w:ascii="Times New Roman" w:hAnsi="Times New Roman" w:cs="Times New Roman"/>
          <w:sz w:val="24"/>
          <w:szCs w:val="24"/>
          <w:shd w:val="clear" w:color="auto" w:fill="FFFFFF"/>
        </w:rPr>
        <w:t xml:space="preserve"> declared no potential conflicts of interest with respect to the research, authorship, and/or publication of this article</w:t>
      </w:r>
      <w:r>
        <w:rPr>
          <w:rFonts w:ascii="Times New Roman" w:hAnsi="Times New Roman" w:cs="Times New Roman"/>
          <w:sz w:val="24"/>
          <w:szCs w:val="24"/>
          <w:shd w:val="clear" w:color="auto" w:fill="FFFFFF"/>
        </w:rPr>
        <w:t>.</w:t>
      </w:r>
      <w:r w:rsidRPr="00730303">
        <w:rPr>
          <w:rFonts w:ascii="Times New Roman" w:hAnsi="Times New Roman" w:cs="Times New Roman"/>
          <w:b/>
          <w:sz w:val="24"/>
          <w:szCs w:val="24"/>
        </w:rPr>
        <w:t xml:space="preserve"> </w:t>
      </w:r>
    </w:p>
    <w:p w14:paraId="1314B8C0" w14:textId="044F59AC" w:rsidR="00A301D4" w:rsidRDefault="00A301D4" w:rsidP="00CF427A">
      <w:pPr>
        <w:rPr>
          <w:rFonts w:ascii="Times New Roman" w:hAnsi="Times New Roman" w:cs="Times New Roman"/>
          <w:b/>
          <w:sz w:val="24"/>
          <w:szCs w:val="24"/>
        </w:rPr>
      </w:pPr>
      <w:r>
        <w:rPr>
          <w:rFonts w:ascii="Times New Roman" w:hAnsi="Times New Roman" w:cs="Times New Roman"/>
          <w:b/>
          <w:sz w:val="24"/>
          <w:szCs w:val="24"/>
        </w:rPr>
        <w:t>Data Availability</w:t>
      </w:r>
    </w:p>
    <w:p w14:paraId="6A0CB381" w14:textId="687CB9A0" w:rsidR="00A301D4" w:rsidRPr="00A301D4" w:rsidRDefault="00A301D4" w:rsidP="00CF427A">
      <w:pPr>
        <w:rPr>
          <w:rFonts w:ascii="Times New Roman" w:hAnsi="Times New Roman" w:cs="Times New Roman"/>
          <w:sz w:val="24"/>
          <w:szCs w:val="24"/>
        </w:rPr>
      </w:pPr>
      <w:r>
        <w:rPr>
          <w:rFonts w:ascii="Times New Roman" w:hAnsi="Times New Roman" w:cs="Times New Roman"/>
          <w:sz w:val="24"/>
          <w:szCs w:val="24"/>
        </w:rPr>
        <w:t>All data used for the study are included in the manuscript.</w:t>
      </w:r>
    </w:p>
    <w:p w14:paraId="56B4D314" w14:textId="77A36D73" w:rsidR="00CF427A" w:rsidRPr="00687EE0" w:rsidRDefault="00CF427A" w:rsidP="00CF427A">
      <w:pPr>
        <w:rPr>
          <w:rFonts w:ascii="Times New Roman" w:hAnsi="Times New Roman" w:cs="Times New Roman"/>
          <w:b/>
          <w:sz w:val="24"/>
          <w:szCs w:val="24"/>
        </w:rPr>
      </w:pPr>
      <w:r w:rsidRPr="00687EE0">
        <w:rPr>
          <w:rFonts w:ascii="Times New Roman" w:hAnsi="Times New Roman" w:cs="Times New Roman"/>
          <w:b/>
          <w:sz w:val="24"/>
          <w:szCs w:val="24"/>
        </w:rPr>
        <w:t>References</w:t>
      </w:r>
    </w:p>
    <w:p w14:paraId="72129B13"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 xml:space="preserve">1. </w:t>
      </w:r>
      <w:r w:rsidRPr="00687EE0">
        <w:rPr>
          <w:rFonts w:ascii="Times New Roman" w:hAnsi="Times New Roman" w:cs="Times New Roman"/>
          <w:noProof/>
          <w:sz w:val="24"/>
          <w:szCs w:val="24"/>
        </w:rPr>
        <w:t>Jiang S, Young JL, Wang K, Qian Y, Cai L. Diabetic-induced alterations in hepatic glucose and lipid metabolism: The role of type 1 and type 2 diabetes mellitus. Mol Med Rep. 2020;22(2):603–11.</w:t>
      </w:r>
    </w:p>
    <w:p w14:paraId="4ED42EEC" w14:textId="77777777" w:rsidR="00CF427A" w:rsidRPr="00687EE0" w:rsidRDefault="00CF427A" w:rsidP="00CF427A">
      <w:pPr>
        <w:spacing w:before="214" w:after="0" w:line="480" w:lineRule="auto"/>
        <w:ind w:left="660" w:right="400" w:hanging="620"/>
        <w:jc w:val="both"/>
        <w:rPr>
          <w:rFonts w:ascii="Times New Roman" w:hAnsi="Times New Roman" w:cs="Times New Roman"/>
          <w:color w:val="000000"/>
          <w:sz w:val="24"/>
          <w:szCs w:val="24"/>
        </w:rPr>
      </w:pPr>
      <w:r w:rsidRPr="00687EE0">
        <w:rPr>
          <w:rFonts w:ascii="Times New Roman" w:eastAsia="Calibri" w:hAnsi="Times New Roman" w:cs="Times New Roman"/>
          <w:color w:val="000000"/>
          <w:sz w:val="24"/>
          <w:szCs w:val="24"/>
        </w:rPr>
        <w:t xml:space="preserve">2. </w:t>
      </w:r>
      <w:proofErr w:type="spellStart"/>
      <w:r w:rsidRPr="00687EE0">
        <w:rPr>
          <w:rFonts w:ascii="Times New Roman" w:eastAsia="Calibri" w:hAnsi="Times New Roman" w:cs="Times New Roman"/>
          <w:color w:val="000000"/>
          <w:sz w:val="24"/>
          <w:szCs w:val="24"/>
        </w:rPr>
        <w:t>Standl</w:t>
      </w:r>
      <w:proofErr w:type="spellEnd"/>
      <w:r w:rsidRPr="00687EE0">
        <w:rPr>
          <w:rFonts w:ascii="Times New Roman" w:eastAsia="Calibri" w:hAnsi="Times New Roman" w:cs="Times New Roman"/>
          <w:color w:val="000000"/>
          <w:sz w:val="24"/>
          <w:szCs w:val="24"/>
        </w:rPr>
        <w:t xml:space="preserve"> E, </w:t>
      </w:r>
      <w:proofErr w:type="spellStart"/>
      <w:r w:rsidRPr="00687EE0">
        <w:rPr>
          <w:rFonts w:ascii="Times New Roman" w:eastAsia="Calibri" w:hAnsi="Times New Roman" w:cs="Times New Roman"/>
          <w:color w:val="000000"/>
          <w:sz w:val="24"/>
          <w:szCs w:val="24"/>
        </w:rPr>
        <w:t>Khunti</w:t>
      </w:r>
      <w:proofErr w:type="spellEnd"/>
      <w:r w:rsidRPr="00687EE0">
        <w:rPr>
          <w:rFonts w:ascii="Times New Roman" w:eastAsia="Calibri" w:hAnsi="Times New Roman" w:cs="Times New Roman"/>
          <w:color w:val="000000"/>
          <w:sz w:val="24"/>
          <w:szCs w:val="24"/>
        </w:rPr>
        <w:t xml:space="preserve"> K, Hansen TB, Schnell O. The global epidemics of diabetes in the 21st century: Current situation and perspectives. Eur J </w:t>
      </w:r>
      <w:proofErr w:type="spellStart"/>
      <w:r w:rsidRPr="00687EE0">
        <w:rPr>
          <w:rFonts w:ascii="Times New Roman" w:eastAsia="Calibri" w:hAnsi="Times New Roman" w:cs="Times New Roman"/>
          <w:color w:val="000000"/>
          <w:sz w:val="24"/>
          <w:szCs w:val="24"/>
        </w:rPr>
        <w:t>Prev</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Cardiol</w:t>
      </w:r>
      <w:proofErr w:type="spellEnd"/>
      <w:r w:rsidRPr="00687EE0">
        <w:rPr>
          <w:rFonts w:ascii="Times New Roman" w:eastAsia="Calibri" w:hAnsi="Times New Roman" w:cs="Times New Roman"/>
          <w:color w:val="000000"/>
          <w:sz w:val="24"/>
          <w:szCs w:val="24"/>
        </w:rPr>
        <w:t>. 2019;26(</w:t>
      </w:r>
      <w:proofErr w:type="gramStart"/>
      <w:r w:rsidRPr="00687EE0">
        <w:rPr>
          <w:rFonts w:ascii="Times New Roman" w:eastAsia="Calibri" w:hAnsi="Times New Roman" w:cs="Times New Roman"/>
          <w:color w:val="000000"/>
          <w:sz w:val="24"/>
          <w:szCs w:val="24"/>
        </w:rPr>
        <w:t>2</w:t>
      </w:r>
      <w:r w:rsidRPr="00687EE0">
        <w:rPr>
          <w:rFonts w:ascii="Times New Roman" w:eastAsia="Calibri" w:hAnsi="Times New Roman" w:cs="Times New Roman"/>
          <w:color w:val="000000"/>
          <w:sz w:val="24"/>
          <w:szCs w:val="24"/>
          <w:u w:val="single"/>
        </w:rPr>
        <w:t xml:space="preserve">  </w:t>
      </w:r>
      <w:r w:rsidRPr="00687EE0">
        <w:rPr>
          <w:rFonts w:ascii="Times New Roman" w:eastAsia="Calibri" w:hAnsi="Times New Roman" w:cs="Times New Roman"/>
          <w:color w:val="000000"/>
          <w:sz w:val="24"/>
          <w:szCs w:val="24"/>
        </w:rPr>
        <w:t>suppl</w:t>
      </w:r>
      <w:proofErr w:type="gramEnd"/>
      <w:r w:rsidRPr="00687EE0">
        <w:rPr>
          <w:rFonts w:ascii="Times New Roman" w:eastAsia="Calibri" w:hAnsi="Times New Roman" w:cs="Times New Roman"/>
          <w:color w:val="000000"/>
          <w:sz w:val="24"/>
          <w:szCs w:val="24"/>
        </w:rPr>
        <w:t>):7-14.</w:t>
      </w:r>
    </w:p>
    <w:p w14:paraId="3D18F9B6" w14:textId="77777777" w:rsidR="00CF427A" w:rsidRPr="00687EE0" w:rsidRDefault="00CF427A" w:rsidP="00CF427A">
      <w:pPr>
        <w:spacing w:before="214" w:after="0" w:line="480" w:lineRule="auto"/>
        <w:ind w:left="660" w:right="400" w:hanging="62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3. Sun </w:t>
      </w:r>
      <w:proofErr w:type="spellStart"/>
      <w:proofErr w:type="gramStart"/>
      <w:r w:rsidRPr="00687EE0">
        <w:rPr>
          <w:rFonts w:ascii="Times New Roman" w:eastAsia="Calibri" w:hAnsi="Times New Roman" w:cs="Times New Roman"/>
          <w:color w:val="000000"/>
          <w:sz w:val="24"/>
          <w:szCs w:val="24"/>
        </w:rPr>
        <w:t>H,Saeedi</w:t>
      </w:r>
      <w:proofErr w:type="spellEnd"/>
      <w:proofErr w:type="gramEnd"/>
      <w:r w:rsidRPr="00687EE0">
        <w:rPr>
          <w:rFonts w:ascii="Times New Roman" w:eastAsia="Calibri" w:hAnsi="Times New Roman" w:cs="Times New Roman"/>
          <w:color w:val="000000"/>
          <w:sz w:val="24"/>
          <w:szCs w:val="24"/>
        </w:rPr>
        <w:t xml:space="preserve"> P, </w:t>
      </w:r>
      <w:proofErr w:type="spellStart"/>
      <w:r w:rsidRPr="00687EE0">
        <w:rPr>
          <w:rFonts w:ascii="Times New Roman" w:eastAsia="Calibri" w:hAnsi="Times New Roman" w:cs="Times New Roman"/>
          <w:color w:val="000000"/>
          <w:sz w:val="24"/>
          <w:szCs w:val="24"/>
        </w:rPr>
        <w:t>Karuranga</w:t>
      </w:r>
      <w:proofErr w:type="spellEnd"/>
      <w:r w:rsidRPr="00687EE0">
        <w:rPr>
          <w:rFonts w:ascii="Times New Roman" w:eastAsia="Calibri" w:hAnsi="Times New Roman" w:cs="Times New Roman"/>
          <w:color w:val="000000"/>
          <w:sz w:val="24"/>
          <w:szCs w:val="24"/>
        </w:rPr>
        <w:t xml:space="preserve"> S, </w:t>
      </w:r>
      <w:proofErr w:type="spellStart"/>
      <w:r w:rsidRPr="00687EE0">
        <w:rPr>
          <w:rFonts w:ascii="Times New Roman" w:eastAsia="Calibri" w:hAnsi="Times New Roman" w:cs="Times New Roman"/>
          <w:color w:val="000000"/>
          <w:sz w:val="24"/>
          <w:szCs w:val="24"/>
        </w:rPr>
        <w:t>Pinkepank</w:t>
      </w:r>
      <w:proofErr w:type="spellEnd"/>
      <w:r w:rsidRPr="00687EE0">
        <w:rPr>
          <w:rFonts w:ascii="Times New Roman" w:eastAsia="Calibri" w:hAnsi="Times New Roman" w:cs="Times New Roman"/>
          <w:color w:val="000000"/>
          <w:sz w:val="24"/>
          <w:szCs w:val="24"/>
        </w:rPr>
        <w:t xml:space="preserve"> M, </w:t>
      </w:r>
      <w:proofErr w:type="spellStart"/>
      <w:r w:rsidRPr="00687EE0">
        <w:rPr>
          <w:rFonts w:ascii="Times New Roman" w:eastAsia="Calibri" w:hAnsi="Times New Roman" w:cs="Times New Roman"/>
          <w:color w:val="000000"/>
          <w:sz w:val="24"/>
          <w:szCs w:val="24"/>
        </w:rPr>
        <w:t>Ogurtsova</w:t>
      </w:r>
      <w:proofErr w:type="spellEnd"/>
      <w:r w:rsidRPr="00687EE0">
        <w:rPr>
          <w:rFonts w:ascii="Times New Roman" w:eastAsia="Calibri" w:hAnsi="Times New Roman" w:cs="Times New Roman"/>
          <w:color w:val="000000"/>
          <w:sz w:val="24"/>
          <w:szCs w:val="24"/>
        </w:rPr>
        <w:t xml:space="preserve"> K, Duncan BB, et al. IDF Diabetes Atlas: Global, regional and country-level diabetes prevalence estimates for 2021 and projections for 2045. Diabetes Res Clin </w:t>
      </w:r>
      <w:proofErr w:type="spellStart"/>
      <w:r w:rsidRPr="00687EE0">
        <w:rPr>
          <w:rFonts w:ascii="Times New Roman" w:eastAsia="Calibri" w:hAnsi="Times New Roman" w:cs="Times New Roman"/>
          <w:color w:val="000000"/>
          <w:sz w:val="24"/>
          <w:szCs w:val="24"/>
        </w:rPr>
        <w:t>Pract</w:t>
      </w:r>
      <w:proofErr w:type="spellEnd"/>
      <w:r w:rsidRPr="00687EE0">
        <w:rPr>
          <w:rFonts w:ascii="Times New Roman" w:eastAsia="Calibri" w:hAnsi="Times New Roman" w:cs="Times New Roman"/>
          <w:color w:val="000000"/>
          <w:sz w:val="24"/>
          <w:szCs w:val="24"/>
        </w:rPr>
        <w:t xml:space="preserve">. 2022 </w:t>
      </w:r>
      <w:proofErr w:type="gramStart"/>
      <w:r w:rsidRPr="00687EE0">
        <w:rPr>
          <w:rFonts w:ascii="Times New Roman" w:eastAsia="Calibri" w:hAnsi="Times New Roman" w:cs="Times New Roman"/>
          <w:color w:val="000000"/>
          <w:sz w:val="24"/>
          <w:szCs w:val="24"/>
        </w:rPr>
        <w:t>Jan;183:109119</w:t>
      </w:r>
      <w:proofErr w:type="gramEnd"/>
      <w:r w:rsidRPr="00687EE0">
        <w:rPr>
          <w:rFonts w:ascii="Times New Roman" w:eastAsia="Calibri" w:hAnsi="Times New Roman" w:cs="Times New Roman"/>
          <w:color w:val="000000"/>
          <w:sz w:val="24"/>
          <w:szCs w:val="24"/>
        </w:rPr>
        <w:t>.</w:t>
      </w:r>
    </w:p>
    <w:p w14:paraId="02309D21" w14:textId="77777777" w:rsidR="00CF427A" w:rsidRPr="00687EE0" w:rsidRDefault="00CF427A" w:rsidP="00CF427A">
      <w:pPr>
        <w:spacing w:before="182" w:after="0" w:line="480" w:lineRule="auto"/>
        <w:ind w:left="640" w:right="460" w:hanging="620"/>
        <w:jc w:val="both"/>
        <w:rPr>
          <w:rFonts w:ascii="Times New Roman" w:hAnsi="Times New Roman" w:cs="Times New Roman"/>
          <w:color w:val="000000"/>
          <w:sz w:val="24"/>
          <w:szCs w:val="24"/>
        </w:rPr>
      </w:pPr>
      <w:r w:rsidRPr="00687EE0">
        <w:rPr>
          <w:rFonts w:ascii="Times New Roman" w:eastAsia="Calibri" w:hAnsi="Times New Roman" w:cs="Times New Roman"/>
          <w:color w:val="000000"/>
          <w:sz w:val="24"/>
          <w:szCs w:val="24"/>
        </w:rPr>
        <w:lastRenderedPageBreak/>
        <w:t xml:space="preserve">4. </w:t>
      </w:r>
      <w:proofErr w:type="spellStart"/>
      <w:r w:rsidRPr="00687EE0">
        <w:rPr>
          <w:rFonts w:ascii="Times New Roman" w:eastAsia="Calibri" w:hAnsi="Times New Roman" w:cs="Times New Roman"/>
          <w:color w:val="000000"/>
          <w:sz w:val="24"/>
          <w:szCs w:val="24"/>
        </w:rPr>
        <w:t>Bobga</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Billa</w:t>
      </w:r>
      <w:proofErr w:type="spellEnd"/>
      <w:r w:rsidRPr="00687EE0">
        <w:rPr>
          <w:rFonts w:ascii="Times New Roman" w:eastAsia="Calibri" w:hAnsi="Times New Roman" w:cs="Times New Roman"/>
          <w:color w:val="000000"/>
          <w:sz w:val="24"/>
          <w:szCs w:val="24"/>
        </w:rPr>
        <w:t xml:space="preserve"> JK. Challenges and opportunities in managing Type 2 Diabetes Mellitus in Sub-Saharan Africa: the cases of Nigeria and South </w:t>
      </w:r>
      <w:proofErr w:type="spellStart"/>
      <w:r w:rsidRPr="00687EE0">
        <w:rPr>
          <w:rFonts w:ascii="Times New Roman" w:eastAsia="Calibri" w:hAnsi="Times New Roman" w:cs="Times New Roman"/>
          <w:color w:val="000000"/>
          <w:sz w:val="24"/>
          <w:szCs w:val="24"/>
        </w:rPr>
        <w:t>Africa.Hochschule</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für</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Angewandte</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Wissenschaften</w:t>
      </w:r>
      <w:proofErr w:type="spellEnd"/>
      <w:r w:rsidRPr="00687EE0">
        <w:rPr>
          <w:rFonts w:ascii="Times New Roman" w:eastAsia="Calibri" w:hAnsi="Times New Roman" w:cs="Times New Roman"/>
          <w:color w:val="000000"/>
          <w:sz w:val="24"/>
          <w:szCs w:val="24"/>
        </w:rPr>
        <w:t xml:space="preserve"> Hamburg; 2023.</w:t>
      </w:r>
    </w:p>
    <w:p w14:paraId="1E089E95"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5.</w:t>
      </w:r>
      <w:r w:rsidRPr="00687EE0">
        <w:rPr>
          <w:rFonts w:ascii="Times New Roman" w:hAnsi="Times New Roman" w:cs="Times New Roman"/>
          <w:noProof/>
          <w:sz w:val="24"/>
          <w:szCs w:val="24"/>
        </w:rPr>
        <w:t xml:space="preserve"> Atun R, Davies JI, Gale EAM, Bärnighausen T, Beran D, Kengne AP, et al. Diabetes in sub-Saharan Africa: from clinical care to health policy. lancet Diabetes Endocrinol. 2017;5(8):622–67. </w:t>
      </w:r>
    </w:p>
    <w:p w14:paraId="4BB87852"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6.</w:t>
      </w:r>
      <w:r w:rsidRPr="00687EE0">
        <w:rPr>
          <w:rFonts w:ascii="Times New Roman" w:hAnsi="Times New Roman" w:cs="Times New Roman"/>
          <w:noProof/>
          <w:sz w:val="24"/>
          <w:szCs w:val="24"/>
        </w:rPr>
        <w:t xml:space="preserve"> Mirzaei M, Rahmaninan M, Mirzaei M, Nadjarzadeh A, Dehghani Tafti AA. Epidemiology of diabetes mellitus, pre-diabetes, undiagnosed and uncontrolled  diabetes in Central Iran: results from Yazd health study. BMC Public Health. 2020 Feb;20(1):166. </w:t>
      </w:r>
    </w:p>
    <w:p w14:paraId="7EECC97C"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7.</w:t>
      </w:r>
      <w:r w:rsidRPr="00687EE0">
        <w:rPr>
          <w:rFonts w:ascii="Times New Roman" w:hAnsi="Times New Roman" w:cs="Times New Roman"/>
          <w:noProof/>
          <w:sz w:val="24"/>
          <w:szCs w:val="24"/>
        </w:rPr>
        <w:t xml:space="preserve"> Ong KL, Stafford LK, McLaughlin SA, Boyko EJ, Vollset SE, Smith AE, et al. Global, regional, and national burden of diabetes from 1990 to 2021, with projections of prevalence to 2050: a systematic analysis for the Global Burden of Disease Study 2021. Lancet [Internet]. 2023 Jul 15;402(10397):203–34. Available from: https://doi.org/10.1016/S0140-6736(23)01301-6 </w:t>
      </w:r>
    </w:p>
    <w:p w14:paraId="5CFAA93C" w14:textId="77777777" w:rsidR="00CF427A" w:rsidRPr="00687EE0" w:rsidRDefault="00CF427A" w:rsidP="00CF427A">
      <w:pPr>
        <w:spacing w:before="190" w:after="0" w:line="480" w:lineRule="auto"/>
        <w:ind w:left="660" w:right="20" w:hanging="62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8. Hu </w:t>
      </w:r>
      <w:proofErr w:type="spellStart"/>
      <w:proofErr w:type="gramStart"/>
      <w:r w:rsidRPr="00687EE0">
        <w:rPr>
          <w:rFonts w:ascii="Times New Roman" w:eastAsia="Calibri" w:hAnsi="Times New Roman" w:cs="Times New Roman"/>
          <w:color w:val="000000"/>
          <w:sz w:val="24"/>
          <w:szCs w:val="24"/>
        </w:rPr>
        <w:t>F,Zhang</w:t>
      </w:r>
      <w:proofErr w:type="spellEnd"/>
      <w:proofErr w:type="gramEnd"/>
      <w:r w:rsidRPr="00687EE0">
        <w:rPr>
          <w:rFonts w:ascii="Times New Roman" w:eastAsia="Calibri" w:hAnsi="Times New Roman" w:cs="Times New Roman"/>
          <w:color w:val="000000"/>
          <w:sz w:val="24"/>
          <w:szCs w:val="24"/>
        </w:rPr>
        <w:t xml:space="preserve"> T. Study on risk factors of diabetic nephropathy in obese patients with type 2diabetes mellitus. Int J Gen Med. 2020;351-60.</w:t>
      </w:r>
    </w:p>
    <w:p w14:paraId="173B4122" w14:textId="77777777" w:rsidR="00CF427A" w:rsidRPr="00687EE0" w:rsidRDefault="00CF427A" w:rsidP="00CF427A">
      <w:pPr>
        <w:spacing w:before="221" w:after="0" w:line="480" w:lineRule="auto"/>
        <w:ind w:left="680" w:right="320" w:hanging="64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9. </w:t>
      </w:r>
      <w:proofErr w:type="spellStart"/>
      <w:r w:rsidRPr="00687EE0">
        <w:rPr>
          <w:rFonts w:ascii="Times New Roman" w:eastAsia="Calibri" w:hAnsi="Times New Roman" w:cs="Times New Roman"/>
          <w:color w:val="000000"/>
          <w:sz w:val="24"/>
          <w:szCs w:val="24"/>
        </w:rPr>
        <w:t>Samsu</w:t>
      </w:r>
      <w:proofErr w:type="spellEnd"/>
      <w:r w:rsidRPr="00687EE0">
        <w:rPr>
          <w:rFonts w:ascii="Times New Roman" w:eastAsia="Calibri" w:hAnsi="Times New Roman" w:cs="Times New Roman"/>
          <w:color w:val="000000"/>
          <w:sz w:val="24"/>
          <w:szCs w:val="24"/>
        </w:rPr>
        <w:t xml:space="preserve"> N. Diabetic nephropathy: challenges in pathogenesis, diagnosis, and </w:t>
      </w:r>
      <w:proofErr w:type="spellStart"/>
      <w:proofErr w:type="gramStart"/>
      <w:r w:rsidRPr="00687EE0">
        <w:rPr>
          <w:rFonts w:ascii="Times New Roman" w:eastAsia="Calibri" w:hAnsi="Times New Roman" w:cs="Times New Roman"/>
          <w:color w:val="000000"/>
          <w:sz w:val="24"/>
          <w:szCs w:val="24"/>
        </w:rPr>
        <w:t>treatment.Biomed</w:t>
      </w:r>
      <w:proofErr w:type="spellEnd"/>
      <w:proofErr w:type="gramEnd"/>
      <w:r w:rsidRPr="00687EE0">
        <w:rPr>
          <w:rFonts w:ascii="Times New Roman" w:eastAsia="Calibri" w:hAnsi="Times New Roman" w:cs="Times New Roman"/>
          <w:color w:val="000000"/>
          <w:sz w:val="24"/>
          <w:szCs w:val="24"/>
        </w:rPr>
        <w:t xml:space="preserve"> Res Int. 2021;2021(1):1497449.</w:t>
      </w:r>
    </w:p>
    <w:p w14:paraId="573E8320" w14:textId="77777777" w:rsidR="00CF427A" w:rsidRPr="00687EE0" w:rsidRDefault="00CF427A" w:rsidP="00CF427A">
      <w:pPr>
        <w:spacing w:before="207" w:after="0" w:line="480" w:lineRule="auto"/>
        <w:ind w:left="660" w:right="180" w:hanging="64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10. </w:t>
      </w:r>
      <w:proofErr w:type="spellStart"/>
      <w:r w:rsidRPr="00687EE0">
        <w:rPr>
          <w:rFonts w:ascii="Times New Roman" w:eastAsia="Calibri" w:hAnsi="Times New Roman" w:cs="Times New Roman"/>
          <w:color w:val="000000"/>
          <w:sz w:val="24"/>
          <w:szCs w:val="24"/>
        </w:rPr>
        <w:t>Gembillo</w:t>
      </w:r>
      <w:proofErr w:type="spellEnd"/>
      <w:r w:rsidRPr="00687EE0">
        <w:rPr>
          <w:rFonts w:ascii="Times New Roman" w:eastAsia="Calibri" w:hAnsi="Times New Roman" w:cs="Times New Roman"/>
          <w:color w:val="000000"/>
          <w:sz w:val="24"/>
          <w:szCs w:val="24"/>
        </w:rPr>
        <w:t xml:space="preserve"> G, </w:t>
      </w:r>
      <w:proofErr w:type="spellStart"/>
      <w:r w:rsidRPr="00687EE0">
        <w:rPr>
          <w:rFonts w:ascii="Times New Roman" w:eastAsia="Calibri" w:hAnsi="Times New Roman" w:cs="Times New Roman"/>
          <w:color w:val="000000"/>
          <w:sz w:val="24"/>
          <w:szCs w:val="24"/>
        </w:rPr>
        <w:t>Ingrasciotta</w:t>
      </w:r>
      <w:proofErr w:type="spellEnd"/>
      <w:r w:rsidRPr="00687EE0">
        <w:rPr>
          <w:rFonts w:ascii="Times New Roman" w:eastAsia="Calibri" w:hAnsi="Times New Roman" w:cs="Times New Roman"/>
          <w:color w:val="000000"/>
          <w:sz w:val="24"/>
          <w:szCs w:val="24"/>
        </w:rPr>
        <w:t xml:space="preserve"> Y, </w:t>
      </w:r>
      <w:proofErr w:type="spellStart"/>
      <w:r w:rsidRPr="00687EE0">
        <w:rPr>
          <w:rFonts w:ascii="Times New Roman" w:eastAsia="Calibri" w:hAnsi="Times New Roman" w:cs="Times New Roman"/>
          <w:color w:val="000000"/>
          <w:sz w:val="24"/>
          <w:szCs w:val="24"/>
        </w:rPr>
        <w:t>Crisafulli</w:t>
      </w:r>
      <w:proofErr w:type="spellEnd"/>
      <w:r w:rsidRPr="00687EE0">
        <w:rPr>
          <w:rFonts w:ascii="Times New Roman" w:eastAsia="Calibri" w:hAnsi="Times New Roman" w:cs="Times New Roman"/>
          <w:color w:val="000000"/>
          <w:sz w:val="24"/>
          <w:szCs w:val="24"/>
        </w:rPr>
        <w:t xml:space="preserve"> S, </w:t>
      </w:r>
      <w:proofErr w:type="spellStart"/>
      <w:r w:rsidRPr="00687EE0">
        <w:rPr>
          <w:rFonts w:ascii="Times New Roman" w:eastAsia="Calibri" w:hAnsi="Times New Roman" w:cs="Times New Roman"/>
          <w:color w:val="000000"/>
          <w:sz w:val="24"/>
          <w:szCs w:val="24"/>
        </w:rPr>
        <w:t>Luxi</w:t>
      </w:r>
      <w:proofErr w:type="spellEnd"/>
      <w:r w:rsidRPr="00687EE0">
        <w:rPr>
          <w:rFonts w:ascii="Times New Roman" w:eastAsia="Calibri" w:hAnsi="Times New Roman" w:cs="Times New Roman"/>
          <w:color w:val="000000"/>
          <w:sz w:val="24"/>
          <w:szCs w:val="24"/>
        </w:rPr>
        <w:t xml:space="preserve"> N, </w:t>
      </w:r>
      <w:proofErr w:type="spellStart"/>
      <w:r w:rsidRPr="00687EE0">
        <w:rPr>
          <w:rFonts w:ascii="Times New Roman" w:eastAsia="Calibri" w:hAnsi="Times New Roman" w:cs="Times New Roman"/>
          <w:color w:val="000000"/>
          <w:sz w:val="24"/>
          <w:szCs w:val="24"/>
        </w:rPr>
        <w:t>Siligato</w:t>
      </w:r>
      <w:proofErr w:type="spellEnd"/>
      <w:r w:rsidRPr="00687EE0">
        <w:rPr>
          <w:rFonts w:ascii="Times New Roman" w:eastAsia="Calibri" w:hAnsi="Times New Roman" w:cs="Times New Roman"/>
          <w:color w:val="000000"/>
          <w:sz w:val="24"/>
          <w:szCs w:val="24"/>
        </w:rPr>
        <w:t xml:space="preserve"> R, Santoro D, et al. Kidney disease in diabetic patients: from pathophysiology to pharmacological aspects with a focus on therapeutic inertia. Int J Mol Sci. 2021;22(9):4824.</w:t>
      </w:r>
    </w:p>
    <w:p w14:paraId="1439514C" w14:textId="77777777" w:rsidR="00CF427A" w:rsidRPr="00687EE0" w:rsidRDefault="00CF427A" w:rsidP="00CF427A">
      <w:pPr>
        <w:spacing w:before="187" w:after="0" w:line="480" w:lineRule="auto"/>
        <w:ind w:left="640" w:right="620" w:hanging="62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lastRenderedPageBreak/>
        <w:t xml:space="preserve">11. </w:t>
      </w:r>
      <w:proofErr w:type="spellStart"/>
      <w:r w:rsidRPr="00687EE0">
        <w:rPr>
          <w:rFonts w:ascii="Times New Roman" w:eastAsia="Calibri" w:hAnsi="Times New Roman" w:cs="Times New Roman"/>
          <w:color w:val="000000"/>
          <w:sz w:val="24"/>
          <w:szCs w:val="24"/>
        </w:rPr>
        <w:t>Handelsman</w:t>
      </w:r>
      <w:proofErr w:type="spellEnd"/>
      <w:r w:rsidRPr="00687EE0">
        <w:rPr>
          <w:rFonts w:ascii="Times New Roman" w:eastAsia="Calibri" w:hAnsi="Times New Roman" w:cs="Times New Roman"/>
          <w:color w:val="000000"/>
          <w:sz w:val="24"/>
          <w:szCs w:val="24"/>
        </w:rPr>
        <w:t xml:space="preserve"> </w:t>
      </w:r>
      <w:proofErr w:type="spellStart"/>
      <w:proofErr w:type="gramStart"/>
      <w:r w:rsidRPr="00687EE0">
        <w:rPr>
          <w:rFonts w:ascii="Times New Roman" w:eastAsia="Calibri" w:hAnsi="Times New Roman" w:cs="Times New Roman"/>
          <w:color w:val="000000"/>
          <w:sz w:val="24"/>
          <w:szCs w:val="24"/>
        </w:rPr>
        <w:t>Y,Butler</w:t>
      </w:r>
      <w:proofErr w:type="spellEnd"/>
      <w:proofErr w:type="gram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J,Bakris</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GL,DeFronzo</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RA,Fonarow</w:t>
      </w:r>
      <w:proofErr w:type="spellEnd"/>
      <w:r w:rsidRPr="00687EE0">
        <w:rPr>
          <w:rFonts w:ascii="Times New Roman" w:eastAsia="Calibri" w:hAnsi="Times New Roman" w:cs="Times New Roman"/>
          <w:color w:val="000000"/>
          <w:sz w:val="24"/>
          <w:szCs w:val="24"/>
        </w:rPr>
        <w:t xml:space="preserve"> GC, Green JB, et al. Early intervention and intensive management of patients with diabetes, </w:t>
      </w:r>
      <w:proofErr w:type="spellStart"/>
      <w:proofErr w:type="gramStart"/>
      <w:r w:rsidRPr="00687EE0">
        <w:rPr>
          <w:rFonts w:ascii="Times New Roman" w:eastAsia="Calibri" w:hAnsi="Times New Roman" w:cs="Times New Roman"/>
          <w:color w:val="000000"/>
          <w:sz w:val="24"/>
          <w:szCs w:val="24"/>
        </w:rPr>
        <w:t>cardiorenal,and</w:t>
      </w:r>
      <w:proofErr w:type="spellEnd"/>
      <w:proofErr w:type="gramEnd"/>
      <w:r w:rsidRPr="00687EE0">
        <w:rPr>
          <w:rFonts w:ascii="Times New Roman" w:eastAsia="Calibri" w:hAnsi="Times New Roman" w:cs="Times New Roman"/>
          <w:color w:val="000000"/>
          <w:sz w:val="24"/>
          <w:szCs w:val="24"/>
        </w:rPr>
        <w:t xml:space="preserve"> metabolic diseases. J Diabetes Complications. 2023;37(2):108389.</w:t>
      </w:r>
    </w:p>
    <w:p w14:paraId="75F08EF2"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12.</w:t>
      </w:r>
      <w:r w:rsidRPr="00687EE0">
        <w:rPr>
          <w:rFonts w:ascii="Times New Roman" w:hAnsi="Times New Roman" w:cs="Times New Roman"/>
          <w:noProof/>
          <w:sz w:val="24"/>
          <w:szCs w:val="24"/>
        </w:rPr>
        <w:t xml:space="preserve"> Barzilay JI, Farag YMK, Durthaler J. Albuminuria: an underappreciated risk factor for cardiovascular disease. J Am Heart Assoc. 2024;13(2):e030131. </w:t>
      </w:r>
    </w:p>
    <w:p w14:paraId="28A8DEEA"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13.</w:t>
      </w:r>
      <w:r w:rsidRPr="00687EE0">
        <w:rPr>
          <w:rFonts w:ascii="Times New Roman" w:hAnsi="Times New Roman" w:cs="Times New Roman"/>
          <w:noProof/>
          <w:sz w:val="24"/>
          <w:szCs w:val="24"/>
        </w:rPr>
        <w:t xml:space="preserve"> da Silva PM, Carvalho D, Nazaré J, Martins L, Aguiar C, Manso MC, et al. Prevalence of microalbuminuria in hypertensive patients with or without type 2 diabetes in a Portuguese primary care setting: The RACE (micRoAlbumin sCreening survEy) study. Rev Port Cardiol (English Ed. 2015;34(4):237–46. </w:t>
      </w:r>
    </w:p>
    <w:p w14:paraId="717C7A5E" w14:textId="77777777" w:rsidR="00CF427A" w:rsidRPr="00687EE0" w:rsidRDefault="00CF427A" w:rsidP="00CF427A">
      <w:pPr>
        <w:spacing w:before="187" w:after="0" w:line="480" w:lineRule="auto"/>
        <w:ind w:left="680" w:right="40" w:hanging="660"/>
        <w:jc w:val="both"/>
        <w:rPr>
          <w:rFonts w:ascii="Times New Roman" w:hAnsi="Times New Roman" w:cs="Times New Roman"/>
          <w:bCs/>
          <w:sz w:val="24"/>
          <w:szCs w:val="24"/>
        </w:rPr>
      </w:pPr>
      <w:r w:rsidRPr="00687EE0">
        <w:rPr>
          <w:rFonts w:ascii="Times New Roman" w:hAnsi="Times New Roman" w:cs="Times New Roman"/>
          <w:noProof/>
          <w:sz w:val="24"/>
          <w:szCs w:val="24"/>
        </w:rPr>
        <w:t xml:space="preserve">14. </w:t>
      </w:r>
      <w:proofErr w:type="spellStart"/>
      <w:r w:rsidRPr="00687EE0">
        <w:rPr>
          <w:rFonts w:ascii="Times New Roman" w:hAnsi="Times New Roman" w:cs="Times New Roman"/>
          <w:bCs/>
          <w:sz w:val="24"/>
          <w:szCs w:val="24"/>
        </w:rPr>
        <w:t>Araoye</w:t>
      </w:r>
      <w:proofErr w:type="spellEnd"/>
      <w:r w:rsidRPr="00687EE0">
        <w:rPr>
          <w:rFonts w:ascii="Times New Roman" w:hAnsi="Times New Roman" w:cs="Times New Roman"/>
          <w:bCs/>
          <w:sz w:val="24"/>
          <w:szCs w:val="24"/>
        </w:rPr>
        <w:t xml:space="preserve"> M. O. Subjects Selection: Sample Size determination. In Research Methodology with Statistics for health and social science, </w:t>
      </w:r>
      <w:proofErr w:type="spellStart"/>
      <w:r w:rsidRPr="00687EE0">
        <w:rPr>
          <w:rFonts w:ascii="Times New Roman" w:hAnsi="Times New Roman" w:cs="Times New Roman"/>
          <w:bCs/>
          <w:sz w:val="24"/>
          <w:szCs w:val="24"/>
        </w:rPr>
        <w:t>Araoye</w:t>
      </w:r>
      <w:proofErr w:type="spellEnd"/>
      <w:r w:rsidRPr="00687EE0">
        <w:rPr>
          <w:rFonts w:ascii="Times New Roman" w:hAnsi="Times New Roman" w:cs="Times New Roman"/>
          <w:bCs/>
          <w:sz w:val="24"/>
          <w:szCs w:val="24"/>
        </w:rPr>
        <w:t xml:space="preserve">, Ed., pp. 115 – 122, </w:t>
      </w:r>
      <w:proofErr w:type="spellStart"/>
      <w:r w:rsidRPr="00687EE0">
        <w:rPr>
          <w:rFonts w:ascii="Times New Roman" w:hAnsi="Times New Roman" w:cs="Times New Roman"/>
          <w:bCs/>
          <w:sz w:val="24"/>
          <w:szCs w:val="24"/>
        </w:rPr>
        <w:t>Nathadex</w:t>
      </w:r>
      <w:proofErr w:type="spellEnd"/>
      <w:r w:rsidRPr="00687EE0">
        <w:rPr>
          <w:rFonts w:ascii="Times New Roman" w:hAnsi="Times New Roman" w:cs="Times New Roman"/>
          <w:bCs/>
          <w:sz w:val="24"/>
          <w:szCs w:val="24"/>
        </w:rPr>
        <w:t xml:space="preserve">, Ilorin, Nigeria, 2004. </w:t>
      </w:r>
    </w:p>
    <w:p w14:paraId="4F6F4D4D"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hAnsi="Times New Roman" w:cs="Times New Roman"/>
          <w:bCs/>
          <w:sz w:val="24"/>
          <w:szCs w:val="24"/>
        </w:rPr>
        <w:t xml:space="preserve">15. </w:t>
      </w:r>
      <w:r w:rsidRPr="00687EE0">
        <w:rPr>
          <w:rFonts w:ascii="Times New Roman" w:hAnsi="Times New Roman" w:cs="Times New Roman"/>
          <w:noProof/>
          <w:sz w:val="24"/>
          <w:szCs w:val="24"/>
        </w:rPr>
        <w:t>Ahmad T, Ulhaq I, Mawani M, Islam N. Microalbuminuria in Type-2 Diabetes Mellitus; the tip of iceberg of diabetic complications. Pakistan J Med Sci. 2017;33(3):519.</w:t>
      </w:r>
    </w:p>
    <w:p w14:paraId="7BF5650D"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sz w:val="24"/>
          <w:szCs w:val="24"/>
        </w:rPr>
        <w:t xml:space="preserve">16. </w:t>
      </w:r>
      <w:r w:rsidRPr="00687EE0">
        <w:rPr>
          <w:rFonts w:ascii="Times New Roman" w:hAnsi="Times New Roman" w:cs="Times New Roman"/>
          <w:color w:val="222222"/>
          <w:sz w:val="24"/>
          <w:szCs w:val="24"/>
          <w:shd w:val="clear" w:color="auto" w:fill="FFFFFF"/>
        </w:rPr>
        <w:t xml:space="preserve">Wester CW, Shepherd BE, </w:t>
      </w:r>
      <w:proofErr w:type="spellStart"/>
      <w:r w:rsidRPr="00687EE0">
        <w:rPr>
          <w:rFonts w:ascii="Times New Roman" w:hAnsi="Times New Roman" w:cs="Times New Roman"/>
          <w:color w:val="222222"/>
          <w:sz w:val="24"/>
          <w:szCs w:val="24"/>
          <w:shd w:val="clear" w:color="auto" w:fill="FFFFFF"/>
        </w:rPr>
        <w:t>Wudil</w:t>
      </w:r>
      <w:proofErr w:type="spellEnd"/>
      <w:r w:rsidRPr="00687EE0">
        <w:rPr>
          <w:rFonts w:ascii="Times New Roman" w:hAnsi="Times New Roman" w:cs="Times New Roman"/>
          <w:color w:val="222222"/>
          <w:sz w:val="24"/>
          <w:szCs w:val="24"/>
          <w:shd w:val="clear" w:color="auto" w:fill="FFFFFF"/>
        </w:rPr>
        <w:t xml:space="preserve"> UJ, Musa BM, Ingles DJ, </w:t>
      </w:r>
      <w:proofErr w:type="spellStart"/>
      <w:r w:rsidRPr="00687EE0">
        <w:rPr>
          <w:rFonts w:ascii="Times New Roman" w:hAnsi="Times New Roman" w:cs="Times New Roman"/>
          <w:color w:val="222222"/>
          <w:sz w:val="24"/>
          <w:szCs w:val="24"/>
          <w:shd w:val="clear" w:color="auto" w:fill="FFFFFF"/>
        </w:rPr>
        <w:t>Prigmore</w:t>
      </w:r>
      <w:proofErr w:type="spellEnd"/>
      <w:r w:rsidRPr="00687EE0">
        <w:rPr>
          <w:rFonts w:ascii="Times New Roman" w:hAnsi="Times New Roman" w:cs="Times New Roman"/>
          <w:color w:val="222222"/>
          <w:sz w:val="24"/>
          <w:szCs w:val="24"/>
          <w:shd w:val="clear" w:color="auto" w:fill="FFFFFF"/>
        </w:rPr>
        <w:t xml:space="preserve"> HL, </w:t>
      </w:r>
      <w:proofErr w:type="spellStart"/>
      <w:r w:rsidRPr="00687EE0">
        <w:rPr>
          <w:rFonts w:ascii="Times New Roman" w:hAnsi="Times New Roman" w:cs="Times New Roman"/>
          <w:color w:val="222222"/>
          <w:sz w:val="24"/>
          <w:szCs w:val="24"/>
          <w:shd w:val="clear" w:color="auto" w:fill="FFFFFF"/>
        </w:rPr>
        <w:t>Dankishiya</w:t>
      </w:r>
      <w:proofErr w:type="spellEnd"/>
      <w:r w:rsidRPr="00687EE0">
        <w:rPr>
          <w:rFonts w:ascii="Times New Roman" w:hAnsi="Times New Roman" w:cs="Times New Roman"/>
          <w:color w:val="222222"/>
          <w:sz w:val="24"/>
          <w:szCs w:val="24"/>
          <w:shd w:val="clear" w:color="auto" w:fill="FFFFFF"/>
        </w:rPr>
        <w:t xml:space="preserve"> FS, </w:t>
      </w:r>
      <w:proofErr w:type="spellStart"/>
      <w:r w:rsidRPr="00687EE0">
        <w:rPr>
          <w:rFonts w:ascii="Times New Roman" w:hAnsi="Times New Roman" w:cs="Times New Roman"/>
          <w:color w:val="222222"/>
          <w:sz w:val="24"/>
          <w:szCs w:val="24"/>
          <w:shd w:val="clear" w:color="auto" w:fill="FFFFFF"/>
        </w:rPr>
        <w:t>Ahonkhai</w:t>
      </w:r>
      <w:proofErr w:type="spellEnd"/>
      <w:r w:rsidRPr="00687EE0">
        <w:rPr>
          <w:rFonts w:ascii="Times New Roman" w:hAnsi="Times New Roman" w:cs="Times New Roman"/>
          <w:color w:val="222222"/>
          <w:sz w:val="24"/>
          <w:szCs w:val="24"/>
          <w:shd w:val="clear" w:color="auto" w:fill="FFFFFF"/>
        </w:rPr>
        <w:t xml:space="preserve"> AA, </w:t>
      </w:r>
      <w:proofErr w:type="spellStart"/>
      <w:r w:rsidRPr="00687EE0">
        <w:rPr>
          <w:rFonts w:ascii="Times New Roman" w:hAnsi="Times New Roman" w:cs="Times New Roman"/>
          <w:color w:val="222222"/>
          <w:sz w:val="24"/>
          <w:szCs w:val="24"/>
          <w:shd w:val="clear" w:color="auto" w:fill="FFFFFF"/>
        </w:rPr>
        <w:t>Grema</w:t>
      </w:r>
      <w:proofErr w:type="spellEnd"/>
      <w:r w:rsidRPr="00687EE0">
        <w:rPr>
          <w:rFonts w:ascii="Times New Roman" w:hAnsi="Times New Roman" w:cs="Times New Roman"/>
          <w:color w:val="222222"/>
          <w:sz w:val="24"/>
          <w:szCs w:val="24"/>
          <w:shd w:val="clear" w:color="auto" w:fill="FFFFFF"/>
        </w:rPr>
        <w:t xml:space="preserve"> BA, Budge PJ, Takakura A. Etiology of P </w:t>
      </w:r>
      <w:proofErr w:type="spellStart"/>
      <w:r w:rsidRPr="00687EE0">
        <w:rPr>
          <w:rFonts w:ascii="Times New Roman" w:hAnsi="Times New Roman" w:cs="Times New Roman"/>
          <w:color w:val="222222"/>
          <w:sz w:val="24"/>
          <w:szCs w:val="24"/>
          <w:shd w:val="clear" w:color="auto" w:fill="FFFFFF"/>
        </w:rPr>
        <w:t>ersistent</w:t>
      </w:r>
      <w:proofErr w:type="spellEnd"/>
      <w:r w:rsidRPr="00687EE0">
        <w:rPr>
          <w:rFonts w:ascii="Times New Roman" w:hAnsi="Times New Roman" w:cs="Times New Roman"/>
          <w:color w:val="222222"/>
          <w:sz w:val="24"/>
          <w:szCs w:val="24"/>
          <w:shd w:val="clear" w:color="auto" w:fill="FFFFFF"/>
        </w:rPr>
        <w:t xml:space="preserve"> Micro albuminuria in Nigeria (P_MICRO study): protocol and study design. BMC Infectious Diseases. 2022 Jul 4;22(1):591.</w:t>
      </w:r>
    </w:p>
    <w:p w14:paraId="10329B03"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17. </w:t>
      </w:r>
      <w:proofErr w:type="spellStart"/>
      <w:r w:rsidRPr="00687EE0">
        <w:rPr>
          <w:rFonts w:ascii="Times New Roman" w:hAnsi="Times New Roman" w:cs="Times New Roman"/>
          <w:color w:val="222222"/>
          <w:sz w:val="24"/>
          <w:szCs w:val="24"/>
          <w:shd w:val="clear" w:color="auto" w:fill="FFFFFF"/>
        </w:rPr>
        <w:t>Eleki</w:t>
      </w:r>
      <w:proofErr w:type="spellEnd"/>
      <w:r w:rsidRPr="00687EE0">
        <w:rPr>
          <w:rFonts w:ascii="Times New Roman" w:hAnsi="Times New Roman" w:cs="Times New Roman"/>
          <w:color w:val="222222"/>
          <w:sz w:val="24"/>
          <w:szCs w:val="24"/>
          <w:shd w:val="clear" w:color="auto" w:fill="FFFFFF"/>
        </w:rPr>
        <w:t xml:space="preserve"> BJ, </w:t>
      </w:r>
      <w:proofErr w:type="spellStart"/>
      <w:r w:rsidRPr="00687EE0">
        <w:rPr>
          <w:rFonts w:ascii="Times New Roman" w:hAnsi="Times New Roman" w:cs="Times New Roman"/>
          <w:color w:val="222222"/>
          <w:sz w:val="24"/>
          <w:szCs w:val="24"/>
          <w:shd w:val="clear" w:color="auto" w:fill="FFFFFF"/>
        </w:rPr>
        <w:t>Emem-Chioma</w:t>
      </w:r>
      <w:proofErr w:type="spellEnd"/>
      <w:r w:rsidRPr="00687EE0">
        <w:rPr>
          <w:rFonts w:ascii="Times New Roman" w:hAnsi="Times New Roman" w:cs="Times New Roman"/>
          <w:color w:val="222222"/>
          <w:sz w:val="24"/>
          <w:szCs w:val="24"/>
          <w:shd w:val="clear" w:color="auto" w:fill="FFFFFF"/>
        </w:rPr>
        <w:t xml:space="preserve"> PC. Prevalence and Spectrum of Albuminuria among Type 2 Diabetic Patients in a Tertiary Health</w:t>
      </w:r>
      <w:r w:rsidRPr="00687EE0">
        <w:rPr>
          <w:rFonts w:ascii="Times New Roman" w:hAnsi="Times New Roman" w:cs="Times New Roman"/>
          <w:color w:val="222222"/>
          <w:sz w:val="24"/>
          <w:szCs w:val="24"/>
          <w:shd w:val="clear" w:color="auto" w:fill="FFFFFF"/>
        </w:rPr>
        <w:noBreakHyphen/>
        <w:t>care Facility in Southern Nigeria. Nigerian Journal of Medicine. 2023 May 3;32(1):39-43.</w:t>
      </w:r>
    </w:p>
    <w:p w14:paraId="00717C2A" w14:textId="77777777" w:rsidR="00CF427A" w:rsidRPr="00687EE0" w:rsidRDefault="00CF427A" w:rsidP="00CF427A">
      <w:pPr>
        <w:spacing w:before="187" w:after="0" w:line="480" w:lineRule="auto"/>
        <w:ind w:left="680" w:right="40" w:hanging="660"/>
        <w:jc w:val="both"/>
        <w:rPr>
          <w:rFonts w:ascii="Times New Roman" w:eastAsia="Arial" w:hAnsi="Times New Roman" w:cs="Times New Roman"/>
          <w:color w:val="252525"/>
          <w:sz w:val="24"/>
          <w:szCs w:val="24"/>
        </w:rPr>
      </w:pPr>
      <w:r w:rsidRPr="00687EE0">
        <w:rPr>
          <w:rFonts w:ascii="Times New Roman" w:hAnsi="Times New Roman" w:cs="Times New Roman"/>
          <w:color w:val="222222"/>
          <w:sz w:val="24"/>
          <w:szCs w:val="24"/>
          <w:shd w:val="clear" w:color="auto" w:fill="FFFFFF"/>
        </w:rPr>
        <w:lastRenderedPageBreak/>
        <w:t xml:space="preserve">18. Patel V, Shastri M, Gaur N, </w:t>
      </w:r>
      <w:proofErr w:type="spellStart"/>
      <w:r w:rsidRPr="00687EE0">
        <w:rPr>
          <w:rFonts w:ascii="Times New Roman" w:hAnsi="Times New Roman" w:cs="Times New Roman"/>
          <w:color w:val="222222"/>
          <w:sz w:val="24"/>
          <w:szCs w:val="24"/>
          <w:shd w:val="clear" w:color="auto" w:fill="FFFFFF"/>
        </w:rPr>
        <w:t>Jinwala</w:t>
      </w:r>
      <w:proofErr w:type="spellEnd"/>
      <w:r w:rsidRPr="00687EE0">
        <w:rPr>
          <w:rFonts w:ascii="Times New Roman" w:hAnsi="Times New Roman" w:cs="Times New Roman"/>
          <w:color w:val="222222"/>
          <w:sz w:val="24"/>
          <w:szCs w:val="24"/>
          <w:shd w:val="clear" w:color="auto" w:fill="FFFFFF"/>
        </w:rPr>
        <w:t xml:space="preserve"> P, Kadam AY. A study in prevalence of diabetic nephropathy in recently detected cases of type 2 diabetes mellitus as evidenced by altered creatinine clearance, urinary albumin and serum creatinine, with special emphasis on hypertension, hypercholesterolemia and obesity. </w:t>
      </w:r>
      <w:r w:rsidRPr="00687EE0">
        <w:rPr>
          <w:rFonts w:ascii="Times New Roman" w:eastAsia="Arial" w:hAnsi="Times New Roman" w:cs="Times New Roman"/>
          <w:color w:val="252525"/>
          <w:sz w:val="24"/>
          <w:szCs w:val="24"/>
        </w:rPr>
        <w:t xml:space="preserve">Int J Adv Med </w:t>
      </w:r>
      <w:proofErr w:type="gramStart"/>
      <w:r w:rsidRPr="00687EE0">
        <w:rPr>
          <w:rFonts w:ascii="Times New Roman" w:eastAsia="Arial" w:hAnsi="Times New Roman" w:cs="Times New Roman"/>
          <w:color w:val="252525"/>
          <w:sz w:val="24"/>
          <w:szCs w:val="24"/>
        </w:rPr>
        <w:t>2018;5:351</w:t>
      </w:r>
      <w:proofErr w:type="gramEnd"/>
      <w:r w:rsidRPr="00687EE0">
        <w:rPr>
          <w:rFonts w:ascii="Times New Roman" w:eastAsia="Arial" w:hAnsi="Times New Roman" w:cs="Times New Roman"/>
          <w:color w:val="252525"/>
          <w:sz w:val="24"/>
          <w:szCs w:val="24"/>
        </w:rPr>
        <w:t>-5</w:t>
      </w:r>
    </w:p>
    <w:p w14:paraId="1CB501F8"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sz w:val="24"/>
          <w:szCs w:val="24"/>
        </w:rPr>
        <w:t xml:space="preserve">19. </w:t>
      </w:r>
      <w:r w:rsidRPr="00687EE0">
        <w:rPr>
          <w:rFonts w:ascii="Times New Roman" w:hAnsi="Times New Roman" w:cs="Times New Roman"/>
          <w:color w:val="222222"/>
          <w:sz w:val="24"/>
          <w:szCs w:val="24"/>
          <w:shd w:val="clear" w:color="auto" w:fill="FFFFFF"/>
        </w:rPr>
        <w:t xml:space="preserve">Khan TM, Nawaz FK, Karim MS, Shafique Z, Anwar MS, Usman O. Incidence of microalbuminuria and factors affecting it in patients with type 2 diabetes mellitus. </w:t>
      </w:r>
      <w:proofErr w:type="spellStart"/>
      <w:r w:rsidRPr="00687EE0">
        <w:rPr>
          <w:rFonts w:ascii="Times New Roman" w:hAnsi="Times New Roman" w:cs="Times New Roman"/>
          <w:color w:val="222222"/>
          <w:sz w:val="24"/>
          <w:szCs w:val="24"/>
          <w:shd w:val="clear" w:color="auto" w:fill="FFFFFF"/>
        </w:rPr>
        <w:t>Cureus</w:t>
      </w:r>
      <w:proofErr w:type="spellEnd"/>
      <w:r w:rsidRPr="00687EE0">
        <w:rPr>
          <w:rFonts w:ascii="Times New Roman" w:hAnsi="Times New Roman" w:cs="Times New Roman"/>
          <w:color w:val="222222"/>
          <w:sz w:val="24"/>
          <w:szCs w:val="24"/>
          <w:shd w:val="clear" w:color="auto" w:fill="FFFFFF"/>
        </w:rPr>
        <w:t>. 2022 Jul 26;14(7).</w:t>
      </w:r>
    </w:p>
    <w:p w14:paraId="67194F19"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20. </w:t>
      </w:r>
      <w:proofErr w:type="spellStart"/>
      <w:r w:rsidRPr="00687EE0">
        <w:rPr>
          <w:rFonts w:ascii="Times New Roman" w:hAnsi="Times New Roman" w:cs="Times New Roman"/>
          <w:color w:val="222222"/>
          <w:sz w:val="24"/>
          <w:szCs w:val="24"/>
          <w:shd w:val="clear" w:color="auto" w:fill="FFFFFF"/>
        </w:rPr>
        <w:t>Kabasawa</w:t>
      </w:r>
      <w:proofErr w:type="spellEnd"/>
      <w:r w:rsidRPr="00687EE0">
        <w:rPr>
          <w:rFonts w:ascii="Times New Roman" w:hAnsi="Times New Roman" w:cs="Times New Roman"/>
          <w:color w:val="222222"/>
          <w:sz w:val="24"/>
          <w:szCs w:val="24"/>
          <w:shd w:val="clear" w:color="auto" w:fill="FFFFFF"/>
        </w:rPr>
        <w:t xml:space="preserve"> K, </w:t>
      </w:r>
      <w:proofErr w:type="spellStart"/>
      <w:r w:rsidRPr="00687EE0">
        <w:rPr>
          <w:rFonts w:ascii="Times New Roman" w:hAnsi="Times New Roman" w:cs="Times New Roman"/>
          <w:color w:val="222222"/>
          <w:sz w:val="24"/>
          <w:szCs w:val="24"/>
          <w:shd w:val="clear" w:color="auto" w:fill="FFFFFF"/>
        </w:rPr>
        <w:t>Hosojima</w:t>
      </w:r>
      <w:proofErr w:type="spellEnd"/>
      <w:r w:rsidRPr="00687EE0">
        <w:rPr>
          <w:rFonts w:ascii="Times New Roman" w:hAnsi="Times New Roman" w:cs="Times New Roman"/>
          <w:color w:val="222222"/>
          <w:sz w:val="24"/>
          <w:szCs w:val="24"/>
          <w:shd w:val="clear" w:color="auto" w:fill="FFFFFF"/>
        </w:rPr>
        <w:t xml:space="preserve"> M, </w:t>
      </w:r>
      <w:proofErr w:type="spellStart"/>
      <w:r w:rsidRPr="00687EE0">
        <w:rPr>
          <w:rFonts w:ascii="Times New Roman" w:hAnsi="Times New Roman" w:cs="Times New Roman"/>
          <w:color w:val="222222"/>
          <w:sz w:val="24"/>
          <w:szCs w:val="24"/>
          <w:shd w:val="clear" w:color="auto" w:fill="FFFFFF"/>
        </w:rPr>
        <w:t>Takachi</w:t>
      </w:r>
      <w:proofErr w:type="spellEnd"/>
      <w:r w:rsidRPr="00687EE0">
        <w:rPr>
          <w:rFonts w:ascii="Times New Roman" w:hAnsi="Times New Roman" w:cs="Times New Roman"/>
          <w:color w:val="222222"/>
          <w:sz w:val="24"/>
          <w:szCs w:val="24"/>
          <w:shd w:val="clear" w:color="auto" w:fill="FFFFFF"/>
        </w:rPr>
        <w:t xml:space="preserve"> R, Nakamura K, Ito Y, Saito A, Sawada N, </w:t>
      </w:r>
      <w:proofErr w:type="spellStart"/>
      <w:r w:rsidRPr="00687EE0">
        <w:rPr>
          <w:rFonts w:ascii="Times New Roman" w:hAnsi="Times New Roman" w:cs="Times New Roman"/>
          <w:color w:val="222222"/>
          <w:sz w:val="24"/>
          <w:szCs w:val="24"/>
          <w:shd w:val="clear" w:color="auto" w:fill="FFFFFF"/>
        </w:rPr>
        <w:t>Tsugane</w:t>
      </w:r>
      <w:proofErr w:type="spellEnd"/>
      <w:r w:rsidRPr="00687EE0">
        <w:rPr>
          <w:rFonts w:ascii="Times New Roman" w:hAnsi="Times New Roman" w:cs="Times New Roman"/>
          <w:color w:val="222222"/>
          <w:sz w:val="24"/>
          <w:szCs w:val="24"/>
          <w:shd w:val="clear" w:color="auto" w:fill="FFFFFF"/>
        </w:rPr>
        <w:t xml:space="preserve"> S, Tanaka J, Narita I. Association of estimated dietary acid load with albuminuria in Japanese adults: a cross-sectional study. BMC nephrology. 2019 May 30;20(1):194.</w:t>
      </w:r>
    </w:p>
    <w:p w14:paraId="50FC6CC7"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21. van </w:t>
      </w:r>
      <w:proofErr w:type="spellStart"/>
      <w:r w:rsidRPr="00687EE0">
        <w:rPr>
          <w:rFonts w:ascii="Times New Roman" w:hAnsi="Times New Roman" w:cs="Times New Roman"/>
          <w:color w:val="222222"/>
          <w:sz w:val="24"/>
          <w:szCs w:val="24"/>
          <w:shd w:val="clear" w:color="auto" w:fill="FFFFFF"/>
        </w:rPr>
        <w:t>Westing</w:t>
      </w:r>
      <w:proofErr w:type="spellEnd"/>
      <w:r w:rsidRPr="00687EE0">
        <w:rPr>
          <w:rFonts w:ascii="Times New Roman" w:hAnsi="Times New Roman" w:cs="Times New Roman"/>
          <w:color w:val="222222"/>
          <w:sz w:val="24"/>
          <w:szCs w:val="24"/>
          <w:shd w:val="clear" w:color="auto" w:fill="FFFFFF"/>
        </w:rPr>
        <w:t xml:space="preserve"> AC, </w:t>
      </w:r>
      <w:proofErr w:type="spellStart"/>
      <w:r w:rsidRPr="00687EE0">
        <w:rPr>
          <w:rFonts w:ascii="Times New Roman" w:hAnsi="Times New Roman" w:cs="Times New Roman"/>
          <w:color w:val="222222"/>
          <w:sz w:val="24"/>
          <w:szCs w:val="24"/>
          <w:shd w:val="clear" w:color="auto" w:fill="FFFFFF"/>
        </w:rPr>
        <w:t>Küpers</w:t>
      </w:r>
      <w:proofErr w:type="spellEnd"/>
      <w:r w:rsidRPr="00687EE0">
        <w:rPr>
          <w:rFonts w:ascii="Times New Roman" w:hAnsi="Times New Roman" w:cs="Times New Roman"/>
          <w:color w:val="222222"/>
          <w:sz w:val="24"/>
          <w:szCs w:val="24"/>
          <w:shd w:val="clear" w:color="auto" w:fill="FFFFFF"/>
        </w:rPr>
        <w:t xml:space="preserve"> LK, </w:t>
      </w:r>
      <w:proofErr w:type="spellStart"/>
      <w:r w:rsidRPr="00687EE0">
        <w:rPr>
          <w:rFonts w:ascii="Times New Roman" w:hAnsi="Times New Roman" w:cs="Times New Roman"/>
          <w:color w:val="222222"/>
          <w:sz w:val="24"/>
          <w:szCs w:val="24"/>
          <w:shd w:val="clear" w:color="auto" w:fill="FFFFFF"/>
        </w:rPr>
        <w:t>Geleijnse</w:t>
      </w:r>
      <w:proofErr w:type="spellEnd"/>
      <w:r w:rsidRPr="00687EE0">
        <w:rPr>
          <w:rFonts w:ascii="Times New Roman" w:hAnsi="Times New Roman" w:cs="Times New Roman"/>
          <w:color w:val="222222"/>
          <w:sz w:val="24"/>
          <w:szCs w:val="24"/>
          <w:shd w:val="clear" w:color="auto" w:fill="FFFFFF"/>
        </w:rPr>
        <w:t xml:space="preserve"> JM. Diet and kidney function: a literature review. Current hypertension reports. 2020 Feb;22(2):14.</w:t>
      </w:r>
    </w:p>
    <w:p w14:paraId="7EE5E5BB"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22. </w:t>
      </w:r>
      <w:proofErr w:type="spellStart"/>
      <w:r w:rsidRPr="00687EE0">
        <w:rPr>
          <w:rFonts w:ascii="Times New Roman" w:hAnsi="Times New Roman" w:cs="Times New Roman"/>
          <w:color w:val="222222"/>
          <w:sz w:val="24"/>
          <w:szCs w:val="24"/>
          <w:shd w:val="clear" w:color="auto" w:fill="FFFFFF"/>
        </w:rPr>
        <w:t>Petrikova</w:t>
      </w:r>
      <w:proofErr w:type="spellEnd"/>
      <w:r w:rsidRPr="00687EE0">
        <w:rPr>
          <w:rFonts w:ascii="Times New Roman" w:hAnsi="Times New Roman" w:cs="Times New Roman"/>
          <w:color w:val="222222"/>
          <w:sz w:val="24"/>
          <w:szCs w:val="24"/>
          <w:shd w:val="clear" w:color="auto" w:fill="FFFFFF"/>
        </w:rPr>
        <w:t xml:space="preserve"> I, Bhattacharjee R, Fraser PD. The ‘Nigerian </w:t>
      </w:r>
      <w:proofErr w:type="spellStart"/>
      <w:r w:rsidRPr="00687EE0">
        <w:rPr>
          <w:rFonts w:ascii="Times New Roman" w:hAnsi="Times New Roman" w:cs="Times New Roman"/>
          <w:color w:val="222222"/>
          <w:sz w:val="24"/>
          <w:szCs w:val="24"/>
          <w:shd w:val="clear" w:color="auto" w:fill="FFFFFF"/>
        </w:rPr>
        <w:t>diet’and</w:t>
      </w:r>
      <w:proofErr w:type="spellEnd"/>
      <w:r w:rsidRPr="00687EE0">
        <w:rPr>
          <w:rFonts w:ascii="Times New Roman" w:hAnsi="Times New Roman" w:cs="Times New Roman"/>
          <w:color w:val="222222"/>
          <w:sz w:val="24"/>
          <w:szCs w:val="24"/>
          <w:shd w:val="clear" w:color="auto" w:fill="FFFFFF"/>
        </w:rPr>
        <w:t xml:space="preserve"> its evolution: review of the existing literature and household survey data. Foods. 2023 Jan 17;12(3):443.</w:t>
      </w:r>
    </w:p>
    <w:p w14:paraId="54AB3629" w14:textId="77777777" w:rsidR="00CF427A" w:rsidRPr="00687EE0" w:rsidRDefault="00CF427A" w:rsidP="00CF427A">
      <w:pPr>
        <w:spacing w:before="187" w:after="0" w:line="480" w:lineRule="auto"/>
        <w:ind w:left="680" w:right="40" w:hanging="660"/>
        <w:jc w:val="both"/>
        <w:rPr>
          <w:rFonts w:ascii="Times New Roman" w:eastAsia="Arial" w:hAnsi="Times New Roman" w:cs="Times New Roman"/>
          <w:color w:val="252525"/>
          <w:sz w:val="24"/>
          <w:szCs w:val="24"/>
        </w:rPr>
      </w:pPr>
      <w:r w:rsidRPr="00687EE0">
        <w:rPr>
          <w:rFonts w:ascii="Times New Roman" w:hAnsi="Times New Roman" w:cs="Times New Roman"/>
          <w:color w:val="222222"/>
          <w:sz w:val="24"/>
          <w:szCs w:val="24"/>
          <w:shd w:val="clear" w:color="auto" w:fill="FFFFFF"/>
        </w:rPr>
        <w:t xml:space="preserve">23. Thakur SK, </w:t>
      </w:r>
      <w:proofErr w:type="spellStart"/>
      <w:r w:rsidRPr="00687EE0">
        <w:rPr>
          <w:rFonts w:ascii="Times New Roman" w:hAnsi="Times New Roman" w:cs="Times New Roman"/>
          <w:color w:val="222222"/>
          <w:sz w:val="24"/>
          <w:szCs w:val="24"/>
          <w:shd w:val="clear" w:color="auto" w:fill="FFFFFF"/>
        </w:rPr>
        <w:t>Dhakal</w:t>
      </w:r>
      <w:proofErr w:type="spellEnd"/>
      <w:r w:rsidRPr="00687EE0">
        <w:rPr>
          <w:rFonts w:ascii="Times New Roman" w:hAnsi="Times New Roman" w:cs="Times New Roman"/>
          <w:color w:val="222222"/>
          <w:sz w:val="24"/>
          <w:szCs w:val="24"/>
          <w:shd w:val="clear" w:color="auto" w:fill="FFFFFF"/>
        </w:rPr>
        <w:t xml:space="preserve"> SP, </w:t>
      </w:r>
      <w:proofErr w:type="spellStart"/>
      <w:r w:rsidRPr="00687EE0">
        <w:rPr>
          <w:rFonts w:ascii="Times New Roman" w:hAnsi="Times New Roman" w:cs="Times New Roman"/>
          <w:color w:val="222222"/>
          <w:sz w:val="24"/>
          <w:szCs w:val="24"/>
          <w:shd w:val="clear" w:color="auto" w:fill="FFFFFF"/>
        </w:rPr>
        <w:t>Parajuli</w:t>
      </w:r>
      <w:proofErr w:type="spellEnd"/>
      <w:r w:rsidRPr="00687EE0">
        <w:rPr>
          <w:rFonts w:ascii="Times New Roman" w:hAnsi="Times New Roman" w:cs="Times New Roman"/>
          <w:color w:val="222222"/>
          <w:sz w:val="24"/>
          <w:szCs w:val="24"/>
          <w:shd w:val="clear" w:color="auto" w:fill="FFFFFF"/>
        </w:rPr>
        <w:t xml:space="preserve"> S, </w:t>
      </w:r>
      <w:proofErr w:type="spellStart"/>
      <w:r w:rsidRPr="00687EE0">
        <w:rPr>
          <w:rFonts w:ascii="Times New Roman" w:hAnsi="Times New Roman" w:cs="Times New Roman"/>
          <w:color w:val="222222"/>
          <w:sz w:val="24"/>
          <w:szCs w:val="24"/>
          <w:shd w:val="clear" w:color="auto" w:fill="FFFFFF"/>
        </w:rPr>
        <w:t>Sah</w:t>
      </w:r>
      <w:proofErr w:type="spellEnd"/>
      <w:r w:rsidRPr="00687EE0">
        <w:rPr>
          <w:rFonts w:ascii="Times New Roman" w:hAnsi="Times New Roman" w:cs="Times New Roman"/>
          <w:color w:val="222222"/>
          <w:sz w:val="24"/>
          <w:szCs w:val="24"/>
          <w:shd w:val="clear" w:color="auto" w:fill="FFFFFF"/>
        </w:rPr>
        <w:t xml:space="preserve"> AK, Nepal SP, </w:t>
      </w:r>
      <w:proofErr w:type="spellStart"/>
      <w:r w:rsidRPr="00687EE0">
        <w:rPr>
          <w:rFonts w:ascii="Times New Roman" w:hAnsi="Times New Roman" w:cs="Times New Roman"/>
          <w:color w:val="222222"/>
          <w:sz w:val="24"/>
          <w:szCs w:val="24"/>
          <w:shd w:val="clear" w:color="auto" w:fill="FFFFFF"/>
        </w:rPr>
        <w:t>Paudel</w:t>
      </w:r>
      <w:proofErr w:type="spellEnd"/>
      <w:r w:rsidRPr="00687EE0">
        <w:rPr>
          <w:rFonts w:ascii="Times New Roman" w:hAnsi="Times New Roman" w:cs="Times New Roman"/>
          <w:color w:val="222222"/>
          <w:sz w:val="24"/>
          <w:szCs w:val="24"/>
          <w:shd w:val="clear" w:color="auto" w:fill="FFFFFF"/>
        </w:rPr>
        <w:t xml:space="preserve"> BD. Microalbuminuria and its risk factors in type 2 diabetic patients. </w:t>
      </w:r>
      <w:r w:rsidRPr="00687EE0">
        <w:rPr>
          <w:rFonts w:ascii="Times New Roman" w:eastAsia="Arial" w:hAnsi="Times New Roman" w:cs="Times New Roman"/>
          <w:color w:val="252525"/>
          <w:sz w:val="24"/>
          <w:szCs w:val="24"/>
        </w:rPr>
        <w:t xml:space="preserve">J Nepal Health Res </w:t>
      </w:r>
      <w:proofErr w:type="spellStart"/>
      <w:r w:rsidRPr="00687EE0">
        <w:rPr>
          <w:rFonts w:ascii="Times New Roman" w:eastAsia="Arial" w:hAnsi="Times New Roman" w:cs="Times New Roman"/>
          <w:color w:val="252525"/>
          <w:sz w:val="24"/>
          <w:szCs w:val="24"/>
        </w:rPr>
        <w:t>Counc</w:t>
      </w:r>
      <w:proofErr w:type="spellEnd"/>
      <w:r w:rsidRPr="00687EE0">
        <w:rPr>
          <w:rFonts w:ascii="Times New Roman" w:eastAsia="Arial" w:hAnsi="Times New Roman" w:cs="Times New Roman"/>
          <w:color w:val="252525"/>
          <w:sz w:val="24"/>
          <w:szCs w:val="24"/>
        </w:rPr>
        <w:t>. 2019, 71:61-5.</w:t>
      </w:r>
    </w:p>
    <w:p w14:paraId="4749AD11"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eastAsia="Arial" w:hAnsi="Times New Roman" w:cs="Times New Roman"/>
          <w:color w:val="252525"/>
          <w:sz w:val="24"/>
          <w:szCs w:val="24"/>
        </w:rPr>
        <w:t xml:space="preserve">24. </w:t>
      </w:r>
      <w:proofErr w:type="spellStart"/>
      <w:r w:rsidRPr="00687EE0">
        <w:rPr>
          <w:rFonts w:ascii="Times New Roman" w:hAnsi="Times New Roman" w:cs="Times New Roman"/>
          <w:color w:val="222222"/>
          <w:sz w:val="24"/>
          <w:szCs w:val="24"/>
          <w:shd w:val="clear" w:color="auto" w:fill="FFFFFF"/>
        </w:rPr>
        <w:t>Hemayati</w:t>
      </w:r>
      <w:proofErr w:type="spellEnd"/>
      <w:r w:rsidRPr="00687EE0">
        <w:rPr>
          <w:rFonts w:ascii="Times New Roman" w:hAnsi="Times New Roman" w:cs="Times New Roman"/>
          <w:color w:val="222222"/>
          <w:sz w:val="24"/>
          <w:szCs w:val="24"/>
          <w:shd w:val="clear" w:color="auto" w:fill="FFFFFF"/>
        </w:rPr>
        <w:t xml:space="preserve"> R, </w:t>
      </w:r>
      <w:proofErr w:type="spellStart"/>
      <w:r w:rsidRPr="00687EE0">
        <w:rPr>
          <w:rFonts w:ascii="Times New Roman" w:hAnsi="Times New Roman" w:cs="Times New Roman"/>
          <w:color w:val="222222"/>
          <w:sz w:val="24"/>
          <w:szCs w:val="24"/>
          <w:shd w:val="clear" w:color="auto" w:fill="FFFFFF"/>
        </w:rPr>
        <w:t>Kaseb</w:t>
      </w:r>
      <w:proofErr w:type="spellEnd"/>
      <w:r w:rsidRPr="00687EE0">
        <w:rPr>
          <w:rFonts w:ascii="Times New Roman" w:hAnsi="Times New Roman" w:cs="Times New Roman"/>
          <w:color w:val="222222"/>
          <w:sz w:val="24"/>
          <w:szCs w:val="24"/>
          <w:shd w:val="clear" w:color="auto" w:fill="FFFFFF"/>
        </w:rPr>
        <w:t xml:space="preserve"> F, </w:t>
      </w:r>
      <w:proofErr w:type="spellStart"/>
      <w:r w:rsidRPr="00687EE0">
        <w:rPr>
          <w:rFonts w:ascii="Times New Roman" w:hAnsi="Times New Roman" w:cs="Times New Roman"/>
          <w:color w:val="222222"/>
          <w:sz w:val="24"/>
          <w:szCs w:val="24"/>
          <w:shd w:val="clear" w:color="auto" w:fill="FFFFFF"/>
        </w:rPr>
        <w:t>Ghadiri-anari</w:t>
      </w:r>
      <w:proofErr w:type="spellEnd"/>
      <w:r w:rsidRPr="00687EE0">
        <w:rPr>
          <w:rFonts w:ascii="Times New Roman" w:hAnsi="Times New Roman" w:cs="Times New Roman"/>
          <w:color w:val="222222"/>
          <w:sz w:val="24"/>
          <w:szCs w:val="24"/>
          <w:shd w:val="clear" w:color="auto" w:fill="FFFFFF"/>
        </w:rPr>
        <w:t xml:space="preserve"> A, </w:t>
      </w:r>
      <w:proofErr w:type="spellStart"/>
      <w:r w:rsidRPr="00687EE0">
        <w:rPr>
          <w:rFonts w:ascii="Times New Roman" w:hAnsi="Times New Roman" w:cs="Times New Roman"/>
          <w:color w:val="222222"/>
          <w:sz w:val="24"/>
          <w:szCs w:val="24"/>
          <w:shd w:val="clear" w:color="auto" w:fill="FFFFFF"/>
        </w:rPr>
        <w:t>Yosefi</w:t>
      </w:r>
      <w:proofErr w:type="spellEnd"/>
      <w:r w:rsidRPr="00687EE0">
        <w:rPr>
          <w:rFonts w:ascii="Times New Roman" w:hAnsi="Times New Roman" w:cs="Times New Roman"/>
          <w:color w:val="222222"/>
          <w:sz w:val="24"/>
          <w:szCs w:val="24"/>
          <w:shd w:val="clear" w:color="auto" w:fill="FFFFFF"/>
        </w:rPr>
        <w:t xml:space="preserve"> F. The relationship between microalbuminuria, overweight and obesity. Journal of </w:t>
      </w:r>
      <w:proofErr w:type="spellStart"/>
      <w:r w:rsidRPr="00687EE0">
        <w:rPr>
          <w:rFonts w:ascii="Times New Roman" w:hAnsi="Times New Roman" w:cs="Times New Roman"/>
          <w:color w:val="222222"/>
          <w:sz w:val="24"/>
          <w:szCs w:val="24"/>
          <w:shd w:val="clear" w:color="auto" w:fill="FFFFFF"/>
        </w:rPr>
        <w:t>Nephropathology</w:t>
      </w:r>
      <w:proofErr w:type="spellEnd"/>
      <w:r w:rsidRPr="00687EE0">
        <w:rPr>
          <w:rFonts w:ascii="Times New Roman" w:hAnsi="Times New Roman" w:cs="Times New Roman"/>
          <w:color w:val="222222"/>
          <w:sz w:val="24"/>
          <w:szCs w:val="24"/>
          <w:shd w:val="clear" w:color="auto" w:fill="FFFFFF"/>
        </w:rPr>
        <w:t>. 2020 Oct 1;9(4).</w:t>
      </w:r>
    </w:p>
    <w:p w14:paraId="70814DC6"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25. </w:t>
      </w:r>
      <w:proofErr w:type="spellStart"/>
      <w:r w:rsidRPr="00687EE0">
        <w:rPr>
          <w:rFonts w:ascii="Times New Roman" w:hAnsi="Times New Roman" w:cs="Times New Roman"/>
          <w:color w:val="222222"/>
          <w:sz w:val="24"/>
          <w:szCs w:val="24"/>
          <w:shd w:val="clear" w:color="auto" w:fill="FFFFFF"/>
        </w:rPr>
        <w:t>Adeloye</w:t>
      </w:r>
      <w:proofErr w:type="spellEnd"/>
      <w:r w:rsidRPr="00687EE0">
        <w:rPr>
          <w:rFonts w:ascii="Times New Roman" w:hAnsi="Times New Roman" w:cs="Times New Roman"/>
          <w:color w:val="222222"/>
          <w:sz w:val="24"/>
          <w:szCs w:val="24"/>
          <w:shd w:val="clear" w:color="auto" w:fill="FFFFFF"/>
        </w:rPr>
        <w:t xml:space="preserve"> D, </w:t>
      </w:r>
      <w:proofErr w:type="spellStart"/>
      <w:r w:rsidRPr="00687EE0">
        <w:rPr>
          <w:rFonts w:ascii="Times New Roman" w:hAnsi="Times New Roman" w:cs="Times New Roman"/>
          <w:color w:val="222222"/>
          <w:sz w:val="24"/>
          <w:szCs w:val="24"/>
          <w:shd w:val="clear" w:color="auto" w:fill="FFFFFF"/>
        </w:rPr>
        <w:t>Ige-Elegbede</w:t>
      </w:r>
      <w:proofErr w:type="spellEnd"/>
      <w:r w:rsidRPr="00687EE0">
        <w:rPr>
          <w:rFonts w:ascii="Times New Roman" w:hAnsi="Times New Roman" w:cs="Times New Roman"/>
          <w:color w:val="222222"/>
          <w:sz w:val="24"/>
          <w:szCs w:val="24"/>
          <w:shd w:val="clear" w:color="auto" w:fill="FFFFFF"/>
        </w:rPr>
        <w:t xml:space="preserve"> JO, </w:t>
      </w:r>
      <w:proofErr w:type="spellStart"/>
      <w:r w:rsidRPr="00687EE0">
        <w:rPr>
          <w:rFonts w:ascii="Times New Roman" w:hAnsi="Times New Roman" w:cs="Times New Roman"/>
          <w:color w:val="222222"/>
          <w:sz w:val="24"/>
          <w:szCs w:val="24"/>
          <w:shd w:val="clear" w:color="auto" w:fill="FFFFFF"/>
        </w:rPr>
        <w:t>Ezejimofor</w:t>
      </w:r>
      <w:proofErr w:type="spellEnd"/>
      <w:r w:rsidRPr="00687EE0">
        <w:rPr>
          <w:rFonts w:ascii="Times New Roman" w:hAnsi="Times New Roman" w:cs="Times New Roman"/>
          <w:color w:val="222222"/>
          <w:sz w:val="24"/>
          <w:szCs w:val="24"/>
          <w:shd w:val="clear" w:color="auto" w:fill="FFFFFF"/>
        </w:rPr>
        <w:t xml:space="preserve"> M, Owolabi EO, </w:t>
      </w:r>
      <w:proofErr w:type="spellStart"/>
      <w:r w:rsidRPr="00687EE0">
        <w:rPr>
          <w:rFonts w:ascii="Times New Roman" w:hAnsi="Times New Roman" w:cs="Times New Roman"/>
          <w:color w:val="222222"/>
          <w:sz w:val="24"/>
          <w:szCs w:val="24"/>
          <w:shd w:val="clear" w:color="auto" w:fill="FFFFFF"/>
        </w:rPr>
        <w:t>Ezeigwe</w:t>
      </w:r>
      <w:proofErr w:type="spellEnd"/>
      <w:r w:rsidRPr="00687EE0">
        <w:rPr>
          <w:rFonts w:ascii="Times New Roman" w:hAnsi="Times New Roman" w:cs="Times New Roman"/>
          <w:color w:val="222222"/>
          <w:sz w:val="24"/>
          <w:szCs w:val="24"/>
          <w:shd w:val="clear" w:color="auto" w:fill="FFFFFF"/>
        </w:rPr>
        <w:t xml:space="preserve"> N, Omoyele C, </w:t>
      </w:r>
      <w:proofErr w:type="spellStart"/>
      <w:r w:rsidRPr="00687EE0">
        <w:rPr>
          <w:rFonts w:ascii="Times New Roman" w:hAnsi="Times New Roman" w:cs="Times New Roman"/>
          <w:color w:val="222222"/>
          <w:sz w:val="24"/>
          <w:szCs w:val="24"/>
          <w:shd w:val="clear" w:color="auto" w:fill="FFFFFF"/>
        </w:rPr>
        <w:t>Mpazanje</w:t>
      </w:r>
      <w:proofErr w:type="spellEnd"/>
      <w:r w:rsidRPr="00687EE0">
        <w:rPr>
          <w:rFonts w:ascii="Times New Roman" w:hAnsi="Times New Roman" w:cs="Times New Roman"/>
          <w:color w:val="222222"/>
          <w:sz w:val="24"/>
          <w:szCs w:val="24"/>
          <w:shd w:val="clear" w:color="auto" w:fill="FFFFFF"/>
        </w:rPr>
        <w:t xml:space="preserve"> RG, Dewan MT, Agogo E, </w:t>
      </w:r>
      <w:proofErr w:type="spellStart"/>
      <w:r w:rsidRPr="00687EE0">
        <w:rPr>
          <w:rFonts w:ascii="Times New Roman" w:hAnsi="Times New Roman" w:cs="Times New Roman"/>
          <w:color w:val="222222"/>
          <w:sz w:val="24"/>
          <w:szCs w:val="24"/>
          <w:shd w:val="clear" w:color="auto" w:fill="FFFFFF"/>
        </w:rPr>
        <w:t>Gadanya</w:t>
      </w:r>
      <w:proofErr w:type="spellEnd"/>
      <w:r w:rsidRPr="00687EE0">
        <w:rPr>
          <w:rFonts w:ascii="Times New Roman" w:hAnsi="Times New Roman" w:cs="Times New Roman"/>
          <w:color w:val="222222"/>
          <w:sz w:val="24"/>
          <w:szCs w:val="24"/>
          <w:shd w:val="clear" w:color="auto" w:fill="FFFFFF"/>
        </w:rPr>
        <w:t xml:space="preserve"> MA, Alemu W. Estimating the prevalence of </w:t>
      </w:r>
      <w:r w:rsidRPr="00687EE0">
        <w:rPr>
          <w:rFonts w:ascii="Times New Roman" w:hAnsi="Times New Roman" w:cs="Times New Roman"/>
          <w:color w:val="222222"/>
          <w:sz w:val="24"/>
          <w:szCs w:val="24"/>
          <w:shd w:val="clear" w:color="auto" w:fill="FFFFFF"/>
        </w:rPr>
        <w:lastRenderedPageBreak/>
        <w:t>overweight and obesity in Nigeria in 2020: a systematic review and meta-analysis. Annals of medicine. 2021 Jan 1;53(1):495-507.</w:t>
      </w:r>
    </w:p>
    <w:p w14:paraId="2B9194A6"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26. </w:t>
      </w:r>
      <w:proofErr w:type="spellStart"/>
      <w:r w:rsidRPr="00687EE0">
        <w:rPr>
          <w:rFonts w:ascii="Times New Roman" w:hAnsi="Times New Roman" w:cs="Times New Roman"/>
          <w:color w:val="222222"/>
          <w:sz w:val="24"/>
          <w:szCs w:val="24"/>
          <w:shd w:val="clear" w:color="auto" w:fill="FFFFFF"/>
        </w:rPr>
        <w:t>Ufuoma</w:t>
      </w:r>
      <w:proofErr w:type="spellEnd"/>
      <w:r w:rsidRPr="00687EE0">
        <w:rPr>
          <w:rFonts w:ascii="Times New Roman" w:hAnsi="Times New Roman" w:cs="Times New Roman"/>
          <w:color w:val="222222"/>
          <w:sz w:val="24"/>
          <w:szCs w:val="24"/>
          <w:shd w:val="clear" w:color="auto" w:fill="FFFFFF"/>
        </w:rPr>
        <w:t xml:space="preserve"> C, Ngozi JC, Kester AD, Godwin YD. Prevalence and risk factors of microalbuminuria among type 2 diabetes mellitus: A hospital-based study from, Warri, Nigeria. Sahel Medical Journal. 2016 Jan 1;19(1):16-20.</w:t>
      </w:r>
    </w:p>
    <w:p w14:paraId="0B00778E"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27. Li X, Chattopadhyay K, Qian X, Yu J, Xu M, Li L, Sun J, Li J. Association between sleep duration and albuminuria in patients with type 2 diabetes: A cross-sectional study in Ningbo, China. Diabetes, metabolic syndrome and obesity: targets and therapy. 2022 Jan 1:1667-75.</w:t>
      </w:r>
    </w:p>
    <w:p w14:paraId="2BF72E7F"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28. </w:t>
      </w:r>
      <w:proofErr w:type="spellStart"/>
      <w:r w:rsidRPr="00687EE0">
        <w:rPr>
          <w:rFonts w:ascii="Times New Roman" w:hAnsi="Times New Roman" w:cs="Times New Roman"/>
          <w:color w:val="222222"/>
          <w:sz w:val="24"/>
          <w:szCs w:val="24"/>
          <w:shd w:val="clear" w:color="auto" w:fill="FFFFFF"/>
        </w:rPr>
        <w:t>Hemati</w:t>
      </w:r>
      <w:proofErr w:type="spellEnd"/>
      <w:r w:rsidRPr="00687EE0">
        <w:rPr>
          <w:rFonts w:ascii="Times New Roman" w:hAnsi="Times New Roman" w:cs="Times New Roman"/>
          <w:color w:val="222222"/>
          <w:sz w:val="24"/>
          <w:szCs w:val="24"/>
          <w:shd w:val="clear" w:color="auto" w:fill="FFFFFF"/>
        </w:rPr>
        <w:t xml:space="preserve"> N, Shiri F, Ahmadi F, Najafi F, </w:t>
      </w:r>
      <w:proofErr w:type="spellStart"/>
      <w:r w:rsidRPr="00687EE0">
        <w:rPr>
          <w:rFonts w:ascii="Times New Roman" w:hAnsi="Times New Roman" w:cs="Times New Roman"/>
          <w:color w:val="222222"/>
          <w:sz w:val="24"/>
          <w:szCs w:val="24"/>
          <w:shd w:val="clear" w:color="auto" w:fill="FFFFFF"/>
        </w:rPr>
        <w:t>Moradinazar</w:t>
      </w:r>
      <w:proofErr w:type="spellEnd"/>
      <w:r w:rsidRPr="00687EE0">
        <w:rPr>
          <w:rFonts w:ascii="Times New Roman" w:hAnsi="Times New Roman" w:cs="Times New Roman"/>
          <w:color w:val="222222"/>
          <w:sz w:val="24"/>
          <w:szCs w:val="24"/>
          <w:shd w:val="clear" w:color="auto" w:fill="FFFFFF"/>
        </w:rPr>
        <w:t xml:space="preserve"> M, </w:t>
      </w:r>
      <w:proofErr w:type="spellStart"/>
      <w:r w:rsidRPr="00687EE0">
        <w:rPr>
          <w:rFonts w:ascii="Times New Roman" w:hAnsi="Times New Roman" w:cs="Times New Roman"/>
          <w:color w:val="222222"/>
          <w:sz w:val="24"/>
          <w:szCs w:val="24"/>
          <w:shd w:val="clear" w:color="auto" w:fill="FFFFFF"/>
        </w:rPr>
        <w:t>Norouzi</w:t>
      </w:r>
      <w:proofErr w:type="spellEnd"/>
      <w:r w:rsidRPr="00687EE0">
        <w:rPr>
          <w:rFonts w:ascii="Times New Roman" w:hAnsi="Times New Roman" w:cs="Times New Roman"/>
          <w:color w:val="222222"/>
          <w:sz w:val="24"/>
          <w:szCs w:val="24"/>
          <w:shd w:val="clear" w:color="auto" w:fill="FFFFFF"/>
        </w:rPr>
        <w:t xml:space="preserve"> E, </w:t>
      </w:r>
      <w:proofErr w:type="spellStart"/>
      <w:r w:rsidRPr="00687EE0">
        <w:rPr>
          <w:rFonts w:ascii="Times New Roman" w:hAnsi="Times New Roman" w:cs="Times New Roman"/>
          <w:color w:val="222222"/>
          <w:sz w:val="24"/>
          <w:szCs w:val="24"/>
          <w:shd w:val="clear" w:color="auto" w:fill="FFFFFF"/>
        </w:rPr>
        <w:t>Khazaie</w:t>
      </w:r>
      <w:proofErr w:type="spellEnd"/>
      <w:r w:rsidRPr="00687EE0">
        <w:rPr>
          <w:rFonts w:ascii="Times New Roman" w:hAnsi="Times New Roman" w:cs="Times New Roman"/>
          <w:color w:val="222222"/>
          <w:sz w:val="24"/>
          <w:szCs w:val="24"/>
          <w:shd w:val="clear" w:color="auto" w:fill="FFFFFF"/>
        </w:rPr>
        <w:t xml:space="preserve"> H. Association between sleep parameters and chronic kidney disease: findings from </w:t>
      </w:r>
      <w:proofErr w:type="spellStart"/>
      <w:r w:rsidRPr="00687EE0">
        <w:rPr>
          <w:rFonts w:ascii="Times New Roman" w:hAnsi="Times New Roman" w:cs="Times New Roman"/>
          <w:color w:val="222222"/>
          <w:sz w:val="24"/>
          <w:szCs w:val="24"/>
          <w:shd w:val="clear" w:color="auto" w:fill="FFFFFF"/>
        </w:rPr>
        <w:t>iranian</w:t>
      </w:r>
      <w:proofErr w:type="spellEnd"/>
      <w:r w:rsidRPr="00687EE0">
        <w:rPr>
          <w:rFonts w:ascii="Times New Roman" w:hAnsi="Times New Roman" w:cs="Times New Roman"/>
          <w:color w:val="222222"/>
          <w:sz w:val="24"/>
          <w:szCs w:val="24"/>
          <w:shd w:val="clear" w:color="auto" w:fill="FFFFFF"/>
        </w:rPr>
        <w:t xml:space="preserve"> </w:t>
      </w:r>
      <w:proofErr w:type="spellStart"/>
      <w:r w:rsidRPr="00687EE0">
        <w:rPr>
          <w:rFonts w:ascii="Times New Roman" w:hAnsi="Times New Roman" w:cs="Times New Roman"/>
          <w:color w:val="222222"/>
          <w:sz w:val="24"/>
          <w:szCs w:val="24"/>
          <w:shd w:val="clear" w:color="auto" w:fill="FFFFFF"/>
        </w:rPr>
        <w:t>ravansar</w:t>
      </w:r>
      <w:proofErr w:type="spellEnd"/>
      <w:r w:rsidRPr="00687EE0">
        <w:rPr>
          <w:rFonts w:ascii="Times New Roman" w:hAnsi="Times New Roman" w:cs="Times New Roman"/>
          <w:color w:val="222222"/>
          <w:sz w:val="24"/>
          <w:szCs w:val="24"/>
          <w:shd w:val="clear" w:color="auto" w:fill="FFFFFF"/>
        </w:rPr>
        <w:t xml:space="preserve"> cohort study. BMC nephrology. 2023 May 17;24(1):136.</w:t>
      </w:r>
    </w:p>
    <w:p w14:paraId="44BF828C"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29. Jiao Y, </w:t>
      </w:r>
      <w:proofErr w:type="spellStart"/>
      <w:r w:rsidRPr="00687EE0">
        <w:rPr>
          <w:rFonts w:ascii="Times New Roman" w:hAnsi="Times New Roman" w:cs="Times New Roman"/>
          <w:color w:val="222222"/>
          <w:sz w:val="24"/>
          <w:szCs w:val="24"/>
          <w:shd w:val="clear" w:color="auto" w:fill="FFFFFF"/>
        </w:rPr>
        <w:t>Butoyi</w:t>
      </w:r>
      <w:proofErr w:type="spellEnd"/>
      <w:r w:rsidRPr="00687EE0">
        <w:rPr>
          <w:rFonts w:ascii="Times New Roman" w:hAnsi="Times New Roman" w:cs="Times New Roman"/>
          <w:color w:val="222222"/>
          <w:sz w:val="24"/>
          <w:szCs w:val="24"/>
          <w:shd w:val="clear" w:color="auto" w:fill="FFFFFF"/>
        </w:rPr>
        <w:t xml:space="preserve"> C, Zhang Q, </w:t>
      </w:r>
      <w:proofErr w:type="spellStart"/>
      <w:r w:rsidRPr="00687EE0">
        <w:rPr>
          <w:rFonts w:ascii="Times New Roman" w:hAnsi="Times New Roman" w:cs="Times New Roman"/>
          <w:color w:val="222222"/>
          <w:sz w:val="24"/>
          <w:szCs w:val="24"/>
          <w:shd w:val="clear" w:color="auto" w:fill="FFFFFF"/>
        </w:rPr>
        <w:t>Intchasso</w:t>
      </w:r>
      <w:proofErr w:type="spellEnd"/>
      <w:r w:rsidRPr="00687EE0">
        <w:rPr>
          <w:rFonts w:ascii="Times New Roman" w:hAnsi="Times New Roman" w:cs="Times New Roman"/>
          <w:color w:val="222222"/>
          <w:sz w:val="24"/>
          <w:szCs w:val="24"/>
          <w:shd w:val="clear" w:color="auto" w:fill="FFFFFF"/>
        </w:rPr>
        <w:t xml:space="preserve"> </w:t>
      </w:r>
      <w:proofErr w:type="spellStart"/>
      <w:r w:rsidRPr="00687EE0">
        <w:rPr>
          <w:rFonts w:ascii="Times New Roman" w:hAnsi="Times New Roman" w:cs="Times New Roman"/>
          <w:color w:val="222222"/>
          <w:sz w:val="24"/>
          <w:szCs w:val="24"/>
          <w:shd w:val="clear" w:color="auto" w:fill="FFFFFF"/>
        </w:rPr>
        <w:t>Adotey</w:t>
      </w:r>
      <w:proofErr w:type="spellEnd"/>
      <w:r w:rsidRPr="00687EE0">
        <w:rPr>
          <w:rFonts w:ascii="Times New Roman" w:hAnsi="Times New Roman" w:cs="Times New Roman"/>
          <w:color w:val="222222"/>
          <w:sz w:val="24"/>
          <w:szCs w:val="24"/>
          <w:shd w:val="clear" w:color="auto" w:fill="FFFFFF"/>
        </w:rPr>
        <w:t xml:space="preserve"> SA, Chen M, Shen W, Wang D, Yuan G, Jia J. Sleep disorders impact hormonal regulation: unravelling the relationship among sleep disorders, hormones and metabolic diseases. Diabetology &amp; Metabolic Syndrome. 2025 Aug 1;17(1):305.</w:t>
      </w:r>
    </w:p>
    <w:p w14:paraId="0200087C"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30. </w:t>
      </w:r>
      <w:proofErr w:type="spellStart"/>
      <w:r w:rsidRPr="00687EE0">
        <w:rPr>
          <w:rFonts w:ascii="Times New Roman" w:hAnsi="Times New Roman" w:cs="Times New Roman"/>
          <w:color w:val="222222"/>
          <w:sz w:val="24"/>
          <w:szCs w:val="24"/>
          <w:shd w:val="clear" w:color="auto" w:fill="FFFFFF"/>
        </w:rPr>
        <w:t>Ataka</w:t>
      </w:r>
      <w:proofErr w:type="spellEnd"/>
      <w:r w:rsidRPr="00687EE0">
        <w:rPr>
          <w:rFonts w:ascii="Times New Roman" w:hAnsi="Times New Roman" w:cs="Times New Roman"/>
          <w:color w:val="222222"/>
          <w:sz w:val="24"/>
          <w:szCs w:val="24"/>
          <w:shd w:val="clear" w:color="auto" w:fill="FFFFFF"/>
        </w:rPr>
        <w:t xml:space="preserve"> E, </w:t>
      </w:r>
      <w:proofErr w:type="spellStart"/>
      <w:r w:rsidRPr="00687EE0">
        <w:rPr>
          <w:rFonts w:ascii="Times New Roman" w:hAnsi="Times New Roman" w:cs="Times New Roman"/>
          <w:color w:val="222222"/>
          <w:sz w:val="24"/>
          <w:szCs w:val="24"/>
          <w:shd w:val="clear" w:color="auto" w:fill="FFFFFF"/>
        </w:rPr>
        <w:t>Matsukuma</w:t>
      </w:r>
      <w:proofErr w:type="spellEnd"/>
      <w:r w:rsidRPr="00687EE0">
        <w:rPr>
          <w:rFonts w:ascii="Times New Roman" w:hAnsi="Times New Roman" w:cs="Times New Roman"/>
          <w:color w:val="222222"/>
          <w:sz w:val="24"/>
          <w:szCs w:val="24"/>
          <w:shd w:val="clear" w:color="auto" w:fill="FFFFFF"/>
        </w:rPr>
        <w:t xml:space="preserve"> Y, Ueki K, </w:t>
      </w:r>
      <w:proofErr w:type="spellStart"/>
      <w:r w:rsidRPr="00687EE0">
        <w:rPr>
          <w:rFonts w:ascii="Times New Roman" w:hAnsi="Times New Roman" w:cs="Times New Roman"/>
          <w:color w:val="222222"/>
          <w:sz w:val="24"/>
          <w:szCs w:val="24"/>
          <w:shd w:val="clear" w:color="auto" w:fill="FFFFFF"/>
        </w:rPr>
        <w:t>Tsuchimoto</w:t>
      </w:r>
      <w:proofErr w:type="spellEnd"/>
      <w:r w:rsidRPr="00687EE0">
        <w:rPr>
          <w:rFonts w:ascii="Times New Roman" w:hAnsi="Times New Roman" w:cs="Times New Roman"/>
          <w:color w:val="222222"/>
          <w:sz w:val="24"/>
          <w:szCs w:val="24"/>
          <w:shd w:val="clear" w:color="auto" w:fill="FFFFFF"/>
        </w:rPr>
        <w:t xml:space="preserve"> A, Okabe Y, </w:t>
      </w:r>
      <w:proofErr w:type="spellStart"/>
      <w:r w:rsidRPr="00687EE0">
        <w:rPr>
          <w:rFonts w:ascii="Times New Roman" w:hAnsi="Times New Roman" w:cs="Times New Roman"/>
          <w:color w:val="222222"/>
          <w:sz w:val="24"/>
          <w:szCs w:val="24"/>
          <w:shd w:val="clear" w:color="auto" w:fill="FFFFFF"/>
        </w:rPr>
        <w:t>Masutani</w:t>
      </w:r>
      <w:proofErr w:type="spellEnd"/>
      <w:r w:rsidRPr="00687EE0">
        <w:rPr>
          <w:rFonts w:ascii="Times New Roman" w:hAnsi="Times New Roman" w:cs="Times New Roman"/>
          <w:color w:val="222222"/>
          <w:sz w:val="24"/>
          <w:szCs w:val="24"/>
          <w:shd w:val="clear" w:color="auto" w:fill="FFFFFF"/>
        </w:rPr>
        <w:t xml:space="preserve"> K, Nakamura M, Nakano T, </w:t>
      </w:r>
      <w:proofErr w:type="spellStart"/>
      <w:r w:rsidRPr="00687EE0">
        <w:rPr>
          <w:rFonts w:ascii="Times New Roman" w:hAnsi="Times New Roman" w:cs="Times New Roman"/>
          <w:color w:val="222222"/>
          <w:sz w:val="24"/>
          <w:szCs w:val="24"/>
          <w:shd w:val="clear" w:color="auto" w:fill="FFFFFF"/>
        </w:rPr>
        <w:t>Kitazono</w:t>
      </w:r>
      <w:proofErr w:type="spellEnd"/>
      <w:r w:rsidRPr="00687EE0">
        <w:rPr>
          <w:rFonts w:ascii="Times New Roman" w:hAnsi="Times New Roman" w:cs="Times New Roman"/>
          <w:color w:val="222222"/>
          <w:sz w:val="24"/>
          <w:szCs w:val="24"/>
          <w:shd w:val="clear" w:color="auto" w:fill="FFFFFF"/>
        </w:rPr>
        <w:t xml:space="preserve"> T. Cumulative smoking dose is associated with subclinical renal injury: a pathological study in individuals without chronic kidney disease. Nephrology Dialysis Transplantation. 2023 Dec;38(12):2799-808.</w:t>
      </w:r>
    </w:p>
    <w:p w14:paraId="5652256F"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lastRenderedPageBreak/>
        <w:t>31. Wu N, Bredin SS, Guan Y, Dickinson K, Kim DD, Chua Z, Kaufman K, Warburton DE. Cardiovascular health benefits of exercise training in persons living with type 1 diabetes: a systematic review and meta-analysis. Journal of clinical medicine. 2019 Feb 17;8(2):253.</w:t>
      </w:r>
    </w:p>
    <w:p w14:paraId="2872E97F" w14:textId="77777777" w:rsidR="00CF427A" w:rsidRPr="00687EE0" w:rsidRDefault="00CF427A" w:rsidP="00CF427A">
      <w:pPr>
        <w:spacing w:before="187" w:after="0" w:line="480" w:lineRule="auto"/>
        <w:ind w:left="680" w:right="40" w:hanging="660"/>
        <w:jc w:val="both"/>
        <w:rPr>
          <w:rFonts w:ascii="Times New Roman" w:hAnsi="Times New Roman" w:cs="Times New Roman"/>
          <w:sz w:val="24"/>
          <w:szCs w:val="24"/>
        </w:rPr>
      </w:pPr>
      <w:r w:rsidRPr="00687EE0">
        <w:rPr>
          <w:rFonts w:ascii="Times New Roman" w:hAnsi="Times New Roman" w:cs="Times New Roman"/>
          <w:color w:val="222222"/>
          <w:sz w:val="24"/>
          <w:szCs w:val="24"/>
          <w:shd w:val="clear" w:color="auto" w:fill="FFFFFF"/>
        </w:rPr>
        <w:t xml:space="preserve">32. </w:t>
      </w:r>
      <w:proofErr w:type="spellStart"/>
      <w:r w:rsidRPr="00687EE0">
        <w:rPr>
          <w:rFonts w:ascii="Times New Roman" w:hAnsi="Times New Roman" w:cs="Times New Roman"/>
          <w:color w:val="222222"/>
          <w:sz w:val="24"/>
          <w:szCs w:val="24"/>
          <w:shd w:val="clear" w:color="auto" w:fill="FFFFFF"/>
        </w:rPr>
        <w:t>Xiong</w:t>
      </w:r>
      <w:proofErr w:type="spellEnd"/>
      <w:r w:rsidRPr="00687EE0">
        <w:rPr>
          <w:rFonts w:ascii="Times New Roman" w:hAnsi="Times New Roman" w:cs="Times New Roman"/>
          <w:color w:val="222222"/>
          <w:sz w:val="24"/>
          <w:szCs w:val="24"/>
          <w:shd w:val="clear" w:color="auto" w:fill="FFFFFF"/>
        </w:rPr>
        <w:t xml:space="preserve"> B, Wang Y, He J, Wang L, He R, Zhu M, Wang J, Li Y, Liu B, Xiao K, She Q. Association of domain-specific physical activity with albuminuria among prediabetes and diabetes: a large cross-sectional study. Journal of Translational Medicine. 2024 Mar 8;22(1):252.</w:t>
      </w:r>
    </w:p>
    <w:p w14:paraId="5B747345" w14:textId="77777777" w:rsidR="00CF427A" w:rsidRPr="00687EE0" w:rsidRDefault="00CF427A" w:rsidP="000953F9">
      <w:pPr>
        <w:spacing w:after="0"/>
        <w:rPr>
          <w:rFonts w:ascii="Times New Roman" w:hAnsi="Times New Roman" w:cs="Times New Roman"/>
          <w:sz w:val="24"/>
          <w:szCs w:val="24"/>
        </w:rPr>
      </w:pPr>
    </w:p>
    <w:p w14:paraId="1D76F882" w14:textId="77777777" w:rsidR="0063058E" w:rsidRPr="00687EE0" w:rsidRDefault="0063058E" w:rsidP="000953F9">
      <w:pPr>
        <w:spacing w:after="0"/>
        <w:rPr>
          <w:rFonts w:ascii="Times New Roman" w:hAnsi="Times New Roman" w:cs="Times New Roman"/>
          <w:sz w:val="24"/>
          <w:szCs w:val="24"/>
        </w:rPr>
      </w:pPr>
    </w:p>
    <w:p w14:paraId="78284FEA" w14:textId="77777777" w:rsidR="0063058E" w:rsidRPr="00687EE0" w:rsidRDefault="0063058E" w:rsidP="000953F9">
      <w:pPr>
        <w:spacing w:after="0"/>
        <w:rPr>
          <w:rFonts w:ascii="Times New Roman" w:hAnsi="Times New Roman" w:cs="Times New Roman"/>
          <w:sz w:val="24"/>
          <w:szCs w:val="24"/>
        </w:rPr>
      </w:pPr>
    </w:p>
    <w:sectPr w:rsidR="0063058E" w:rsidRPr="00687E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499A5" w14:textId="77777777" w:rsidR="00F82049" w:rsidRDefault="00F82049" w:rsidP="00997E95">
      <w:pPr>
        <w:spacing w:after="0" w:line="240" w:lineRule="auto"/>
      </w:pPr>
      <w:r>
        <w:separator/>
      </w:r>
    </w:p>
  </w:endnote>
  <w:endnote w:type="continuationSeparator" w:id="0">
    <w:p w14:paraId="0D5B0F28" w14:textId="77777777" w:rsidR="00F82049" w:rsidRDefault="00F82049" w:rsidP="0099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3C30" w14:textId="77777777" w:rsidR="00997E95" w:rsidRDefault="0099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C96C" w14:textId="77777777" w:rsidR="00997E95" w:rsidRDefault="00997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F4CB" w14:textId="77777777" w:rsidR="00997E95" w:rsidRDefault="0099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FFB9E" w14:textId="77777777" w:rsidR="00F82049" w:rsidRDefault="00F82049" w:rsidP="00997E95">
      <w:pPr>
        <w:spacing w:after="0" w:line="240" w:lineRule="auto"/>
      </w:pPr>
      <w:r>
        <w:separator/>
      </w:r>
    </w:p>
  </w:footnote>
  <w:footnote w:type="continuationSeparator" w:id="0">
    <w:p w14:paraId="054BA3DF" w14:textId="77777777" w:rsidR="00F82049" w:rsidRDefault="00F82049" w:rsidP="0099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03B8" w14:textId="60F15CD3" w:rsidR="00997E95" w:rsidRDefault="00997E95">
    <w:pPr>
      <w:pStyle w:val="Header"/>
    </w:pPr>
    <w:r>
      <w:rPr>
        <w:noProof/>
      </w:rPr>
      <w:pict w14:anchorId="2BCC8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2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9D44" w14:textId="64D545F2" w:rsidR="00997E95" w:rsidRDefault="00997E95">
    <w:pPr>
      <w:pStyle w:val="Header"/>
    </w:pPr>
    <w:r>
      <w:rPr>
        <w:noProof/>
      </w:rPr>
      <w:pict w14:anchorId="14B0F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2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70DB" w14:textId="5F64CE13" w:rsidR="00997E95" w:rsidRDefault="00997E95">
    <w:pPr>
      <w:pStyle w:val="Header"/>
    </w:pPr>
    <w:r>
      <w:rPr>
        <w:noProof/>
      </w:rPr>
      <w:pict w14:anchorId="53903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2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779EC"/>
    <w:multiLevelType w:val="hybridMultilevel"/>
    <w:tmpl w:val="D87CAE1E"/>
    <w:lvl w:ilvl="0" w:tplc="49A4A4E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4D2A0BBE"/>
    <w:multiLevelType w:val="multilevel"/>
    <w:tmpl w:val="6E7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527EE"/>
    <w:multiLevelType w:val="hybridMultilevel"/>
    <w:tmpl w:val="A2F40F6E"/>
    <w:lvl w:ilvl="0" w:tplc="AA423F6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20"/>
    <w:rsid w:val="00034231"/>
    <w:rsid w:val="00053EDF"/>
    <w:rsid w:val="00057F29"/>
    <w:rsid w:val="00075D5B"/>
    <w:rsid w:val="000953F9"/>
    <w:rsid w:val="000B3B3F"/>
    <w:rsid w:val="00125480"/>
    <w:rsid w:val="00152B2D"/>
    <w:rsid w:val="001A2B26"/>
    <w:rsid w:val="001F1795"/>
    <w:rsid w:val="0021014C"/>
    <w:rsid w:val="002129A1"/>
    <w:rsid w:val="00246523"/>
    <w:rsid w:val="00296C57"/>
    <w:rsid w:val="002E1457"/>
    <w:rsid w:val="002F2A54"/>
    <w:rsid w:val="002F7FDC"/>
    <w:rsid w:val="00313B31"/>
    <w:rsid w:val="00352009"/>
    <w:rsid w:val="003562CC"/>
    <w:rsid w:val="00373D8D"/>
    <w:rsid w:val="00395AEE"/>
    <w:rsid w:val="003B048B"/>
    <w:rsid w:val="003C7F86"/>
    <w:rsid w:val="003D4A14"/>
    <w:rsid w:val="003D4FFD"/>
    <w:rsid w:val="004020CE"/>
    <w:rsid w:val="0043750D"/>
    <w:rsid w:val="00440B85"/>
    <w:rsid w:val="004532F7"/>
    <w:rsid w:val="004D4240"/>
    <w:rsid w:val="004E0464"/>
    <w:rsid w:val="0054183C"/>
    <w:rsid w:val="00547418"/>
    <w:rsid w:val="005B2C4B"/>
    <w:rsid w:val="005B5B47"/>
    <w:rsid w:val="0063058E"/>
    <w:rsid w:val="00655BA1"/>
    <w:rsid w:val="0066145A"/>
    <w:rsid w:val="00687EE0"/>
    <w:rsid w:val="00691D79"/>
    <w:rsid w:val="006A7635"/>
    <w:rsid w:val="006C21B5"/>
    <w:rsid w:val="006D4C13"/>
    <w:rsid w:val="006E32E1"/>
    <w:rsid w:val="00707D60"/>
    <w:rsid w:val="00730303"/>
    <w:rsid w:val="007349A5"/>
    <w:rsid w:val="00754D97"/>
    <w:rsid w:val="00763E20"/>
    <w:rsid w:val="0078145B"/>
    <w:rsid w:val="007C24B2"/>
    <w:rsid w:val="008034CF"/>
    <w:rsid w:val="00847BB5"/>
    <w:rsid w:val="00851554"/>
    <w:rsid w:val="00864A96"/>
    <w:rsid w:val="00881177"/>
    <w:rsid w:val="008A2A64"/>
    <w:rsid w:val="008B01F0"/>
    <w:rsid w:val="008B35F8"/>
    <w:rsid w:val="008D1E51"/>
    <w:rsid w:val="008D232B"/>
    <w:rsid w:val="008D44D3"/>
    <w:rsid w:val="008D4FFC"/>
    <w:rsid w:val="008E35D9"/>
    <w:rsid w:val="00912410"/>
    <w:rsid w:val="0092249E"/>
    <w:rsid w:val="00980C03"/>
    <w:rsid w:val="00995A58"/>
    <w:rsid w:val="00997E95"/>
    <w:rsid w:val="009D5B19"/>
    <w:rsid w:val="009D7D5F"/>
    <w:rsid w:val="009F672D"/>
    <w:rsid w:val="009F7908"/>
    <w:rsid w:val="00A06C8A"/>
    <w:rsid w:val="00A14934"/>
    <w:rsid w:val="00A301D4"/>
    <w:rsid w:val="00A34901"/>
    <w:rsid w:val="00A4108D"/>
    <w:rsid w:val="00A5329F"/>
    <w:rsid w:val="00A64841"/>
    <w:rsid w:val="00A963FF"/>
    <w:rsid w:val="00AD4C2F"/>
    <w:rsid w:val="00AE5382"/>
    <w:rsid w:val="00AF3910"/>
    <w:rsid w:val="00B113B8"/>
    <w:rsid w:val="00B14921"/>
    <w:rsid w:val="00B46B06"/>
    <w:rsid w:val="00B47B40"/>
    <w:rsid w:val="00B50457"/>
    <w:rsid w:val="00B90748"/>
    <w:rsid w:val="00BE72CB"/>
    <w:rsid w:val="00C40895"/>
    <w:rsid w:val="00C46BC0"/>
    <w:rsid w:val="00CA4296"/>
    <w:rsid w:val="00CA78F6"/>
    <w:rsid w:val="00CE178E"/>
    <w:rsid w:val="00CF427A"/>
    <w:rsid w:val="00CF4869"/>
    <w:rsid w:val="00D31D7F"/>
    <w:rsid w:val="00D465AB"/>
    <w:rsid w:val="00D86477"/>
    <w:rsid w:val="00DA3628"/>
    <w:rsid w:val="00DA7C16"/>
    <w:rsid w:val="00DE14D6"/>
    <w:rsid w:val="00DE5C10"/>
    <w:rsid w:val="00DF791A"/>
    <w:rsid w:val="00E17FCB"/>
    <w:rsid w:val="00EB5C31"/>
    <w:rsid w:val="00EE254E"/>
    <w:rsid w:val="00EF67E0"/>
    <w:rsid w:val="00F244B2"/>
    <w:rsid w:val="00F7147A"/>
    <w:rsid w:val="00F7257A"/>
    <w:rsid w:val="00F81C43"/>
    <w:rsid w:val="00F82049"/>
    <w:rsid w:val="00FB3B1F"/>
    <w:rsid w:val="00FD54E1"/>
    <w:rsid w:val="00FE3F76"/>
    <w:rsid w:val="00FF5D6C"/>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444883"/>
  <w15:chartTrackingRefBased/>
  <w15:docId w15:val="{2BEB1199-D86C-43E3-8199-32AD51D0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244B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B19"/>
    <w:pPr>
      <w:ind w:left="720"/>
      <w:contextualSpacing/>
    </w:pPr>
  </w:style>
  <w:style w:type="paragraph" w:styleId="NormalWeb">
    <w:name w:val="Normal (Web)"/>
    <w:basedOn w:val="Normal"/>
    <w:uiPriority w:val="99"/>
    <w:unhideWhenUsed/>
    <w:rsid w:val="002E14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E1457"/>
    <w:rPr>
      <w:b/>
      <w:bCs/>
    </w:rPr>
  </w:style>
  <w:style w:type="character" w:customStyle="1" w:styleId="Heading3Char">
    <w:name w:val="Heading 3 Char"/>
    <w:basedOn w:val="DefaultParagraphFont"/>
    <w:link w:val="Heading3"/>
    <w:uiPriority w:val="9"/>
    <w:rsid w:val="00F244B2"/>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7349A5"/>
    <w:rPr>
      <w:i/>
      <w:iCs/>
    </w:rPr>
  </w:style>
  <w:style w:type="paragraph" w:styleId="z-TopofForm">
    <w:name w:val="HTML Top of Form"/>
    <w:basedOn w:val="Normal"/>
    <w:next w:val="Normal"/>
    <w:link w:val="z-TopofFormChar"/>
    <w:hidden/>
    <w:uiPriority w:val="99"/>
    <w:semiHidden/>
    <w:unhideWhenUsed/>
    <w:rsid w:val="007349A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7349A5"/>
    <w:rPr>
      <w:rFonts w:ascii="Arial" w:eastAsia="Times New Roman" w:hAnsi="Arial" w:cs="Arial"/>
      <w:vanish/>
      <w:sz w:val="16"/>
      <w:szCs w:val="16"/>
      <w:lang w:val="en-GB" w:eastAsia="en-GB"/>
    </w:rPr>
  </w:style>
  <w:style w:type="paragraph" w:customStyle="1" w:styleId="placeholder">
    <w:name w:val="placeholder"/>
    <w:basedOn w:val="Normal"/>
    <w:rsid w:val="007349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7349A5"/>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7349A5"/>
    <w:rPr>
      <w:rFonts w:ascii="Arial" w:eastAsia="Times New Roman" w:hAnsi="Arial" w:cs="Arial"/>
      <w:vanish/>
      <w:sz w:val="16"/>
      <w:szCs w:val="16"/>
      <w:lang w:val="en-GB" w:eastAsia="en-GB"/>
    </w:rPr>
  </w:style>
  <w:style w:type="table" w:styleId="PlainTable4">
    <w:name w:val="Plain Table 4"/>
    <w:basedOn w:val="TableNormal"/>
    <w:uiPriority w:val="44"/>
    <w:rsid w:val="00CF42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F2A54"/>
    <w:rPr>
      <w:color w:val="0563C1" w:themeColor="hyperlink"/>
      <w:u w:val="single"/>
    </w:rPr>
  </w:style>
  <w:style w:type="character" w:styleId="UnresolvedMention">
    <w:name w:val="Unresolved Mention"/>
    <w:basedOn w:val="DefaultParagraphFont"/>
    <w:uiPriority w:val="99"/>
    <w:semiHidden/>
    <w:unhideWhenUsed/>
    <w:rsid w:val="002F2A54"/>
    <w:rPr>
      <w:color w:val="605E5C"/>
      <w:shd w:val="clear" w:color="auto" w:fill="E1DFDD"/>
    </w:rPr>
  </w:style>
  <w:style w:type="paragraph" w:styleId="Header">
    <w:name w:val="header"/>
    <w:basedOn w:val="Normal"/>
    <w:link w:val="HeaderChar"/>
    <w:uiPriority w:val="99"/>
    <w:unhideWhenUsed/>
    <w:rsid w:val="0099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95"/>
  </w:style>
  <w:style w:type="paragraph" w:styleId="Footer">
    <w:name w:val="footer"/>
    <w:basedOn w:val="Normal"/>
    <w:link w:val="FooterChar"/>
    <w:uiPriority w:val="99"/>
    <w:unhideWhenUsed/>
    <w:rsid w:val="0099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0373">
      <w:bodyDiv w:val="1"/>
      <w:marLeft w:val="0"/>
      <w:marRight w:val="0"/>
      <w:marTop w:val="0"/>
      <w:marBottom w:val="0"/>
      <w:divBdr>
        <w:top w:val="none" w:sz="0" w:space="0" w:color="auto"/>
        <w:left w:val="none" w:sz="0" w:space="0" w:color="auto"/>
        <w:bottom w:val="none" w:sz="0" w:space="0" w:color="auto"/>
        <w:right w:val="none" w:sz="0" w:space="0" w:color="auto"/>
      </w:divBdr>
    </w:div>
    <w:div w:id="430902350">
      <w:bodyDiv w:val="1"/>
      <w:marLeft w:val="0"/>
      <w:marRight w:val="0"/>
      <w:marTop w:val="0"/>
      <w:marBottom w:val="0"/>
      <w:divBdr>
        <w:top w:val="none" w:sz="0" w:space="0" w:color="auto"/>
        <w:left w:val="none" w:sz="0" w:space="0" w:color="auto"/>
        <w:bottom w:val="none" w:sz="0" w:space="0" w:color="auto"/>
        <w:right w:val="none" w:sz="0" w:space="0" w:color="auto"/>
      </w:divBdr>
    </w:div>
    <w:div w:id="469636874">
      <w:bodyDiv w:val="1"/>
      <w:marLeft w:val="0"/>
      <w:marRight w:val="0"/>
      <w:marTop w:val="0"/>
      <w:marBottom w:val="0"/>
      <w:divBdr>
        <w:top w:val="none" w:sz="0" w:space="0" w:color="auto"/>
        <w:left w:val="none" w:sz="0" w:space="0" w:color="auto"/>
        <w:bottom w:val="none" w:sz="0" w:space="0" w:color="auto"/>
        <w:right w:val="none" w:sz="0" w:space="0" w:color="auto"/>
      </w:divBdr>
    </w:div>
    <w:div w:id="721711166">
      <w:bodyDiv w:val="1"/>
      <w:marLeft w:val="0"/>
      <w:marRight w:val="0"/>
      <w:marTop w:val="0"/>
      <w:marBottom w:val="0"/>
      <w:divBdr>
        <w:top w:val="none" w:sz="0" w:space="0" w:color="auto"/>
        <w:left w:val="none" w:sz="0" w:space="0" w:color="auto"/>
        <w:bottom w:val="none" w:sz="0" w:space="0" w:color="auto"/>
        <w:right w:val="none" w:sz="0" w:space="0" w:color="auto"/>
      </w:divBdr>
      <w:divsChild>
        <w:div w:id="255210387">
          <w:marLeft w:val="0"/>
          <w:marRight w:val="0"/>
          <w:marTop w:val="0"/>
          <w:marBottom w:val="0"/>
          <w:divBdr>
            <w:top w:val="none" w:sz="0" w:space="0" w:color="auto"/>
            <w:left w:val="none" w:sz="0" w:space="0" w:color="auto"/>
            <w:bottom w:val="none" w:sz="0" w:space="0" w:color="auto"/>
            <w:right w:val="none" w:sz="0" w:space="0" w:color="auto"/>
          </w:divBdr>
          <w:divsChild>
            <w:div w:id="1463883621">
              <w:marLeft w:val="0"/>
              <w:marRight w:val="0"/>
              <w:marTop w:val="0"/>
              <w:marBottom w:val="0"/>
              <w:divBdr>
                <w:top w:val="none" w:sz="0" w:space="0" w:color="auto"/>
                <w:left w:val="none" w:sz="0" w:space="0" w:color="auto"/>
                <w:bottom w:val="none" w:sz="0" w:space="0" w:color="auto"/>
                <w:right w:val="none" w:sz="0" w:space="0" w:color="auto"/>
              </w:divBdr>
              <w:divsChild>
                <w:div w:id="2111075348">
                  <w:marLeft w:val="0"/>
                  <w:marRight w:val="0"/>
                  <w:marTop w:val="0"/>
                  <w:marBottom w:val="0"/>
                  <w:divBdr>
                    <w:top w:val="none" w:sz="0" w:space="0" w:color="auto"/>
                    <w:left w:val="none" w:sz="0" w:space="0" w:color="auto"/>
                    <w:bottom w:val="none" w:sz="0" w:space="0" w:color="auto"/>
                    <w:right w:val="none" w:sz="0" w:space="0" w:color="auto"/>
                  </w:divBdr>
                  <w:divsChild>
                    <w:div w:id="1564870112">
                      <w:marLeft w:val="0"/>
                      <w:marRight w:val="0"/>
                      <w:marTop w:val="0"/>
                      <w:marBottom w:val="0"/>
                      <w:divBdr>
                        <w:top w:val="none" w:sz="0" w:space="0" w:color="auto"/>
                        <w:left w:val="none" w:sz="0" w:space="0" w:color="auto"/>
                        <w:bottom w:val="none" w:sz="0" w:space="0" w:color="auto"/>
                        <w:right w:val="none" w:sz="0" w:space="0" w:color="auto"/>
                      </w:divBdr>
                      <w:divsChild>
                        <w:div w:id="1894003354">
                          <w:marLeft w:val="0"/>
                          <w:marRight w:val="0"/>
                          <w:marTop w:val="0"/>
                          <w:marBottom w:val="0"/>
                          <w:divBdr>
                            <w:top w:val="none" w:sz="0" w:space="0" w:color="auto"/>
                            <w:left w:val="none" w:sz="0" w:space="0" w:color="auto"/>
                            <w:bottom w:val="none" w:sz="0" w:space="0" w:color="auto"/>
                            <w:right w:val="none" w:sz="0" w:space="0" w:color="auto"/>
                          </w:divBdr>
                          <w:divsChild>
                            <w:div w:id="1379746213">
                              <w:marLeft w:val="0"/>
                              <w:marRight w:val="0"/>
                              <w:marTop w:val="0"/>
                              <w:marBottom w:val="0"/>
                              <w:divBdr>
                                <w:top w:val="none" w:sz="0" w:space="0" w:color="auto"/>
                                <w:left w:val="none" w:sz="0" w:space="0" w:color="auto"/>
                                <w:bottom w:val="none" w:sz="0" w:space="0" w:color="auto"/>
                                <w:right w:val="none" w:sz="0" w:space="0" w:color="auto"/>
                              </w:divBdr>
                              <w:divsChild>
                                <w:div w:id="1514683979">
                                  <w:marLeft w:val="0"/>
                                  <w:marRight w:val="0"/>
                                  <w:marTop w:val="0"/>
                                  <w:marBottom w:val="0"/>
                                  <w:divBdr>
                                    <w:top w:val="none" w:sz="0" w:space="0" w:color="auto"/>
                                    <w:left w:val="none" w:sz="0" w:space="0" w:color="auto"/>
                                    <w:bottom w:val="none" w:sz="0" w:space="0" w:color="auto"/>
                                    <w:right w:val="none" w:sz="0" w:space="0" w:color="auto"/>
                                  </w:divBdr>
                                  <w:divsChild>
                                    <w:div w:id="1567374806">
                                      <w:marLeft w:val="0"/>
                                      <w:marRight w:val="0"/>
                                      <w:marTop w:val="0"/>
                                      <w:marBottom w:val="0"/>
                                      <w:divBdr>
                                        <w:top w:val="none" w:sz="0" w:space="0" w:color="auto"/>
                                        <w:left w:val="none" w:sz="0" w:space="0" w:color="auto"/>
                                        <w:bottom w:val="none" w:sz="0" w:space="0" w:color="auto"/>
                                        <w:right w:val="none" w:sz="0" w:space="0" w:color="auto"/>
                                      </w:divBdr>
                                      <w:divsChild>
                                        <w:div w:id="2037264747">
                                          <w:marLeft w:val="0"/>
                                          <w:marRight w:val="0"/>
                                          <w:marTop w:val="0"/>
                                          <w:marBottom w:val="0"/>
                                          <w:divBdr>
                                            <w:top w:val="none" w:sz="0" w:space="0" w:color="auto"/>
                                            <w:left w:val="none" w:sz="0" w:space="0" w:color="auto"/>
                                            <w:bottom w:val="none" w:sz="0" w:space="0" w:color="auto"/>
                                            <w:right w:val="none" w:sz="0" w:space="0" w:color="auto"/>
                                          </w:divBdr>
                                          <w:divsChild>
                                            <w:div w:id="3047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455480">
          <w:marLeft w:val="0"/>
          <w:marRight w:val="0"/>
          <w:marTop w:val="0"/>
          <w:marBottom w:val="0"/>
          <w:divBdr>
            <w:top w:val="none" w:sz="0" w:space="0" w:color="auto"/>
            <w:left w:val="none" w:sz="0" w:space="0" w:color="auto"/>
            <w:bottom w:val="none" w:sz="0" w:space="0" w:color="auto"/>
            <w:right w:val="none" w:sz="0" w:space="0" w:color="auto"/>
          </w:divBdr>
          <w:divsChild>
            <w:div w:id="418334837">
              <w:marLeft w:val="0"/>
              <w:marRight w:val="0"/>
              <w:marTop w:val="0"/>
              <w:marBottom w:val="0"/>
              <w:divBdr>
                <w:top w:val="none" w:sz="0" w:space="0" w:color="auto"/>
                <w:left w:val="none" w:sz="0" w:space="0" w:color="auto"/>
                <w:bottom w:val="none" w:sz="0" w:space="0" w:color="auto"/>
                <w:right w:val="none" w:sz="0" w:space="0" w:color="auto"/>
              </w:divBdr>
              <w:divsChild>
                <w:div w:id="338234703">
                  <w:marLeft w:val="0"/>
                  <w:marRight w:val="0"/>
                  <w:marTop w:val="0"/>
                  <w:marBottom w:val="0"/>
                  <w:divBdr>
                    <w:top w:val="none" w:sz="0" w:space="0" w:color="auto"/>
                    <w:left w:val="none" w:sz="0" w:space="0" w:color="auto"/>
                    <w:bottom w:val="none" w:sz="0" w:space="0" w:color="auto"/>
                    <w:right w:val="none" w:sz="0" w:space="0" w:color="auto"/>
                  </w:divBdr>
                  <w:divsChild>
                    <w:div w:id="481120856">
                      <w:marLeft w:val="0"/>
                      <w:marRight w:val="0"/>
                      <w:marTop w:val="0"/>
                      <w:marBottom w:val="0"/>
                      <w:divBdr>
                        <w:top w:val="none" w:sz="0" w:space="0" w:color="auto"/>
                        <w:left w:val="none" w:sz="0" w:space="0" w:color="auto"/>
                        <w:bottom w:val="none" w:sz="0" w:space="0" w:color="auto"/>
                        <w:right w:val="none" w:sz="0" w:space="0" w:color="auto"/>
                      </w:divBdr>
                      <w:divsChild>
                        <w:div w:id="318776233">
                          <w:marLeft w:val="0"/>
                          <w:marRight w:val="0"/>
                          <w:marTop w:val="0"/>
                          <w:marBottom w:val="0"/>
                          <w:divBdr>
                            <w:top w:val="none" w:sz="0" w:space="0" w:color="auto"/>
                            <w:left w:val="none" w:sz="0" w:space="0" w:color="auto"/>
                            <w:bottom w:val="none" w:sz="0" w:space="0" w:color="auto"/>
                            <w:right w:val="none" w:sz="0" w:space="0" w:color="auto"/>
                          </w:divBdr>
                          <w:divsChild>
                            <w:div w:id="1733962916">
                              <w:marLeft w:val="0"/>
                              <w:marRight w:val="0"/>
                              <w:marTop w:val="0"/>
                              <w:marBottom w:val="0"/>
                              <w:divBdr>
                                <w:top w:val="none" w:sz="0" w:space="0" w:color="auto"/>
                                <w:left w:val="none" w:sz="0" w:space="0" w:color="auto"/>
                                <w:bottom w:val="none" w:sz="0" w:space="0" w:color="auto"/>
                                <w:right w:val="none" w:sz="0" w:space="0" w:color="auto"/>
                              </w:divBdr>
                              <w:divsChild>
                                <w:div w:id="1158500567">
                                  <w:marLeft w:val="0"/>
                                  <w:marRight w:val="0"/>
                                  <w:marTop w:val="0"/>
                                  <w:marBottom w:val="0"/>
                                  <w:divBdr>
                                    <w:top w:val="none" w:sz="0" w:space="0" w:color="auto"/>
                                    <w:left w:val="none" w:sz="0" w:space="0" w:color="auto"/>
                                    <w:bottom w:val="none" w:sz="0" w:space="0" w:color="auto"/>
                                    <w:right w:val="none" w:sz="0" w:space="0" w:color="auto"/>
                                  </w:divBdr>
                                  <w:divsChild>
                                    <w:div w:id="1570189888">
                                      <w:marLeft w:val="0"/>
                                      <w:marRight w:val="0"/>
                                      <w:marTop w:val="0"/>
                                      <w:marBottom w:val="0"/>
                                      <w:divBdr>
                                        <w:top w:val="none" w:sz="0" w:space="0" w:color="auto"/>
                                        <w:left w:val="none" w:sz="0" w:space="0" w:color="auto"/>
                                        <w:bottom w:val="none" w:sz="0" w:space="0" w:color="auto"/>
                                        <w:right w:val="none" w:sz="0" w:space="0" w:color="auto"/>
                                      </w:divBdr>
                                      <w:divsChild>
                                        <w:div w:id="1978756179">
                                          <w:marLeft w:val="0"/>
                                          <w:marRight w:val="0"/>
                                          <w:marTop w:val="0"/>
                                          <w:marBottom w:val="0"/>
                                          <w:divBdr>
                                            <w:top w:val="none" w:sz="0" w:space="0" w:color="auto"/>
                                            <w:left w:val="none" w:sz="0" w:space="0" w:color="auto"/>
                                            <w:bottom w:val="none" w:sz="0" w:space="0" w:color="auto"/>
                                            <w:right w:val="none" w:sz="0" w:space="0" w:color="auto"/>
                                          </w:divBdr>
                                          <w:divsChild>
                                            <w:div w:id="16546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562500">
      <w:bodyDiv w:val="1"/>
      <w:marLeft w:val="0"/>
      <w:marRight w:val="0"/>
      <w:marTop w:val="0"/>
      <w:marBottom w:val="0"/>
      <w:divBdr>
        <w:top w:val="none" w:sz="0" w:space="0" w:color="auto"/>
        <w:left w:val="none" w:sz="0" w:space="0" w:color="auto"/>
        <w:bottom w:val="none" w:sz="0" w:space="0" w:color="auto"/>
        <w:right w:val="none" w:sz="0" w:space="0" w:color="auto"/>
      </w:divBdr>
    </w:div>
    <w:div w:id="899705850">
      <w:bodyDiv w:val="1"/>
      <w:marLeft w:val="0"/>
      <w:marRight w:val="0"/>
      <w:marTop w:val="0"/>
      <w:marBottom w:val="0"/>
      <w:divBdr>
        <w:top w:val="none" w:sz="0" w:space="0" w:color="auto"/>
        <w:left w:val="none" w:sz="0" w:space="0" w:color="auto"/>
        <w:bottom w:val="none" w:sz="0" w:space="0" w:color="auto"/>
        <w:right w:val="none" w:sz="0" w:space="0" w:color="auto"/>
      </w:divBdr>
    </w:div>
    <w:div w:id="1314289055">
      <w:bodyDiv w:val="1"/>
      <w:marLeft w:val="0"/>
      <w:marRight w:val="0"/>
      <w:marTop w:val="0"/>
      <w:marBottom w:val="0"/>
      <w:divBdr>
        <w:top w:val="none" w:sz="0" w:space="0" w:color="auto"/>
        <w:left w:val="none" w:sz="0" w:space="0" w:color="auto"/>
        <w:bottom w:val="none" w:sz="0" w:space="0" w:color="auto"/>
        <w:right w:val="none" w:sz="0" w:space="0" w:color="auto"/>
      </w:divBdr>
    </w:div>
    <w:div w:id="1672833496">
      <w:bodyDiv w:val="1"/>
      <w:marLeft w:val="0"/>
      <w:marRight w:val="0"/>
      <w:marTop w:val="0"/>
      <w:marBottom w:val="0"/>
      <w:divBdr>
        <w:top w:val="none" w:sz="0" w:space="0" w:color="auto"/>
        <w:left w:val="none" w:sz="0" w:space="0" w:color="auto"/>
        <w:bottom w:val="none" w:sz="0" w:space="0" w:color="auto"/>
        <w:right w:val="none" w:sz="0" w:space="0" w:color="auto"/>
      </w:divBdr>
    </w:div>
    <w:div w:id="1778211334">
      <w:bodyDiv w:val="1"/>
      <w:marLeft w:val="0"/>
      <w:marRight w:val="0"/>
      <w:marTop w:val="0"/>
      <w:marBottom w:val="0"/>
      <w:divBdr>
        <w:top w:val="none" w:sz="0" w:space="0" w:color="auto"/>
        <w:left w:val="none" w:sz="0" w:space="0" w:color="auto"/>
        <w:bottom w:val="none" w:sz="0" w:space="0" w:color="auto"/>
        <w:right w:val="none" w:sz="0" w:space="0" w:color="auto"/>
      </w:divBdr>
    </w:div>
    <w:div w:id="1922521615">
      <w:bodyDiv w:val="1"/>
      <w:marLeft w:val="0"/>
      <w:marRight w:val="0"/>
      <w:marTop w:val="0"/>
      <w:marBottom w:val="0"/>
      <w:divBdr>
        <w:top w:val="none" w:sz="0" w:space="0" w:color="auto"/>
        <w:left w:val="none" w:sz="0" w:space="0" w:color="auto"/>
        <w:bottom w:val="none" w:sz="0" w:space="0" w:color="auto"/>
        <w:right w:val="none" w:sz="0" w:space="0" w:color="auto"/>
      </w:divBdr>
    </w:div>
    <w:div w:id="1941909621">
      <w:bodyDiv w:val="1"/>
      <w:marLeft w:val="0"/>
      <w:marRight w:val="0"/>
      <w:marTop w:val="0"/>
      <w:marBottom w:val="0"/>
      <w:divBdr>
        <w:top w:val="none" w:sz="0" w:space="0" w:color="auto"/>
        <w:left w:val="none" w:sz="0" w:space="0" w:color="auto"/>
        <w:bottom w:val="none" w:sz="0" w:space="0" w:color="auto"/>
        <w:right w:val="none" w:sz="0" w:space="0" w:color="auto"/>
      </w:divBdr>
    </w:div>
    <w:div w:id="20627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23</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1084</cp:lastModifiedBy>
  <cp:revision>11</cp:revision>
  <cp:lastPrinted>2025-09-13T10:19:00Z</cp:lastPrinted>
  <dcterms:created xsi:type="dcterms:W3CDTF">2025-09-19T10:41:00Z</dcterms:created>
  <dcterms:modified xsi:type="dcterms:W3CDTF">2025-11-15T13:46:00Z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9db1b91c-67b5-4d27-9c71-7f5b86ebe45a</vt:lpwstr>
  </property>
</Properties>
</file>