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C079" w14:textId="0C515EE9" w:rsidR="00754C9A" w:rsidRPr="00CD0FCD" w:rsidRDefault="006F1817" w:rsidP="00441B6F">
      <w:pPr>
        <w:pStyle w:val="Title"/>
        <w:spacing w:after="0"/>
        <w:jc w:val="both"/>
        <w:rPr>
          <w:rFonts w:ascii="Arial" w:hAnsi="Arial" w:cs="Arial"/>
        </w:rPr>
      </w:pPr>
      <w:r w:rsidRPr="00CD0FCD">
        <w:rPr>
          <w:rFonts w:ascii="Arial" w:hAnsi="Arial" w:cs="Arial"/>
        </w:rPr>
        <w:t>Original Research Article</w:t>
      </w:r>
    </w:p>
    <w:p w14:paraId="17C9A30C" w14:textId="77777777" w:rsidR="006F1817" w:rsidRPr="00CD0FCD" w:rsidRDefault="006F1817" w:rsidP="00441B6F">
      <w:pPr>
        <w:pStyle w:val="Title"/>
        <w:spacing w:after="0"/>
        <w:jc w:val="both"/>
        <w:rPr>
          <w:rFonts w:ascii="Arial" w:hAnsi="Arial" w:cs="Arial"/>
        </w:rPr>
      </w:pPr>
    </w:p>
    <w:p w14:paraId="575BD3C6" w14:textId="77777777" w:rsidR="00163BC4" w:rsidRPr="00CD0FCD" w:rsidRDefault="005E13B6" w:rsidP="00441B6F">
      <w:pPr>
        <w:pStyle w:val="Author"/>
        <w:spacing w:line="240" w:lineRule="auto"/>
        <w:rPr>
          <w:rFonts w:ascii="Arial" w:hAnsi="Arial" w:cs="Arial"/>
          <w:bCs/>
          <w:iCs/>
          <w:kern w:val="28"/>
          <w:sz w:val="36"/>
        </w:rPr>
      </w:pPr>
      <w:r w:rsidRPr="00CD0FCD">
        <w:rPr>
          <w:rFonts w:ascii="Arial" w:hAnsi="Arial" w:cs="Arial"/>
          <w:bCs/>
          <w:iCs/>
          <w:kern w:val="28"/>
          <w:sz w:val="36"/>
        </w:rPr>
        <w:t xml:space="preserve">Epidemiological Survey of Oral and Systemic Health Conditions of Hospital Patients in Intensive Care Units in the Port Region of Baixada </w:t>
      </w:r>
      <w:proofErr w:type="spellStart"/>
      <w:r w:rsidRPr="00CD0FCD">
        <w:rPr>
          <w:rFonts w:ascii="Arial" w:hAnsi="Arial" w:cs="Arial"/>
          <w:bCs/>
          <w:iCs/>
          <w:kern w:val="28"/>
          <w:sz w:val="36"/>
        </w:rPr>
        <w:t>Santista</w:t>
      </w:r>
      <w:proofErr w:type="spellEnd"/>
      <w:r w:rsidRPr="00CD0FCD">
        <w:rPr>
          <w:rFonts w:ascii="Arial" w:hAnsi="Arial" w:cs="Arial"/>
          <w:bCs/>
          <w:iCs/>
          <w:kern w:val="28"/>
          <w:sz w:val="36"/>
        </w:rPr>
        <w:t>, Brazil</w:t>
      </w:r>
    </w:p>
    <w:p w14:paraId="78D82965" w14:textId="77777777" w:rsidR="00A258C3" w:rsidRPr="00CD0FCD" w:rsidRDefault="00A258C3" w:rsidP="00441B6F">
      <w:pPr>
        <w:pStyle w:val="Author"/>
        <w:spacing w:line="240" w:lineRule="auto"/>
        <w:jc w:val="both"/>
        <w:rPr>
          <w:rFonts w:ascii="Arial" w:hAnsi="Arial" w:cs="Arial"/>
          <w:sz w:val="36"/>
        </w:rPr>
      </w:pPr>
    </w:p>
    <w:p w14:paraId="3870DF3A" w14:textId="0AB8D730" w:rsidR="00CA3A7C" w:rsidRPr="00CD0FCD" w:rsidRDefault="00CA3A7C" w:rsidP="00CA3A7C">
      <w:pPr>
        <w:pStyle w:val="Affiliation"/>
        <w:spacing w:line="240" w:lineRule="auto"/>
        <w:ind w:left="360"/>
        <w:rPr>
          <w:rFonts w:ascii="Arial" w:hAnsi="Arial" w:cs="Arial"/>
          <w:i/>
          <w:lang w:val="pt-BR"/>
        </w:rPr>
      </w:pPr>
      <w:r w:rsidRPr="00CD0FCD">
        <w:rPr>
          <w:rFonts w:ascii="Arial" w:hAnsi="Arial" w:cs="Arial"/>
          <w:i/>
          <w:lang w:val="pt-BR"/>
        </w:rPr>
        <w:t xml:space="preserve">  </w:t>
      </w:r>
    </w:p>
    <w:p w14:paraId="3FA3880D" w14:textId="77777777" w:rsidR="00B01FCD" w:rsidRPr="00CD0FCD" w:rsidRDefault="0059297E" w:rsidP="00441B6F">
      <w:pPr>
        <w:pStyle w:val="Copyright"/>
        <w:spacing w:after="0" w:line="240" w:lineRule="auto"/>
        <w:jc w:val="both"/>
        <w:rPr>
          <w:rFonts w:ascii="Arial" w:hAnsi="Arial" w:cs="Arial"/>
        </w:rPr>
        <w:sectPr w:rsidR="00B01FCD" w:rsidRPr="00CD0FCD" w:rsidSect="00D178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ADE201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CD0FCD">
        <w:rPr>
          <w:rFonts w:ascii="Arial" w:hAnsi="Arial" w:cs="Arial"/>
        </w:rPr>
        <w:t>.</w:t>
      </w:r>
    </w:p>
    <w:p w14:paraId="7FA741AC" w14:textId="77777777" w:rsidR="00B01FCD" w:rsidRPr="00CD0FCD" w:rsidRDefault="00B01FCD" w:rsidP="00441B6F">
      <w:pPr>
        <w:pStyle w:val="AbstHead"/>
        <w:spacing w:after="0"/>
        <w:jc w:val="both"/>
        <w:rPr>
          <w:rFonts w:ascii="Arial" w:hAnsi="Arial" w:cs="Arial"/>
        </w:rPr>
      </w:pPr>
      <w:r w:rsidRPr="00CD0FCD">
        <w:rPr>
          <w:rFonts w:ascii="Arial" w:hAnsi="Arial" w:cs="Arial"/>
        </w:rPr>
        <w:t>ABSTRACT</w:t>
      </w:r>
      <w:r w:rsidR="0066510A" w:rsidRPr="00CD0FCD">
        <w:rPr>
          <w:rFonts w:ascii="Arial" w:hAnsi="Arial" w:cs="Arial"/>
        </w:rPr>
        <w:t xml:space="preserve"> </w:t>
      </w:r>
    </w:p>
    <w:p w14:paraId="4E8F535A" w14:textId="77777777" w:rsidR="00790ADA" w:rsidRPr="00CD0FC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D0FCD" w14:paraId="5C032568" w14:textId="77777777" w:rsidTr="001E44FE">
        <w:tc>
          <w:tcPr>
            <w:tcW w:w="9576" w:type="dxa"/>
            <w:shd w:val="clear" w:color="auto" w:fill="F2F2F2"/>
          </w:tcPr>
          <w:p w14:paraId="6B7D84E0" w14:textId="77777777" w:rsidR="00BA1B01" w:rsidRPr="00CD0FCD" w:rsidRDefault="00BA1B01" w:rsidP="00441B6F">
            <w:pPr>
              <w:pStyle w:val="Body"/>
              <w:spacing w:after="0"/>
              <w:rPr>
                <w:rFonts w:ascii="Arial" w:eastAsia="Calibri" w:hAnsi="Arial" w:cs="Arial"/>
                <w:szCs w:val="22"/>
              </w:rPr>
            </w:pPr>
            <w:r w:rsidRPr="00CD0FCD">
              <w:rPr>
                <w:rFonts w:ascii="Arial" w:eastAsia="Calibri" w:hAnsi="Arial" w:cs="Arial"/>
                <w:b/>
                <w:szCs w:val="22"/>
              </w:rPr>
              <w:t xml:space="preserve">Aims: </w:t>
            </w:r>
            <w:r w:rsidR="005E13B6" w:rsidRPr="00CD0FCD">
              <w:rPr>
                <w:rFonts w:ascii="Arial" w:eastAsia="Calibri" w:hAnsi="Arial" w:cs="Arial"/>
                <w:szCs w:val="22"/>
              </w:rPr>
              <w:t xml:space="preserve">The worsening of oral health conditions, with a deficit in oral hygiene care and the absence of daily care for hospitalized patients, make the dental surgeon an extremely important professional at the hospital level. The objective of this study was to carry out an epidemiological survey of the oral and systemic health conditions of patients in hospitals in intensive care units in the port region of Baixada </w:t>
            </w:r>
            <w:proofErr w:type="spellStart"/>
            <w:r w:rsidR="005E13B6" w:rsidRPr="00CD0FCD">
              <w:rPr>
                <w:rFonts w:ascii="Arial" w:eastAsia="Calibri" w:hAnsi="Arial" w:cs="Arial"/>
                <w:szCs w:val="22"/>
              </w:rPr>
              <w:t>Santista</w:t>
            </w:r>
            <w:proofErr w:type="spellEnd"/>
            <w:r w:rsidR="005E13B6" w:rsidRPr="00CD0FCD">
              <w:rPr>
                <w:rFonts w:ascii="Arial" w:eastAsia="Calibri" w:hAnsi="Arial" w:cs="Arial"/>
                <w:szCs w:val="22"/>
              </w:rPr>
              <w:t>, SP, Brazil.</w:t>
            </w:r>
          </w:p>
          <w:p w14:paraId="495F75C4" w14:textId="77777777" w:rsidR="00BA1B01" w:rsidRPr="00CD0FCD" w:rsidRDefault="00BA1B01" w:rsidP="00441B6F">
            <w:pPr>
              <w:pStyle w:val="Body"/>
              <w:spacing w:after="0"/>
              <w:rPr>
                <w:rFonts w:ascii="Arial" w:eastAsia="Calibri" w:hAnsi="Arial" w:cs="Arial"/>
                <w:szCs w:val="22"/>
              </w:rPr>
            </w:pPr>
            <w:r w:rsidRPr="00CD0FCD">
              <w:rPr>
                <w:rFonts w:ascii="Arial" w:eastAsia="Calibri" w:hAnsi="Arial" w:cs="Arial"/>
                <w:b/>
                <w:szCs w:val="22"/>
              </w:rPr>
              <w:t>Study design:</w:t>
            </w:r>
            <w:r w:rsidRPr="00CD0FCD">
              <w:rPr>
                <w:rFonts w:ascii="Arial" w:eastAsia="Calibri" w:hAnsi="Arial" w:cs="Arial"/>
                <w:szCs w:val="22"/>
              </w:rPr>
              <w:t xml:space="preserve">  </w:t>
            </w:r>
            <w:r w:rsidR="005E13B6" w:rsidRPr="00CD0FCD">
              <w:rPr>
                <w:rFonts w:ascii="Arial" w:eastAsia="Calibri" w:hAnsi="Arial" w:cs="Arial"/>
                <w:szCs w:val="22"/>
              </w:rPr>
              <w:t>Observational epidemiological study</w:t>
            </w:r>
            <w:r w:rsidRPr="00CD0FCD">
              <w:rPr>
                <w:rFonts w:ascii="Arial" w:eastAsia="Calibri" w:hAnsi="Arial" w:cs="Arial"/>
                <w:szCs w:val="22"/>
              </w:rPr>
              <w:t>.</w:t>
            </w:r>
          </w:p>
          <w:p w14:paraId="6E35CBB9" w14:textId="77777777" w:rsidR="00BA1B01" w:rsidRPr="00CD0FCD" w:rsidRDefault="00BA1B01" w:rsidP="00441B6F">
            <w:pPr>
              <w:pStyle w:val="Body"/>
              <w:spacing w:after="0"/>
              <w:rPr>
                <w:rFonts w:ascii="Arial" w:eastAsia="Calibri" w:hAnsi="Arial" w:cs="Arial"/>
                <w:szCs w:val="22"/>
              </w:rPr>
            </w:pPr>
            <w:r w:rsidRPr="00CD0FCD">
              <w:rPr>
                <w:rFonts w:ascii="Arial" w:eastAsia="Calibri" w:hAnsi="Arial" w:cs="Arial"/>
                <w:b/>
                <w:szCs w:val="22"/>
              </w:rPr>
              <w:t>Place and Duration of Study:</w:t>
            </w:r>
            <w:r w:rsidRPr="00CD0FCD">
              <w:rPr>
                <w:rFonts w:ascii="Arial" w:eastAsia="Calibri" w:hAnsi="Arial" w:cs="Arial"/>
                <w:szCs w:val="22"/>
              </w:rPr>
              <w:t xml:space="preserve"> </w:t>
            </w:r>
            <w:r w:rsidR="005E13B6" w:rsidRPr="00CD0FCD">
              <w:rPr>
                <w:rFonts w:ascii="Arial" w:eastAsia="Calibri" w:hAnsi="Arial" w:cs="Arial"/>
                <w:szCs w:val="22"/>
              </w:rPr>
              <w:t xml:space="preserve">Intensive Care Units at Hospital </w:t>
            </w:r>
            <w:proofErr w:type="spellStart"/>
            <w:r w:rsidR="005E13B6" w:rsidRPr="00CD0FCD">
              <w:rPr>
                <w:rFonts w:ascii="Arial" w:eastAsia="Calibri" w:hAnsi="Arial" w:cs="Arial"/>
                <w:szCs w:val="22"/>
              </w:rPr>
              <w:t>Irmandade</w:t>
            </w:r>
            <w:proofErr w:type="spellEnd"/>
            <w:r w:rsidR="005E13B6" w:rsidRPr="00CD0FCD">
              <w:rPr>
                <w:rFonts w:ascii="Arial" w:eastAsia="Calibri" w:hAnsi="Arial" w:cs="Arial"/>
                <w:szCs w:val="22"/>
              </w:rPr>
              <w:t xml:space="preserve"> Santa Casa de </w:t>
            </w:r>
            <w:proofErr w:type="spellStart"/>
            <w:r w:rsidR="005E13B6" w:rsidRPr="00CD0FCD">
              <w:rPr>
                <w:rFonts w:ascii="Arial" w:eastAsia="Calibri" w:hAnsi="Arial" w:cs="Arial"/>
                <w:szCs w:val="22"/>
              </w:rPr>
              <w:t>Misericórdia</w:t>
            </w:r>
            <w:proofErr w:type="spellEnd"/>
            <w:r w:rsidR="005E13B6" w:rsidRPr="00CD0FCD">
              <w:rPr>
                <w:rFonts w:ascii="Arial" w:eastAsia="Calibri" w:hAnsi="Arial" w:cs="Arial"/>
                <w:szCs w:val="22"/>
              </w:rPr>
              <w:t xml:space="preserve"> de Santos, between August and December of 2023.</w:t>
            </w:r>
          </w:p>
          <w:p w14:paraId="20D56B26" w14:textId="77777777" w:rsidR="00BA1B01" w:rsidRPr="00CD0FCD" w:rsidRDefault="00BA1B01" w:rsidP="00441B6F">
            <w:pPr>
              <w:pStyle w:val="Body"/>
              <w:spacing w:after="0"/>
              <w:rPr>
                <w:rFonts w:ascii="Arial" w:eastAsia="Calibri" w:hAnsi="Arial" w:cs="Arial"/>
                <w:szCs w:val="22"/>
              </w:rPr>
            </w:pPr>
            <w:r w:rsidRPr="00CD0FCD">
              <w:rPr>
                <w:rFonts w:ascii="Arial" w:eastAsia="Calibri" w:hAnsi="Arial" w:cs="Arial"/>
                <w:b/>
                <w:bCs/>
                <w:szCs w:val="22"/>
              </w:rPr>
              <w:t>Methodology:</w:t>
            </w:r>
            <w:r w:rsidRPr="00CD0FCD">
              <w:rPr>
                <w:rFonts w:ascii="Arial" w:eastAsia="Calibri" w:hAnsi="Arial" w:cs="Arial"/>
                <w:szCs w:val="22"/>
              </w:rPr>
              <w:t xml:space="preserve"> </w:t>
            </w:r>
            <w:r w:rsidR="005E13B6" w:rsidRPr="00CD0FCD">
              <w:rPr>
                <w:rFonts w:ascii="Arial" w:eastAsia="Calibri" w:hAnsi="Arial" w:cs="Arial"/>
                <w:szCs w:val="22"/>
              </w:rPr>
              <w:t xml:space="preserve">This was a descriptive analysis study using medical records and evaluations of patients treated by the Hospital Dentistry team at the Hospital </w:t>
            </w:r>
            <w:proofErr w:type="spellStart"/>
            <w:r w:rsidR="005E13B6" w:rsidRPr="00CD0FCD">
              <w:rPr>
                <w:rFonts w:ascii="Arial" w:eastAsia="Calibri" w:hAnsi="Arial" w:cs="Arial"/>
                <w:szCs w:val="22"/>
              </w:rPr>
              <w:t>Irmandade</w:t>
            </w:r>
            <w:proofErr w:type="spellEnd"/>
            <w:r w:rsidR="005E13B6" w:rsidRPr="00CD0FCD">
              <w:rPr>
                <w:rFonts w:ascii="Arial" w:eastAsia="Calibri" w:hAnsi="Arial" w:cs="Arial"/>
                <w:szCs w:val="22"/>
              </w:rPr>
              <w:t xml:space="preserve"> Santa Casa de </w:t>
            </w:r>
            <w:proofErr w:type="spellStart"/>
            <w:r w:rsidR="005E13B6" w:rsidRPr="00CD0FCD">
              <w:rPr>
                <w:rFonts w:ascii="Arial" w:eastAsia="Calibri" w:hAnsi="Arial" w:cs="Arial"/>
                <w:szCs w:val="22"/>
              </w:rPr>
              <w:t>Misericórdia</w:t>
            </w:r>
            <w:proofErr w:type="spellEnd"/>
            <w:r w:rsidR="005E13B6" w:rsidRPr="00CD0FCD">
              <w:rPr>
                <w:rFonts w:ascii="Arial" w:eastAsia="Calibri" w:hAnsi="Arial" w:cs="Arial"/>
                <w:szCs w:val="22"/>
              </w:rPr>
              <w:t xml:space="preserve"> de Santos. During the consultations, information regarding the patients' oral and systemic health was collected. The study lasted 4 months, with the participation of hospitalized patients of all ages, genders and races. In view of the number of beds at the hospital, 500 patients were evaluated.</w:t>
            </w:r>
          </w:p>
          <w:p w14:paraId="367C5CDC" w14:textId="77777777" w:rsidR="00505F06" w:rsidRPr="00CD0FCD" w:rsidRDefault="00BA1B01" w:rsidP="000A7F26">
            <w:pPr>
              <w:pStyle w:val="Body"/>
              <w:rPr>
                <w:rFonts w:ascii="Arial" w:eastAsia="Calibri" w:hAnsi="Arial" w:cs="Arial"/>
                <w:szCs w:val="22"/>
              </w:rPr>
            </w:pPr>
            <w:r w:rsidRPr="00CD0FCD">
              <w:rPr>
                <w:rFonts w:ascii="Arial" w:eastAsia="Calibri" w:hAnsi="Arial" w:cs="Arial"/>
                <w:b/>
                <w:bCs/>
                <w:szCs w:val="22"/>
              </w:rPr>
              <w:t>Results:</w:t>
            </w:r>
            <w:r w:rsidRPr="00CD0FCD">
              <w:rPr>
                <w:rFonts w:ascii="Arial" w:eastAsia="Calibri" w:hAnsi="Arial" w:cs="Arial"/>
                <w:szCs w:val="22"/>
              </w:rPr>
              <w:t xml:space="preserve"> </w:t>
            </w:r>
            <w:r w:rsidR="000A7F26" w:rsidRPr="00CD0FCD">
              <w:rPr>
                <w:rFonts w:ascii="Arial" w:eastAsia="Calibri" w:hAnsi="Arial" w:cs="Arial"/>
                <w:szCs w:val="22"/>
              </w:rPr>
              <w:t xml:space="preserve">The results are presented with a selection of frequencies and percentages of all variables. Main results: 132 participants (26.5%) had total edentulism in the upper arch and 83 participants (16.6%) had total edentulism in the lower arch. The mean number of teeth present was 17.4 ±10.5 (range: 0.0–32.0). The mean number of decayed teeth was 0.6 ±1.5 (range: 0.0–17.0). The mean number of teeth indicated for extraction was 0.8 ±2.0 (range: 0.0–17.0).                                                                                                                   </w:t>
            </w:r>
            <w:r w:rsidRPr="00CD0FCD">
              <w:rPr>
                <w:rFonts w:ascii="Arial" w:eastAsia="Calibri" w:hAnsi="Arial" w:cs="Arial"/>
                <w:b/>
                <w:bCs/>
                <w:szCs w:val="22"/>
              </w:rPr>
              <w:t>Conclusion:</w:t>
            </w:r>
            <w:r w:rsidR="000A7F26" w:rsidRPr="00CD0FCD">
              <w:rPr>
                <w:rFonts w:ascii="Arial" w:eastAsia="Calibri" w:hAnsi="Arial" w:cs="Arial"/>
                <w:b/>
                <w:bCs/>
                <w:szCs w:val="22"/>
              </w:rPr>
              <w:t xml:space="preserve"> </w:t>
            </w:r>
            <w:r w:rsidR="000A7F26" w:rsidRPr="00CD0FCD">
              <w:rPr>
                <w:rFonts w:ascii="Arial" w:eastAsia="Calibri" w:hAnsi="Arial" w:cs="Arial"/>
                <w:szCs w:val="22"/>
              </w:rPr>
              <w:t xml:space="preserve">The analysis revealed that many patients presented unfavorable oral conditions that can negatively impact their systemic health. This study highlights the importance of oral health care in patients hospitalized in intensive care units (ICU).                                </w:t>
            </w:r>
          </w:p>
        </w:tc>
      </w:tr>
    </w:tbl>
    <w:p w14:paraId="7FBEFD8A" w14:textId="77777777" w:rsidR="00636EB2" w:rsidRPr="00CD0FCD" w:rsidRDefault="00636EB2" w:rsidP="00441B6F">
      <w:pPr>
        <w:pStyle w:val="Body"/>
        <w:spacing w:after="0"/>
        <w:rPr>
          <w:rFonts w:ascii="Arial" w:hAnsi="Arial" w:cs="Arial"/>
          <w:i/>
        </w:rPr>
      </w:pPr>
    </w:p>
    <w:p w14:paraId="5D119383" w14:textId="77777777" w:rsidR="0024282C" w:rsidRPr="00CD0FCD" w:rsidRDefault="00A24E7E" w:rsidP="00441B6F">
      <w:pPr>
        <w:pStyle w:val="Body"/>
        <w:spacing w:after="0"/>
        <w:rPr>
          <w:rFonts w:ascii="Arial" w:hAnsi="Arial" w:cs="Arial"/>
          <w:i/>
        </w:rPr>
      </w:pPr>
      <w:r w:rsidRPr="00CD0FCD">
        <w:rPr>
          <w:rFonts w:ascii="Arial" w:hAnsi="Arial" w:cs="Arial"/>
          <w:i/>
        </w:rPr>
        <w:t xml:space="preserve">Keywords: </w:t>
      </w:r>
      <w:r w:rsidR="000A7F26" w:rsidRPr="00CD0FCD">
        <w:rPr>
          <w:rFonts w:ascii="Arial" w:hAnsi="Arial" w:cs="Arial"/>
          <w:i/>
        </w:rPr>
        <w:t>Oral Health, ICU, Hospital Dentistry, Prevalence, Brazil</w:t>
      </w:r>
    </w:p>
    <w:p w14:paraId="0654F683" w14:textId="77777777" w:rsidR="00505F06" w:rsidRPr="00CD0FCD" w:rsidRDefault="00505F06" w:rsidP="00441B6F">
      <w:pPr>
        <w:pStyle w:val="Body"/>
        <w:spacing w:after="0"/>
        <w:rPr>
          <w:rFonts w:ascii="Arial" w:hAnsi="Arial" w:cs="Arial"/>
          <w:i/>
        </w:rPr>
      </w:pPr>
    </w:p>
    <w:p w14:paraId="0481C4FA" w14:textId="77777777" w:rsidR="007F7B32" w:rsidRPr="00CD0FCD" w:rsidRDefault="00902823" w:rsidP="00441B6F">
      <w:pPr>
        <w:pStyle w:val="AbstHead"/>
        <w:spacing w:after="0"/>
        <w:jc w:val="both"/>
        <w:rPr>
          <w:rFonts w:ascii="Arial" w:hAnsi="Arial" w:cs="Arial"/>
        </w:rPr>
      </w:pPr>
      <w:r w:rsidRPr="00CD0FCD">
        <w:rPr>
          <w:rFonts w:ascii="Arial" w:hAnsi="Arial" w:cs="Arial"/>
        </w:rPr>
        <w:t xml:space="preserve">1. </w:t>
      </w:r>
      <w:r w:rsidR="00B01FCD" w:rsidRPr="00CD0FCD">
        <w:rPr>
          <w:rFonts w:ascii="Arial" w:hAnsi="Arial" w:cs="Arial"/>
        </w:rPr>
        <w:t>INTRODUCTION</w:t>
      </w:r>
      <w:r w:rsidR="007F7B32" w:rsidRPr="00CD0FCD">
        <w:rPr>
          <w:rFonts w:ascii="Arial" w:hAnsi="Arial" w:cs="Arial"/>
        </w:rPr>
        <w:t xml:space="preserve"> </w:t>
      </w:r>
    </w:p>
    <w:p w14:paraId="016E65F1" w14:textId="77777777" w:rsidR="00790ADA" w:rsidRPr="00CD0FCD" w:rsidRDefault="00790ADA" w:rsidP="00441B6F">
      <w:pPr>
        <w:pStyle w:val="AbstHead"/>
        <w:spacing w:after="0"/>
        <w:jc w:val="both"/>
        <w:rPr>
          <w:rFonts w:ascii="Arial" w:hAnsi="Arial" w:cs="Arial"/>
        </w:rPr>
      </w:pPr>
    </w:p>
    <w:p w14:paraId="03498E18" w14:textId="77777777" w:rsidR="000A7F26" w:rsidRPr="00CD0FCD" w:rsidRDefault="000A7F26" w:rsidP="000A7F26">
      <w:pPr>
        <w:pStyle w:val="Body"/>
        <w:spacing w:after="0"/>
        <w:rPr>
          <w:rFonts w:ascii="Arial" w:hAnsi="Arial" w:cs="Arial"/>
        </w:rPr>
      </w:pPr>
      <w:r w:rsidRPr="00CD0FCD">
        <w:rPr>
          <w:rFonts w:ascii="Arial" w:hAnsi="Arial" w:cs="Arial"/>
        </w:rPr>
        <w:t>According to Camargo (2005), hospital dentistry can be defined as a practice that aims to care for oral changes that require highly complex multidisciplinary team procedures for the patient. Oral health, as a state of harmony, normality or health of the oral cavity, only has meaning when accompanied, to a reasonable degree, by the individual's general health [1,2]. The first scientific citations that portray the possibility of a relationship between oral changes and systemic diseases date back to 2,100 BC [3].</w:t>
      </w:r>
    </w:p>
    <w:p w14:paraId="37DCE365" w14:textId="77777777" w:rsidR="000A7F26" w:rsidRPr="00CD0FCD" w:rsidRDefault="000A7F26" w:rsidP="000A7F26">
      <w:pPr>
        <w:pStyle w:val="Body"/>
        <w:spacing w:after="0"/>
        <w:rPr>
          <w:rFonts w:ascii="Arial" w:hAnsi="Arial" w:cs="Arial"/>
        </w:rPr>
      </w:pPr>
    </w:p>
    <w:p w14:paraId="300C7344" w14:textId="77777777" w:rsidR="000A7F26" w:rsidRPr="00CD0FCD" w:rsidRDefault="000A7F26" w:rsidP="000A7F26">
      <w:pPr>
        <w:pStyle w:val="Body"/>
        <w:spacing w:after="0"/>
        <w:rPr>
          <w:rFonts w:ascii="Arial" w:hAnsi="Arial" w:cs="Arial"/>
        </w:rPr>
      </w:pPr>
      <w:r w:rsidRPr="00CD0FCD">
        <w:rPr>
          <w:rFonts w:ascii="Arial" w:hAnsi="Arial" w:cs="Arial"/>
        </w:rPr>
        <w:t>The acquisition and maintenance of oral health, in addition to a greater integration of Dentistry and Medicine, aims at the overall treatment of patients [4]. Scientific advances provide support for believing in the significant contribution of dental treatment, specifically periodontal intervention, in the prevention and/or improvement of systemic conditions, especially in critically ill patients [5,6].</w:t>
      </w:r>
    </w:p>
    <w:p w14:paraId="68AED390" w14:textId="77777777" w:rsidR="000A7F26" w:rsidRPr="00CD0FCD" w:rsidRDefault="000A7F26" w:rsidP="000A7F26">
      <w:pPr>
        <w:pStyle w:val="Body"/>
        <w:spacing w:after="0"/>
        <w:rPr>
          <w:rFonts w:ascii="Arial" w:hAnsi="Arial" w:cs="Arial"/>
        </w:rPr>
      </w:pPr>
    </w:p>
    <w:p w14:paraId="15F72FAE" w14:textId="77777777" w:rsidR="000A7F26" w:rsidRPr="00CD0FCD" w:rsidRDefault="000A7F26" w:rsidP="000A7F26">
      <w:pPr>
        <w:pStyle w:val="Body"/>
        <w:rPr>
          <w:rFonts w:ascii="Arial" w:hAnsi="Arial" w:cs="Arial"/>
        </w:rPr>
      </w:pPr>
      <w:r w:rsidRPr="00CD0FCD">
        <w:rPr>
          <w:rFonts w:ascii="Arial" w:hAnsi="Arial" w:cs="Arial"/>
        </w:rPr>
        <w:t>A recent systematic review highlights the importance of establishing guidelines for the evaluation of oral status in Intensive Care Unit (ICU) patients. The authors also state that further studies on maintaining good oral hygiene among ICU patients are needed [7]. Oral care is a disease preventive and cost-effective measure for patients [8] and current dentistry can and should provide safe care for different patients in the hospital area [9]. Even patients have reported that they think dental care is very important in hospitals settings [10]. The scientific and statistical panorama is favorable to the performance of dentists in a hospital environment [11].</w:t>
      </w:r>
    </w:p>
    <w:p w14:paraId="46ECDD0F" w14:textId="77777777" w:rsidR="000A7F26" w:rsidRPr="00CD0FCD" w:rsidRDefault="000A7F26" w:rsidP="000A7F26">
      <w:pPr>
        <w:pStyle w:val="Body"/>
        <w:spacing w:after="0"/>
        <w:rPr>
          <w:rFonts w:ascii="Arial" w:hAnsi="Arial" w:cs="Arial"/>
        </w:rPr>
      </w:pPr>
      <w:r w:rsidRPr="00CD0FCD">
        <w:rPr>
          <w:rFonts w:ascii="Arial" w:hAnsi="Arial" w:cs="Arial"/>
        </w:rPr>
        <w:t xml:space="preserve">The objective of this study was to conduct a survey of the oral and systemic health conditions of patients in intensive care units in the port region of Baixada </w:t>
      </w:r>
      <w:proofErr w:type="spellStart"/>
      <w:r w:rsidRPr="00CD0FCD">
        <w:rPr>
          <w:rFonts w:ascii="Arial" w:hAnsi="Arial" w:cs="Arial"/>
        </w:rPr>
        <w:t>Santista</w:t>
      </w:r>
      <w:proofErr w:type="spellEnd"/>
      <w:r w:rsidRPr="00CD0FCD">
        <w:rPr>
          <w:rFonts w:ascii="Arial" w:hAnsi="Arial" w:cs="Arial"/>
        </w:rPr>
        <w:t>. This survey seeks to identify the prevalence of unfavorable conditions that may impact the systemic health of patients. In addition, the objective of the product generated by this study is to develop and implement a specific oral hygiene protocol for patients admitted to the ICU, aiming to improve the quality of hospital dental care. This protocol may initially be experimental, without a defined application focus, but with the potential to be a solution to previously identified problems in the oral care of critically ill patients.</w:t>
      </w:r>
    </w:p>
    <w:p w14:paraId="07E960CB" w14:textId="77777777" w:rsidR="00B01FCD" w:rsidRPr="00CD0FCD" w:rsidRDefault="00B01FCD" w:rsidP="000A7F26">
      <w:pPr>
        <w:pStyle w:val="Body"/>
        <w:spacing w:after="0"/>
        <w:rPr>
          <w:rFonts w:ascii="Arial" w:hAnsi="Arial" w:cs="Arial"/>
        </w:rPr>
      </w:pPr>
    </w:p>
    <w:p w14:paraId="1F330525" w14:textId="77777777" w:rsidR="00790ADA" w:rsidRPr="00CD0FCD" w:rsidRDefault="00790ADA" w:rsidP="00441B6F">
      <w:pPr>
        <w:pStyle w:val="Body"/>
        <w:spacing w:after="0"/>
        <w:rPr>
          <w:rFonts w:ascii="Arial" w:hAnsi="Arial" w:cs="Arial"/>
        </w:rPr>
      </w:pPr>
    </w:p>
    <w:p w14:paraId="0359152B" w14:textId="77777777" w:rsidR="007F7B32" w:rsidRPr="00CD0FCD" w:rsidRDefault="00902823" w:rsidP="00441B6F">
      <w:pPr>
        <w:pStyle w:val="AbstHead"/>
        <w:spacing w:after="0"/>
        <w:jc w:val="both"/>
        <w:rPr>
          <w:rFonts w:ascii="Arial" w:hAnsi="Arial" w:cs="Arial"/>
        </w:rPr>
      </w:pPr>
      <w:r w:rsidRPr="00CD0FCD">
        <w:rPr>
          <w:rFonts w:ascii="Arial" w:hAnsi="Arial" w:cs="Arial"/>
        </w:rPr>
        <w:t xml:space="preserve">2. </w:t>
      </w:r>
      <w:r w:rsidR="006B57D0" w:rsidRPr="00CD0FCD">
        <w:rPr>
          <w:rFonts w:ascii="Arial" w:hAnsi="Arial" w:cs="Arial"/>
        </w:rPr>
        <w:t>methodology</w:t>
      </w:r>
      <w:r w:rsidR="007F7B32" w:rsidRPr="00CD0FCD">
        <w:rPr>
          <w:rFonts w:ascii="Arial" w:hAnsi="Arial" w:cs="Arial"/>
        </w:rPr>
        <w:t xml:space="preserve"> </w:t>
      </w:r>
    </w:p>
    <w:p w14:paraId="0B8DB2FE" w14:textId="77777777" w:rsidR="00790ADA" w:rsidRPr="00CD0FCD" w:rsidRDefault="00790ADA" w:rsidP="00441B6F">
      <w:pPr>
        <w:pStyle w:val="AbstHead"/>
        <w:spacing w:after="0"/>
        <w:jc w:val="both"/>
        <w:rPr>
          <w:rFonts w:ascii="Arial" w:hAnsi="Arial" w:cs="Arial"/>
        </w:rPr>
      </w:pPr>
    </w:p>
    <w:p w14:paraId="56187FBB" w14:textId="77777777" w:rsidR="00DB6EDB" w:rsidRPr="00CD0FCD" w:rsidRDefault="00DB6EDB" w:rsidP="00DB6EDB">
      <w:pPr>
        <w:pStyle w:val="Body"/>
        <w:spacing w:after="0"/>
        <w:rPr>
          <w:rFonts w:ascii="Arial" w:hAnsi="Arial" w:cs="Arial"/>
        </w:rPr>
      </w:pPr>
      <w:r w:rsidRPr="00CD0FCD">
        <w:rPr>
          <w:rFonts w:ascii="Arial" w:hAnsi="Arial" w:cs="Arial"/>
        </w:rPr>
        <w:t xml:space="preserve">This study was conducted as a descriptive epidemiological survey, focusing on the evaluation of oral and systemic health conditions of patients admitted to Intensive Care Units (ICU) at Hospital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de Santos, located in Baixada </w:t>
      </w:r>
      <w:proofErr w:type="spellStart"/>
      <w:r w:rsidRPr="00CD0FCD">
        <w:rPr>
          <w:rFonts w:ascii="Arial" w:hAnsi="Arial" w:cs="Arial"/>
        </w:rPr>
        <w:t>Santista</w:t>
      </w:r>
      <w:proofErr w:type="spellEnd"/>
      <w:r w:rsidRPr="00CD0FCD">
        <w:rPr>
          <w:rFonts w:ascii="Arial" w:hAnsi="Arial" w:cs="Arial"/>
        </w:rPr>
        <w:t xml:space="preserve">, Brazil. As this is an observational study in epidemiology, it follows The Strengthening the Reporting of Observational Studies in Epidemiology (STROBE) Statement: guidelines for reporting observational studies, and the STROBE checklist is attached as a Supplementary File. Patient data, including medical history and oral clinical examination, were collected between August and December of 2023. The study was completed with 499 participants; 1 participant withdrew participation. The study size was arrived at by convenience (number of accessible patients in the hospital). To avoid bias, researchers followed the eligibility criteria described below. </w:t>
      </w:r>
    </w:p>
    <w:p w14:paraId="04E91163" w14:textId="77777777" w:rsidR="00E66E10" w:rsidRPr="00CD0FCD" w:rsidRDefault="00DB6EDB" w:rsidP="00DB6EDB">
      <w:pPr>
        <w:pStyle w:val="Body"/>
        <w:spacing w:after="0"/>
        <w:rPr>
          <w:rFonts w:ascii="Arial" w:hAnsi="Arial" w:cs="Arial"/>
        </w:rPr>
      </w:pPr>
      <w:r w:rsidRPr="00CD0FCD">
        <w:rPr>
          <w:rFonts w:ascii="Arial" w:hAnsi="Arial" w:cs="Arial"/>
        </w:rPr>
        <w:t xml:space="preserve">This study strictly complied with the principles of research involving human beings, as established by Resolution 466/12 and 510/16 of the Brazilian National Research Ethics Commission (CONEP) and the Declaration of Helsinki. All participants or their legal guardians signed the Free and Informed Consent Form before being included in the study. The study was approved by the Institutional Research Ethics Committee of the Metropolitan University of Santos and the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Hospital of Santos, under protocols CAAE: 69348323.6.0000.5509 and CAAE: 69348323.6.3001.0139.</w:t>
      </w:r>
    </w:p>
    <w:p w14:paraId="7C4CBE61" w14:textId="77777777" w:rsidR="00790ADA" w:rsidRPr="00CD0FCD" w:rsidRDefault="00790ADA" w:rsidP="00441B6F">
      <w:pPr>
        <w:pStyle w:val="Body"/>
        <w:spacing w:after="0"/>
        <w:rPr>
          <w:rFonts w:ascii="Arial" w:hAnsi="Arial" w:cs="Arial"/>
        </w:rPr>
      </w:pPr>
    </w:p>
    <w:p w14:paraId="27309104" w14:textId="77777777" w:rsidR="00AA74E0" w:rsidRPr="00CD0FCD" w:rsidRDefault="00AA74E0" w:rsidP="00441B6F">
      <w:pPr>
        <w:pStyle w:val="Body"/>
        <w:spacing w:after="0"/>
        <w:rPr>
          <w:rFonts w:ascii="Arial" w:hAnsi="Arial" w:cs="Arial"/>
          <w:b/>
          <w:bCs/>
          <w:sz w:val="22"/>
        </w:rPr>
      </w:pPr>
      <w:r w:rsidRPr="00CD0FCD">
        <w:rPr>
          <w:rFonts w:ascii="Arial" w:hAnsi="Arial" w:cs="Arial"/>
          <w:b/>
          <w:caps/>
          <w:sz w:val="22"/>
        </w:rPr>
        <w:t xml:space="preserve">2.1 </w:t>
      </w:r>
      <w:r w:rsidR="00DB6EDB" w:rsidRPr="00CD0FCD">
        <w:rPr>
          <w:rFonts w:ascii="Arial" w:hAnsi="Arial" w:cs="Arial"/>
          <w:b/>
          <w:bCs/>
          <w:sz w:val="22"/>
        </w:rPr>
        <w:t>Eligibility Criteria</w:t>
      </w:r>
    </w:p>
    <w:p w14:paraId="0D381103" w14:textId="77777777" w:rsidR="00505F06" w:rsidRPr="00CD0FCD" w:rsidRDefault="00505F06" w:rsidP="00441B6F">
      <w:pPr>
        <w:pStyle w:val="Body"/>
        <w:spacing w:after="0"/>
        <w:rPr>
          <w:rFonts w:ascii="Arial" w:hAnsi="Arial" w:cs="Arial"/>
        </w:rPr>
      </w:pPr>
    </w:p>
    <w:p w14:paraId="3AF1494D" w14:textId="77777777" w:rsidR="00AA74E0" w:rsidRPr="00CD0FCD" w:rsidRDefault="00AA74E0" w:rsidP="00441B6F">
      <w:pPr>
        <w:pStyle w:val="Body"/>
        <w:spacing w:after="0"/>
        <w:rPr>
          <w:rFonts w:ascii="Arial" w:hAnsi="Arial" w:cs="Arial"/>
        </w:rPr>
      </w:pPr>
      <w:r w:rsidRPr="00CD0FCD">
        <w:rPr>
          <w:rFonts w:ascii="Arial" w:hAnsi="Arial" w:cs="Arial"/>
          <w:b/>
          <w:u w:val="single"/>
        </w:rPr>
        <w:t xml:space="preserve">2.1.1 </w:t>
      </w:r>
      <w:r w:rsidR="00DB6EDB" w:rsidRPr="00CD0FCD">
        <w:rPr>
          <w:rFonts w:ascii="Arial" w:hAnsi="Arial" w:cs="Arial"/>
          <w:b/>
          <w:bCs/>
          <w:u w:val="single"/>
        </w:rPr>
        <w:t>Inclusion Criteria</w:t>
      </w:r>
      <w:r w:rsidR="00DB6EDB" w:rsidRPr="00CD0FCD">
        <w:rPr>
          <w:rFonts w:ascii="Arial" w:hAnsi="Arial" w:cs="Arial"/>
          <w:b/>
          <w:u w:val="single"/>
        </w:rPr>
        <w:t xml:space="preserve"> </w:t>
      </w:r>
    </w:p>
    <w:p w14:paraId="5595E510" w14:textId="77777777" w:rsidR="00DB6EDB" w:rsidRPr="00CD0FCD" w:rsidRDefault="00DB6EDB" w:rsidP="00441B6F">
      <w:pPr>
        <w:pStyle w:val="Body"/>
        <w:spacing w:after="0"/>
        <w:rPr>
          <w:rFonts w:ascii="Arial" w:hAnsi="Arial" w:cs="Arial"/>
        </w:rPr>
      </w:pPr>
    </w:p>
    <w:p w14:paraId="72818BB3" w14:textId="77777777" w:rsidR="00DB6EDB" w:rsidRPr="00CD0FCD" w:rsidRDefault="00DB6EDB" w:rsidP="00DB6EDB">
      <w:pPr>
        <w:pStyle w:val="Body"/>
        <w:numPr>
          <w:ilvl w:val="0"/>
          <w:numId w:val="32"/>
        </w:numPr>
        <w:spacing w:after="0"/>
        <w:rPr>
          <w:rFonts w:ascii="Arial" w:hAnsi="Arial" w:cs="Arial"/>
        </w:rPr>
      </w:pPr>
      <w:r w:rsidRPr="00CD0FCD">
        <w:rPr>
          <w:rFonts w:ascii="Arial" w:hAnsi="Arial" w:cs="Arial"/>
        </w:rPr>
        <w:t xml:space="preserve">Adults (aged 18 and over) admitted to the intensive care units of the Hospital </w:t>
      </w:r>
      <w:proofErr w:type="spellStart"/>
      <w:r w:rsidRPr="00CD0FCD">
        <w:rPr>
          <w:rFonts w:ascii="Arial" w:hAnsi="Arial" w:cs="Arial"/>
        </w:rPr>
        <w:t>Irmandade</w:t>
      </w:r>
      <w:proofErr w:type="spellEnd"/>
      <w:r w:rsidRPr="00CD0FCD">
        <w:rPr>
          <w:rFonts w:ascii="Arial" w:hAnsi="Arial" w:cs="Arial"/>
        </w:rPr>
        <w:t xml:space="preserve"> da Santa Casa da </w:t>
      </w:r>
      <w:proofErr w:type="spellStart"/>
      <w:r w:rsidRPr="00CD0FCD">
        <w:rPr>
          <w:rFonts w:ascii="Arial" w:hAnsi="Arial" w:cs="Arial"/>
        </w:rPr>
        <w:t>Misericórdia</w:t>
      </w:r>
      <w:proofErr w:type="spellEnd"/>
      <w:r w:rsidRPr="00CD0FCD">
        <w:rPr>
          <w:rFonts w:ascii="Arial" w:hAnsi="Arial" w:cs="Arial"/>
        </w:rPr>
        <w:t xml:space="preserve"> de Santos.</w:t>
      </w:r>
    </w:p>
    <w:p w14:paraId="6ED939A7" w14:textId="77777777" w:rsidR="00DB6EDB" w:rsidRPr="00CD0FCD" w:rsidRDefault="00DB6EDB" w:rsidP="00DB6EDB">
      <w:pPr>
        <w:pStyle w:val="Body"/>
        <w:numPr>
          <w:ilvl w:val="0"/>
          <w:numId w:val="32"/>
        </w:numPr>
        <w:spacing w:after="0"/>
        <w:rPr>
          <w:rFonts w:ascii="Arial" w:hAnsi="Arial" w:cs="Arial"/>
        </w:rPr>
      </w:pPr>
      <w:r w:rsidRPr="00CD0FCD">
        <w:rPr>
          <w:rFonts w:ascii="Arial" w:hAnsi="Arial" w:cs="Arial"/>
        </w:rPr>
        <w:lastRenderedPageBreak/>
        <w:t>Individuals who voluntarily provided informed consent to participate in the study.</w:t>
      </w:r>
    </w:p>
    <w:p w14:paraId="1E859D9A" w14:textId="77777777" w:rsidR="00DB6EDB" w:rsidRPr="00CD0FCD" w:rsidRDefault="00DB6EDB" w:rsidP="00DB6EDB">
      <w:pPr>
        <w:pStyle w:val="Body"/>
        <w:spacing w:after="0"/>
        <w:rPr>
          <w:rFonts w:ascii="Arial" w:hAnsi="Arial" w:cs="Arial"/>
        </w:rPr>
      </w:pPr>
    </w:p>
    <w:p w14:paraId="06FBE003" w14:textId="77777777" w:rsidR="00DB6EDB" w:rsidRPr="00CD0FCD" w:rsidRDefault="00DB6EDB" w:rsidP="00DB6EDB">
      <w:pPr>
        <w:pStyle w:val="Body"/>
        <w:spacing w:after="0"/>
        <w:rPr>
          <w:rFonts w:ascii="Arial" w:hAnsi="Arial" w:cs="Arial"/>
          <w:b/>
          <w:u w:val="single"/>
        </w:rPr>
      </w:pPr>
      <w:r w:rsidRPr="00CD0FCD">
        <w:rPr>
          <w:rFonts w:ascii="Arial" w:hAnsi="Arial" w:cs="Arial"/>
          <w:b/>
          <w:u w:val="single"/>
        </w:rPr>
        <w:t xml:space="preserve">2.1.2 </w:t>
      </w:r>
      <w:r w:rsidRPr="00CD0FCD">
        <w:rPr>
          <w:rFonts w:ascii="Arial" w:hAnsi="Arial" w:cs="Arial"/>
          <w:b/>
          <w:bCs/>
          <w:u w:val="single"/>
        </w:rPr>
        <w:t>Exclusion Criteria</w:t>
      </w:r>
      <w:r w:rsidRPr="00CD0FCD">
        <w:rPr>
          <w:rFonts w:ascii="Arial" w:hAnsi="Arial" w:cs="Arial"/>
          <w:b/>
          <w:u w:val="single"/>
        </w:rPr>
        <w:t xml:space="preserve"> </w:t>
      </w:r>
    </w:p>
    <w:p w14:paraId="07CD7603" w14:textId="77777777" w:rsidR="00DB6EDB" w:rsidRPr="00CD0FCD" w:rsidRDefault="00DB6EDB" w:rsidP="00DB6EDB">
      <w:pPr>
        <w:pStyle w:val="Body"/>
        <w:spacing w:after="0"/>
        <w:rPr>
          <w:rFonts w:ascii="Arial" w:hAnsi="Arial" w:cs="Arial"/>
        </w:rPr>
      </w:pPr>
    </w:p>
    <w:p w14:paraId="7034F6ED" w14:textId="77777777" w:rsidR="00DB6EDB" w:rsidRPr="00CD0FCD" w:rsidRDefault="00DB6EDB" w:rsidP="00DB6EDB">
      <w:pPr>
        <w:pStyle w:val="Body"/>
        <w:numPr>
          <w:ilvl w:val="0"/>
          <w:numId w:val="33"/>
        </w:numPr>
        <w:spacing w:after="0"/>
        <w:rPr>
          <w:rFonts w:ascii="Arial" w:hAnsi="Arial" w:cs="Arial"/>
        </w:rPr>
      </w:pPr>
      <w:r w:rsidRPr="00CD0FCD">
        <w:rPr>
          <w:rFonts w:ascii="Arial" w:hAnsi="Arial" w:cs="Arial"/>
        </w:rPr>
        <w:t>Patients under 18 years of age and palliative care patients without guardian authorization.</w:t>
      </w:r>
    </w:p>
    <w:p w14:paraId="3AF1D7E3" w14:textId="77777777" w:rsidR="00DB6EDB" w:rsidRPr="00CD0FCD" w:rsidRDefault="00DB6EDB" w:rsidP="00DB6EDB">
      <w:pPr>
        <w:pStyle w:val="Body"/>
        <w:numPr>
          <w:ilvl w:val="0"/>
          <w:numId w:val="33"/>
        </w:numPr>
        <w:spacing w:after="0"/>
        <w:rPr>
          <w:rFonts w:ascii="Arial" w:hAnsi="Arial" w:cs="Arial"/>
        </w:rPr>
      </w:pPr>
      <w:r w:rsidRPr="00CD0FCD">
        <w:rPr>
          <w:rFonts w:ascii="Arial" w:hAnsi="Arial" w:cs="Arial"/>
        </w:rPr>
        <w:t>Participants with any condition that, in the researcher's judgment, prevented them from participating in the study.</w:t>
      </w:r>
    </w:p>
    <w:p w14:paraId="6AF3E79E" w14:textId="77777777" w:rsidR="00DB6EDB" w:rsidRPr="00CD0FCD" w:rsidRDefault="00DB6EDB" w:rsidP="00DB6EDB">
      <w:pPr>
        <w:pStyle w:val="Body"/>
        <w:spacing w:after="0"/>
        <w:rPr>
          <w:rFonts w:ascii="Arial" w:hAnsi="Arial" w:cs="Arial"/>
        </w:rPr>
      </w:pPr>
    </w:p>
    <w:p w14:paraId="2A099588" w14:textId="77777777" w:rsidR="00DB6EDB" w:rsidRPr="00CD0FCD" w:rsidRDefault="00DB6EDB" w:rsidP="00DB6EDB">
      <w:pPr>
        <w:pStyle w:val="Body"/>
        <w:spacing w:after="0"/>
        <w:rPr>
          <w:rFonts w:ascii="Arial" w:hAnsi="Arial" w:cs="Arial"/>
          <w:b/>
          <w:u w:val="single"/>
        </w:rPr>
      </w:pPr>
      <w:r w:rsidRPr="00CD0FCD">
        <w:rPr>
          <w:rFonts w:ascii="Arial" w:hAnsi="Arial" w:cs="Arial"/>
          <w:b/>
          <w:u w:val="single"/>
        </w:rPr>
        <w:t xml:space="preserve">2.1.3 </w:t>
      </w:r>
      <w:r w:rsidRPr="00CD0FCD">
        <w:rPr>
          <w:rFonts w:ascii="Arial" w:hAnsi="Arial" w:cs="Arial"/>
          <w:b/>
          <w:bCs/>
          <w:u w:val="single"/>
        </w:rPr>
        <w:t>Withdrawal Criteria</w:t>
      </w:r>
      <w:r w:rsidRPr="00CD0FCD">
        <w:rPr>
          <w:rFonts w:ascii="Arial" w:hAnsi="Arial" w:cs="Arial"/>
          <w:b/>
          <w:u w:val="single"/>
        </w:rPr>
        <w:t xml:space="preserve"> </w:t>
      </w:r>
    </w:p>
    <w:p w14:paraId="4CBA4312" w14:textId="77777777" w:rsidR="00DB6EDB" w:rsidRPr="00CD0FCD" w:rsidRDefault="00DB6EDB" w:rsidP="00441B6F">
      <w:pPr>
        <w:pStyle w:val="Body"/>
        <w:spacing w:after="0"/>
        <w:rPr>
          <w:rFonts w:ascii="Arial" w:hAnsi="Arial" w:cs="Arial"/>
        </w:rPr>
      </w:pPr>
    </w:p>
    <w:p w14:paraId="20ABDA04"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The participant who did not wish to continue in the study for personal reasons (or even without reason);</w:t>
      </w:r>
    </w:p>
    <w:p w14:paraId="7BD78213"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The legal representative who stated that his/her representative would no longer participate in the study for personal reasons (or even without reason);</w:t>
      </w:r>
    </w:p>
    <w:p w14:paraId="15A5FCB4"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Positive response to the reassessment of any of the exclusion criteria, at the time of admission to the study or on a subsequent occasion;</w:t>
      </w:r>
    </w:p>
    <w:p w14:paraId="1BDC4B27"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Any other condition that, in the researcher's judgment, is in the interest of maintaining the participant's health.</w:t>
      </w:r>
    </w:p>
    <w:p w14:paraId="6D3BCEC3" w14:textId="77777777" w:rsidR="00DB6EDB" w:rsidRPr="00CD0FCD" w:rsidRDefault="00DB6EDB" w:rsidP="00441B6F">
      <w:pPr>
        <w:pStyle w:val="Body"/>
        <w:spacing w:after="0"/>
        <w:rPr>
          <w:rFonts w:ascii="Arial" w:hAnsi="Arial" w:cs="Arial"/>
        </w:rPr>
      </w:pPr>
    </w:p>
    <w:p w14:paraId="2A780681" w14:textId="77777777" w:rsidR="00DB6EDB" w:rsidRPr="00CD0FCD" w:rsidRDefault="00DB6EDB" w:rsidP="00DB6EDB">
      <w:pPr>
        <w:pStyle w:val="Body"/>
        <w:spacing w:after="0"/>
        <w:rPr>
          <w:rFonts w:ascii="Arial" w:hAnsi="Arial" w:cs="Arial"/>
          <w:b/>
          <w:bCs/>
          <w:sz w:val="22"/>
        </w:rPr>
      </w:pPr>
      <w:r w:rsidRPr="00CD0FCD">
        <w:rPr>
          <w:rFonts w:ascii="Arial" w:hAnsi="Arial" w:cs="Arial"/>
          <w:b/>
          <w:caps/>
          <w:sz w:val="22"/>
        </w:rPr>
        <w:t xml:space="preserve">2.2 </w:t>
      </w:r>
      <w:r w:rsidRPr="00CD0FCD">
        <w:rPr>
          <w:rFonts w:ascii="Arial" w:hAnsi="Arial" w:cs="Arial"/>
          <w:b/>
          <w:bCs/>
          <w:sz w:val="22"/>
        </w:rPr>
        <w:t>Evaluations</w:t>
      </w:r>
    </w:p>
    <w:p w14:paraId="599E397C" w14:textId="77777777" w:rsidR="00DB6EDB" w:rsidRPr="00CD0FCD" w:rsidRDefault="00DB6EDB" w:rsidP="00DB6EDB">
      <w:pPr>
        <w:pStyle w:val="Body"/>
        <w:spacing w:after="0"/>
        <w:rPr>
          <w:rFonts w:ascii="Arial" w:hAnsi="Arial" w:cs="Arial"/>
          <w:b/>
          <w:bCs/>
          <w:sz w:val="22"/>
        </w:rPr>
      </w:pPr>
    </w:p>
    <w:p w14:paraId="261033D9" w14:textId="77777777" w:rsidR="00DB6EDB" w:rsidRPr="00CD0FCD" w:rsidRDefault="00DB6EDB" w:rsidP="00DB6EDB">
      <w:pPr>
        <w:pStyle w:val="Body"/>
        <w:spacing w:after="0"/>
        <w:rPr>
          <w:rFonts w:ascii="Arial" w:hAnsi="Arial" w:cs="Arial"/>
        </w:rPr>
      </w:pPr>
      <w:r w:rsidRPr="00CD0FCD">
        <w:rPr>
          <w:rFonts w:ascii="Arial" w:hAnsi="Arial" w:cs="Arial"/>
        </w:rPr>
        <w:t xml:space="preserve">As primary evaluation criteria, oral clinical examination and a survey of all patient anamnesis and development records were performed. As secondary evaluation criteria, an epidemiological survey of the oral and systemic health conditions of patients in hospitals in the Intensive Care Units in the port region of Baixada </w:t>
      </w:r>
      <w:proofErr w:type="spellStart"/>
      <w:r w:rsidRPr="00CD0FCD">
        <w:rPr>
          <w:rFonts w:ascii="Arial" w:hAnsi="Arial" w:cs="Arial"/>
        </w:rPr>
        <w:t>Santista</w:t>
      </w:r>
      <w:proofErr w:type="spellEnd"/>
      <w:r w:rsidRPr="00CD0FCD">
        <w:rPr>
          <w:rFonts w:ascii="Arial" w:hAnsi="Arial" w:cs="Arial"/>
        </w:rPr>
        <w:t xml:space="preserve"> was performed. Data such as types of ICU, allergies, oxygen supplementation, feeding types, biometric data, and intra and extra oral alterations were collected. </w:t>
      </w:r>
    </w:p>
    <w:p w14:paraId="56A1D197" w14:textId="77777777" w:rsidR="00DB6EDB" w:rsidRPr="00CD0FCD" w:rsidRDefault="00DB6EDB" w:rsidP="00DB6EDB">
      <w:pPr>
        <w:pStyle w:val="Body"/>
        <w:spacing w:after="0"/>
        <w:rPr>
          <w:rFonts w:ascii="Arial" w:hAnsi="Arial" w:cs="Arial"/>
          <w:b/>
          <w:bCs/>
          <w:sz w:val="22"/>
        </w:rPr>
      </w:pPr>
    </w:p>
    <w:p w14:paraId="18F26BD1" w14:textId="77777777" w:rsidR="00DB6EDB" w:rsidRPr="00CD0FCD" w:rsidRDefault="00DB6EDB" w:rsidP="00DB6EDB">
      <w:pPr>
        <w:pStyle w:val="Body"/>
        <w:spacing w:after="0"/>
        <w:rPr>
          <w:rFonts w:ascii="Arial" w:hAnsi="Arial" w:cs="Arial"/>
          <w:b/>
          <w:bCs/>
          <w:sz w:val="22"/>
        </w:rPr>
      </w:pPr>
      <w:r w:rsidRPr="00CD0FCD">
        <w:rPr>
          <w:rFonts w:ascii="Arial" w:hAnsi="Arial" w:cs="Arial"/>
          <w:b/>
          <w:caps/>
          <w:sz w:val="22"/>
        </w:rPr>
        <w:t xml:space="preserve">2.3 </w:t>
      </w:r>
      <w:r w:rsidRPr="00CD0FCD">
        <w:rPr>
          <w:rFonts w:ascii="Arial" w:hAnsi="Arial" w:cs="Arial"/>
          <w:b/>
          <w:bCs/>
          <w:sz w:val="22"/>
        </w:rPr>
        <w:t>Analysis</w:t>
      </w:r>
    </w:p>
    <w:p w14:paraId="271F023A" w14:textId="77777777" w:rsidR="00DB6EDB" w:rsidRPr="00CD0FCD" w:rsidRDefault="00DB6EDB" w:rsidP="00DB6EDB">
      <w:pPr>
        <w:pStyle w:val="Body"/>
        <w:spacing w:after="0"/>
        <w:rPr>
          <w:rFonts w:ascii="Arial" w:hAnsi="Arial" w:cs="Arial"/>
          <w:b/>
          <w:bCs/>
          <w:sz w:val="22"/>
        </w:rPr>
      </w:pPr>
    </w:p>
    <w:p w14:paraId="6BA5219E" w14:textId="77777777" w:rsidR="00DB6EDB" w:rsidRPr="00CD0FCD" w:rsidRDefault="00DB6EDB" w:rsidP="00DB6EDB">
      <w:pPr>
        <w:pStyle w:val="Body"/>
        <w:spacing w:after="0"/>
        <w:rPr>
          <w:rFonts w:ascii="Arial" w:hAnsi="Arial" w:cs="Arial"/>
        </w:rPr>
      </w:pPr>
      <w:r w:rsidRPr="00CD0FCD">
        <w:rPr>
          <w:rFonts w:ascii="Arial" w:hAnsi="Arial" w:cs="Arial"/>
        </w:rPr>
        <w:t>Statistical analyses were conducted in which data entry and initial processing were obtained through MS Excel files, based on data derived from the analysis equipment. The raw data as well as the results of the evaluations and statistics are available in paper and electronic media. The results were presented in descriptive statistics using tables and graphs, highlighting the frequency and percentages of various conditions and patient characteristics.</w:t>
      </w:r>
    </w:p>
    <w:p w14:paraId="39078D3B" w14:textId="77777777" w:rsidR="00DB6EDB" w:rsidRPr="00CD0FCD" w:rsidRDefault="00DB6EDB" w:rsidP="00DB6EDB">
      <w:pPr>
        <w:pStyle w:val="Body"/>
        <w:spacing w:after="0"/>
        <w:rPr>
          <w:rFonts w:ascii="Arial" w:hAnsi="Arial" w:cs="Arial"/>
          <w:b/>
          <w:bCs/>
          <w:sz w:val="22"/>
        </w:rPr>
      </w:pPr>
    </w:p>
    <w:p w14:paraId="71C1DA63" w14:textId="77777777" w:rsidR="00790ADA" w:rsidRPr="00CD0FCD" w:rsidRDefault="00790ADA" w:rsidP="00441B6F">
      <w:pPr>
        <w:pStyle w:val="Body"/>
        <w:spacing w:after="0"/>
        <w:rPr>
          <w:rFonts w:ascii="Arial" w:hAnsi="Arial" w:cs="Arial"/>
        </w:rPr>
      </w:pPr>
    </w:p>
    <w:p w14:paraId="34E3EC85" w14:textId="77777777" w:rsidR="00902823" w:rsidRPr="00CD0FCD" w:rsidRDefault="00000F8F" w:rsidP="00441B6F">
      <w:pPr>
        <w:pStyle w:val="Head1"/>
        <w:spacing w:after="0"/>
        <w:jc w:val="both"/>
        <w:rPr>
          <w:rFonts w:ascii="Arial" w:hAnsi="Arial" w:cs="Arial"/>
        </w:rPr>
      </w:pPr>
      <w:r w:rsidRPr="00CD0FCD">
        <w:rPr>
          <w:rFonts w:ascii="Arial" w:hAnsi="Arial" w:cs="Arial"/>
        </w:rPr>
        <w:t>3</w:t>
      </w:r>
      <w:r w:rsidR="00902823" w:rsidRPr="00CD0FCD">
        <w:rPr>
          <w:rFonts w:ascii="Arial" w:hAnsi="Arial" w:cs="Arial"/>
        </w:rPr>
        <w:t xml:space="preserve">. </w:t>
      </w:r>
      <w:r w:rsidRPr="00CD0FCD">
        <w:rPr>
          <w:rFonts w:ascii="Arial" w:hAnsi="Arial" w:cs="Arial"/>
        </w:rPr>
        <w:t>results and discussion</w:t>
      </w:r>
    </w:p>
    <w:p w14:paraId="26F57B2A" w14:textId="77777777" w:rsidR="00790ADA" w:rsidRPr="00CD0FCD" w:rsidRDefault="00790ADA" w:rsidP="00441B6F">
      <w:pPr>
        <w:pStyle w:val="Head1"/>
        <w:spacing w:after="0"/>
        <w:jc w:val="both"/>
        <w:rPr>
          <w:rFonts w:ascii="Arial" w:hAnsi="Arial" w:cs="Arial"/>
        </w:rPr>
      </w:pPr>
    </w:p>
    <w:p w14:paraId="3282D3B9" w14:textId="77777777" w:rsidR="00DB6EDB" w:rsidRPr="00CD0FCD" w:rsidRDefault="00DB6EDB" w:rsidP="00DB6EDB">
      <w:pPr>
        <w:pStyle w:val="Body"/>
        <w:spacing w:after="0"/>
        <w:rPr>
          <w:rFonts w:ascii="Arial" w:hAnsi="Arial" w:cs="Arial"/>
        </w:rPr>
      </w:pPr>
      <w:r w:rsidRPr="00CD0FCD">
        <w:rPr>
          <w:rFonts w:ascii="Arial" w:hAnsi="Arial" w:cs="Arial"/>
          <w:lang w:val="en-GB"/>
        </w:rPr>
        <w:t xml:space="preserve">Out of the total available hospital beds, 500 patients were identified as eligible. One patient withdrew from the study, resulting in a final sample of 499 participants who were included and assessed. </w:t>
      </w:r>
      <w:r w:rsidRPr="00CD0FCD">
        <w:rPr>
          <w:rFonts w:ascii="Arial" w:hAnsi="Arial" w:cs="Arial"/>
        </w:rPr>
        <w:t>The main characteristics of the included participants are displayed in Table 1.</w:t>
      </w:r>
    </w:p>
    <w:p w14:paraId="60013566" w14:textId="77777777" w:rsidR="00DB6EDB" w:rsidRPr="00CD0FCD" w:rsidRDefault="00DB6EDB" w:rsidP="00441B6F">
      <w:pPr>
        <w:pStyle w:val="Body"/>
        <w:spacing w:after="0"/>
        <w:rPr>
          <w:rFonts w:ascii="Arial" w:hAnsi="Arial" w:cs="Arial"/>
        </w:rPr>
      </w:pPr>
      <w:r w:rsidRPr="00CD0FCD">
        <w:rPr>
          <w:rFonts w:ascii="Arial" w:hAnsi="Arial" w:cs="Arial"/>
        </w:rPr>
        <w:t xml:space="preserve"> </w:t>
      </w:r>
    </w:p>
    <w:p w14:paraId="296A780D" w14:textId="77777777" w:rsidR="00863BD3" w:rsidRPr="00CD0FCD" w:rsidRDefault="009500A6" w:rsidP="00441B6F">
      <w:pPr>
        <w:tabs>
          <w:tab w:val="left" w:pos="1080"/>
        </w:tabs>
        <w:jc w:val="both"/>
        <w:rPr>
          <w:rFonts w:ascii="Arial" w:hAnsi="Arial"/>
          <w:b/>
        </w:rPr>
      </w:pPr>
      <w:r w:rsidRPr="00CD0FCD">
        <w:rPr>
          <w:rFonts w:ascii="Arial" w:hAnsi="Arial"/>
          <w:b/>
        </w:rPr>
        <w:t>Table 1.</w:t>
      </w:r>
      <w:r w:rsidR="00DB6EDB" w:rsidRPr="00CD0FCD">
        <w:rPr>
          <w:rFonts w:ascii="Arial" w:hAnsi="Arial"/>
          <w:b/>
        </w:rPr>
        <w:t xml:space="preserve"> Characteristics of the population of the present analysis evaluated in all Intensive Care Units (ICU)</w:t>
      </w:r>
    </w:p>
    <w:p w14:paraId="748C5712" w14:textId="77777777" w:rsidR="00863BD3" w:rsidRPr="00CD0FCD" w:rsidRDefault="00863BD3" w:rsidP="00441B6F">
      <w:pPr>
        <w:tabs>
          <w:tab w:val="left" w:pos="1080"/>
        </w:tabs>
        <w:jc w:val="both"/>
        <w:rPr>
          <w:rFonts w:ascii="Arial" w:hAnsi="Arial"/>
          <w:b/>
        </w:rPr>
      </w:pPr>
    </w:p>
    <w:tbl>
      <w:tblPr>
        <w:tblStyle w:val="Tabelacomgrade1"/>
        <w:tblW w:w="0" w:type="auto"/>
        <w:jc w:val="center"/>
        <w:tblLook w:val="04A0" w:firstRow="1" w:lastRow="0" w:firstColumn="1" w:lastColumn="0" w:noHBand="0" w:noVBand="1"/>
      </w:tblPr>
      <w:tblGrid>
        <w:gridCol w:w="4221"/>
        <w:gridCol w:w="4203"/>
      </w:tblGrid>
      <w:tr w:rsidR="00DB6EDB" w:rsidRPr="00CD0FCD" w14:paraId="1C890DA9" w14:textId="77777777" w:rsidTr="00DB6EDB">
        <w:trPr>
          <w:jc w:val="center"/>
        </w:trPr>
        <w:tc>
          <w:tcPr>
            <w:tcW w:w="4221" w:type="dxa"/>
            <w:tcBorders>
              <w:bottom w:val="single" w:sz="4" w:space="0" w:color="auto"/>
            </w:tcBorders>
          </w:tcPr>
          <w:p w14:paraId="46F55143"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 xml:space="preserve">Characteristics  </w:t>
            </w:r>
          </w:p>
        </w:tc>
        <w:tc>
          <w:tcPr>
            <w:tcW w:w="4203" w:type="dxa"/>
            <w:tcBorders>
              <w:bottom w:val="single" w:sz="4" w:space="0" w:color="auto"/>
            </w:tcBorders>
          </w:tcPr>
          <w:p w14:paraId="4C3B5DC4"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N. (%)</w:t>
            </w:r>
          </w:p>
        </w:tc>
      </w:tr>
      <w:tr w:rsidR="00DB6EDB" w:rsidRPr="00CD0FCD" w14:paraId="33CC7064" w14:textId="77777777" w:rsidTr="00DB6EDB">
        <w:trPr>
          <w:jc w:val="center"/>
        </w:trPr>
        <w:tc>
          <w:tcPr>
            <w:tcW w:w="4221" w:type="dxa"/>
            <w:tcBorders>
              <w:left w:val="single" w:sz="4" w:space="0" w:color="auto"/>
              <w:right w:val="nil"/>
            </w:tcBorders>
          </w:tcPr>
          <w:p w14:paraId="50DDBD9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Total </w:t>
            </w:r>
            <w:bookmarkStart w:id="0" w:name="_Hlk187084132"/>
            <w:r w:rsidRPr="00CD0FCD">
              <w:rPr>
                <w:rFonts w:ascii="Arial" w:hAnsi="Arial" w:cs="Arial"/>
                <w:sz w:val="20"/>
                <w:szCs w:val="20"/>
                <w:lang w:eastAsia="pt-BR"/>
              </w:rPr>
              <w:t xml:space="preserve">Patients </w:t>
            </w:r>
            <w:bookmarkEnd w:id="0"/>
          </w:p>
          <w:p w14:paraId="65C06390"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20B86D3F"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tcBorders>
          </w:tcPr>
          <w:p w14:paraId="5E43CCD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499 (100)</w:t>
            </w:r>
          </w:p>
          <w:p w14:paraId="6A176FA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264 (52.9)</w:t>
            </w:r>
          </w:p>
          <w:p w14:paraId="2024834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235 (47.09)</w:t>
            </w:r>
          </w:p>
        </w:tc>
      </w:tr>
      <w:tr w:rsidR="00DB6EDB" w:rsidRPr="00CD0FCD" w14:paraId="6D64764C" w14:textId="77777777" w:rsidTr="00DB6EDB">
        <w:trPr>
          <w:jc w:val="center"/>
        </w:trPr>
        <w:tc>
          <w:tcPr>
            <w:tcW w:w="4221" w:type="dxa"/>
            <w:tcBorders>
              <w:bottom w:val="single" w:sz="4" w:space="0" w:color="auto"/>
            </w:tcBorders>
          </w:tcPr>
          <w:p w14:paraId="45007801" w14:textId="77777777" w:rsidR="00DB6EDB" w:rsidRPr="00CD0FCD" w:rsidRDefault="00DB6EDB" w:rsidP="00DB6EDB">
            <w:pPr>
              <w:spacing w:before="100" w:beforeAutospacing="1" w:after="100" w:afterAutospacing="1" w:line="360" w:lineRule="auto"/>
              <w:jc w:val="both"/>
              <w:rPr>
                <w:rFonts w:ascii="Arial" w:hAnsi="Arial" w:cs="Arial"/>
                <w:sz w:val="20"/>
                <w:szCs w:val="20"/>
                <w:lang w:eastAsia="pt-BR"/>
              </w:rPr>
            </w:pPr>
            <w:r w:rsidRPr="00CD0FCD">
              <w:rPr>
                <w:rFonts w:ascii="Arial" w:hAnsi="Arial" w:cs="Arial"/>
                <w:sz w:val="20"/>
                <w:szCs w:val="20"/>
                <w:lang w:eastAsia="pt-BR"/>
              </w:rPr>
              <w:lastRenderedPageBreak/>
              <w:t>Types of ICU</w:t>
            </w:r>
          </w:p>
        </w:tc>
        <w:tc>
          <w:tcPr>
            <w:tcW w:w="4203" w:type="dxa"/>
            <w:tcBorders>
              <w:bottom w:val="single" w:sz="4" w:space="0" w:color="auto"/>
            </w:tcBorders>
          </w:tcPr>
          <w:p w14:paraId="3E08A9BC" w14:textId="77777777" w:rsidR="00DB6EDB" w:rsidRPr="00CD0FCD" w:rsidRDefault="00DB6EDB" w:rsidP="00DB6EDB">
            <w:pPr>
              <w:spacing w:before="100" w:beforeAutospacing="1" w:after="100" w:afterAutospacing="1" w:line="360" w:lineRule="auto"/>
              <w:jc w:val="both"/>
              <w:rPr>
                <w:rFonts w:ascii="Arial" w:hAnsi="Arial" w:cs="Arial"/>
                <w:sz w:val="20"/>
                <w:szCs w:val="20"/>
                <w:lang w:eastAsia="pt-BR"/>
              </w:rPr>
            </w:pPr>
          </w:p>
        </w:tc>
      </w:tr>
      <w:tr w:rsidR="00DB6EDB" w:rsidRPr="00CD0FCD" w14:paraId="7542ACB9" w14:textId="77777777" w:rsidTr="00DB6EDB">
        <w:trPr>
          <w:jc w:val="center"/>
        </w:trPr>
        <w:tc>
          <w:tcPr>
            <w:tcW w:w="4221" w:type="dxa"/>
            <w:tcBorders>
              <w:bottom w:val="single" w:sz="4" w:space="0" w:color="auto"/>
              <w:right w:val="nil"/>
            </w:tcBorders>
          </w:tcPr>
          <w:p w14:paraId="421B3C1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General ICU </w:t>
            </w:r>
          </w:p>
          <w:p w14:paraId="29DE2424"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A1D395E"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5E2E9F2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245 (49.0)</w:t>
            </w:r>
          </w:p>
          <w:p w14:paraId="3D9C19A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159 (60.23)</w:t>
            </w:r>
          </w:p>
          <w:p w14:paraId="28919D0C"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86 (36.60)</w:t>
            </w:r>
          </w:p>
        </w:tc>
      </w:tr>
      <w:tr w:rsidR="00DB6EDB" w:rsidRPr="00CD0FCD" w14:paraId="6C5A4208" w14:textId="77777777" w:rsidTr="00DB6EDB">
        <w:trPr>
          <w:jc w:val="center"/>
        </w:trPr>
        <w:tc>
          <w:tcPr>
            <w:tcW w:w="4221" w:type="dxa"/>
            <w:tcBorders>
              <w:bottom w:val="single" w:sz="4" w:space="0" w:color="auto"/>
              <w:right w:val="nil"/>
            </w:tcBorders>
          </w:tcPr>
          <w:p w14:paraId="19E92D78"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Coronal ICU </w:t>
            </w:r>
          </w:p>
          <w:p w14:paraId="21821C9A"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179008C7"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0BAD830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109 (21.84)</w:t>
            </w:r>
          </w:p>
          <w:p w14:paraId="1A894B8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21 (7.95)</w:t>
            </w:r>
          </w:p>
          <w:p w14:paraId="2022A680"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88 (37.45)</w:t>
            </w:r>
          </w:p>
        </w:tc>
      </w:tr>
      <w:tr w:rsidR="00DB6EDB" w:rsidRPr="00CD0FCD" w14:paraId="11EAB070" w14:textId="77777777" w:rsidTr="00DB6EDB">
        <w:trPr>
          <w:jc w:val="center"/>
        </w:trPr>
        <w:tc>
          <w:tcPr>
            <w:tcW w:w="4221" w:type="dxa"/>
            <w:tcBorders>
              <w:bottom w:val="single" w:sz="4" w:space="0" w:color="auto"/>
              <w:right w:val="nil"/>
            </w:tcBorders>
          </w:tcPr>
          <w:p w14:paraId="5DA41C5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Neurological ICU </w:t>
            </w:r>
          </w:p>
          <w:p w14:paraId="7BDF79E2"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753DC38"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773439C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74 (14.82)</w:t>
            </w:r>
          </w:p>
          <w:p w14:paraId="299903D9"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60 (22.73)</w:t>
            </w:r>
          </w:p>
          <w:p w14:paraId="6E35682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14 (5.96)</w:t>
            </w:r>
          </w:p>
        </w:tc>
      </w:tr>
      <w:tr w:rsidR="00DB6EDB" w:rsidRPr="00CD0FCD" w14:paraId="696E1B12" w14:textId="77777777" w:rsidTr="00DB6EDB">
        <w:trPr>
          <w:jc w:val="center"/>
        </w:trPr>
        <w:tc>
          <w:tcPr>
            <w:tcW w:w="4221" w:type="dxa"/>
            <w:tcBorders>
              <w:bottom w:val="single" w:sz="4" w:space="0" w:color="auto"/>
              <w:right w:val="nil"/>
            </w:tcBorders>
          </w:tcPr>
          <w:p w14:paraId="737F78C0"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Pediatric ICU </w:t>
            </w:r>
          </w:p>
          <w:p w14:paraId="7C484333"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7B46F9A1"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6CE38A4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 (0.3)</w:t>
            </w:r>
          </w:p>
          <w:p w14:paraId="703D8CB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 (1.14) </w:t>
            </w:r>
          </w:p>
          <w:p w14:paraId="044BC26A"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0 (-)</w:t>
            </w:r>
          </w:p>
        </w:tc>
      </w:tr>
      <w:tr w:rsidR="00DB6EDB" w:rsidRPr="00CD0FCD" w14:paraId="35FBF971" w14:textId="77777777" w:rsidTr="00DB6EDB">
        <w:trPr>
          <w:jc w:val="center"/>
        </w:trPr>
        <w:tc>
          <w:tcPr>
            <w:tcW w:w="4221" w:type="dxa"/>
            <w:tcBorders>
              <w:bottom w:val="single" w:sz="4" w:space="0" w:color="auto"/>
              <w:right w:val="nil"/>
            </w:tcBorders>
          </w:tcPr>
          <w:p w14:paraId="4011751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Cardiac ICU </w:t>
            </w:r>
          </w:p>
          <w:p w14:paraId="78C55D8C"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6A2C988"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6E1A420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68 (13.63) </w:t>
            </w:r>
          </w:p>
          <w:p w14:paraId="00647F75"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21 (7.95)</w:t>
            </w:r>
          </w:p>
          <w:p w14:paraId="2A7A6ED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47 (20.00)</w:t>
            </w:r>
          </w:p>
        </w:tc>
      </w:tr>
      <w:tr w:rsidR="00DB6EDB" w:rsidRPr="00CD0FCD" w14:paraId="21549BDA" w14:textId="77777777" w:rsidTr="00DB6EDB">
        <w:trPr>
          <w:jc w:val="center"/>
        </w:trPr>
        <w:tc>
          <w:tcPr>
            <w:tcW w:w="4221" w:type="dxa"/>
            <w:tcBorders>
              <w:bottom w:val="single" w:sz="4" w:space="0" w:color="auto"/>
              <w:right w:val="nil"/>
            </w:tcBorders>
          </w:tcPr>
          <w:p w14:paraId="1E9D2E28"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0F0080A9" w14:textId="77777777" w:rsidR="00DB6EDB" w:rsidRPr="00CD0FCD" w:rsidRDefault="00DB6EDB" w:rsidP="00DB6EDB">
            <w:pPr>
              <w:jc w:val="both"/>
              <w:rPr>
                <w:rFonts w:ascii="Arial" w:hAnsi="Arial" w:cs="Arial"/>
                <w:sz w:val="20"/>
                <w:szCs w:val="20"/>
                <w:lang w:eastAsia="pt-BR"/>
              </w:rPr>
            </w:pPr>
          </w:p>
        </w:tc>
      </w:tr>
      <w:tr w:rsidR="00DB6EDB" w:rsidRPr="00CD0FCD" w14:paraId="53387A70" w14:textId="77777777" w:rsidTr="00DB6EDB">
        <w:trPr>
          <w:trHeight w:val="698"/>
          <w:jc w:val="center"/>
        </w:trPr>
        <w:tc>
          <w:tcPr>
            <w:tcW w:w="4221" w:type="dxa"/>
            <w:tcBorders>
              <w:bottom w:val="single" w:sz="4" w:space="0" w:color="auto"/>
              <w:right w:val="nil"/>
            </w:tcBorders>
          </w:tcPr>
          <w:p w14:paraId="45EBC679" w14:textId="77777777" w:rsidR="00DB6EDB" w:rsidRPr="00CD0FCD" w:rsidRDefault="00DB6EDB" w:rsidP="00DB6EDB">
            <w:pPr>
              <w:jc w:val="both"/>
              <w:rPr>
                <w:rFonts w:ascii="Arial" w:hAnsi="Arial" w:cs="Arial"/>
                <w:sz w:val="20"/>
                <w:szCs w:val="20"/>
                <w:lang w:val="en-US" w:eastAsia="pt-BR"/>
              </w:rPr>
            </w:pPr>
            <w:r w:rsidRPr="00CD0FCD">
              <w:rPr>
                <w:rFonts w:ascii="Arial" w:hAnsi="Arial" w:cs="Arial"/>
                <w:sz w:val="20"/>
                <w:szCs w:val="20"/>
                <w:lang w:val="en-US" w:eastAsia="pt-BR"/>
              </w:rPr>
              <w:t>Patients with a clinical history of some type of allergy</w:t>
            </w:r>
          </w:p>
          <w:p w14:paraId="0129E65A" w14:textId="77777777" w:rsidR="00DB6EDB" w:rsidRPr="00CD0FCD" w:rsidRDefault="00DB6EDB" w:rsidP="00DB6EDB">
            <w:pPr>
              <w:ind w:left="708"/>
              <w:jc w:val="both"/>
              <w:rPr>
                <w:rFonts w:ascii="Arial" w:hAnsi="Arial" w:cs="Arial"/>
                <w:sz w:val="20"/>
                <w:szCs w:val="20"/>
                <w:lang w:eastAsia="pt-BR"/>
              </w:rPr>
            </w:pPr>
            <w:r w:rsidRPr="00CD0FCD">
              <w:rPr>
                <w:rFonts w:ascii="Arial" w:hAnsi="Arial" w:cs="Arial"/>
                <w:sz w:val="20"/>
                <w:szCs w:val="20"/>
                <w:lang w:eastAsia="pt-BR"/>
              </w:rPr>
              <w:t xml:space="preserve">Male </w:t>
            </w:r>
          </w:p>
          <w:p w14:paraId="3F76CEBB" w14:textId="77777777" w:rsidR="00DB6EDB" w:rsidRPr="00CD0FCD" w:rsidRDefault="00DB6EDB" w:rsidP="00DB6EDB">
            <w:pPr>
              <w:ind w:left="708"/>
              <w:jc w:val="both"/>
              <w:rPr>
                <w:rFonts w:ascii="Arial" w:hAnsi="Arial" w:cs="Arial"/>
                <w:i/>
                <w:iCs/>
                <w:sz w:val="20"/>
                <w:szCs w:val="20"/>
                <w:lang w:eastAsia="pt-BR"/>
              </w:rPr>
            </w:pPr>
            <w:r w:rsidRPr="00CD0FCD">
              <w:rPr>
                <w:rFonts w:ascii="Arial" w:hAnsi="Arial" w:cs="Arial"/>
                <w:sz w:val="20"/>
                <w:szCs w:val="20"/>
                <w:lang w:eastAsia="pt-BR"/>
              </w:rPr>
              <w:t>Female</w:t>
            </w:r>
          </w:p>
        </w:tc>
        <w:tc>
          <w:tcPr>
            <w:tcW w:w="4203" w:type="dxa"/>
            <w:tcBorders>
              <w:left w:val="nil"/>
              <w:bottom w:val="single" w:sz="4" w:space="0" w:color="auto"/>
            </w:tcBorders>
          </w:tcPr>
          <w:p w14:paraId="4BE5B31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78 (15.63)</w:t>
            </w:r>
          </w:p>
          <w:p w14:paraId="4613CEB9"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32 (12.1)</w:t>
            </w:r>
          </w:p>
          <w:p w14:paraId="00EE5B7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46 (19.6)</w:t>
            </w:r>
          </w:p>
        </w:tc>
      </w:tr>
      <w:tr w:rsidR="00DB6EDB" w:rsidRPr="00CD0FCD" w14:paraId="68BB6BEB" w14:textId="77777777" w:rsidTr="00DB6EDB">
        <w:trPr>
          <w:jc w:val="center"/>
        </w:trPr>
        <w:tc>
          <w:tcPr>
            <w:tcW w:w="4221" w:type="dxa"/>
            <w:tcBorders>
              <w:bottom w:val="single" w:sz="4" w:space="0" w:color="auto"/>
              <w:right w:val="nil"/>
            </w:tcBorders>
          </w:tcPr>
          <w:p w14:paraId="38BE0516"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6CD5FF98" w14:textId="77777777" w:rsidR="00DB6EDB" w:rsidRPr="00CD0FCD" w:rsidRDefault="00DB6EDB" w:rsidP="00DB6EDB">
            <w:pPr>
              <w:jc w:val="both"/>
              <w:rPr>
                <w:rFonts w:ascii="Arial" w:hAnsi="Arial" w:cs="Arial"/>
                <w:sz w:val="20"/>
                <w:szCs w:val="20"/>
                <w:lang w:eastAsia="pt-BR"/>
              </w:rPr>
            </w:pPr>
          </w:p>
        </w:tc>
      </w:tr>
      <w:tr w:rsidR="00DB6EDB" w:rsidRPr="00CD0FCD" w14:paraId="443B5DCE" w14:textId="77777777" w:rsidTr="00DB6EDB">
        <w:trPr>
          <w:jc w:val="center"/>
        </w:trPr>
        <w:tc>
          <w:tcPr>
            <w:tcW w:w="4221" w:type="dxa"/>
            <w:tcBorders>
              <w:bottom w:val="single" w:sz="4" w:space="0" w:color="auto"/>
              <w:right w:val="nil"/>
            </w:tcBorders>
          </w:tcPr>
          <w:p w14:paraId="79280064" w14:textId="77777777" w:rsidR="00DB6EDB" w:rsidRPr="00CD0FCD" w:rsidRDefault="00DB6EDB" w:rsidP="00DB6EDB">
            <w:pPr>
              <w:rPr>
                <w:rFonts w:ascii="Arial" w:hAnsi="Arial" w:cs="Arial"/>
                <w:sz w:val="20"/>
                <w:szCs w:val="20"/>
                <w:lang w:eastAsia="pt-BR"/>
              </w:rPr>
            </w:pPr>
            <w:r w:rsidRPr="00CD0FCD">
              <w:rPr>
                <w:rFonts w:ascii="Arial" w:hAnsi="Arial" w:cs="Arial"/>
                <w:sz w:val="20"/>
                <w:szCs w:val="20"/>
                <w:lang w:eastAsia="pt-BR"/>
              </w:rPr>
              <w:t>Patients required oxygen supplementation</w:t>
            </w:r>
          </w:p>
        </w:tc>
        <w:tc>
          <w:tcPr>
            <w:tcW w:w="4203" w:type="dxa"/>
            <w:tcBorders>
              <w:left w:val="nil"/>
              <w:bottom w:val="single" w:sz="4" w:space="0" w:color="auto"/>
            </w:tcBorders>
          </w:tcPr>
          <w:p w14:paraId="0EA3FD5C" w14:textId="77777777" w:rsidR="00DB6EDB" w:rsidRPr="00CD0FCD" w:rsidRDefault="00DB6EDB" w:rsidP="00DB6EDB">
            <w:pPr>
              <w:rPr>
                <w:rFonts w:ascii="Arial" w:hAnsi="Arial" w:cs="Arial"/>
                <w:sz w:val="20"/>
                <w:szCs w:val="20"/>
                <w:lang w:eastAsia="pt-BR"/>
              </w:rPr>
            </w:pPr>
            <w:r w:rsidRPr="00CD0FCD">
              <w:rPr>
                <w:rFonts w:ascii="Arial" w:hAnsi="Arial" w:cs="Arial"/>
                <w:sz w:val="20"/>
                <w:szCs w:val="20"/>
                <w:lang w:eastAsia="pt-BR"/>
              </w:rPr>
              <w:t xml:space="preserve">  20 (4)</w:t>
            </w:r>
          </w:p>
        </w:tc>
      </w:tr>
      <w:tr w:rsidR="00DB6EDB" w:rsidRPr="00CD0FCD" w14:paraId="73521331" w14:textId="77777777" w:rsidTr="00DB6EDB">
        <w:trPr>
          <w:jc w:val="center"/>
        </w:trPr>
        <w:tc>
          <w:tcPr>
            <w:tcW w:w="4221" w:type="dxa"/>
            <w:tcBorders>
              <w:bottom w:val="single" w:sz="4" w:space="0" w:color="auto"/>
              <w:right w:val="nil"/>
            </w:tcBorders>
          </w:tcPr>
          <w:p w14:paraId="348A8832"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4197B045" w14:textId="77777777" w:rsidR="00DB6EDB" w:rsidRPr="00CD0FCD" w:rsidRDefault="00DB6EDB" w:rsidP="00DB6EDB">
            <w:pPr>
              <w:jc w:val="both"/>
              <w:rPr>
                <w:rFonts w:ascii="Arial" w:hAnsi="Arial" w:cs="Arial"/>
                <w:sz w:val="20"/>
                <w:szCs w:val="20"/>
                <w:lang w:eastAsia="pt-BR"/>
              </w:rPr>
            </w:pPr>
          </w:p>
        </w:tc>
      </w:tr>
      <w:tr w:rsidR="00DB6EDB" w:rsidRPr="00CD0FCD" w14:paraId="64061E7D" w14:textId="77777777" w:rsidTr="00DB6EDB">
        <w:trPr>
          <w:jc w:val="center"/>
        </w:trPr>
        <w:tc>
          <w:tcPr>
            <w:tcW w:w="4221" w:type="dxa"/>
            <w:tcBorders>
              <w:right w:val="nil"/>
            </w:tcBorders>
          </w:tcPr>
          <w:p w14:paraId="2EB72D9F" w14:textId="77777777" w:rsidR="00DB6EDB" w:rsidRPr="00CD0FCD" w:rsidRDefault="00DB6EDB" w:rsidP="00DB6EDB">
            <w:pPr>
              <w:jc w:val="both"/>
              <w:rPr>
                <w:rFonts w:ascii="Arial" w:hAnsi="Arial" w:cs="Arial"/>
                <w:sz w:val="20"/>
                <w:szCs w:val="20"/>
                <w:lang w:val="en-US" w:eastAsia="pt-BR"/>
              </w:rPr>
            </w:pPr>
            <w:r w:rsidRPr="00CD0FCD">
              <w:rPr>
                <w:rFonts w:ascii="Arial" w:hAnsi="Arial" w:cs="Arial"/>
                <w:sz w:val="20"/>
                <w:szCs w:val="20"/>
                <w:lang w:val="en-US" w:eastAsia="pt-BR"/>
              </w:rPr>
              <w:t>Patients with an endotracheal tube</w:t>
            </w:r>
          </w:p>
          <w:p w14:paraId="445DF91D" w14:textId="77777777" w:rsidR="00DB6EDB" w:rsidRPr="00CD0FCD" w:rsidRDefault="00DB6EDB" w:rsidP="00DB6EDB">
            <w:pPr>
              <w:ind w:left="1416"/>
              <w:jc w:val="both"/>
              <w:rPr>
                <w:rFonts w:ascii="Arial" w:hAnsi="Arial" w:cs="Arial"/>
                <w:sz w:val="20"/>
                <w:szCs w:val="20"/>
                <w:lang w:val="en-US" w:eastAsia="pt-BR"/>
              </w:rPr>
            </w:pPr>
            <w:r w:rsidRPr="00CD0FCD">
              <w:rPr>
                <w:rFonts w:ascii="Arial" w:hAnsi="Arial" w:cs="Arial"/>
                <w:sz w:val="20"/>
                <w:szCs w:val="20"/>
                <w:lang w:val="en-US" w:eastAsia="pt-BR"/>
              </w:rPr>
              <w:t xml:space="preserve">Male </w:t>
            </w:r>
          </w:p>
          <w:p w14:paraId="642AAAE5"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Female</w:t>
            </w:r>
          </w:p>
        </w:tc>
        <w:tc>
          <w:tcPr>
            <w:tcW w:w="4203" w:type="dxa"/>
            <w:tcBorders>
              <w:left w:val="nil"/>
            </w:tcBorders>
          </w:tcPr>
          <w:p w14:paraId="53EAF978"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106 (21.24)</w:t>
            </w:r>
          </w:p>
          <w:p w14:paraId="7871481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63 (23.86)</w:t>
            </w:r>
          </w:p>
          <w:p w14:paraId="2CE83A02"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34 (14.47)</w:t>
            </w:r>
          </w:p>
        </w:tc>
      </w:tr>
    </w:tbl>
    <w:p w14:paraId="59CC915A" w14:textId="77777777" w:rsidR="00863BD3" w:rsidRPr="00CD0FCD" w:rsidRDefault="00863BD3" w:rsidP="00441B6F">
      <w:pPr>
        <w:pStyle w:val="BodyText3"/>
        <w:tabs>
          <w:tab w:val="left" w:pos="1080"/>
        </w:tabs>
        <w:spacing w:after="0"/>
        <w:ind w:left="1080" w:hanging="1080"/>
        <w:jc w:val="both"/>
        <w:rPr>
          <w:rFonts w:ascii="Arial" w:hAnsi="Arial"/>
          <w:b/>
          <w:sz w:val="20"/>
          <w:szCs w:val="20"/>
        </w:rPr>
      </w:pPr>
    </w:p>
    <w:p w14:paraId="17F111C6" w14:textId="77777777" w:rsidR="00DB6EDB" w:rsidRPr="00CD0FCD" w:rsidRDefault="00DB6EDB" w:rsidP="00DB6EDB">
      <w:pPr>
        <w:pStyle w:val="Body"/>
        <w:rPr>
          <w:rFonts w:ascii="Arial" w:hAnsi="Arial" w:cs="Arial"/>
        </w:rPr>
      </w:pPr>
      <w:r w:rsidRPr="00CD0FCD">
        <w:rPr>
          <w:rFonts w:ascii="Arial" w:hAnsi="Arial" w:cs="Arial"/>
        </w:rPr>
        <w:t xml:space="preserve">Regarding the most prevalent types of allergies in ICUs, the following information is provided regarding the number of patients and their percentage, in decreasing order of the total: dipyrone 13 (11.8%), acetylsalicylic acid and penicillin 10 (9.1%), iodine 8 (7.3%), tramadol 6 (5.5%), captopril 6 (4.5%), diclofenac 5 (4.5%), NSAIDs 4 (3.6%), scopolamine </w:t>
      </w:r>
      <w:proofErr w:type="spellStart"/>
      <w:r w:rsidRPr="00CD0FCD">
        <w:rPr>
          <w:rFonts w:ascii="Arial" w:hAnsi="Arial" w:cs="Arial"/>
        </w:rPr>
        <w:t>butylbromide</w:t>
      </w:r>
      <w:proofErr w:type="spellEnd"/>
      <w:r w:rsidRPr="00CD0FCD">
        <w:rPr>
          <w:rFonts w:ascii="Arial" w:hAnsi="Arial" w:cs="Arial"/>
        </w:rPr>
        <w:t xml:space="preserve"> 4 (3.6%), metoclopramide hydrochloride 4 (3.6%), shrimp, adhesive tape, ibuprofen, and tenoxicam 3 (2.7%), aminophylline, amoxicillin, benzathine benzylpenicillin and dexamethasone 2 (1.8%), allopurinol, amiodarone, atorvastatin, caffeine, pork, ketoprofen, clavulanate, hydrochloride promethazine, dye, betamethasone dipropionate + betamethasone disodium phosphate, seafood, hydrocortisone, </w:t>
      </w:r>
      <w:proofErr w:type="spellStart"/>
      <w:r w:rsidRPr="00CD0FCD">
        <w:rPr>
          <w:rFonts w:ascii="Arial" w:hAnsi="Arial" w:cs="Arial"/>
        </w:rPr>
        <w:t>ieca</w:t>
      </w:r>
      <w:proofErr w:type="spellEnd"/>
      <w:r w:rsidRPr="00CD0FCD">
        <w:rPr>
          <w:rFonts w:ascii="Arial" w:hAnsi="Arial" w:cs="Arial"/>
        </w:rPr>
        <w:t xml:space="preserve">, </w:t>
      </w:r>
      <w:proofErr w:type="spellStart"/>
      <w:r w:rsidRPr="00CD0FCD">
        <w:rPr>
          <w:rFonts w:ascii="Arial" w:hAnsi="Arial" w:cs="Arial"/>
        </w:rPr>
        <w:t>nimesulide</w:t>
      </w:r>
      <w:proofErr w:type="spellEnd"/>
      <w:r w:rsidRPr="00CD0FCD">
        <w:rPr>
          <w:rFonts w:ascii="Arial" w:hAnsi="Arial" w:cs="Arial"/>
        </w:rPr>
        <w:t>, protective film, simvastatin, soy, sulfa, sulfadiazine, sulfamethoxazole + trimethoprim and vancomycin, with only one incidence each, being a percentage of 0.9%.</w:t>
      </w:r>
    </w:p>
    <w:p w14:paraId="164397DF" w14:textId="77777777" w:rsidR="00DB6EDB" w:rsidRPr="00CD0FCD" w:rsidRDefault="00DB6EDB" w:rsidP="00DB6EDB">
      <w:pPr>
        <w:pStyle w:val="Body"/>
        <w:rPr>
          <w:rFonts w:ascii="Arial" w:hAnsi="Arial" w:cs="Arial"/>
        </w:rPr>
      </w:pPr>
      <w:r w:rsidRPr="00CD0FCD">
        <w:rPr>
          <w:rFonts w:ascii="Arial" w:hAnsi="Arial" w:cs="Arial"/>
        </w:rPr>
        <w:t>The median Glasgow Coma Scale score was 15 for all participants, both female and male. The minimum value observed in both female and male participants was 3, while the maximum was 15 for all groups. The standard deviation (SD) for all participants was 4.8, being 5.2 for males and 4.0 for females.</w:t>
      </w:r>
    </w:p>
    <w:p w14:paraId="3A260FAB" w14:textId="77777777" w:rsidR="00DB6EDB" w:rsidRPr="00CD0FCD" w:rsidRDefault="00DB6EDB" w:rsidP="00DB6EDB">
      <w:pPr>
        <w:pStyle w:val="Body"/>
        <w:rPr>
          <w:rFonts w:ascii="Arial" w:hAnsi="Arial" w:cs="Arial"/>
        </w:rPr>
      </w:pPr>
      <w:r w:rsidRPr="00CD0FCD">
        <w:rPr>
          <w:rFonts w:ascii="Arial" w:hAnsi="Arial" w:cs="Arial"/>
        </w:rPr>
        <w:t>The distribution of feeding type among the 499 patients can be found in Table 2.</w:t>
      </w:r>
    </w:p>
    <w:p w14:paraId="6133DBCD" w14:textId="77777777" w:rsidR="00DB6EDB" w:rsidRPr="00CD0FCD" w:rsidRDefault="00DB6EDB" w:rsidP="00DB6EDB">
      <w:pPr>
        <w:tabs>
          <w:tab w:val="left" w:pos="1080"/>
        </w:tabs>
        <w:jc w:val="both"/>
        <w:rPr>
          <w:rFonts w:ascii="Arial" w:hAnsi="Arial"/>
          <w:b/>
        </w:rPr>
      </w:pPr>
      <w:r w:rsidRPr="00CD0FCD">
        <w:rPr>
          <w:rFonts w:ascii="Arial" w:hAnsi="Arial"/>
          <w:b/>
        </w:rPr>
        <w:t xml:space="preserve">Table 2. </w:t>
      </w:r>
      <w:bookmarkStart w:id="1" w:name="_Hlk187084058"/>
      <w:r w:rsidRPr="00CD0FCD">
        <w:rPr>
          <w:rFonts w:ascii="Arial" w:hAnsi="Arial"/>
          <w:b/>
        </w:rPr>
        <w:t xml:space="preserve">Feeding types </w:t>
      </w:r>
      <w:bookmarkEnd w:id="1"/>
      <w:r w:rsidRPr="00CD0FCD">
        <w:rPr>
          <w:rFonts w:ascii="Arial" w:hAnsi="Arial"/>
          <w:b/>
        </w:rPr>
        <w:t>of the population of the present analysis</w:t>
      </w:r>
    </w:p>
    <w:tbl>
      <w:tblPr>
        <w:tblStyle w:val="Tabelacomgrade2"/>
        <w:tblpPr w:leftFromText="141" w:rightFromText="141" w:vertAnchor="text" w:horzAnchor="margin" w:tblpXSpec="center" w:tblpY="185"/>
        <w:tblW w:w="0" w:type="auto"/>
        <w:tblLook w:val="04A0" w:firstRow="1" w:lastRow="0" w:firstColumn="1" w:lastColumn="0" w:noHBand="0" w:noVBand="1"/>
      </w:tblPr>
      <w:tblGrid>
        <w:gridCol w:w="4221"/>
        <w:gridCol w:w="4203"/>
      </w:tblGrid>
      <w:tr w:rsidR="00DB6EDB" w:rsidRPr="00CD0FCD" w14:paraId="30CF4DF9" w14:textId="77777777" w:rsidTr="00DB6EDB">
        <w:tc>
          <w:tcPr>
            <w:tcW w:w="4221" w:type="dxa"/>
            <w:tcBorders>
              <w:bottom w:val="single" w:sz="4" w:space="0" w:color="auto"/>
            </w:tcBorders>
          </w:tcPr>
          <w:p w14:paraId="1D8428A8"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 xml:space="preserve">Characteristics  </w:t>
            </w:r>
          </w:p>
        </w:tc>
        <w:tc>
          <w:tcPr>
            <w:tcW w:w="4203" w:type="dxa"/>
            <w:tcBorders>
              <w:bottom w:val="single" w:sz="4" w:space="0" w:color="auto"/>
            </w:tcBorders>
          </w:tcPr>
          <w:p w14:paraId="72187F0F"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N. (%)</w:t>
            </w:r>
          </w:p>
        </w:tc>
      </w:tr>
      <w:tr w:rsidR="00DB6EDB" w:rsidRPr="00CD0FCD" w14:paraId="7B131F7B" w14:textId="77777777" w:rsidTr="00DB6EDB">
        <w:tc>
          <w:tcPr>
            <w:tcW w:w="4221" w:type="dxa"/>
            <w:tcBorders>
              <w:bottom w:val="single" w:sz="4" w:space="0" w:color="auto"/>
              <w:right w:val="nil"/>
            </w:tcBorders>
          </w:tcPr>
          <w:p w14:paraId="1BEF161C"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Orally fed</w:t>
            </w:r>
          </w:p>
          <w:p w14:paraId="3E30030B"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52F192CA"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lastRenderedPageBreak/>
              <w:t xml:space="preserve">Female </w:t>
            </w:r>
          </w:p>
        </w:tc>
        <w:tc>
          <w:tcPr>
            <w:tcW w:w="4203" w:type="dxa"/>
            <w:tcBorders>
              <w:left w:val="nil"/>
              <w:bottom w:val="single" w:sz="4" w:space="0" w:color="auto"/>
            </w:tcBorders>
          </w:tcPr>
          <w:p w14:paraId="18992866"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lastRenderedPageBreak/>
              <w:t>330 (66.3)</w:t>
            </w:r>
          </w:p>
          <w:p w14:paraId="46AFA2C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156 (59.09)</w:t>
            </w:r>
          </w:p>
          <w:p w14:paraId="5B0572D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lastRenderedPageBreak/>
              <w:t>173 (73.93)</w:t>
            </w:r>
          </w:p>
        </w:tc>
      </w:tr>
      <w:tr w:rsidR="00DB6EDB" w:rsidRPr="00CD0FCD" w14:paraId="65D21B8D" w14:textId="77777777" w:rsidTr="00DB6EDB">
        <w:tc>
          <w:tcPr>
            <w:tcW w:w="4221" w:type="dxa"/>
            <w:tcBorders>
              <w:bottom w:val="single" w:sz="4" w:space="0" w:color="auto"/>
              <w:right w:val="nil"/>
            </w:tcBorders>
          </w:tcPr>
          <w:p w14:paraId="27ABA42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lastRenderedPageBreak/>
              <w:t xml:space="preserve">  Enteral fed</w:t>
            </w:r>
          </w:p>
          <w:p w14:paraId="7EC61ACD"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10FF1D1E"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260CB81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85 (17.03)</w:t>
            </w:r>
          </w:p>
          <w:p w14:paraId="50FEA93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60 (22.73)</w:t>
            </w:r>
          </w:p>
          <w:p w14:paraId="54AF580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25 (10.68)</w:t>
            </w:r>
          </w:p>
        </w:tc>
      </w:tr>
      <w:tr w:rsidR="00DB6EDB" w:rsidRPr="00CD0FCD" w14:paraId="6C9E4DD2" w14:textId="77777777" w:rsidTr="00DB6EDB">
        <w:tc>
          <w:tcPr>
            <w:tcW w:w="4221" w:type="dxa"/>
            <w:tcBorders>
              <w:bottom w:val="single" w:sz="4" w:space="0" w:color="auto"/>
              <w:right w:val="nil"/>
            </w:tcBorders>
          </w:tcPr>
          <w:p w14:paraId="4877E3D6"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Solid food</w:t>
            </w:r>
          </w:p>
        </w:tc>
        <w:tc>
          <w:tcPr>
            <w:tcW w:w="4203" w:type="dxa"/>
            <w:tcBorders>
              <w:left w:val="nil"/>
              <w:bottom w:val="single" w:sz="4" w:space="0" w:color="auto"/>
            </w:tcBorders>
          </w:tcPr>
          <w:p w14:paraId="3A6C6CF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 (0.80)    </w:t>
            </w:r>
          </w:p>
        </w:tc>
      </w:tr>
      <w:tr w:rsidR="00DB6EDB" w:rsidRPr="00CD0FCD" w14:paraId="1CEFADA3" w14:textId="77777777" w:rsidTr="00DB6EDB">
        <w:tc>
          <w:tcPr>
            <w:tcW w:w="4221" w:type="dxa"/>
            <w:tcBorders>
              <w:bottom w:val="single" w:sz="4" w:space="0" w:color="auto"/>
              <w:right w:val="nil"/>
            </w:tcBorders>
          </w:tcPr>
          <w:p w14:paraId="101C73A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Fluid restriction </w:t>
            </w:r>
          </w:p>
        </w:tc>
        <w:tc>
          <w:tcPr>
            <w:tcW w:w="4203" w:type="dxa"/>
            <w:tcBorders>
              <w:left w:val="nil"/>
              <w:bottom w:val="single" w:sz="4" w:space="0" w:color="auto"/>
            </w:tcBorders>
          </w:tcPr>
          <w:p w14:paraId="2E8E1CB2"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1 (0.20)</w:t>
            </w:r>
          </w:p>
        </w:tc>
      </w:tr>
      <w:tr w:rsidR="00DB6EDB" w:rsidRPr="00CD0FCD" w14:paraId="004322F2" w14:textId="77777777" w:rsidTr="00DB6EDB">
        <w:tc>
          <w:tcPr>
            <w:tcW w:w="4221" w:type="dxa"/>
            <w:tcBorders>
              <w:bottom w:val="single" w:sz="4" w:space="0" w:color="auto"/>
              <w:right w:val="nil"/>
            </w:tcBorders>
          </w:tcPr>
          <w:p w14:paraId="31E4F8F1"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Any feeding types</w:t>
            </w:r>
          </w:p>
        </w:tc>
        <w:tc>
          <w:tcPr>
            <w:tcW w:w="4203" w:type="dxa"/>
            <w:tcBorders>
              <w:left w:val="nil"/>
              <w:bottom w:val="single" w:sz="4" w:space="0" w:color="auto"/>
            </w:tcBorders>
          </w:tcPr>
          <w:p w14:paraId="382F0E4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79 (15.83)</w:t>
            </w:r>
          </w:p>
        </w:tc>
      </w:tr>
    </w:tbl>
    <w:p w14:paraId="2AA04208" w14:textId="77777777" w:rsidR="00376BBE" w:rsidRPr="00CD0FCD" w:rsidRDefault="00376BBE" w:rsidP="00441B6F">
      <w:pPr>
        <w:pStyle w:val="Body"/>
        <w:spacing w:after="0"/>
        <w:rPr>
          <w:rFonts w:ascii="Arial" w:hAnsi="Arial" w:cs="Arial"/>
        </w:rPr>
      </w:pPr>
    </w:p>
    <w:p w14:paraId="6111F583" w14:textId="77777777" w:rsidR="00DB6EDB" w:rsidRPr="00CD0FCD" w:rsidRDefault="00DB6EDB" w:rsidP="00DB6EDB">
      <w:pPr>
        <w:pStyle w:val="Body"/>
        <w:rPr>
          <w:rFonts w:ascii="Arial" w:hAnsi="Arial" w:cs="Arial"/>
        </w:rPr>
      </w:pPr>
      <w:r w:rsidRPr="00CD0FCD">
        <w:rPr>
          <w:rFonts w:ascii="Arial" w:hAnsi="Arial" w:cs="Arial"/>
        </w:rPr>
        <w:t xml:space="preserve">The mean biometric data were as follows: the mean body temperature was 36.4°C±1.2 (range: 30.0–39.4°C); the mean oxygen saturation was 95.2%±3.6 (range: 74.0–100.0%); the mean systolic blood pressure was 126.2 mmHg ±23.1 (range: 46.0–222.0 mmHg); and the mean diastolic blood pressure was 74.5 mmHg ±14.6 (range: 32.0–121.0 mmHg) (Figure 1). </w:t>
      </w:r>
    </w:p>
    <w:p w14:paraId="09048B32" w14:textId="77777777" w:rsidR="00DB6EDB" w:rsidRPr="00CD0FCD" w:rsidRDefault="00DB6EDB" w:rsidP="00DB6EDB">
      <w:pPr>
        <w:pStyle w:val="Body"/>
        <w:spacing w:after="0"/>
        <w:rPr>
          <w:rFonts w:ascii="Arial" w:hAnsi="Arial" w:cs="Arial"/>
          <w:b/>
          <w:bCs/>
        </w:rPr>
      </w:pPr>
      <w:r w:rsidRPr="00CD0FCD">
        <w:rPr>
          <w:rFonts w:ascii="Arial" w:hAnsi="Arial" w:cs="Arial"/>
          <w:noProof/>
          <w:lang w:val="pt-BR"/>
        </w:rPr>
        <w:drawing>
          <wp:inline distT="0" distB="0" distL="0" distR="0" wp14:anchorId="7681AD8D" wp14:editId="67EBF7F3">
            <wp:extent cx="5396230" cy="2731782"/>
            <wp:effectExtent l="0" t="0" r="1270" b="0"/>
            <wp:docPr id="4579379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37952" name=""/>
                    <pic:cNvPicPr/>
                  </pic:nvPicPr>
                  <pic:blipFill>
                    <a:blip r:embed="rId14"/>
                    <a:stretch>
                      <a:fillRect/>
                    </a:stretch>
                  </pic:blipFill>
                  <pic:spPr>
                    <a:xfrm>
                      <a:off x="0" y="0"/>
                      <a:ext cx="5396230" cy="2731782"/>
                    </a:xfrm>
                    <a:prstGeom prst="rect">
                      <a:avLst/>
                    </a:prstGeom>
                  </pic:spPr>
                </pic:pic>
              </a:graphicData>
            </a:graphic>
          </wp:inline>
        </w:drawing>
      </w:r>
      <w:r w:rsidRPr="00CD0FCD">
        <w:rPr>
          <w:rFonts w:ascii="Arial" w:hAnsi="Arial" w:cs="Arial"/>
          <w:b/>
          <w:bCs/>
        </w:rPr>
        <w:t>Fig. 1. Biometric data of patients in the ICU</w:t>
      </w:r>
    </w:p>
    <w:p w14:paraId="0E5CA029" w14:textId="77777777" w:rsidR="00DB6EDB" w:rsidRPr="00CD0FCD" w:rsidRDefault="00DB6EDB" w:rsidP="00DB6EDB">
      <w:pPr>
        <w:pStyle w:val="Body"/>
        <w:spacing w:after="0"/>
        <w:rPr>
          <w:rFonts w:ascii="Arial" w:hAnsi="Arial" w:cs="Arial"/>
          <w:b/>
          <w:bCs/>
        </w:rPr>
      </w:pPr>
    </w:p>
    <w:p w14:paraId="1278F1B4" w14:textId="77777777" w:rsidR="00DB6EDB" w:rsidRPr="00CD0FCD" w:rsidRDefault="00DB6EDB" w:rsidP="00DB6EDB">
      <w:pPr>
        <w:pStyle w:val="Body"/>
        <w:rPr>
          <w:rFonts w:ascii="Arial" w:hAnsi="Arial" w:cs="Arial"/>
        </w:rPr>
      </w:pPr>
      <w:r w:rsidRPr="00CD0FCD">
        <w:rPr>
          <w:rFonts w:ascii="Arial" w:hAnsi="Arial" w:cs="Arial"/>
        </w:rPr>
        <w:t>The data of the extra-oral examination for all patients, were as follows: 466 (93.4%) presented facial symmetry; 89 (17.8%) patients presented with ulcerated lips; 65 patients (13.0%) presented eyelid edema; 11 (2.2%) presented saddle nose; 11 (2.2%) presented pallor of the lips; 4 (0.8%) had enlarged lymph nodes; 4 (0.8%) labial herpes was observed; 4 (0.8%) had cheilitis; 3 (0.6%) presented with cyanosis of the lips; 2 (0.4%) had eyelid ptosis (Figure 2).</w:t>
      </w:r>
    </w:p>
    <w:p w14:paraId="44DD51B2" w14:textId="77777777" w:rsidR="00DB6EDB" w:rsidRPr="00CD0FCD" w:rsidRDefault="00DB6EDB" w:rsidP="00DB6EDB">
      <w:pPr>
        <w:pStyle w:val="Body"/>
        <w:spacing w:after="0"/>
        <w:rPr>
          <w:rFonts w:ascii="Arial" w:hAnsi="Arial" w:cs="Arial"/>
          <w:b/>
          <w:bCs/>
        </w:rPr>
      </w:pPr>
      <w:r w:rsidRPr="00CD0FCD">
        <w:rPr>
          <w:rFonts w:ascii="Arial" w:hAnsi="Arial" w:cs="Arial"/>
          <w:b/>
          <w:bCs/>
          <w:noProof/>
          <w:lang w:val="pt-BR"/>
        </w:rPr>
        <w:lastRenderedPageBreak/>
        <w:drawing>
          <wp:inline distT="0" distB="0" distL="0" distR="0" wp14:anchorId="62941DAF" wp14:editId="6743BECE">
            <wp:extent cx="5396230" cy="2708679"/>
            <wp:effectExtent l="12700" t="12700" r="13970" b="9525"/>
            <wp:docPr id="19202834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83440" name="Imagem 19202834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6230" cy="2708679"/>
                    </a:xfrm>
                    <a:prstGeom prst="rect">
                      <a:avLst/>
                    </a:prstGeom>
                    <a:ln>
                      <a:solidFill>
                        <a:schemeClr val="bg2">
                          <a:lumMod val="75000"/>
                        </a:schemeClr>
                      </a:solidFill>
                    </a:ln>
                  </pic:spPr>
                </pic:pic>
              </a:graphicData>
            </a:graphic>
          </wp:inline>
        </w:drawing>
      </w:r>
      <w:r w:rsidRPr="00CD0FCD">
        <w:rPr>
          <w:rFonts w:ascii="Arial" w:hAnsi="Arial" w:cs="Arial"/>
          <w:b/>
          <w:bCs/>
        </w:rPr>
        <w:t>Fig. 2. Assessment of the face of patients in the ICU</w:t>
      </w:r>
    </w:p>
    <w:p w14:paraId="7993E231" w14:textId="77777777" w:rsidR="00DB6EDB" w:rsidRPr="00CD0FCD" w:rsidRDefault="00DB6EDB" w:rsidP="00DB6EDB">
      <w:pPr>
        <w:pStyle w:val="Body"/>
        <w:spacing w:after="0"/>
        <w:rPr>
          <w:rFonts w:ascii="Arial" w:hAnsi="Arial" w:cs="Arial"/>
          <w:b/>
          <w:bCs/>
        </w:rPr>
      </w:pPr>
    </w:p>
    <w:p w14:paraId="39596B69" w14:textId="77777777" w:rsidR="00DB6EDB" w:rsidRPr="00CD0FCD" w:rsidRDefault="00DB6EDB" w:rsidP="00DB6EDB">
      <w:pPr>
        <w:pStyle w:val="Body"/>
        <w:rPr>
          <w:rFonts w:ascii="Arial" w:hAnsi="Arial" w:cs="Arial"/>
        </w:rPr>
      </w:pPr>
      <w:r w:rsidRPr="00CD0FCD">
        <w:rPr>
          <w:rFonts w:ascii="Arial" w:hAnsi="Arial" w:cs="Arial"/>
        </w:rPr>
        <w:t>Regarding edentulism for all participants: 132 participants (26.5%) had total edentulism in the upper arch and 83 participants (16.6%) had total edentulism in the lower arch.</w:t>
      </w:r>
    </w:p>
    <w:p w14:paraId="367A6D7E" w14:textId="77777777" w:rsidR="00DB6EDB" w:rsidRPr="00CD0FCD" w:rsidRDefault="00DB6EDB" w:rsidP="00DB6EDB">
      <w:pPr>
        <w:pStyle w:val="Body"/>
        <w:rPr>
          <w:rFonts w:ascii="Arial" w:hAnsi="Arial" w:cs="Arial"/>
        </w:rPr>
      </w:pPr>
      <w:r w:rsidRPr="00CD0FCD">
        <w:rPr>
          <w:rFonts w:ascii="Arial" w:hAnsi="Arial" w:cs="Arial"/>
        </w:rPr>
        <w:t xml:space="preserve">The dental condition of all patients in the study was assessed based on the number of teeth present, decayed teeth, and teeth indicated for extraction. The mean number of teeth present was 17.4 ±10.5 (range: 0.0–32.0). The mean number of decayed teeth was 0.6 ±1.5 (range: 0.0–17.0). The mean number of teeth indicated for extraction was 0.8 ±2.0 (range: 0.0–17.0). </w:t>
      </w:r>
    </w:p>
    <w:p w14:paraId="11C74628" w14:textId="77777777" w:rsidR="00DB6EDB" w:rsidRPr="00CD0FCD" w:rsidRDefault="00DB6EDB" w:rsidP="00DB6EDB">
      <w:pPr>
        <w:pStyle w:val="Body"/>
        <w:rPr>
          <w:rFonts w:ascii="Arial" w:hAnsi="Arial" w:cs="Arial"/>
        </w:rPr>
      </w:pPr>
      <w:r w:rsidRPr="00CD0FCD">
        <w:rPr>
          <w:rFonts w:ascii="Arial" w:hAnsi="Arial" w:cs="Arial"/>
        </w:rPr>
        <w:t xml:space="preserve">Regarding the intraoral evaluation of all participants, the following results were obtained: 395 (79.2%) had biofilm; 360 (72.1%) had coated tongue; 301 (60.3%) had dental calculus; 166 participants (33.3%) had periodontal disease; 128 (25.7%) underwent tooth extraction; 121 (24.2%) had stains; 107 (21.4%) had dysphagia; 76 (15.2%) had caries lesions; 43 (8.6%) had pseudomembranous candidiasis; 26 (5.2%) had </w:t>
      </w:r>
      <w:proofErr w:type="spellStart"/>
      <w:r w:rsidRPr="00CD0FCD">
        <w:rPr>
          <w:rFonts w:ascii="Arial" w:hAnsi="Arial" w:cs="Arial"/>
        </w:rPr>
        <w:t>magralossia</w:t>
      </w:r>
      <w:proofErr w:type="spellEnd"/>
      <w:r w:rsidRPr="00CD0FCD">
        <w:rPr>
          <w:rFonts w:ascii="Arial" w:hAnsi="Arial" w:cs="Arial"/>
        </w:rPr>
        <w:t>; 25 participants (5.0%) had geographic tongue; 13 (2.6%) had enamel hypoplasia; 13 (2.6%) had hairy leukoplakia; 10 participants (2.0%) had oral ulcers; 7 (1.4%) had hyperplasia; 5 (1.0%) had herpes simplex; 4 (0.8%) had erythematous candidiasis; 2 participants (0.4%) had hyperplastic candidiasis (Figure 3).</w:t>
      </w:r>
    </w:p>
    <w:p w14:paraId="24DB15AB" w14:textId="77777777" w:rsidR="00DB6EDB" w:rsidRPr="00CD0FCD" w:rsidRDefault="00DB6EDB" w:rsidP="00DB6EDB">
      <w:pPr>
        <w:pStyle w:val="Body"/>
        <w:rPr>
          <w:rFonts w:ascii="Arial" w:hAnsi="Arial" w:cs="Arial"/>
          <w:b/>
          <w:bCs/>
        </w:rPr>
      </w:pPr>
      <w:r w:rsidRPr="00CD0FCD">
        <w:rPr>
          <w:rFonts w:ascii="Arial" w:hAnsi="Arial" w:cs="Arial"/>
          <w:noProof/>
        </w:rPr>
        <w:lastRenderedPageBreak/>
        <w:drawing>
          <wp:inline distT="0" distB="0" distL="0" distR="0" wp14:anchorId="2CFBC4D2" wp14:editId="51BA79EA">
            <wp:extent cx="5396230" cy="2726055"/>
            <wp:effectExtent l="12700" t="12700" r="13970" b="17145"/>
            <wp:docPr id="125294054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40545" name="Imagem 125294054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6230" cy="2726055"/>
                    </a:xfrm>
                    <a:prstGeom prst="rect">
                      <a:avLst/>
                    </a:prstGeom>
                    <a:ln>
                      <a:solidFill>
                        <a:schemeClr val="bg2">
                          <a:lumMod val="75000"/>
                        </a:schemeClr>
                      </a:solidFill>
                    </a:ln>
                  </pic:spPr>
                </pic:pic>
              </a:graphicData>
            </a:graphic>
          </wp:inline>
        </w:drawing>
      </w:r>
      <w:r w:rsidRPr="00CD0FCD">
        <w:rPr>
          <w:rFonts w:ascii="Arial" w:hAnsi="Arial" w:cs="Arial"/>
          <w:b/>
          <w:bCs/>
        </w:rPr>
        <w:t>Fig. 3. Intraoral evaluation of patients in the ICU</w:t>
      </w:r>
    </w:p>
    <w:p w14:paraId="03DB1040" w14:textId="77777777" w:rsidR="00DB6EDB" w:rsidRPr="00CD0FCD" w:rsidRDefault="00DB6EDB" w:rsidP="00DB6EDB">
      <w:pPr>
        <w:pStyle w:val="Body"/>
        <w:rPr>
          <w:rFonts w:ascii="Arial" w:hAnsi="Arial" w:cs="Arial"/>
        </w:rPr>
      </w:pPr>
      <w:r w:rsidRPr="00CD0FCD">
        <w:rPr>
          <w:rFonts w:ascii="Arial" w:hAnsi="Arial" w:cs="Arial"/>
        </w:rPr>
        <w:t xml:space="preserve">Hospital dentistry plays a crucial role in maintaining and improving the oral and systemic health of patients admitted to intensive care units (ICUs). This study aimed to assess the oral and systemic health conditions of patients hospitalized in ICUs in the port region of Baixada </w:t>
      </w:r>
      <w:proofErr w:type="spellStart"/>
      <w:r w:rsidRPr="00CD0FCD">
        <w:rPr>
          <w:rFonts w:ascii="Arial" w:hAnsi="Arial" w:cs="Arial"/>
        </w:rPr>
        <w:t>Santista</w:t>
      </w:r>
      <w:proofErr w:type="spellEnd"/>
      <w:r w:rsidRPr="00CD0FCD">
        <w:rPr>
          <w:rFonts w:ascii="Arial" w:hAnsi="Arial" w:cs="Arial"/>
        </w:rPr>
        <w:t>, providing a relevant epidemiological overview for the formulation of hospital dental policies and practices.</w:t>
      </w:r>
    </w:p>
    <w:p w14:paraId="060B1389" w14:textId="77777777" w:rsidR="00DB6EDB" w:rsidRPr="00CD0FCD" w:rsidRDefault="00DB6EDB" w:rsidP="00DB6EDB">
      <w:pPr>
        <w:pStyle w:val="Body"/>
        <w:rPr>
          <w:rFonts w:ascii="Arial" w:hAnsi="Arial" w:cs="Arial"/>
        </w:rPr>
      </w:pPr>
      <w:r w:rsidRPr="00CD0FCD">
        <w:rPr>
          <w:rFonts w:ascii="Arial" w:hAnsi="Arial" w:cs="Arial"/>
        </w:rPr>
        <w:t>Poor oral hygiene conditions are very common in hospitalized patients, who often remain with their mouths open due to tracheal intubation. This promotes mucosal dehydration and leads to decreased salivary flow, allowing greater colonization of bacteria leading to the development of periodontal disease and other possible foci of infection [12].</w:t>
      </w:r>
    </w:p>
    <w:p w14:paraId="71F92FA8" w14:textId="77777777" w:rsidR="00DB6EDB" w:rsidRPr="00CD0FCD" w:rsidRDefault="00DB6EDB" w:rsidP="00DB6EDB">
      <w:pPr>
        <w:pStyle w:val="Body"/>
        <w:rPr>
          <w:rFonts w:ascii="Arial" w:hAnsi="Arial" w:cs="Arial"/>
        </w:rPr>
      </w:pPr>
      <w:r w:rsidRPr="00CD0FCD">
        <w:rPr>
          <w:rFonts w:ascii="Arial" w:hAnsi="Arial" w:cs="Arial"/>
        </w:rPr>
        <w:t>The data collected in this study showed a high prevalence of adverse oral conditions among patients admitted to the evaluated ICUs. The presence of dental biofilm was significantly high, and consequently, a high presence of caries lesions and periodontal disease, corroborating previous studies that indicate the rapid deterioration of oral health in hospital environments due to decreased oral hygiene and immunosuppression of patients [12,13].</w:t>
      </w:r>
    </w:p>
    <w:p w14:paraId="7FA62568" w14:textId="77777777" w:rsidR="00DB6EDB" w:rsidRPr="00CD0FCD" w:rsidRDefault="00DB6EDB" w:rsidP="00DB6EDB">
      <w:pPr>
        <w:pStyle w:val="Body"/>
        <w:rPr>
          <w:rFonts w:ascii="Arial" w:hAnsi="Arial" w:cs="Arial"/>
        </w:rPr>
      </w:pPr>
      <w:r w:rsidRPr="00CD0FCD">
        <w:rPr>
          <w:rFonts w:ascii="Arial" w:hAnsi="Arial" w:cs="Arial"/>
        </w:rPr>
        <w:t>In approximately 24 hours without cleaning the oral cavity, it is possible to clinically detect a layer of dental biofilm. And the absence or the technique of oral hygiene adopted will be closely linked to the number and species of microorganisms found in the oral cavity. Dental biofilm can play a significant role in the occurrence of respiratory infections in patients undergoing mechanical ventilation in ICUs [14,15].</w:t>
      </w:r>
    </w:p>
    <w:p w14:paraId="23F5FDD8" w14:textId="77777777" w:rsidR="00DB6EDB" w:rsidRPr="00CD0FCD" w:rsidRDefault="00DB6EDB" w:rsidP="00DB6EDB">
      <w:pPr>
        <w:pStyle w:val="Body"/>
        <w:rPr>
          <w:rFonts w:ascii="Arial" w:hAnsi="Arial" w:cs="Arial"/>
        </w:rPr>
      </w:pPr>
      <w:r w:rsidRPr="00CD0FCD">
        <w:rPr>
          <w:rFonts w:ascii="Arial" w:hAnsi="Arial" w:cs="Arial"/>
        </w:rPr>
        <w:t>The presence of biofilm interferes in the worsening and development of oral alterations present in the patient, such as caries disease, periodontal disease, pulp necrosis, among others. These alterations impact both medical therapy and the general condition of the patient and must be controlled [13].</w:t>
      </w:r>
    </w:p>
    <w:p w14:paraId="2F181313" w14:textId="77777777" w:rsidR="00DB6EDB" w:rsidRPr="00CD0FCD" w:rsidRDefault="00DB6EDB" w:rsidP="00DB6EDB">
      <w:pPr>
        <w:pStyle w:val="Body"/>
        <w:rPr>
          <w:rFonts w:ascii="Arial" w:hAnsi="Arial" w:cs="Arial"/>
        </w:rPr>
      </w:pPr>
      <w:r w:rsidRPr="00CD0FCD">
        <w:rPr>
          <w:rFonts w:ascii="Arial" w:hAnsi="Arial" w:cs="Arial"/>
        </w:rPr>
        <w:t xml:space="preserve">Several studies have highlighted the importance of hospital dentistry in the prevention of systemic infections. The research by </w:t>
      </w:r>
      <w:proofErr w:type="spellStart"/>
      <w:r w:rsidRPr="00CD0FCD">
        <w:rPr>
          <w:rFonts w:ascii="Arial" w:hAnsi="Arial" w:cs="Arial"/>
        </w:rPr>
        <w:t>Scannapieco</w:t>
      </w:r>
      <w:proofErr w:type="spellEnd"/>
      <w:r w:rsidRPr="00CD0FCD">
        <w:rPr>
          <w:rFonts w:ascii="Arial" w:hAnsi="Arial" w:cs="Arial"/>
        </w:rPr>
        <w:t xml:space="preserve"> and </w:t>
      </w:r>
      <w:proofErr w:type="spellStart"/>
      <w:r w:rsidRPr="00CD0FCD">
        <w:rPr>
          <w:rFonts w:ascii="Arial" w:hAnsi="Arial" w:cs="Arial"/>
        </w:rPr>
        <w:t>Mylotte</w:t>
      </w:r>
      <w:proofErr w:type="spellEnd"/>
      <w:r w:rsidRPr="00CD0FCD">
        <w:rPr>
          <w:rFonts w:ascii="Arial" w:hAnsi="Arial" w:cs="Arial"/>
        </w:rPr>
        <w:t xml:space="preserve"> (1996) [16] was a pioneer in establishing the relationship between oral health and ventilator-associated pneumonia (VAP). Recently, oral hygiene protocols in ICUs have shown a reduction in infection rates </w:t>
      </w:r>
      <w:r w:rsidRPr="00CD0FCD">
        <w:rPr>
          <w:rFonts w:ascii="Arial" w:hAnsi="Arial" w:cs="Arial"/>
        </w:rPr>
        <w:lastRenderedPageBreak/>
        <w:t>[6]. The results of this study are in line with these studies, suggesting that the implementation of dental care routines can significantly reduce systemic complications in critically ill patients.</w:t>
      </w:r>
    </w:p>
    <w:p w14:paraId="49A07DF1" w14:textId="77777777" w:rsidR="00DB6EDB" w:rsidRPr="00CD0FCD" w:rsidRDefault="00DB6EDB" w:rsidP="00DB6EDB">
      <w:pPr>
        <w:pStyle w:val="Body"/>
        <w:rPr>
          <w:rFonts w:ascii="Arial" w:hAnsi="Arial" w:cs="Arial"/>
        </w:rPr>
      </w:pPr>
      <w:r w:rsidRPr="00CD0FCD">
        <w:rPr>
          <w:rFonts w:ascii="Arial" w:hAnsi="Arial" w:cs="Arial"/>
        </w:rPr>
        <w:t>In addition, the literature points to the need for specialized training of dentists to work in a hospital environment. Hospital dentistry is still a developing area in Brazil, with legislation and regulations being improved. The inclusion of dentists in multidisciplinary health teams can provide more holistic and effective care, improving the clinical outcomes of patients [17].</w:t>
      </w:r>
    </w:p>
    <w:p w14:paraId="2D0C6FAD" w14:textId="77777777" w:rsidR="00DB6EDB" w:rsidRPr="00CD0FCD" w:rsidRDefault="00DB6EDB" w:rsidP="00DB6EDB">
      <w:pPr>
        <w:pStyle w:val="Body"/>
        <w:rPr>
          <w:rFonts w:ascii="Arial" w:hAnsi="Arial" w:cs="Arial"/>
        </w:rPr>
      </w:pPr>
      <w:r w:rsidRPr="00CD0FCD">
        <w:rPr>
          <w:rFonts w:ascii="Arial" w:hAnsi="Arial" w:cs="Arial"/>
        </w:rPr>
        <w:t>According to the Federal Council of Dentistry (a Brazilian institution), according to its resolution CFO-162/2015, the clinical implications of this study are clear: the inclusion of dental professionals in ICU health teams can significantly improve the oral and systemic health of patients. Oral hygiene protocols, regular training for the nursing team on oral care, and the constant presence of a dentist can reduce the incidence of nosocomial infections, thus reducing associated morbidity and mortality.</w:t>
      </w:r>
    </w:p>
    <w:p w14:paraId="5125139E" w14:textId="77777777" w:rsidR="00DB6EDB" w:rsidRPr="00CD0FCD" w:rsidRDefault="00DB6EDB" w:rsidP="00DB6EDB">
      <w:pPr>
        <w:pStyle w:val="Body"/>
        <w:rPr>
          <w:rFonts w:ascii="Arial" w:hAnsi="Arial" w:cs="Arial"/>
        </w:rPr>
      </w:pPr>
      <w:r w:rsidRPr="00CD0FCD">
        <w:rPr>
          <w:rFonts w:ascii="Arial" w:hAnsi="Arial" w:cs="Arial"/>
        </w:rPr>
        <w:t>This study evaluated patients on mechanical ventilation. Of the total of 499 patients evaluated, 21.24% (men and women) had an endotracheal tube; of these 106 patients, 63 (23.86%) were men and 34 (14.47) were women, a significant number to justify the implementation of a dentist in Intensive Care Units. Patients require careful care and evaluation, since the tube can cause pneumonia associated with mechanical ventilation, that is, lead to death of these individuals, if correct oral hygiene procedures are not performed. Several reasons put patients at higher risk associated with VAP, such as the presence of an endotracheal tube, body position, possible aspiration of contaminated secretions from the oropharynx or gastrointestinal respiratory tract, and open and dry mouth. The direct association with lung infections and oral health has been explored in several studies [18].</w:t>
      </w:r>
    </w:p>
    <w:p w14:paraId="166E7116" w14:textId="77777777" w:rsidR="00DB6EDB" w:rsidRPr="00CD0FCD" w:rsidRDefault="00DB6EDB" w:rsidP="00DB6EDB">
      <w:pPr>
        <w:pStyle w:val="Body"/>
        <w:rPr>
          <w:rFonts w:ascii="Arial" w:hAnsi="Arial" w:cs="Arial"/>
        </w:rPr>
      </w:pPr>
      <w:r w:rsidRPr="00CD0FCD">
        <w:rPr>
          <w:rFonts w:ascii="Arial" w:hAnsi="Arial" w:cs="Arial"/>
        </w:rPr>
        <w:t>The implementation of an oral hygiene protocol associated with a continuous training program for professionals is crucial to reducing VAP rates, as the lack of clarification about the importance of this care results in low adherence by the nursing team [19,20]. A recent systematic review showed that dental care by oral health teams contributed to a reduction in VAP of patients admitted to the ICU</w:t>
      </w:r>
      <w:r w:rsidRPr="00CD0FCD">
        <w:rPr>
          <w:rFonts w:ascii="Arial" w:hAnsi="Arial" w:cs="Arial"/>
          <w:vertAlign w:val="superscript"/>
        </w:rPr>
        <w:t>21</w:t>
      </w:r>
      <w:r w:rsidRPr="00CD0FCD">
        <w:rPr>
          <w:rFonts w:ascii="Arial" w:hAnsi="Arial" w:cs="Arial"/>
        </w:rPr>
        <w:t>. Other current studies have also shown that chlorhexidine is effective when applied for oral hygiene of patients submitted to mechanical ventilation [22,23].</w:t>
      </w:r>
    </w:p>
    <w:p w14:paraId="25F526EB" w14:textId="77777777" w:rsidR="00DB6EDB" w:rsidRPr="00CD0FCD" w:rsidRDefault="00DB6EDB" w:rsidP="00DB6EDB">
      <w:pPr>
        <w:pStyle w:val="Body"/>
        <w:rPr>
          <w:rFonts w:ascii="Arial" w:hAnsi="Arial" w:cs="Arial"/>
        </w:rPr>
      </w:pPr>
      <w:r w:rsidRPr="00CD0FCD">
        <w:rPr>
          <w:rFonts w:ascii="Arial" w:hAnsi="Arial" w:cs="Arial"/>
        </w:rPr>
        <w:t xml:space="preserve">Furthermore, the study by </w:t>
      </w:r>
      <w:proofErr w:type="spellStart"/>
      <w:r w:rsidRPr="00CD0FCD">
        <w:rPr>
          <w:rFonts w:ascii="Arial" w:hAnsi="Arial" w:cs="Arial"/>
        </w:rPr>
        <w:t>Lotufo</w:t>
      </w:r>
      <w:proofErr w:type="spellEnd"/>
      <w:r w:rsidRPr="00CD0FCD">
        <w:rPr>
          <w:rFonts w:ascii="Arial" w:hAnsi="Arial" w:cs="Arial"/>
        </w:rPr>
        <w:t xml:space="preserve"> and </w:t>
      </w:r>
      <w:proofErr w:type="spellStart"/>
      <w:r w:rsidRPr="00CD0FCD">
        <w:rPr>
          <w:rFonts w:ascii="Arial" w:hAnsi="Arial" w:cs="Arial"/>
        </w:rPr>
        <w:t>Pannuti</w:t>
      </w:r>
      <w:proofErr w:type="spellEnd"/>
      <w:r w:rsidRPr="00CD0FCD">
        <w:rPr>
          <w:rFonts w:ascii="Arial" w:hAnsi="Arial" w:cs="Arial"/>
        </w:rPr>
        <w:t xml:space="preserve"> (2004) [24] highlights the need for public policies that integrate dentistry into the hospital environment. Training more professionals and raising awareness about the importance of oral health in critically ill patients should be priorities. Oral health prevention and promotion programs can be incorporated into hospital routines, promoting a preventive rather than a reactive approach.</w:t>
      </w:r>
    </w:p>
    <w:p w14:paraId="48E2DB9D" w14:textId="77777777" w:rsidR="00DB6EDB" w:rsidRPr="00CD0FCD" w:rsidRDefault="00DB6EDB" w:rsidP="00DB6EDB">
      <w:pPr>
        <w:pStyle w:val="Body"/>
        <w:rPr>
          <w:rFonts w:ascii="Arial" w:hAnsi="Arial" w:cs="Arial"/>
        </w:rPr>
      </w:pPr>
      <w:r w:rsidRPr="00CD0FCD">
        <w:rPr>
          <w:rFonts w:ascii="Arial" w:hAnsi="Arial" w:cs="Arial"/>
        </w:rPr>
        <w:t>In most ICUs, oral hygiene care is performed by nurses and, although these professionals have an important role in health promotion, they do not have sufficient training or legal permission to treat caries lesions, remove calculus, drain intraoral abscesses or perform tooth extractions in critically ill patients during ICU admission</w:t>
      </w:r>
      <w:r w:rsidR="00894F67" w:rsidRPr="00CD0FCD">
        <w:rPr>
          <w:rFonts w:ascii="Arial" w:hAnsi="Arial" w:cs="Arial"/>
        </w:rPr>
        <w:t xml:space="preserve"> [</w:t>
      </w:r>
      <w:r w:rsidRPr="00CD0FCD">
        <w:rPr>
          <w:rFonts w:ascii="Arial" w:hAnsi="Arial" w:cs="Arial"/>
        </w:rPr>
        <w:t>20</w:t>
      </w:r>
      <w:r w:rsidR="00894F67" w:rsidRPr="00CD0FCD">
        <w:rPr>
          <w:rFonts w:ascii="Arial" w:hAnsi="Arial" w:cs="Arial"/>
        </w:rPr>
        <w:t>]</w:t>
      </w:r>
      <w:r w:rsidRPr="00CD0FCD">
        <w:rPr>
          <w:rFonts w:ascii="Arial" w:hAnsi="Arial" w:cs="Arial"/>
        </w:rPr>
        <w:t>.</w:t>
      </w:r>
    </w:p>
    <w:p w14:paraId="420FF27F" w14:textId="77777777" w:rsidR="00E053D0" w:rsidRPr="00CD0FCD" w:rsidRDefault="00DB6EDB" w:rsidP="00894F67">
      <w:pPr>
        <w:pStyle w:val="Body"/>
        <w:rPr>
          <w:rFonts w:ascii="Arial" w:hAnsi="Arial" w:cs="Arial"/>
        </w:rPr>
      </w:pPr>
      <w:r w:rsidRPr="00CD0FCD">
        <w:rPr>
          <w:rFonts w:ascii="Arial" w:hAnsi="Arial" w:cs="Arial"/>
        </w:rPr>
        <w:t>Although this study provides valuable data, it has some limitations. The sample was restricted to a single geographic region, which may lead to generalization of the results. Furthermore, the data collection period was relatively short, and longitudinal studies could provide a deeper understanding of changes in oral health conditions over time in hospital settings. Another limitation is the reliance on medical records and charts, which can vary in accuracy and detail. Future studies could benefit from more standardized and detailed data collection, including regular and systematic clinical assessments.</w:t>
      </w:r>
    </w:p>
    <w:p w14:paraId="78D6D184" w14:textId="77777777" w:rsidR="00790ADA" w:rsidRPr="00CD0FCD" w:rsidRDefault="00790ADA" w:rsidP="00441B6F">
      <w:pPr>
        <w:pStyle w:val="Body"/>
        <w:spacing w:after="0"/>
        <w:rPr>
          <w:rFonts w:ascii="Arial" w:hAnsi="Arial" w:cs="Arial"/>
        </w:rPr>
      </w:pPr>
    </w:p>
    <w:p w14:paraId="6430BDEC" w14:textId="77777777" w:rsidR="00B01FCD" w:rsidRPr="00CD0FCD" w:rsidRDefault="00000F8F" w:rsidP="00441B6F">
      <w:pPr>
        <w:pStyle w:val="ConcHead"/>
        <w:spacing w:after="0"/>
        <w:jc w:val="both"/>
        <w:rPr>
          <w:rFonts w:ascii="Arial" w:hAnsi="Arial" w:cs="Arial"/>
        </w:rPr>
      </w:pPr>
      <w:r w:rsidRPr="00CD0FCD">
        <w:rPr>
          <w:rFonts w:ascii="Arial" w:hAnsi="Arial" w:cs="Arial"/>
        </w:rPr>
        <w:t xml:space="preserve">4. </w:t>
      </w:r>
      <w:r w:rsidR="00B01FCD" w:rsidRPr="00CD0FCD">
        <w:rPr>
          <w:rFonts w:ascii="Arial" w:hAnsi="Arial" w:cs="Arial"/>
        </w:rPr>
        <w:t>Conclusion</w:t>
      </w:r>
    </w:p>
    <w:p w14:paraId="3CF2E213" w14:textId="77777777" w:rsidR="00790ADA" w:rsidRPr="00CD0FCD" w:rsidRDefault="00790ADA" w:rsidP="00441B6F">
      <w:pPr>
        <w:pStyle w:val="Body"/>
        <w:spacing w:after="0"/>
        <w:rPr>
          <w:rFonts w:ascii="Arial" w:hAnsi="Arial" w:cs="Arial"/>
        </w:rPr>
      </w:pPr>
    </w:p>
    <w:p w14:paraId="4CD7B67D" w14:textId="77777777" w:rsidR="00790ADA" w:rsidRPr="00CD0FCD" w:rsidRDefault="00894F67" w:rsidP="00894F67">
      <w:pPr>
        <w:pStyle w:val="Body"/>
        <w:rPr>
          <w:rFonts w:ascii="Arial" w:hAnsi="Arial" w:cs="Arial"/>
        </w:rPr>
      </w:pPr>
      <w:r w:rsidRPr="00CD0FCD">
        <w:rPr>
          <w:rFonts w:ascii="Arial" w:hAnsi="Arial" w:cs="Arial"/>
        </w:rPr>
        <w:t xml:space="preserve">This study highlights the importance of oral health in patients hospitalized in intensive care units (ICUs). The analysis of medical records of 499 patients at the Hospital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de Santos revealed that many patients presented unfavorable oral conditions that can negatively impact their systemic health. The lack of adequate oral hygiene in ICUs facilitates bacterial growth, promoting interactions between native bacteria in dental plaque and respiratory pathogens, which can contribute to the development of respiratory infections, including VAP. Therefore, the role of the dentist is crucial in the hospital environment, especially in ICUs, to perform preventive and therapeutic interventions aimed at maintaining oral health and, consequently, improving the general health of patients. Thus, it is important to implement a specific oral hygiene protocol for patients admitted to ICUs, aiming to improve the quality of hospital dental care.</w:t>
      </w:r>
    </w:p>
    <w:p w14:paraId="42CA3E09" w14:textId="77777777" w:rsidR="002B685A" w:rsidRPr="00CD0FCD" w:rsidRDefault="002B685A" w:rsidP="00441B6F">
      <w:pPr>
        <w:pStyle w:val="ReferHead"/>
        <w:spacing w:after="0"/>
        <w:jc w:val="both"/>
        <w:rPr>
          <w:rFonts w:ascii="Arial" w:hAnsi="Arial" w:cs="Arial"/>
          <w:b w:val="0"/>
          <w:caps w:val="0"/>
          <w:sz w:val="20"/>
        </w:rPr>
      </w:pPr>
      <w:bookmarkStart w:id="2" w:name="_GoBack"/>
      <w:bookmarkEnd w:id="2"/>
    </w:p>
    <w:p w14:paraId="63BAC432" w14:textId="77777777" w:rsidR="002B685A" w:rsidRPr="00CD0FCD" w:rsidRDefault="002B685A" w:rsidP="00441B6F">
      <w:pPr>
        <w:pStyle w:val="ReferHead"/>
        <w:spacing w:after="0"/>
        <w:jc w:val="both"/>
        <w:rPr>
          <w:rFonts w:ascii="Arial" w:hAnsi="Arial" w:cs="Arial"/>
          <w:bCs/>
        </w:rPr>
      </w:pPr>
      <w:r w:rsidRPr="00CD0FCD">
        <w:rPr>
          <w:rFonts w:ascii="Arial" w:hAnsi="Arial" w:cs="Arial"/>
          <w:bCs/>
        </w:rPr>
        <w:t>Consent</w:t>
      </w:r>
    </w:p>
    <w:p w14:paraId="0F05A5B5" w14:textId="77777777" w:rsidR="002B685A" w:rsidRPr="00CD0FCD" w:rsidRDefault="002B685A" w:rsidP="00441B6F">
      <w:pPr>
        <w:pStyle w:val="ReferHead"/>
        <w:spacing w:after="0"/>
        <w:jc w:val="both"/>
        <w:rPr>
          <w:rFonts w:ascii="Arial" w:hAnsi="Arial" w:cs="Arial"/>
          <w:bCs/>
        </w:rPr>
      </w:pPr>
    </w:p>
    <w:p w14:paraId="66B2C7AD" w14:textId="77777777" w:rsidR="001A29D8" w:rsidRPr="00CD0FCD" w:rsidRDefault="001A29D8" w:rsidP="00441B6F">
      <w:pPr>
        <w:pStyle w:val="ReferHead"/>
        <w:spacing w:after="0"/>
        <w:jc w:val="both"/>
        <w:rPr>
          <w:rFonts w:ascii="Arial" w:hAnsi="Arial" w:cs="Arial"/>
          <w:b w:val="0"/>
          <w:caps w:val="0"/>
          <w:sz w:val="20"/>
        </w:rPr>
      </w:pPr>
      <w:r w:rsidRPr="00CD0FCD">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3A31727" w14:textId="77777777" w:rsidR="001A29D8" w:rsidRPr="00CD0FCD" w:rsidRDefault="001A29D8" w:rsidP="00441B6F">
      <w:pPr>
        <w:pStyle w:val="ReferHead"/>
        <w:spacing w:after="0"/>
        <w:jc w:val="both"/>
        <w:rPr>
          <w:rFonts w:ascii="Arial" w:hAnsi="Arial" w:cs="Arial"/>
          <w:b w:val="0"/>
          <w:caps w:val="0"/>
          <w:sz w:val="20"/>
        </w:rPr>
      </w:pPr>
    </w:p>
    <w:p w14:paraId="52BC352B" w14:textId="77777777" w:rsidR="005C784C" w:rsidRPr="00CD0FCD" w:rsidRDefault="005C784C" w:rsidP="00441B6F">
      <w:pPr>
        <w:pStyle w:val="ReferHead"/>
        <w:spacing w:after="0"/>
        <w:jc w:val="both"/>
        <w:rPr>
          <w:rFonts w:ascii="Arial" w:hAnsi="Arial" w:cs="Arial"/>
          <w:b w:val="0"/>
          <w:caps w:val="0"/>
          <w:sz w:val="20"/>
        </w:rPr>
      </w:pPr>
    </w:p>
    <w:p w14:paraId="19509228" w14:textId="77777777" w:rsidR="005C784C" w:rsidRPr="00CD0FCD" w:rsidRDefault="005C784C" w:rsidP="00441B6F">
      <w:pPr>
        <w:pStyle w:val="ReferHead"/>
        <w:spacing w:after="0"/>
        <w:jc w:val="both"/>
        <w:rPr>
          <w:rFonts w:ascii="Arial" w:hAnsi="Arial" w:cs="Arial"/>
          <w:bCs/>
        </w:rPr>
      </w:pPr>
      <w:r w:rsidRPr="00CD0FCD">
        <w:rPr>
          <w:rFonts w:ascii="Arial" w:hAnsi="Arial" w:cs="Arial"/>
          <w:bCs/>
        </w:rPr>
        <w:t>Ethical approval</w:t>
      </w:r>
    </w:p>
    <w:p w14:paraId="4303D2B6" w14:textId="77777777" w:rsidR="005C784C" w:rsidRPr="00CD0FCD" w:rsidRDefault="005C784C" w:rsidP="00441B6F">
      <w:pPr>
        <w:pStyle w:val="ReferHead"/>
        <w:spacing w:after="0"/>
        <w:jc w:val="both"/>
        <w:rPr>
          <w:rFonts w:ascii="Arial" w:hAnsi="Arial" w:cs="Arial"/>
          <w:bCs/>
        </w:rPr>
      </w:pPr>
    </w:p>
    <w:p w14:paraId="04B76337" w14:textId="77777777" w:rsidR="0041027F" w:rsidRPr="00CD0FCD" w:rsidRDefault="001A29D8" w:rsidP="00441B6F">
      <w:pPr>
        <w:pStyle w:val="ReferHead"/>
        <w:spacing w:after="0"/>
        <w:jc w:val="both"/>
        <w:rPr>
          <w:rFonts w:ascii="Arial" w:hAnsi="Arial" w:cs="Arial"/>
          <w:b w:val="0"/>
          <w:caps w:val="0"/>
          <w:sz w:val="20"/>
        </w:rPr>
      </w:pPr>
      <w:r w:rsidRPr="00CD0FCD">
        <w:rPr>
          <w:rFonts w:ascii="Arial" w:hAnsi="Arial" w:cs="Arial"/>
          <w:b w:val="0"/>
          <w:caps w:val="0"/>
          <w:sz w:val="20"/>
        </w:rPr>
        <w:t>All authors hereby declare that a</w:t>
      </w:r>
      <w:r w:rsidR="0041027F" w:rsidRPr="00CD0FCD">
        <w:rPr>
          <w:rFonts w:ascii="Arial" w:hAnsi="Arial" w:cs="Arial"/>
          <w:b w:val="0"/>
          <w:caps w:val="0"/>
          <w:sz w:val="20"/>
        </w:rPr>
        <w:t xml:space="preserve">ll </w:t>
      </w:r>
      <w:r w:rsidR="00F469F0" w:rsidRPr="00CD0FCD">
        <w:rPr>
          <w:rFonts w:ascii="Arial" w:hAnsi="Arial" w:cs="Arial"/>
          <w:b w:val="0"/>
          <w:caps w:val="0"/>
          <w:sz w:val="20"/>
        </w:rPr>
        <w:t>experiments</w:t>
      </w:r>
      <w:r w:rsidR="0041027F" w:rsidRPr="00CD0FCD">
        <w:rPr>
          <w:rFonts w:ascii="Arial" w:hAnsi="Arial" w:cs="Arial"/>
          <w:b w:val="0"/>
          <w:caps w:val="0"/>
          <w:sz w:val="20"/>
        </w:rPr>
        <w:t xml:space="preserve"> have been examined</w:t>
      </w:r>
      <w:r w:rsidRPr="00CD0FCD">
        <w:rPr>
          <w:rFonts w:ascii="Arial" w:hAnsi="Arial" w:cs="Arial"/>
          <w:b w:val="0"/>
          <w:caps w:val="0"/>
          <w:sz w:val="20"/>
        </w:rPr>
        <w:t xml:space="preserve"> and approved</w:t>
      </w:r>
      <w:r w:rsidR="0041027F" w:rsidRPr="00CD0FCD">
        <w:rPr>
          <w:rFonts w:ascii="Arial" w:hAnsi="Arial" w:cs="Arial"/>
          <w:b w:val="0"/>
          <w:caps w:val="0"/>
          <w:sz w:val="20"/>
        </w:rPr>
        <w:t xml:space="preserve"> by </w:t>
      </w:r>
      <w:r w:rsidR="00894F67" w:rsidRPr="00CD0FCD">
        <w:rPr>
          <w:rFonts w:ascii="Arial" w:hAnsi="Arial" w:cs="Arial"/>
          <w:b w:val="0"/>
          <w:caps w:val="0"/>
          <w:sz w:val="20"/>
        </w:rPr>
        <w:t xml:space="preserve">the Institutional Research Ethics Committee of the Metropolitan University of Santos and the </w:t>
      </w:r>
      <w:proofErr w:type="spellStart"/>
      <w:r w:rsidR="00894F67" w:rsidRPr="00CD0FCD">
        <w:rPr>
          <w:rFonts w:ascii="Arial" w:hAnsi="Arial" w:cs="Arial"/>
          <w:b w:val="0"/>
          <w:caps w:val="0"/>
          <w:sz w:val="20"/>
        </w:rPr>
        <w:t>Irmandade</w:t>
      </w:r>
      <w:proofErr w:type="spellEnd"/>
      <w:r w:rsidR="00894F67" w:rsidRPr="00CD0FCD">
        <w:rPr>
          <w:rFonts w:ascii="Arial" w:hAnsi="Arial" w:cs="Arial"/>
          <w:b w:val="0"/>
          <w:caps w:val="0"/>
          <w:sz w:val="20"/>
        </w:rPr>
        <w:t xml:space="preserve"> Santa Casa de </w:t>
      </w:r>
      <w:proofErr w:type="spellStart"/>
      <w:r w:rsidR="00894F67" w:rsidRPr="00CD0FCD">
        <w:rPr>
          <w:rFonts w:ascii="Arial" w:hAnsi="Arial" w:cs="Arial"/>
          <w:b w:val="0"/>
          <w:caps w:val="0"/>
          <w:sz w:val="20"/>
        </w:rPr>
        <w:t>Misericórdia</w:t>
      </w:r>
      <w:proofErr w:type="spellEnd"/>
      <w:r w:rsidR="00894F67" w:rsidRPr="00CD0FCD">
        <w:rPr>
          <w:rFonts w:ascii="Arial" w:hAnsi="Arial" w:cs="Arial"/>
          <w:b w:val="0"/>
          <w:caps w:val="0"/>
          <w:sz w:val="20"/>
        </w:rPr>
        <w:t xml:space="preserve"> Hospital of Santos, under protocols CAAE: 69348323.6.0000.5509 and CAAE: 69348323.6.3001.0139. They have </w:t>
      </w:r>
      <w:r w:rsidR="0041027F" w:rsidRPr="00CD0FCD">
        <w:rPr>
          <w:rFonts w:ascii="Arial" w:hAnsi="Arial" w:cs="Arial"/>
          <w:b w:val="0"/>
          <w:caps w:val="0"/>
          <w:sz w:val="20"/>
        </w:rPr>
        <w:t>been performed in accordance with the ethical standards laid down in the 1964 Declaration of Helsinki.</w:t>
      </w:r>
    </w:p>
    <w:p w14:paraId="0A65F952" w14:textId="77777777" w:rsidR="00860000" w:rsidRPr="00CD0FCD" w:rsidRDefault="00860000" w:rsidP="00441B6F">
      <w:pPr>
        <w:pStyle w:val="ReferHead"/>
        <w:spacing w:after="0"/>
        <w:jc w:val="both"/>
        <w:rPr>
          <w:rFonts w:ascii="Arial" w:hAnsi="Arial" w:cs="Arial"/>
        </w:rPr>
      </w:pPr>
    </w:p>
    <w:p w14:paraId="051A6515" w14:textId="77777777" w:rsidR="00B01FCD" w:rsidRPr="00CD0FCD" w:rsidRDefault="00B01FCD" w:rsidP="00441B6F">
      <w:pPr>
        <w:pStyle w:val="ReferHead"/>
        <w:spacing w:after="0"/>
        <w:jc w:val="both"/>
        <w:rPr>
          <w:rFonts w:ascii="Arial" w:hAnsi="Arial" w:cs="Arial"/>
        </w:rPr>
      </w:pPr>
      <w:r w:rsidRPr="00CD0FCD">
        <w:rPr>
          <w:rFonts w:ascii="Arial" w:hAnsi="Arial" w:cs="Arial"/>
        </w:rPr>
        <w:t>References</w:t>
      </w:r>
    </w:p>
    <w:p w14:paraId="60A48322" w14:textId="77777777" w:rsidR="00790ADA" w:rsidRPr="00CD0FCD" w:rsidRDefault="00790ADA" w:rsidP="00441B6F">
      <w:pPr>
        <w:pStyle w:val="ReferHead"/>
        <w:spacing w:after="0"/>
        <w:jc w:val="both"/>
        <w:rPr>
          <w:rFonts w:ascii="Arial" w:hAnsi="Arial" w:cs="Arial"/>
        </w:rPr>
      </w:pPr>
    </w:p>
    <w:p w14:paraId="2247AB83" w14:textId="77777777" w:rsidR="00894F67" w:rsidRPr="00CD0FCD" w:rsidRDefault="00894F67" w:rsidP="00894F67">
      <w:pPr>
        <w:pStyle w:val="Body"/>
        <w:numPr>
          <w:ilvl w:val="0"/>
          <w:numId w:val="35"/>
        </w:numPr>
        <w:spacing w:after="0"/>
        <w:rPr>
          <w:lang w:val="pt-BR"/>
        </w:rPr>
      </w:pPr>
      <w:r w:rsidRPr="00CD0FCD">
        <w:rPr>
          <w:lang w:val="pt-BR"/>
        </w:rPr>
        <w:t>Camargo EC. Odontologia hospitalar é mais do que cirurgia bucomaxilofacial. Jornal do Site. 2005; ano VI(98). Disponível em: http://www.jornaldosite.com.br/arquivo/anteriores/elainecamargo/artelainecamargo98.htm. Acesso em 12/08/2011.</w:t>
      </w:r>
    </w:p>
    <w:p w14:paraId="328B733E" w14:textId="77777777" w:rsidR="00894F67" w:rsidRPr="00CD0FCD" w:rsidRDefault="00894F67" w:rsidP="00894F67">
      <w:pPr>
        <w:pStyle w:val="Body"/>
        <w:numPr>
          <w:ilvl w:val="0"/>
          <w:numId w:val="35"/>
        </w:numPr>
        <w:spacing w:after="0"/>
        <w:rPr>
          <w:lang w:val="pt-BR"/>
        </w:rPr>
      </w:pPr>
      <w:r w:rsidRPr="00CD0FCD">
        <w:rPr>
          <w:lang w:val="pt-BR"/>
        </w:rPr>
        <w:t>Queluz DP, Palumbro A. Integração do odontólogo no serviço de saúde em uma equipe multidisciplinar. J Assess Prest Serv Odontol. 2000;3(19):40-6.</w:t>
      </w:r>
    </w:p>
    <w:p w14:paraId="2AD0E346" w14:textId="77777777" w:rsidR="00894F67" w:rsidRPr="00CD0FCD" w:rsidRDefault="00894F67" w:rsidP="00894F67">
      <w:pPr>
        <w:pStyle w:val="Body"/>
        <w:numPr>
          <w:ilvl w:val="0"/>
          <w:numId w:val="35"/>
        </w:numPr>
        <w:spacing w:after="0"/>
        <w:rPr>
          <w:lang w:val="pt-BR"/>
        </w:rPr>
      </w:pPr>
      <w:r w:rsidRPr="00CD0FCD">
        <w:rPr>
          <w:lang w:val="pt-BR"/>
        </w:rPr>
        <w:t xml:space="preserve">   Relly PG, Glaffey NM. História da sepsia bucal como causa de doenças. In: Williams RC, Offenbacher S, eds. Periodontologia 2000. São Paulo: Santos; 2005. p. 98-118.</w:t>
      </w:r>
    </w:p>
    <w:p w14:paraId="2AABAE6D" w14:textId="77777777" w:rsidR="00894F67" w:rsidRPr="00CD0FCD" w:rsidRDefault="00894F67" w:rsidP="00894F67">
      <w:pPr>
        <w:pStyle w:val="Body"/>
        <w:numPr>
          <w:ilvl w:val="0"/>
          <w:numId w:val="35"/>
        </w:numPr>
        <w:spacing w:after="0"/>
      </w:pPr>
      <w:r w:rsidRPr="00CD0FCD">
        <w:rPr>
          <w:lang w:val="pt-BR"/>
        </w:rPr>
        <w:t xml:space="preserve">   Morais TNM, Silva A, Avi ALRO, Souza PHR, Knobel E, Camargo LFA. A importância da atuação odontológica em pacientes internados em unidade de terapia intensiva. </w:t>
      </w:r>
      <w:r w:rsidRPr="00CD0FCD">
        <w:t xml:space="preserve">Rev Bras Ter </w:t>
      </w:r>
      <w:proofErr w:type="spellStart"/>
      <w:r w:rsidRPr="00CD0FCD">
        <w:t>Intensiva</w:t>
      </w:r>
      <w:proofErr w:type="spellEnd"/>
      <w:r w:rsidRPr="00CD0FCD">
        <w:t xml:space="preserve">. </w:t>
      </w:r>
      <w:proofErr w:type="gramStart"/>
      <w:r w:rsidRPr="00CD0FCD">
        <w:t>2006;18:412</w:t>
      </w:r>
      <w:proofErr w:type="gramEnd"/>
      <w:r w:rsidRPr="00CD0FCD">
        <w:t>-7.</w:t>
      </w:r>
    </w:p>
    <w:p w14:paraId="174F55B4" w14:textId="77777777" w:rsidR="00894F67" w:rsidRPr="00CD0FCD" w:rsidRDefault="00894F67" w:rsidP="00894F67">
      <w:pPr>
        <w:pStyle w:val="Body"/>
        <w:numPr>
          <w:ilvl w:val="0"/>
          <w:numId w:val="35"/>
        </w:numPr>
        <w:spacing w:after="0"/>
      </w:pPr>
      <w:r w:rsidRPr="00CD0FCD">
        <w:rPr>
          <w:lang w:val="it-IT"/>
        </w:rPr>
        <w:t xml:space="preserve">   De Riso AJ, Ladowski JS, Dillon TA, et al. </w:t>
      </w:r>
      <w:r w:rsidRPr="00CD0FCD">
        <w:t xml:space="preserve">Chlorhexidine gluconate 0.12% oral rinse reduces the incidence of total nosocomial respiratory infection and nonprophylactic systemic antibiotic use in patients undergoing heart surgery. Chest. </w:t>
      </w:r>
      <w:proofErr w:type="gramStart"/>
      <w:r w:rsidRPr="00CD0FCD">
        <w:t>1996;109:1556</w:t>
      </w:r>
      <w:proofErr w:type="gramEnd"/>
      <w:r w:rsidRPr="00CD0FCD">
        <w:t>-61.</w:t>
      </w:r>
    </w:p>
    <w:p w14:paraId="5997A684" w14:textId="77777777" w:rsidR="00894F67" w:rsidRPr="00CD0FCD" w:rsidRDefault="00894F67" w:rsidP="00894F67">
      <w:pPr>
        <w:pStyle w:val="Body"/>
        <w:numPr>
          <w:ilvl w:val="0"/>
          <w:numId w:val="35"/>
        </w:numPr>
        <w:spacing w:after="0"/>
        <w:rPr>
          <w:lang w:val="pt-BR"/>
        </w:rPr>
      </w:pPr>
      <w:r w:rsidRPr="00CD0FCD">
        <w:rPr>
          <w:lang w:val="it-IT"/>
        </w:rPr>
        <w:t xml:space="preserve">   Yoneyama T, Yoshida M, Ohrui T, et al. </w:t>
      </w:r>
      <w:r w:rsidRPr="00CD0FCD">
        <w:t xml:space="preserve">Oral care reduces pneumonia in older patients in nursing homes. </w:t>
      </w:r>
      <w:r w:rsidRPr="00CD0FCD">
        <w:rPr>
          <w:lang w:val="pt-BR"/>
        </w:rPr>
        <w:t>J Am Geriatr Soc. 2002;50:430-3.</w:t>
      </w:r>
    </w:p>
    <w:p w14:paraId="29DC04C6" w14:textId="77777777" w:rsidR="00894F67" w:rsidRPr="00CD0FCD" w:rsidRDefault="00894F67" w:rsidP="00894F67">
      <w:pPr>
        <w:pStyle w:val="Body"/>
        <w:numPr>
          <w:ilvl w:val="0"/>
          <w:numId w:val="35"/>
        </w:numPr>
        <w:spacing w:after="0"/>
        <w:rPr>
          <w:lang w:val="pt-BR"/>
        </w:rPr>
      </w:pPr>
      <w:proofErr w:type="spellStart"/>
      <w:proofErr w:type="gramStart"/>
      <w:r w:rsidRPr="00CD0FCD">
        <w:t>Jun,M.</w:t>
      </w:r>
      <w:proofErr w:type="gramEnd"/>
      <w:r w:rsidRPr="00CD0FCD">
        <w:t>-K.;Ku,J.-K.;Kim</w:t>
      </w:r>
      <w:proofErr w:type="spellEnd"/>
      <w:r w:rsidRPr="00CD0FCD">
        <w:t xml:space="preserve">, I.-h.; Park, S.-Y.; Hong, J.; Kim, J.-Y.; Lee, J.-K. Hospital Dentistry for Intensive Care Unit Patients: A Comprehensive Review. </w:t>
      </w:r>
      <w:r w:rsidRPr="00CD0FCD">
        <w:rPr>
          <w:lang w:val="pt-BR"/>
        </w:rPr>
        <w:t>J. Clin. Med. 2021,10,3681. https://doi.org/ 10.3390/jcm10163681</w:t>
      </w:r>
    </w:p>
    <w:p w14:paraId="78AFEC34" w14:textId="77777777" w:rsidR="00894F67" w:rsidRPr="00CD0FCD" w:rsidRDefault="00894F67" w:rsidP="00894F67">
      <w:pPr>
        <w:pStyle w:val="Body"/>
        <w:numPr>
          <w:ilvl w:val="0"/>
          <w:numId w:val="35"/>
        </w:numPr>
        <w:spacing w:after="0"/>
        <w:rPr>
          <w:lang w:val="pt-BR"/>
        </w:rPr>
      </w:pPr>
      <w:r w:rsidRPr="00CD0FCD">
        <w:rPr>
          <w:lang w:val="pt-BR"/>
        </w:rPr>
        <w:lastRenderedPageBreak/>
        <w:t>dos Santos AA, Silva LDdA, Santos CCO, Fonseca-Silva T. Oral care practices for patients in intensive care unit: A systematic review. Int J Dent Hygiene. 2024;00:1-9. doi:10.1111/idh.12822</w:t>
      </w:r>
    </w:p>
    <w:p w14:paraId="100583A6" w14:textId="77777777" w:rsidR="00894F67" w:rsidRPr="00CD0FCD" w:rsidRDefault="00894F67" w:rsidP="00894F67">
      <w:pPr>
        <w:pStyle w:val="Body"/>
        <w:numPr>
          <w:ilvl w:val="0"/>
          <w:numId w:val="35"/>
        </w:numPr>
        <w:spacing w:after="0"/>
      </w:pPr>
      <w:r w:rsidRPr="00CD0FCD">
        <w:rPr>
          <w:lang w:val="pt-BR"/>
        </w:rPr>
        <w:t xml:space="preserve">Chaves AS, Sousa ISP, Laurindo TC, Reges RV, Andrade LA, Teixeira Neto AO, Pereira CM. Odontologia hospitalar no ambiente de Unidade de Terapia Intensiva: Uma revisão de literatura. </w:t>
      </w:r>
      <w:r w:rsidRPr="00CD0FCD">
        <w:t>Research, Society and Development, v. 12, n. 8, e9012842908, 2023 (CC BY 4.0) | ISSN 2525-3409 | DOI: http://dx.doi.org/10.33448/rsd-v12i8.42908</w:t>
      </w:r>
    </w:p>
    <w:p w14:paraId="3E983B6A" w14:textId="77777777" w:rsidR="00894F67" w:rsidRPr="00CD0FCD" w:rsidRDefault="00894F67" w:rsidP="00894F67">
      <w:pPr>
        <w:pStyle w:val="Body"/>
        <w:numPr>
          <w:ilvl w:val="0"/>
          <w:numId w:val="35"/>
        </w:numPr>
        <w:spacing w:after="0"/>
        <w:rPr>
          <w:lang w:val="pt-BR"/>
        </w:rPr>
      </w:pPr>
      <w:r w:rsidRPr="00CD0FCD">
        <w:rPr>
          <w:lang w:val="pt-BR"/>
        </w:rPr>
        <w:t xml:space="preserve">Amaral COF, Belon LMR, Silva EA, Nadai A, Amaral Filho MSP, Straioto FG. </w:t>
      </w:r>
      <w:r w:rsidRPr="00CD0FCD">
        <w:t xml:space="preserve">The importance of hospital dentistry: oral health status in hospitalized patients. </w:t>
      </w:r>
      <w:r w:rsidRPr="00CD0FCD">
        <w:rPr>
          <w:lang w:val="pt-BR"/>
        </w:rPr>
        <w:t xml:space="preserve">RGO, Rev Gaúch Odontol. 2018;66(1):35-41. http://dx.doi.org/10.1590/1981-863720180001000053410 </w:t>
      </w:r>
    </w:p>
    <w:p w14:paraId="712C2F9D" w14:textId="77777777" w:rsidR="00894F67" w:rsidRPr="00CD0FCD" w:rsidRDefault="00894F67" w:rsidP="00894F67">
      <w:pPr>
        <w:pStyle w:val="Body"/>
        <w:numPr>
          <w:ilvl w:val="0"/>
          <w:numId w:val="35"/>
        </w:numPr>
        <w:spacing w:after="0"/>
        <w:rPr>
          <w:lang w:val="pt-BR"/>
        </w:rPr>
      </w:pPr>
      <w:r w:rsidRPr="00CD0FCD">
        <w:rPr>
          <w:lang w:val="pt-BR"/>
        </w:rPr>
        <w:t xml:space="preserve">Simões ACCD, Campos FRO, Câmara JVF, Probst LF, Groisman S, Cedro VQM, et al. </w:t>
      </w:r>
      <w:r w:rsidRPr="00CD0FCD">
        <w:t xml:space="preserve">Legislation in hospital dentistry: Gaps, perspectives and desires. </w:t>
      </w:r>
      <w:r w:rsidRPr="00CD0FCD">
        <w:rPr>
          <w:lang w:val="pt-BR"/>
        </w:rPr>
        <w:t>Pesqui Bras Odontopediatria Clín Integr. 2024; 24:e220153. https://doi.org/10.1590/pboci.2024.003</w:t>
      </w:r>
    </w:p>
    <w:p w14:paraId="472B9FA2" w14:textId="77777777" w:rsidR="00894F67" w:rsidRPr="00CD0FCD" w:rsidRDefault="00894F67" w:rsidP="00894F67">
      <w:pPr>
        <w:pStyle w:val="Body"/>
        <w:numPr>
          <w:ilvl w:val="0"/>
          <w:numId w:val="35"/>
        </w:numPr>
        <w:spacing w:after="0"/>
      </w:pPr>
      <w:r w:rsidRPr="00CD0FCD">
        <w:t xml:space="preserve">   Berry AM, Davidson PM. Beyond comfort: oral hygiene as a critical nursing activity in the intensive care unit. Intensive </w:t>
      </w:r>
      <w:proofErr w:type="spellStart"/>
      <w:r w:rsidRPr="00CD0FCD">
        <w:t>Crit</w:t>
      </w:r>
      <w:proofErr w:type="spellEnd"/>
      <w:r w:rsidRPr="00CD0FCD">
        <w:t xml:space="preserve"> Care </w:t>
      </w:r>
      <w:proofErr w:type="spellStart"/>
      <w:r w:rsidRPr="00CD0FCD">
        <w:t>Nurs</w:t>
      </w:r>
      <w:proofErr w:type="spellEnd"/>
      <w:r w:rsidRPr="00CD0FCD">
        <w:t>. 2006;22(6):318-28.</w:t>
      </w:r>
    </w:p>
    <w:p w14:paraId="6F97DE98" w14:textId="77777777" w:rsidR="00894F67" w:rsidRPr="00CD0FCD" w:rsidRDefault="00894F67" w:rsidP="00894F67">
      <w:pPr>
        <w:pStyle w:val="Body"/>
        <w:numPr>
          <w:ilvl w:val="0"/>
          <w:numId w:val="35"/>
        </w:numPr>
        <w:spacing w:after="0"/>
        <w:rPr>
          <w:lang w:val="pt-BR"/>
        </w:rPr>
      </w:pPr>
      <w:r w:rsidRPr="00CD0FCD">
        <w:t xml:space="preserve">   Doro GM, </w:t>
      </w:r>
      <w:proofErr w:type="spellStart"/>
      <w:r w:rsidRPr="00CD0FCD">
        <w:t>Fialho</w:t>
      </w:r>
      <w:proofErr w:type="spellEnd"/>
      <w:r w:rsidRPr="00CD0FCD">
        <w:t xml:space="preserve"> LM, </w:t>
      </w:r>
      <w:proofErr w:type="spellStart"/>
      <w:r w:rsidRPr="00CD0FCD">
        <w:t>Losekann</w:t>
      </w:r>
      <w:proofErr w:type="spellEnd"/>
      <w:r w:rsidRPr="00CD0FCD">
        <w:t xml:space="preserve"> M, </w:t>
      </w:r>
      <w:proofErr w:type="spellStart"/>
      <w:r w:rsidRPr="00CD0FCD">
        <w:t>Pfeiff</w:t>
      </w:r>
      <w:proofErr w:type="spellEnd"/>
      <w:r w:rsidRPr="00CD0FCD">
        <w:t xml:space="preserve"> DN. </w:t>
      </w:r>
      <w:r w:rsidRPr="00CD0FCD">
        <w:rPr>
          <w:lang w:val="pt-BR"/>
        </w:rPr>
        <w:t>Projeto “Odontologia Hospitalar”: Aperfeiçoamento do conhecimento técnico necessário em situações de risco à vida do paciente e levantamento das condições de saúde bucal de pacientes hospitalizados. Rev ABENO. 2006;6(1):49-53.</w:t>
      </w:r>
    </w:p>
    <w:p w14:paraId="304357C5" w14:textId="77777777" w:rsidR="00894F67" w:rsidRPr="00CD0FCD" w:rsidRDefault="00894F67" w:rsidP="00894F67">
      <w:pPr>
        <w:pStyle w:val="Body"/>
        <w:numPr>
          <w:ilvl w:val="0"/>
          <w:numId w:val="35"/>
        </w:numPr>
        <w:spacing w:after="0"/>
      </w:pPr>
      <w:r w:rsidRPr="00CD0FCD">
        <w:t xml:space="preserve">   Kite K, Pearson L. A rationale for mouth care: the integration of theory with practice. Intensive </w:t>
      </w:r>
      <w:proofErr w:type="spellStart"/>
      <w:r w:rsidRPr="00CD0FCD">
        <w:t>Crit</w:t>
      </w:r>
      <w:proofErr w:type="spellEnd"/>
      <w:r w:rsidRPr="00CD0FCD">
        <w:t xml:space="preserve"> Care </w:t>
      </w:r>
      <w:proofErr w:type="spellStart"/>
      <w:r w:rsidRPr="00CD0FCD">
        <w:t>Nurs</w:t>
      </w:r>
      <w:proofErr w:type="spellEnd"/>
      <w:r w:rsidRPr="00CD0FCD">
        <w:t>. 1995;11(2):71-6.</w:t>
      </w:r>
    </w:p>
    <w:p w14:paraId="228ADF6F" w14:textId="77777777" w:rsidR="00894F67" w:rsidRPr="00CD0FCD" w:rsidRDefault="00894F67" w:rsidP="00894F67">
      <w:pPr>
        <w:pStyle w:val="Body"/>
        <w:numPr>
          <w:ilvl w:val="0"/>
          <w:numId w:val="35"/>
        </w:numPr>
        <w:spacing w:after="0"/>
      </w:pPr>
      <w:r w:rsidRPr="00CD0FCD">
        <w:t xml:space="preserve">   Hillier B, Wilson C, Chamberlain D. Preventing ventilator-associated pneumonia through oral care product selection and application method: a literature review. AACN Adv Crit Care. 2013;24(1):38–58. [Accessed 2024 Jan 10].</w:t>
      </w:r>
    </w:p>
    <w:p w14:paraId="44AA6803" w14:textId="77777777" w:rsidR="00894F67" w:rsidRPr="00CD0FCD" w:rsidRDefault="00894F67" w:rsidP="00894F67">
      <w:pPr>
        <w:pStyle w:val="Body"/>
        <w:numPr>
          <w:ilvl w:val="0"/>
          <w:numId w:val="35"/>
        </w:numPr>
        <w:spacing w:after="0"/>
        <w:rPr>
          <w:lang w:val="it-IT"/>
        </w:rPr>
      </w:pPr>
      <w:r w:rsidRPr="00CD0FCD">
        <w:rPr>
          <w:lang w:val="pt-BR"/>
        </w:rPr>
        <w:t xml:space="preserve">   Scannapieco FA, Rossa Júnior C. Doenças periodontais versus doenças respiratórias. </w:t>
      </w:r>
      <w:r w:rsidRPr="00CD0FCD">
        <w:rPr>
          <w:lang w:val="it-IT"/>
        </w:rPr>
        <w:t>In: Brunetti MC, ed. Periodontia Médica. São Paulo: SENAC; 2004. p. 391-409.</w:t>
      </w:r>
    </w:p>
    <w:p w14:paraId="586507E4" w14:textId="77777777" w:rsidR="00894F67" w:rsidRPr="00CD0FCD" w:rsidRDefault="00894F67" w:rsidP="00894F67">
      <w:pPr>
        <w:pStyle w:val="Body"/>
        <w:numPr>
          <w:ilvl w:val="0"/>
          <w:numId w:val="35"/>
        </w:numPr>
        <w:spacing w:after="0"/>
        <w:rPr>
          <w:lang w:val="es-ES"/>
        </w:rPr>
      </w:pPr>
      <w:r w:rsidRPr="00CD0FCD">
        <w:rPr>
          <w:lang w:val="it-IT"/>
        </w:rPr>
        <w:t xml:space="preserve">   Aranega AM, Bassi APF, Ponzoni D, et al. </w:t>
      </w:r>
      <w:r w:rsidRPr="00CD0FCD">
        <w:rPr>
          <w:lang w:val="pt-BR"/>
        </w:rPr>
        <w:t xml:space="preserve">Qual a importância da odontologia hospitalar? </w:t>
      </w:r>
      <w:proofErr w:type="spellStart"/>
      <w:r w:rsidRPr="00CD0FCD">
        <w:rPr>
          <w:lang w:val="es-ES"/>
        </w:rPr>
        <w:t>Rev</w:t>
      </w:r>
      <w:proofErr w:type="spellEnd"/>
      <w:r w:rsidRPr="00CD0FCD">
        <w:rPr>
          <w:lang w:val="es-ES"/>
        </w:rPr>
        <w:t xml:space="preserve"> </w:t>
      </w:r>
      <w:proofErr w:type="spellStart"/>
      <w:r w:rsidRPr="00CD0FCD">
        <w:rPr>
          <w:lang w:val="es-ES"/>
        </w:rPr>
        <w:t>Bras</w:t>
      </w:r>
      <w:proofErr w:type="spellEnd"/>
      <w:r w:rsidRPr="00CD0FCD">
        <w:rPr>
          <w:lang w:val="es-ES"/>
        </w:rPr>
        <w:t xml:space="preserve"> </w:t>
      </w:r>
      <w:proofErr w:type="spellStart"/>
      <w:r w:rsidRPr="00CD0FCD">
        <w:rPr>
          <w:lang w:val="es-ES"/>
        </w:rPr>
        <w:t>Odontol</w:t>
      </w:r>
      <w:proofErr w:type="spellEnd"/>
      <w:r w:rsidRPr="00CD0FCD">
        <w:rPr>
          <w:lang w:val="es-ES"/>
        </w:rPr>
        <w:t>. 2012;69(1):90-3.</w:t>
      </w:r>
    </w:p>
    <w:p w14:paraId="36EC96A3" w14:textId="77777777" w:rsidR="00894F67" w:rsidRPr="00CD0FCD" w:rsidRDefault="00894F67" w:rsidP="00894F67">
      <w:pPr>
        <w:pStyle w:val="Body"/>
        <w:numPr>
          <w:ilvl w:val="0"/>
          <w:numId w:val="35"/>
        </w:numPr>
        <w:spacing w:after="0"/>
        <w:rPr>
          <w:lang w:val="es-ES"/>
        </w:rPr>
      </w:pPr>
      <w:r w:rsidRPr="00CD0FCD">
        <w:t xml:space="preserve">Curley MAQ, </w:t>
      </w:r>
      <w:proofErr w:type="spellStart"/>
      <w:r w:rsidRPr="00CD0FCD">
        <w:t>Schwalenstocker</w:t>
      </w:r>
      <w:proofErr w:type="spellEnd"/>
      <w:r w:rsidRPr="00CD0FCD">
        <w:t xml:space="preserve"> E, Deshpande JK, Ganser CC, Bertoch D, Brandon J, et al. Tailoring the Institute for Health Care Improvement 100,000 Lives campaign to pediatric settings: the example of ventilator-associated pneumonia. </w:t>
      </w:r>
      <w:proofErr w:type="spellStart"/>
      <w:r w:rsidRPr="00CD0FCD">
        <w:t>Pediatr</w:t>
      </w:r>
      <w:proofErr w:type="spellEnd"/>
      <w:r w:rsidRPr="00CD0FCD">
        <w:t xml:space="preserve"> Clin North Am [Internet]. 2006 [cited 2017 Oct 7];53(6):1231–51. Available from: https://doi.org/10.1016/j.pcl.2006.09.001.</w:t>
      </w:r>
    </w:p>
    <w:p w14:paraId="2D5BB8C4" w14:textId="77777777" w:rsidR="00894F67" w:rsidRPr="00CD0FCD" w:rsidRDefault="00894F67" w:rsidP="00894F67">
      <w:pPr>
        <w:pStyle w:val="Body"/>
        <w:numPr>
          <w:ilvl w:val="0"/>
          <w:numId w:val="35"/>
        </w:numPr>
        <w:spacing w:after="0"/>
      </w:pPr>
      <w:r w:rsidRPr="00CD0FCD">
        <w:t xml:space="preserve">   </w:t>
      </w:r>
      <w:r w:rsidRPr="00CD0FCD">
        <w:rPr>
          <w:lang w:val="pt-BR"/>
        </w:rPr>
        <w:t xml:space="preserve">Lorente L, Lecuona M, Jiménez A, Palmero S, Pastor E, Lafuente N, et al. </w:t>
      </w:r>
      <w:r w:rsidRPr="00CD0FCD">
        <w:t>Ventilator-associated pneumonia with or without toothbrushing: a randomized controlled trial. Eur J Clin Microbiol Infect Dis. 2012;31(10):2621–9. https://doi.org/10.1007/s10096-012-1605-y.</w:t>
      </w:r>
    </w:p>
    <w:p w14:paraId="32CC10F8" w14:textId="77777777" w:rsidR="00894F67" w:rsidRPr="00CD0FCD" w:rsidRDefault="00894F67" w:rsidP="00894F67">
      <w:pPr>
        <w:pStyle w:val="Body"/>
        <w:numPr>
          <w:ilvl w:val="0"/>
          <w:numId w:val="35"/>
        </w:numPr>
        <w:spacing w:after="0"/>
      </w:pPr>
      <w:r w:rsidRPr="00CD0FCD">
        <w:t xml:space="preserve">   Chacko R, Rajan A, Lionel P, </w:t>
      </w:r>
      <w:proofErr w:type="spellStart"/>
      <w:r w:rsidRPr="00CD0FCD">
        <w:t>Thilagavathi</w:t>
      </w:r>
      <w:proofErr w:type="spellEnd"/>
      <w:r w:rsidRPr="00CD0FCD">
        <w:t xml:space="preserve"> M, Yadav B, Premkumar J. Oral decontamination techniques and ventilator-associated pneumonia. Br J </w:t>
      </w:r>
      <w:proofErr w:type="spellStart"/>
      <w:r w:rsidRPr="00CD0FCD">
        <w:t>Nurs</w:t>
      </w:r>
      <w:proofErr w:type="spellEnd"/>
      <w:r w:rsidRPr="00CD0FCD">
        <w:t xml:space="preserve">. </w:t>
      </w:r>
      <w:proofErr w:type="gramStart"/>
      <w:r w:rsidRPr="00CD0FCD">
        <w:t>2017;26:594</w:t>
      </w:r>
      <w:proofErr w:type="gramEnd"/>
      <w:r w:rsidRPr="00CD0FCD">
        <w:t>–9. https://doi.org/10.12968/bjon.2017.26.11.594.</w:t>
      </w:r>
    </w:p>
    <w:p w14:paraId="59B3C4CC" w14:textId="77777777" w:rsidR="00894F67" w:rsidRPr="00CD0FCD" w:rsidRDefault="00894F67" w:rsidP="00894F67">
      <w:pPr>
        <w:pStyle w:val="Body"/>
        <w:numPr>
          <w:ilvl w:val="0"/>
          <w:numId w:val="35"/>
        </w:numPr>
        <w:spacing w:after="0"/>
        <w:rPr>
          <w:lang w:val="pt-BR"/>
        </w:rPr>
      </w:pPr>
      <w:r w:rsidRPr="00CD0FCD">
        <w:rPr>
          <w:lang w:val="pt-BR"/>
        </w:rPr>
        <w:t xml:space="preserve">   de Araújo ECF, da Silva RO, Raymundo MLB. </w:t>
      </w:r>
      <w:r w:rsidRPr="00CD0FCD">
        <w:t xml:space="preserve">Does the presence of oral health teams influence the incidence of ventilator-associated pneumonia and mortality of patients in intensive care units? </w:t>
      </w:r>
      <w:r w:rsidRPr="00CD0FCD">
        <w:rPr>
          <w:lang w:val="pt-BR"/>
        </w:rPr>
        <w:t>Systematic review. Spec Care Dentist. 2023;43:452-463. https://doi.org/10.1111/scd.12785</w:t>
      </w:r>
    </w:p>
    <w:p w14:paraId="6091A39E" w14:textId="77777777" w:rsidR="00894F67" w:rsidRPr="00CD0FCD" w:rsidRDefault="00894F67" w:rsidP="00894F67">
      <w:pPr>
        <w:pStyle w:val="Body"/>
        <w:numPr>
          <w:ilvl w:val="0"/>
          <w:numId w:val="35"/>
        </w:numPr>
        <w:spacing w:after="0"/>
      </w:pPr>
      <w:r w:rsidRPr="00CD0FCD">
        <w:rPr>
          <w:lang w:val="pt-BR"/>
        </w:rPr>
        <w:t xml:space="preserve">Rabello F, Araújo VE, Magalhães SMS. </w:t>
      </w:r>
      <w:r w:rsidRPr="00CD0FCD">
        <w:t xml:space="preserve">Effectiveness of oral chlorhexidine for the prevention of nosocomial pneumonia and ventilator-associated pneumonia in intensive care units: Overview of systematic reviews. Int J Dent Hygiene. </w:t>
      </w:r>
      <w:proofErr w:type="gramStart"/>
      <w:r w:rsidRPr="00CD0FCD">
        <w:t>2018;16:441</w:t>
      </w:r>
      <w:proofErr w:type="gramEnd"/>
      <w:r w:rsidRPr="00CD0FCD">
        <w:t xml:space="preserve">-449. https://doi.org/10.1111/idh.12336 </w:t>
      </w:r>
    </w:p>
    <w:p w14:paraId="4E3ED89D" w14:textId="77777777" w:rsidR="00894F67" w:rsidRPr="00CD0FCD" w:rsidRDefault="00894F67" w:rsidP="00894F67">
      <w:pPr>
        <w:pStyle w:val="Body"/>
        <w:numPr>
          <w:ilvl w:val="0"/>
          <w:numId w:val="35"/>
        </w:numPr>
        <w:spacing w:after="0"/>
      </w:pPr>
      <w:r w:rsidRPr="00CD0FCD">
        <w:t xml:space="preserve">de Camargo L, da Silva SN, </w:t>
      </w:r>
      <w:proofErr w:type="spellStart"/>
      <w:r w:rsidRPr="00CD0FCD">
        <w:t>Chambrone</w:t>
      </w:r>
      <w:proofErr w:type="spellEnd"/>
      <w:r w:rsidRPr="00CD0FCD">
        <w:t xml:space="preserve"> L. Efficacy of toothbrushing procedures performed in intensive care units in reducing the risk of ventilator-associated pneumonia: A systematic review. J </w:t>
      </w:r>
      <w:proofErr w:type="spellStart"/>
      <w:r w:rsidRPr="00CD0FCD">
        <w:t>Periodont</w:t>
      </w:r>
      <w:proofErr w:type="spellEnd"/>
      <w:r w:rsidRPr="00CD0FCD">
        <w:t xml:space="preserve"> Res. </w:t>
      </w:r>
      <w:proofErr w:type="gramStart"/>
      <w:r w:rsidRPr="00CD0FCD">
        <w:t>2019;54:589</w:t>
      </w:r>
      <w:proofErr w:type="gramEnd"/>
      <w:r w:rsidRPr="00CD0FCD">
        <w:t>-611. https://doi.org/10.1111/jre.12668</w:t>
      </w:r>
    </w:p>
    <w:p w14:paraId="5C08CE4F" w14:textId="77777777" w:rsidR="00894F67" w:rsidRPr="00CD0FCD" w:rsidRDefault="00894F67" w:rsidP="00894F67">
      <w:pPr>
        <w:pStyle w:val="Body"/>
        <w:numPr>
          <w:ilvl w:val="0"/>
          <w:numId w:val="35"/>
        </w:numPr>
        <w:spacing w:after="0"/>
        <w:rPr>
          <w:lang w:val="it-IT"/>
        </w:rPr>
      </w:pPr>
      <w:r w:rsidRPr="00CD0FCD">
        <w:rPr>
          <w:lang w:val="pt-BR"/>
        </w:rPr>
        <w:lastRenderedPageBreak/>
        <w:t xml:space="preserve">Lotufo RFM, Pannuti CM. Efeitos diretos dos patógenos bucais nas condições sistêmicas. </w:t>
      </w:r>
      <w:r w:rsidRPr="00CD0FCD">
        <w:rPr>
          <w:lang w:val="it-IT"/>
        </w:rPr>
        <w:t>In: Brunetti MC, ed. Periodontia Médica. São Paulo: SENAC; 2004. p. 42-57.</w:t>
      </w:r>
    </w:p>
    <w:p w14:paraId="58DF8D48" w14:textId="77777777" w:rsidR="00B01FCD" w:rsidRPr="008420E4" w:rsidRDefault="000A47FA" w:rsidP="00894F67">
      <w:pPr>
        <w:pStyle w:val="Body"/>
        <w:spacing w:after="0"/>
        <w:rPr>
          <w:rFonts w:ascii="Arial" w:hAnsi="Arial" w:cs="Arial"/>
          <w:lang w:val="pt-BR"/>
        </w:rPr>
      </w:pPr>
      <w:r w:rsidRPr="008420E4">
        <w:rPr>
          <w:lang w:val="pt-BR"/>
        </w:rPr>
        <w:t xml:space="preserve"> </w:t>
      </w:r>
    </w:p>
    <w:p w14:paraId="133BE22B" w14:textId="77777777" w:rsidR="00790ADA" w:rsidRPr="008420E4" w:rsidRDefault="00790ADA" w:rsidP="00441B6F">
      <w:pPr>
        <w:pStyle w:val="Body"/>
        <w:spacing w:after="0"/>
        <w:rPr>
          <w:rFonts w:ascii="Arial" w:hAnsi="Arial" w:cs="Arial"/>
          <w:lang w:val="pt-BR"/>
        </w:rPr>
      </w:pPr>
    </w:p>
    <w:p w14:paraId="7B604B62" w14:textId="77777777" w:rsidR="004D4277" w:rsidRPr="008420E4" w:rsidRDefault="004D4277" w:rsidP="00441B6F">
      <w:pPr>
        <w:pStyle w:val="Appendix"/>
        <w:spacing w:after="0"/>
        <w:jc w:val="both"/>
        <w:rPr>
          <w:rFonts w:ascii="Arial" w:hAnsi="Arial" w:cs="Arial"/>
          <w:b w:val="0"/>
          <w:lang w:val="pt-BR"/>
        </w:rPr>
        <w:sectPr w:rsidR="004D4277" w:rsidRPr="008420E4" w:rsidSect="00D1785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3838DE8C" w14:textId="77777777" w:rsidR="00B01FCD" w:rsidRPr="008420E4" w:rsidRDefault="00B01FCD" w:rsidP="00441B6F">
      <w:pPr>
        <w:pStyle w:val="Appendix"/>
        <w:spacing w:after="0"/>
        <w:jc w:val="both"/>
        <w:rPr>
          <w:rFonts w:ascii="Arial" w:hAnsi="Arial" w:cs="Arial"/>
          <w:b w:val="0"/>
          <w:lang w:val="pt-BR"/>
        </w:rPr>
      </w:pPr>
    </w:p>
    <w:sectPr w:rsidR="00B01FCD" w:rsidRPr="008420E4" w:rsidSect="00D178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4BA1" w14:textId="77777777" w:rsidR="0059297E" w:rsidRDefault="0059297E" w:rsidP="00C37E61">
      <w:r>
        <w:separator/>
      </w:r>
    </w:p>
  </w:endnote>
  <w:endnote w:type="continuationSeparator" w:id="0">
    <w:p w14:paraId="52316399" w14:textId="77777777" w:rsidR="0059297E" w:rsidRDefault="005929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041A" w14:textId="77777777" w:rsidR="00D1785C" w:rsidRDefault="00D17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DE00" w14:textId="69258349" w:rsidR="00C37E61" w:rsidRPr="00CA3A7C" w:rsidRDefault="005E13B6" w:rsidP="00CA3A7C">
    <w:pPr>
      <w:pStyle w:val="Footer"/>
    </w:pPr>
    <w:r w:rsidRPr="00CA3A7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71EC" w14:textId="77777777" w:rsidR="009E048A" w:rsidRDefault="009E048A">
    <w:pPr>
      <w:pStyle w:val="Footer"/>
      <w:rPr>
        <w:rFonts w:ascii="Arial" w:hAnsi="Arial" w:cs="Arial"/>
        <w:sz w:val="16"/>
      </w:rPr>
    </w:pPr>
  </w:p>
  <w:p w14:paraId="7720244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1CA4D1" w14:textId="77777777" w:rsidR="009E048A" w:rsidRDefault="009E048A">
    <w:pPr>
      <w:pStyle w:val="Footer"/>
      <w:rPr>
        <w:rFonts w:ascii="Arial" w:hAnsi="Arial" w:cs="Arial"/>
        <w:sz w:val="16"/>
      </w:rPr>
    </w:pPr>
  </w:p>
  <w:p w14:paraId="10EBA4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419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8BC05" w14:textId="77777777" w:rsidR="0059297E" w:rsidRDefault="0059297E" w:rsidP="00C37E61">
      <w:r>
        <w:separator/>
      </w:r>
    </w:p>
  </w:footnote>
  <w:footnote w:type="continuationSeparator" w:id="0">
    <w:p w14:paraId="768DBBC5" w14:textId="77777777" w:rsidR="0059297E" w:rsidRDefault="005929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0807" w14:textId="0FBCAA77" w:rsidR="00D1785C" w:rsidRDefault="00D1785C">
    <w:pPr>
      <w:pStyle w:val="Header"/>
    </w:pPr>
    <w:r>
      <w:rPr>
        <w:noProof/>
      </w:rPr>
      <w:pict w14:anchorId="1991F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E11B" w14:textId="3F0EC3D0" w:rsidR="00D1785C" w:rsidRDefault="00D1785C">
    <w:pPr>
      <w:pStyle w:val="Header"/>
    </w:pPr>
    <w:r>
      <w:rPr>
        <w:noProof/>
      </w:rPr>
      <w:pict w14:anchorId="58689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B9EB" w14:textId="157DF83E" w:rsidR="00296529" w:rsidRPr="00296529" w:rsidRDefault="00D1785C" w:rsidP="00296529">
    <w:pPr>
      <w:ind w:left="2160"/>
      <w:jc w:val="center"/>
      <w:rPr>
        <w:rFonts w:ascii="Times New Roman" w:eastAsia="Calibri" w:hAnsi="Times New Roman"/>
        <w:i/>
        <w:sz w:val="18"/>
        <w:szCs w:val="22"/>
      </w:rPr>
    </w:pPr>
    <w:r>
      <w:rPr>
        <w:noProof/>
      </w:rPr>
      <w:pict w14:anchorId="24636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1335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F294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3379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D74D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B310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96CF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0D58" w14:textId="57406EDF" w:rsidR="00D1785C" w:rsidRDefault="00D1785C">
    <w:pPr>
      <w:pStyle w:val="Header"/>
    </w:pPr>
    <w:r>
      <w:rPr>
        <w:noProof/>
      </w:rPr>
      <w:pict w14:anchorId="54CCF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2B70" w14:textId="25CFBC94" w:rsidR="00D1785C" w:rsidRDefault="00D1785C">
    <w:pPr>
      <w:pStyle w:val="Header"/>
    </w:pPr>
    <w:r>
      <w:rPr>
        <w:noProof/>
      </w:rPr>
      <w:pict w14:anchorId="4D9D4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5BC2" w14:textId="4B7FA87C" w:rsidR="00D1785C" w:rsidRDefault="00D1785C">
    <w:pPr>
      <w:pStyle w:val="Header"/>
    </w:pPr>
    <w:r>
      <w:rPr>
        <w:noProof/>
      </w:rPr>
      <w:pict w14:anchorId="7FF74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F11A7F"/>
    <w:multiLevelType w:val="hybridMultilevel"/>
    <w:tmpl w:val="58C62A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5D3718"/>
    <w:multiLevelType w:val="hybridMultilevel"/>
    <w:tmpl w:val="B32E80F2"/>
    <w:lvl w:ilvl="0" w:tplc="58EAA188">
      <w:start w:val="1"/>
      <w:numFmt w:val="bullet"/>
      <w:lvlText w:val=""/>
      <w:lvlJc w:val="left"/>
      <w:pPr>
        <w:ind w:left="360" w:hanging="360"/>
      </w:pPr>
      <w:rPr>
        <w:rFonts w:ascii="Symbol" w:hAnsi="Symbol"/>
      </w:rPr>
    </w:lvl>
    <w:lvl w:ilvl="1" w:tplc="8FEA7378">
      <w:start w:val="1"/>
      <w:numFmt w:val="bullet"/>
      <w:lvlText w:val=""/>
      <w:lvlJc w:val="left"/>
      <w:pPr>
        <w:ind w:left="360" w:hanging="360"/>
      </w:pPr>
      <w:rPr>
        <w:rFonts w:ascii="Symbol" w:hAnsi="Symbol"/>
      </w:rPr>
    </w:lvl>
    <w:lvl w:ilvl="2" w:tplc="4F08753A">
      <w:start w:val="1"/>
      <w:numFmt w:val="bullet"/>
      <w:lvlText w:val=""/>
      <w:lvlJc w:val="left"/>
      <w:pPr>
        <w:ind w:left="360" w:hanging="360"/>
      </w:pPr>
      <w:rPr>
        <w:rFonts w:ascii="Symbol" w:hAnsi="Symbol"/>
      </w:rPr>
    </w:lvl>
    <w:lvl w:ilvl="3" w:tplc="B5621A80">
      <w:start w:val="1"/>
      <w:numFmt w:val="bullet"/>
      <w:lvlText w:val=""/>
      <w:lvlJc w:val="left"/>
      <w:pPr>
        <w:ind w:left="360" w:hanging="360"/>
      </w:pPr>
      <w:rPr>
        <w:rFonts w:ascii="Symbol" w:hAnsi="Symbol"/>
      </w:rPr>
    </w:lvl>
    <w:lvl w:ilvl="4" w:tplc="DFE6F99C">
      <w:start w:val="1"/>
      <w:numFmt w:val="bullet"/>
      <w:lvlText w:val=""/>
      <w:lvlJc w:val="left"/>
      <w:pPr>
        <w:ind w:left="360" w:hanging="360"/>
      </w:pPr>
      <w:rPr>
        <w:rFonts w:ascii="Symbol" w:hAnsi="Symbol"/>
      </w:rPr>
    </w:lvl>
    <w:lvl w:ilvl="5" w:tplc="9E78E204">
      <w:start w:val="1"/>
      <w:numFmt w:val="bullet"/>
      <w:lvlText w:val=""/>
      <w:lvlJc w:val="left"/>
      <w:pPr>
        <w:ind w:left="360" w:hanging="360"/>
      </w:pPr>
      <w:rPr>
        <w:rFonts w:ascii="Symbol" w:hAnsi="Symbol"/>
      </w:rPr>
    </w:lvl>
    <w:lvl w:ilvl="6" w:tplc="570A8AC4">
      <w:start w:val="1"/>
      <w:numFmt w:val="bullet"/>
      <w:lvlText w:val=""/>
      <w:lvlJc w:val="left"/>
      <w:pPr>
        <w:ind w:left="360" w:hanging="360"/>
      </w:pPr>
      <w:rPr>
        <w:rFonts w:ascii="Symbol" w:hAnsi="Symbol"/>
      </w:rPr>
    </w:lvl>
    <w:lvl w:ilvl="7" w:tplc="F754D2BE">
      <w:start w:val="1"/>
      <w:numFmt w:val="bullet"/>
      <w:lvlText w:val=""/>
      <w:lvlJc w:val="left"/>
      <w:pPr>
        <w:ind w:left="360" w:hanging="360"/>
      </w:pPr>
      <w:rPr>
        <w:rFonts w:ascii="Symbol" w:hAnsi="Symbol"/>
      </w:rPr>
    </w:lvl>
    <w:lvl w:ilvl="8" w:tplc="6D70EA4C">
      <w:start w:val="1"/>
      <w:numFmt w:val="bullet"/>
      <w:lvlText w:val=""/>
      <w:lvlJc w:val="left"/>
      <w:pPr>
        <w:ind w:left="360" w:hanging="360"/>
      </w:pPr>
      <w:rPr>
        <w:rFonts w:ascii="Symbol" w:hAnsi="Symbol"/>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D76F6"/>
    <w:multiLevelType w:val="hybridMultilevel"/>
    <w:tmpl w:val="09E01F56"/>
    <w:lvl w:ilvl="0" w:tplc="A42477AC">
      <w:start w:val="1"/>
      <w:numFmt w:val="bullet"/>
      <w:lvlText w:val=""/>
      <w:lvlJc w:val="left"/>
      <w:pPr>
        <w:ind w:left="360" w:hanging="360"/>
      </w:pPr>
      <w:rPr>
        <w:rFonts w:ascii="Symbol" w:hAnsi="Symbol"/>
      </w:rPr>
    </w:lvl>
    <w:lvl w:ilvl="1" w:tplc="946A3D94">
      <w:start w:val="1"/>
      <w:numFmt w:val="bullet"/>
      <w:lvlText w:val=""/>
      <w:lvlJc w:val="left"/>
      <w:pPr>
        <w:ind w:left="360" w:hanging="360"/>
      </w:pPr>
      <w:rPr>
        <w:rFonts w:ascii="Symbol" w:hAnsi="Symbol"/>
      </w:rPr>
    </w:lvl>
    <w:lvl w:ilvl="2" w:tplc="DBE22BDE">
      <w:start w:val="1"/>
      <w:numFmt w:val="bullet"/>
      <w:lvlText w:val=""/>
      <w:lvlJc w:val="left"/>
      <w:pPr>
        <w:ind w:left="360" w:hanging="360"/>
      </w:pPr>
      <w:rPr>
        <w:rFonts w:ascii="Symbol" w:hAnsi="Symbol"/>
      </w:rPr>
    </w:lvl>
    <w:lvl w:ilvl="3" w:tplc="3C086EFE">
      <w:start w:val="1"/>
      <w:numFmt w:val="bullet"/>
      <w:lvlText w:val=""/>
      <w:lvlJc w:val="left"/>
      <w:pPr>
        <w:ind w:left="360" w:hanging="360"/>
      </w:pPr>
      <w:rPr>
        <w:rFonts w:ascii="Symbol" w:hAnsi="Symbol"/>
      </w:rPr>
    </w:lvl>
    <w:lvl w:ilvl="4" w:tplc="80BAC4B2">
      <w:start w:val="1"/>
      <w:numFmt w:val="bullet"/>
      <w:lvlText w:val=""/>
      <w:lvlJc w:val="left"/>
      <w:pPr>
        <w:ind w:left="360" w:hanging="360"/>
      </w:pPr>
      <w:rPr>
        <w:rFonts w:ascii="Symbol" w:hAnsi="Symbol"/>
      </w:rPr>
    </w:lvl>
    <w:lvl w:ilvl="5" w:tplc="55D2E036">
      <w:start w:val="1"/>
      <w:numFmt w:val="bullet"/>
      <w:lvlText w:val=""/>
      <w:lvlJc w:val="left"/>
      <w:pPr>
        <w:ind w:left="360" w:hanging="360"/>
      </w:pPr>
      <w:rPr>
        <w:rFonts w:ascii="Symbol" w:hAnsi="Symbol"/>
      </w:rPr>
    </w:lvl>
    <w:lvl w:ilvl="6" w:tplc="FD3A588C">
      <w:start w:val="1"/>
      <w:numFmt w:val="bullet"/>
      <w:lvlText w:val=""/>
      <w:lvlJc w:val="left"/>
      <w:pPr>
        <w:ind w:left="360" w:hanging="360"/>
      </w:pPr>
      <w:rPr>
        <w:rFonts w:ascii="Symbol" w:hAnsi="Symbol"/>
      </w:rPr>
    </w:lvl>
    <w:lvl w:ilvl="7" w:tplc="564C0734">
      <w:start w:val="1"/>
      <w:numFmt w:val="bullet"/>
      <w:lvlText w:val=""/>
      <w:lvlJc w:val="left"/>
      <w:pPr>
        <w:ind w:left="360" w:hanging="360"/>
      </w:pPr>
      <w:rPr>
        <w:rFonts w:ascii="Symbol" w:hAnsi="Symbol"/>
      </w:rPr>
    </w:lvl>
    <w:lvl w:ilvl="8" w:tplc="932C9508">
      <w:start w:val="1"/>
      <w:numFmt w:val="bullet"/>
      <w:lvlText w:val=""/>
      <w:lvlJc w:val="left"/>
      <w:pPr>
        <w:ind w:left="360" w:hanging="360"/>
      </w:pPr>
      <w:rPr>
        <w:rFonts w:ascii="Symbol" w:hAnsi="Symbol"/>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0E4541C"/>
    <w:multiLevelType w:val="hybridMultilevel"/>
    <w:tmpl w:val="A7B411FE"/>
    <w:lvl w:ilvl="0" w:tplc="A2B448F8">
      <w:start w:val="1"/>
      <w:numFmt w:val="decimal"/>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961968"/>
    <w:multiLevelType w:val="hybridMultilevel"/>
    <w:tmpl w:val="ABC65168"/>
    <w:lvl w:ilvl="0" w:tplc="1B4A3D28">
      <w:start w:val="1"/>
      <w:numFmt w:val="decimal"/>
      <w:lvlText w:val="%1."/>
      <w:lvlJc w:val="left"/>
      <w:pPr>
        <w:ind w:left="360" w:hanging="360"/>
      </w:pPr>
      <w:rPr>
        <w:rFonts w:hint="default"/>
      </w:rPr>
    </w:lvl>
    <w:lvl w:ilvl="1" w:tplc="04160019">
      <w:start w:val="1"/>
      <w:numFmt w:val="lowerLetter"/>
      <w:lvlText w:val="%2."/>
      <w:lvlJc w:val="left"/>
      <w:pPr>
        <w:tabs>
          <w:tab w:val="num" w:pos="1011"/>
        </w:tabs>
        <w:ind w:left="1011" w:hanging="360"/>
      </w:pPr>
    </w:lvl>
    <w:lvl w:ilvl="2" w:tplc="0416001B">
      <w:start w:val="1"/>
      <w:numFmt w:val="lowerRoman"/>
      <w:lvlText w:val="%3."/>
      <w:lvlJc w:val="right"/>
      <w:pPr>
        <w:tabs>
          <w:tab w:val="num" w:pos="1731"/>
        </w:tabs>
        <w:ind w:left="1731" w:hanging="180"/>
      </w:pPr>
    </w:lvl>
    <w:lvl w:ilvl="3" w:tplc="0416000F">
      <w:start w:val="1"/>
      <w:numFmt w:val="decimal"/>
      <w:lvlText w:val="%4."/>
      <w:lvlJc w:val="left"/>
      <w:pPr>
        <w:tabs>
          <w:tab w:val="num" w:pos="2451"/>
        </w:tabs>
        <w:ind w:left="2451" w:hanging="360"/>
      </w:pPr>
    </w:lvl>
    <w:lvl w:ilvl="4" w:tplc="04160019">
      <w:start w:val="1"/>
      <w:numFmt w:val="lowerLetter"/>
      <w:lvlText w:val="%5."/>
      <w:lvlJc w:val="left"/>
      <w:pPr>
        <w:tabs>
          <w:tab w:val="num" w:pos="3171"/>
        </w:tabs>
        <w:ind w:left="3171" w:hanging="360"/>
      </w:pPr>
    </w:lvl>
    <w:lvl w:ilvl="5" w:tplc="0416001B">
      <w:start w:val="1"/>
      <w:numFmt w:val="lowerRoman"/>
      <w:lvlText w:val="%6."/>
      <w:lvlJc w:val="right"/>
      <w:pPr>
        <w:tabs>
          <w:tab w:val="num" w:pos="3891"/>
        </w:tabs>
        <w:ind w:left="3891" w:hanging="180"/>
      </w:pPr>
    </w:lvl>
    <w:lvl w:ilvl="6" w:tplc="0416000F">
      <w:start w:val="1"/>
      <w:numFmt w:val="decimal"/>
      <w:lvlText w:val="%7."/>
      <w:lvlJc w:val="left"/>
      <w:pPr>
        <w:tabs>
          <w:tab w:val="num" w:pos="4611"/>
        </w:tabs>
        <w:ind w:left="4611" w:hanging="360"/>
      </w:pPr>
    </w:lvl>
    <w:lvl w:ilvl="7" w:tplc="04160019">
      <w:start w:val="1"/>
      <w:numFmt w:val="lowerLetter"/>
      <w:lvlText w:val="%8."/>
      <w:lvlJc w:val="left"/>
      <w:pPr>
        <w:tabs>
          <w:tab w:val="num" w:pos="5331"/>
        </w:tabs>
        <w:ind w:left="5331" w:hanging="360"/>
      </w:pPr>
    </w:lvl>
    <w:lvl w:ilvl="8" w:tplc="0416001B">
      <w:start w:val="1"/>
      <w:numFmt w:val="lowerRoman"/>
      <w:lvlText w:val="%9."/>
      <w:lvlJc w:val="right"/>
      <w:pPr>
        <w:tabs>
          <w:tab w:val="num" w:pos="6051"/>
        </w:tabs>
        <w:ind w:left="6051"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21"/>
  </w:num>
  <w:num w:numId="32">
    <w:abstractNumId w:val="13"/>
  </w:num>
  <w:num w:numId="33">
    <w:abstractNumId w:val="19"/>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A7F26"/>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10C"/>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B11"/>
    <w:rsid w:val="004F4BB0"/>
    <w:rsid w:val="00502516"/>
    <w:rsid w:val="00505F06"/>
    <w:rsid w:val="00506828"/>
    <w:rsid w:val="0053056E"/>
    <w:rsid w:val="0054408F"/>
    <w:rsid w:val="00554FDA"/>
    <w:rsid w:val="0059297E"/>
    <w:rsid w:val="005C784C"/>
    <w:rsid w:val="005D17F6"/>
    <w:rsid w:val="005E13B6"/>
    <w:rsid w:val="005E5539"/>
    <w:rsid w:val="00602BF5"/>
    <w:rsid w:val="00617FDD"/>
    <w:rsid w:val="00633614"/>
    <w:rsid w:val="00633F68"/>
    <w:rsid w:val="00636EB2"/>
    <w:rsid w:val="006375B8"/>
    <w:rsid w:val="00664C4A"/>
    <w:rsid w:val="0066510A"/>
    <w:rsid w:val="00673F9F"/>
    <w:rsid w:val="00686953"/>
    <w:rsid w:val="00687DEA"/>
    <w:rsid w:val="00687E67"/>
    <w:rsid w:val="006967F7"/>
    <w:rsid w:val="006A250C"/>
    <w:rsid w:val="006B21D3"/>
    <w:rsid w:val="006B57D0"/>
    <w:rsid w:val="006D30FF"/>
    <w:rsid w:val="006D6940"/>
    <w:rsid w:val="006F11EC"/>
    <w:rsid w:val="006F1817"/>
    <w:rsid w:val="0070082C"/>
    <w:rsid w:val="007369E6"/>
    <w:rsid w:val="00746E59"/>
    <w:rsid w:val="00754C9A"/>
    <w:rsid w:val="0075599A"/>
    <w:rsid w:val="00761D52"/>
    <w:rsid w:val="0077072A"/>
    <w:rsid w:val="0077749E"/>
    <w:rsid w:val="00790ADA"/>
    <w:rsid w:val="007D2288"/>
    <w:rsid w:val="007E088F"/>
    <w:rsid w:val="007E74EA"/>
    <w:rsid w:val="007F7B32"/>
    <w:rsid w:val="00804BC2"/>
    <w:rsid w:val="0081431A"/>
    <w:rsid w:val="0083216F"/>
    <w:rsid w:val="008420E4"/>
    <w:rsid w:val="00860000"/>
    <w:rsid w:val="00863BD3"/>
    <w:rsid w:val="008641ED"/>
    <w:rsid w:val="00866D66"/>
    <w:rsid w:val="008671C6"/>
    <w:rsid w:val="00875803"/>
    <w:rsid w:val="00894F67"/>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2C67"/>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B89"/>
    <w:rsid w:val="00C37E61"/>
    <w:rsid w:val="00C70F1B"/>
    <w:rsid w:val="00C71A47"/>
    <w:rsid w:val="00C7464C"/>
    <w:rsid w:val="00C85588"/>
    <w:rsid w:val="00CA3A7C"/>
    <w:rsid w:val="00CD0FCD"/>
    <w:rsid w:val="00CD6755"/>
    <w:rsid w:val="00CD6856"/>
    <w:rsid w:val="00CE0089"/>
    <w:rsid w:val="00CE793C"/>
    <w:rsid w:val="00CF193C"/>
    <w:rsid w:val="00D173F1"/>
    <w:rsid w:val="00D1785C"/>
    <w:rsid w:val="00D74CB0"/>
    <w:rsid w:val="00D8295D"/>
    <w:rsid w:val="00DB6ED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FACA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E13B6"/>
    <w:pPr>
      <w:ind w:left="720"/>
      <w:contextualSpacing/>
    </w:pPr>
    <w:rPr>
      <w:rFonts w:asciiTheme="minorHAnsi" w:eastAsiaTheme="minorHAnsi" w:hAnsiTheme="minorHAnsi" w:cstheme="minorBidi"/>
      <w:kern w:val="2"/>
      <w:sz w:val="24"/>
      <w:szCs w:val="24"/>
      <w:lang w:val="pt-BR"/>
    </w:rPr>
  </w:style>
  <w:style w:type="table" w:customStyle="1" w:styleId="Tabelacomgrade1">
    <w:name w:val="Tabela com grade1"/>
    <w:basedOn w:val="TableNormal"/>
    <w:next w:val="TableGrid"/>
    <w:uiPriority w:val="39"/>
    <w:rsid w:val="00DB6EDB"/>
    <w:rPr>
      <w:rFonts w:ascii="Calibri" w:eastAsia="Calibri" w:hAnsi="Calibri"/>
      <w:kern w:val="2"/>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leNormal"/>
    <w:next w:val="TableGrid"/>
    <w:uiPriority w:val="39"/>
    <w:rsid w:val="00DB6EDB"/>
    <w:rPr>
      <w:rFonts w:ascii="Calibri" w:eastAsia="Calibri" w:hAnsi="Calibri"/>
      <w:kern w:val="2"/>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3141-38F8-4F48-8F9F-2C5CE57B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11</Pages>
  <Words>3941</Words>
  <Characters>22469</Characters>
  <Application>Microsoft Office Word</Application>
  <DocSecurity>0</DocSecurity>
  <Lines>187</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26358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2025-11-12T12:35:00Z</dcterms:modified>
</cp:coreProperties>
</file>