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50D0C" w14:textId="77777777" w:rsidR="009960F9" w:rsidRDefault="009960F9" w:rsidP="00612B51">
      <w:pPr>
        <w:jc w:val="center"/>
        <w:rPr>
          <w:rFonts w:ascii="Times New Roman" w:hAnsi="Times New Roman" w:cs="Times New Roman"/>
          <w:b/>
          <w:bCs/>
          <w:sz w:val="20"/>
          <w:szCs w:val="20"/>
        </w:rPr>
      </w:pPr>
      <w:bookmarkStart w:id="0" w:name="_Hlk213756905"/>
    </w:p>
    <w:p w14:paraId="40114A33" w14:textId="77777777" w:rsidR="009960F9" w:rsidRDefault="009960F9" w:rsidP="00612B51">
      <w:pPr>
        <w:jc w:val="center"/>
        <w:rPr>
          <w:rFonts w:ascii="Times New Roman" w:hAnsi="Times New Roman" w:cs="Times New Roman"/>
          <w:b/>
          <w:bCs/>
          <w:sz w:val="20"/>
          <w:szCs w:val="20"/>
        </w:rPr>
      </w:pPr>
    </w:p>
    <w:p w14:paraId="6A0833D1" w14:textId="1EB27A7A" w:rsidR="00695527" w:rsidRPr="00DA4677" w:rsidRDefault="00C92CF8" w:rsidP="00612B51">
      <w:pPr>
        <w:jc w:val="center"/>
        <w:rPr>
          <w:rFonts w:ascii="Times New Roman" w:hAnsi="Times New Roman" w:cs="Times New Roman"/>
          <w:b/>
          <w:bCs/>
          <w:sz w:val="20"/>
          <w:szCs w:val="20"/>
        </w:rPr>
      </w:pPr>
      <w:bookmarkStart w:id="1" w:name="_Hlk214702087"/>
      <w:r w:rsidRPr="00DA4677">
        <w:rPr>
          <w:rFonts w:ascii="Times New Roman" w:hAnsi="Times New Roman" w:cs="Times New Roman"/>
          <w:b/>
          <w:bCs/>
          <w:sz w:val="20"/>
          <w:szCs w:val="20"/>
        </w:rPr>
        <w:t>Nonlinear Cox Survival Modeling of Prostate Cancer with SHAP-Based Explainability</w:t>
      </w:r>
    </w:p>
    <w:bookmarkEnd w:id="1"/>
    <w:p w14:paraId="3DE59058" w14:textId="77777777" w:rsidR="002044D1" w:rsidRDefault="002044D1" w:rsidP="00612B51">
      <w:pPr>
        <w:spacing w:before="100" w:beforeAutospacing="1" w:after="100" w:afterAutospacing="1" w:line="240" w:lineRule="auto"/>
        <w:outlineLvl w:val="2"/>
        <w:rPr>
          <w:rFonts w:ascii="Times New Roman" w:eastAsia="Times New Roman" w:hAnsi="Times New Roman" w:cs="Times New Roman"/>
          <w:b/>
          <w:bCs/>
          <w:kern w:val="0"/>
          <w:sz w:val="20"/>
          <w:szCs w:val="20"/>
          <w:lang w:eastAsia=""/>
          <w14:ligatures w14:val="none"/>
        </w:rPr>
      </w:pPr>
    </w:p>
    <w:p w14:paraId="641F7C13" w14:textId="2C5116D4" w:rsidR="00612B51" w:rsidRPr="00DA4677" w:rsidRDefault="00C92CF8" w:rsidP="00612B51">
      <w:pPr>
        <w:spacing w:before="100" w:beforeAutospacing="1" w:after="100" w:afterAutospacing="1" w:line="240" w:lineRule="auto"/>
        <w:outlineLvl w:val="2"/>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Abstract</w:t>
      </w:r>
    </w:p>
    <w:p w14:paraId="26E7DF30" w14:textId="77777777" w:rsidR="00612B51" w:rsidRPr="00DA4677" w:rsidRDefault="00C92CF8" w:rsidP="00612B51">
      <w:pPr>
        <w:spacing w:before="100" w:beforeAutospacing="1" w:after="100" w:afterAutospacing="1" w:line="240" w:lineRule="auto"/>
        <w:jc w:val="both"/>
        <w:rPr>
          <w:rFonts w:ascii="Times New Roman" w:eastAsia="Times New Roman" w:hAnsi="Times New Roman" w:cs="Times New Roman"/>
          <w:b/>
          <w:bCs/>
          <w:kern w:val="0"/>
          <w:sz w:val="20"/>
          <w:szCs w:val="20"/>
          <w:lang w:eastAsia=""/>
          <w14:ligatures w14:val="none"/>
        </w:rPr>
      </w:pPr>
      <w:r w:rsidRPr="00DA4677">
        <w:rPr>
          <w:rFonts w:ascii="Times New Roman" w:hAnsi="Times New Roman" w:cs="Times New Roman"/>
          <w:b/>
          <w:bCs/>
          <w:sz w:val="20"/>
          <w:szCs w:val="20"/>
        </w:rPr>
        <w:t>Background</w:t>
      </w:r>
      <w:r w:rsidRPr="00DA4677">
        <w:rPr>
          <w:rFonts w:ascii="Times New Roman" w:hAnsi="Times New Roman" w:cs="Times New Roman"/>
          <w:sz w:val="20"/>
          <w:szCs w:val="20"/>
        </w:rPr>
        <w:t xml:space="preserve">: Prostate cancer </w:t>
      </w:r>
      <w:r w:rsidRPr="00DA4677">
        <w:rPr>
          <w:rFonts w:ascii="Times New Roman" w:eastAsia="Calibri" w:hAnsi="Times New Roman" w:cs="Times New Roman"/>
          <w:sz w:val="20"/>
          <w:szCs w:val="20"/>
        </w:rPr>
        <w:t>is</w:t>
      </w:r>
      <w:r w:rsidRPr="00DA4677">
        <w:rPr>
          <w:rFonts w:ascii="Times New Roman" w:hAnsi="Times New Roman" w:cs="Times New Roman"/>
          <w:sz w:val="20"/>
          <w:szCs w:val="20"/>
        </w:rPr>
        <w:t xml:space="preserve"> a leading cause of cancer-related morbidity and mortality among Ghanaian men, with a predominance of advanced-stage presentations attributable to limited screening and delayed diagnosis. Traditional Cox proportional hazards models commonly presuppose line</w:t>
      </w:r>
      <w:r w:rsidRPr="00DA4677">
        <w:rPr>
          <w:rFonts w:ascii="Times New Roman" w:hAnsi="Times New Roman" w:cs="Times New Roman"/>
          <w:sz w:val="20"/>
          <w:szCs w:val="20"/>
        </w:rPr>
        <w:t>ar relationships and may inadequately capture intricate biological patterns. This study employed a Cox proportional hazards framework augmented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xml:space="preserve">) and </w:t>
      </w:r>
      <w:r w:rsidRPr="00DA4677">
        <w:rPr>
          <w:rFonts w:ascii="Times New Roman" w:eastAsia="Calibri" w:hAnsi="Times New Roman" w:cs="Times New Roman"/>
          <w:sz w:val="20"/>
          <w:szCs w:val="20"/>
        </w:rPr>
        <w:t>SHAPs</w:t>
      </w:r>
      <w:r w:rsidRPr="00DA4677">
        <w:rPr>
          <w:rFonts w:ascii="Times New Roman" w:hAnsi="Times New Roman" w:cs="Times New Roman"/>
          <w:sz w:val="20"/>
          <w:szCs w:val="20"/>
        </w:rPr>
        <w:t xml:space="preserve"> (</w:t>
      </w:r>
      <w:proofErr w:type="spellStart"/>
      <w:r w:rsidRPr="00DA4677">
        <w:rPr>
          <w:rFonts w:ascii="Times New Roman" w:hAnsi="Times New Roman" w:cs="Times New Roman"/>
          <w:sz w:val="20"/>
          <w:szCs w:val="20"/>
        </w:rPr>
        <w:t>SHapley</w:t>
      </w:r>
      <w:proofErr w:type="spellEnd"/>
      <w:r w:rsidRPr="00DA4677">
        <w:rPr>
          <w:rFonts w:ascii="Times New Roman" w:hAnsi="Times New Roman" w:cs="Times New Roman"/>
          <w:sz w:val="20"/>
          <w:szCs w:val="20"/>
        </w:rPr>
        <w:t xml:space="preserve"> Additive </w:t>
      </w:r>
      <w:proofErr w:type="spellStart"/>
      <w:r w:rsidRPr="00DA4677">
        <w:rPr>
          <w:rFonts w:ascii="Times New Roman" w:hAnsi="Times New Roman" w:cs="Times New Roman"/>
          <w:sz w:val="20"/>
          <w:szCs w:val="20"/>
        </w:rPr>
        <w:t>exPlanations</w:t>
      </w:r>
      <w:proofErr w:type="spellEnd"/>
      <w:r w:rsidRPr="00DA4677">
        <w:rPr>
          <w:rFonts w:ascii="Times New Roman" w:hAnsi="Times New Roman" w:cs="Times New Roman"/>
          <w:sz w:val="20"/>
          <w:szCs w:val="20"/>
        </w:rPr>
        <w:t>) to elucidate nonlinear and indivi</w:t>
      </w:r>
      <w:r w:rsidRPr="00DA4677">
        <w:rPr>
          <w:rFonts w:ascii="Times New Roman" w:hAnsi="Times New Roman" w:cs="Times New Roman"/>
          <w:sz w:val="20"/>
          <w:szCs w:val="20"/>
        </w:rPr>
        <w:t>dualized determinants of prostate cancer survival.</w:t>
      </w:r>
    </w:p>
    <w:p w14:paraId="2869F8B3" w14:textId="77777777" w:rsidR="00612B51" w:rsidRPr="00DA4677" w:rsidRDefault="00C92CF8" w:rsidP="00612B51">
      <w:pPr>
        <w:spacing w:before="100" w:beforeAutospacing="1" w:after="100" w:afterAutospacing="1" w:line="240" w:lineRule="auto"/>
        <w:jc w:val="both"/>
        <w:rPr>
          <w:rFonts w:ascii="Times New Roman" w:eastAsia="Times New Roman" w:hAnsi="Times New Roman" w:cs="Times New Roman"/>
          <w:b/>
          <w:bCs/>
          <w:kern w:val="0"/>
          <w:sz w:val="20"/>
          <w:szCs w:val="20"/>
          <w:lang w:eastAsia=""/>
          <w14:ligatures w14:val="none"/>
        </w:rPr>
      </w:pPr>
      <w:r w:rsidRPr="00DA4677">
        <w:rPr>
          <w:rFonts w:ascii="Times New Roman" w:hAnsi="Times New Roman" w:cs="Times New Roman"/>
          <w:b/>
          <w:bCs/>
          <w:sz w:val="20"/>
          <w:szCs w:val="20"/>
        </w:rPr>
        <w:t>Method:</w:t>
      </w:r>
      <w:r w:rsidRPr="00DA4677">
        <w:rPr>
          <w:rFonts w:ascii="Times New Roman" w:hAnsi="Times New Roman" w:cs="Times New Roman"/>
          <w:sz w:val="20"/>
          <w:szCs w:val="20"/>
        </w:rPr>
        <w:t xml:space="preserve"> A retrospective cohort of 300 men with histologically confirmed prostate cancer treated at Korle Bu Teaching Hospital between 2015 and 2020 was analyzed. </w:t>
      </w:r>
      <w:r w:rsidRPr="00DA4677">
        <w:rPr>
          <w:rFonts w:ascii="Times New Roman" w:eastAsia="Calibri" w:hAnsi="Times New Roman" w:cs="Times New Roman"/>
          <w:sz w:val="20"/>
          <w:szCs w:val="20"/>
        </w:rPr>
        <w:t>The candidate</w:t>
      </w:r>
      <w:r w:rsidRPr="00DA4677">
        <w:rPr>
          <w:rFonts w:ascii="Times New Roman" w:hAnsi="Times New Roman" w:cs="Times New Roman"/>
          <w:sz w:val="20"/>
          <w:szCs w:val="20"/>
        </w:rPr>
        <w:t xml:space="preserve"> predictor variables included </w:t>
      </w:r>
      <w:r w:rsidRPr="00DA4677">
        <w:rPr>
          <w:rFonts w:ascii="Times New Roman" w:hAnsi="Times New Roman" w:cs="Times New Roman"/>
          <w:sz w:val="20"/>
          <w:szCs w:val="20"/>
        </w:rPr>
        <w:t xml:space="preserve">age, tumor size, prostate-specific antigen (PSA) level, Gleason score, clinical stage, lymph node involvement, and treatment </w:t>
      </w:r>
      <w:r w:rsidRPr="00DA4677">
        <w:rPr>
          <w:rFonts w:ascii="Times New Roman" w:eastAsia="Calibri" w:hAnsi="Times New Roman" w:cs="Times New Roman"/>
          <w:sz w:val="20"/>
          <w:szCs w:val="20"/>
        </w:rPr>
        <w:t>modality</w:t>
      </w:r>
      <w:r w:rsidRPr="00DA4677">
        <w:rPr>
          <w:rFonts w:ascii="Times New Roman" w:hAnsi="Times New Roman" w:cs="Times New Roman"/>
          <w:sz w:val="20"/>
          <w:szCs w:val="20"/>
        </w:rPr>
        <w:t xml:space="preserve">. Nonlinear relationships for age and tumor size were modeled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flexible spline terms. Model adequacy and fit were assess</w:t>
      </w:r>
      <w:r w:rsidRPr="00DA4677">
        <w:rPr>
          <w:rFonts w:ascii="Times New Roman" w:hAnsi="Times New Roman" w:cs="Times New Roman"/>
          <w:sz w:val="20"/>
          <w:szCs w:val="20"/>
        </w:rPr>
        <w:t xml:space="preserve">ed through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Akaike </w:t>
      </w:r>
      <w:r w:rsidRPr="00DA4677">
        <w:rPr>
          <w:rFonts w:ascii="Times New Roman" w:eastAsia="Calibri" w:hAnsi="Times New Roman" w:cs="Times New Roman"/>
          <w:sz w:val="20"/>
          <w:szCs w:val="20"/>
        </w:rPr>
        <w:t>information criterion</w:t>
      </w:r>
      <w:r w:rsidRPr="00DA4677">
        <w:rPr>
          <w:rFonts w:ascii="Times New Roman" w:hAnsi="Times New Roman" w:cs="Times New Roman"/>
          <w:sz w:val="20"/>
          <w:szCs w:val="20"/>
        </w:rPr>
        <w:t xml:space="preserve"> (AIC), Harrell’s concordance index (C-index), and diagnostics for proportional hazards assumptions. Shapley </w:t>
      </w:r>
      <w:r w:rsidRPr="00DA4677">
        <w:rPr>
          <w:rFonts w:ascii="Times New Roman" w:eastAsia="Calibri" w:hAnsi="Times New Roman" w:cs="Times New Roman"/>
          <w:sz w:val="20"/>
          <w:szCs w:val="20"/>
        </w:rPr>
        <w:t>additive explanations (SHAPs</w:t>
      </w:r>
      <w:r w:rsidRPr="00DA4677">
        <w:rPr>
          <w:rFonts w:ascii="Times New Roman" w:hAnsi="Times New Roman" w:cs="Times New Roman"/>
          <w:sz w:val="20"/>
          <w:szCs w:val="20"/>
        </w:rPr>
        <w:t>) were employed to quantify both global and individual (patient-level) contr</w:t>
      </w:r>
      <w:r w:rsidRPr="00DA4677">
        <w:rPr>
          <w:rFonts w:ascii="Times New Roman" w:hAnsi="Times New Roman" w:cs="Times New Roman"/>
          <w:sz w:val="20"/>
          <w:szCs w:val="20"/>
        </w:rPr>
        <w:t>ibutions to mortality risk.</w:t>
      </w:r>
    </w:p>
    <w:p w14:paraId="0476B0B7" w14:textId="05DC57E6" w:rsidR="00221ADC" w:rsidRPr="00DA4677" w:rsidRDefault="00C92CF8" w:rsidP="00221ADC">
      <w:pPr>
        <w:spacing w:before="100" w:beforeAutospacing="1" w:after="100" w:afterAutospacing="1" w:line="240" w:lineRule="auto"/>
        <w:jc w:val="both"/>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Results:</w:t>
      </w:r>
      <w:r w:rsidRPr="00DA4677">
        <w:rPr>
          <w:rFonts w:ascii="Times New Roman" w:eastAsia="Times New Roman" w:hAnsi="Times New Roman" w:cs="Times New Roman"/>
          <w:kern w:val="0"/>
          <w:sz w:val="20"/>
          <w:szCs w:val="20"/>
          <w:lang w:eastAsia=""/>
          <w14:ligatures w14:val="none"/>
        </w:rPr>
        <w:t xml:space="preserve"> The spline-augmented Cox model demonstrated significant nonlinear associations </w:t>
      </w:r>
      <w:r w:rsidRPr="00DA4677">
        <w:rPr>
          <w:rFonts w:ascii="Times New Roman" w:eastAsia="Times New Roman" w:hAnsi="Times New Roman" w:cs="Times New Roman"/>
          <w:kern w:val="0"/>
          <w:sz w:val="20"/>
          <w:szCs w:val="20"/>
          <w:lang w:eastAsia=""/>
        </w:rPr>
        <w:t>with</w:t>
      </w:r>
      <w:r w:rsidRPr="00DA4677">
        <w:rPr>
          <w:rFonts w:ascii="Times New Roman" w:eastAsia="Times New Roman" w:hAnsi="Times New Roman" w:cs="Times New Roman"/>
          <w:kern w:val="0"/>
          <w:sz w:val="20"/>
          <w:szCs w:val="20"/>
          <w:lang w:eastAsia=""/>
          <w14:ligatures w14:val="none"/>
        </w:rPr>
        <w:t xml:space="preserve"> tumor size (hazard ratio [HR] = 0.41, 95% CI: 0.17</w:t>
      </w:r>
      <w:r w:rsidR="00931E4C">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0.99, p = 0.048) and a pronounced effect </w:t>
      </w:r>
      <w:r w:rsidRPr="00DA4677">
        <w:rPr>
          <w:rFonts w:ascii="Times New Roman" w:eastAsia="Times New Roman" w:hAnsi="Times New Roman" w:cs="Times New Roman"/>
          <w:kern w:val="0"/>
          <w:sz w:val="20"/>
          <w:szCs w:val="20"/>
          <w:lang w:eastAsia=""/>
        </w:rPr>
        <w:t>on the</w:t>
      </w:r>
      <w:r w:rsidRPr="00DA4677">
        <w:rPr>
          <w:rFonts w:ascii="Times New Roman" w:eastAsia="Times New Roman" w:hAnsi="Times New Roman" w:cs="Times New Roman"/>
          <w:kern w:val="0"/>
          <w:sz w:val="20"/>
          <w:szCs w:val="20"/>
          <w:lang w:eastAsia=""/>
          <w14:ligatures w14:val="none"/>
        </w:rPr>
        <w:t xml:space="preserve"> Gleason score (HR = 0.85, 95% CI: 0.74</w:t>
      </w:r>
      <w:r w:rsidR="00931E4C">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0.99, p = 0.036). SHAP analysis identified tumor size (absolute SHAP value = 0.2015) and Gleason score (absolute SHAP value = 0.1591) as the leading predictors, </w:t>
      </w:r>
      <w:r w:rsidRPr="00DA4677">
        <w:rPr>
          <w:rFonts w:ascii="Times New Roman" w:eastAsia="Times New Roman" w:hAnsi="Times New Roman" w:cs="Times New Roman"/>
          <w:kern w:val="0"/>
          <w:sz w:val="20"/>
          <w:szCs w:val="20"/>
          <w:lang w:eastAsia=""/>
        </w:rPr>
        <w:t>followed by</w:t>
      </w:r>
      <w:r w:rsidRPr="00DA4677">
        <w:rPr>
          <w:rFonts w:ascii="Times New Roman" w:eastAsia="Times New Roman" w:hAnsi="Times New Roman" w:cs="Times New Roman"/>
          <w:kern w:val="0"/>
          <w:sz w:val="20"/>
          <w:szCs w:val="20"/>
          <w:lang w:eastAsia=""/>
          <w14:ligatures w14:val="none"/>
        </w:rPr>
        <w:t xml:space="preserve"> chemotherapy and prostate-specific antigen </w:t>
      </w:r>
      <w:r w:rsidRPr="00DA4677">
        <w:rPr>
          <w:rFonts w:ascii="Times New Roman" w:eastAsia="Times New Roman" w:hAnsi="Times New Roman" w:cs="Times New Roman"/>
          <w:kern w:val="0"/>
          <w:sz w:val="20"/>
          <w:szCs w:val="20"/>
          <w:lang w:eastAsia=""/>
          <w14:ligatures w14:val="none"/>
        </w:rPr>
        <w:t xml:space="preserve">(PSA) levels. </w:t>
      </w:r>
      <w:proofErr w:type="spellStart"/>
      <w:r w:rsidRPr="00DA4677">
        <w:rPr>
          <w:rFonts w:ascii="Times New Roman" w:eastAsia="Times New Roman" w:hAnsi="Times New Roman" w:cs="Times New Roman"/>
          <w:kern w:val="0"/>
          <w:sz w:val="20"/>
          <w:szCs w:val="20"/>
          <w:lang w:eastAsia=""/>
          <w14:ligatures w14:val="none"/>
        </w:rPr>
        <w:t>Beeswarm</w:t>
      </w:r>
      <w:proofErr w:type="spellEnd"/>
      <w:r w:rsidRPr="00DA4677">
        <w:rPr>
          <w:rFonts w:ascii="Times New Roman" w:eastAsia="Times New Roman" w:hAnsi="Times New Roman" w:cs="Times New Roman"/>
          <w:kern w:val="0"/>
          <w:sz w:val="20"/>
          <w:szCs w:val="20"/>
          <w:lang w:eastAsia=""/>
          <w14:ligatures w14:val="none"/>
        </w:rPr>
        <w:t xml:space="preserve"> and partial-effect plots corroborated a nonlinear increase in survival risk with greater tumor burden and higher histologic grade, whereas moderate PSA levels and receipt of treatment exerted a protective effect.</w:t>
      </w:r>
      <w:r w:rsidR="006B7505" w:rsidRPr="00DA4677">
        <w:rPr>
          <w:rFonts w:ascii="Times New Roman" w:hAnsi="Times New Roman" w:cs="Times New Roman"/>
          <w:sz w:val="20"/>
          <w:szCs w:val="20"/>
        </w:rPr>
        <w:t xml:space="preserve"> </w:t>
      </w:r>
      <w:r w:rsidRPr="00DA4677">
        <w:rPr>
          <w:rFonts w:ascii="Times New Roman" w:eastAsia="Times New Roman" w:hAnsi="Times New Roman" w:cs="Times New Roman"/>
          <w:kern w:val="0"/>
          <w:sz w:val="20"/>
          <w:szCs w:val="20"/>
          <w:lang w:eastAsia=""/>
          <w14:ligatures w14:val="none"/>
        </w:rPr>
        <w:t>The combined spline</w:t>
      </w:r>
      <w:r w:rsidR="00931E4C">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SHAP model demonstrated strong predictive performance (C-index = 0.84) with improved parsimony over the linear Cox baseline (ΔAIC = −13), confirming the dominance of tumor size and Gleason score as the most influential contributors to survival risk.</w:t>
      </w:r>
    </w:p>
    <w:p w14:paraId="58660D1C" w14:textId="77777777" w:rsidR="00612B51" w:rsidRPr="00DA4677" w:rsidRDefault="00C92CF8" w:rsidP="00221ADC">
      <w:pPr>
        <w:spacing w:before="100" w:beforeAutospacing="1" w:after="100" w:afterAutospacing="1" w:line="240" w:lineRule="auto"/>
        <w:jc w:val="both"/>
        <w:rPr>
          <w:rFonts w:ascii="Times New Roman" w:hAnsi="Times New Roman" w:cs="Times New Roman"/>
          <w:sz w:val="20"/>
          <w:szCs w:val="20"/>
        </w:rPr>
      </w:pPr>
      <w:r w:rsidRPr="00DA4677">
        <w:rPr>
          <w:rFonts w:ascii="Times New Roman" w:hAnsi="Times New Roman" w:cs="Times New Roman"/>
          <w:b/>
          <w:bCs/>
          <w:sz w:val="20"/>
          <w:szCs w:val="20"/>
        </w:rPr>
        <w:t>Conclu</w:t>
      </w:r>
      <w:r w:rsidRPr="00DA4677">
        <w:rPr>
          <w:rFonts w:ascii="Times New Roman" w:hAnsi="Times New Roman" w:cs="Times New Roman"/>
          <w:b/>
          <w:bCs/>
          <w:sz w:val="20"/>
          <w:szCs w:val="20"/>
        </w:rPr>
        <w:t>sion:</w:t>
      </w:r>
      <w:r w:rsidRPr="00DA4677">
        <w:rPr>
          <w:rFonts w:ascii="Times New Roman" w:hAnsi="Times New Roman" w:cs="Times New Roman"/>
          <w:sz w:val="20"/>
          <w:szCs w:val="20"/>
        </w:rPr>
        <w:t xml:space="preserve"> The integration of relative continuous scoring (RCS) with SHAP-based explainability enhanced model flexibility, transparency, and clinical interpretability. The results underscore tumor size and Gleason score as the most influential determinants of m</w:t>
      </w:r>
      <w:r w:rsidRPr="00DA4677">
        <w:rPr>
          <w:rFonts w:ascii="Times New Roman" w:hAnsi="Times New Roman" w:cs="Times New Roman"/>
          <w:sz w:val="20"/>
          <w:szCs w:val="20"/>
        </w:rPr>
        <w:t xml:space="preserve">ortality, highlighting the imperative for early detection, </w:t>
      </w:r>
      <w:r w:rsidRPr="00DA4677">
        <w:rPr>
          <w:rFonts w:ascii="Times New Roman" w:eastAsia="Calibri" w:hAnsi="Times New Roman" w:cs="Times New Roman"/>
          <w:sz w:val="20"/>
          <w:szCs w:val="20"/>
        </w:rPr>
        <w:t>histopathological</w:t>
      </w:r>
      <w:r w:rsidRPr="00DA4677">
        <w:rPr>
          <w:rFonts w:ascii="Times New Roman" w:hAnsi="Times New Roman" w:cs="Times New Roman"/>
          <w:sz w:val="20"/>
          <w:szCs w:val="20"/>
        </w:rPr>
        <w:t xml:space="preserve"> risk stratification, and individualized therapeutic strategies. The SHAP-augmented RCS Cox framework provides a replicable approach for precision oncology and evidence-based manag</w:t>
      </w:r>
      <w:r w:rsidRPr="00DA4677">
        <w:rPr>
          <w:rFonts w:ascii="Times New Roman" w:hAnsi="Times New Roman" w:cs="Times New Roman"/>
          <w:sz w:val="20"/>
          <w:szCs w:val="20"/>
        </w:rPr>
        <w:t>ement of prostate cancer in settings with limited resources, including Ghana.</w:t>
      </w:r>
    </w:p>
    <w:p w14:paraId="5E11C097" w14:textId="71652101"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Keywords:</w:t>
      </w:r>
      <w:r w:rsidRPr="00DA4677">
        <w:rPr>
          <w:rFonts w:ascii="Times New Roman" w:eastAsia="Times New Roman" w:hAnsi="Times New Roman" w:cs="Times New Roman"/>
          <w:kern w:val="0"/>
          <w:sz w:val="20"/>
          <w:szCs w:val="20"/>
          <w:lang w:eastAsia=""/>
          <w14:ligatures w14:val="none"/>
        </w:rPr>
        <w:br/>
        <w:t xml:space="preserve">Prostate cancer, </w:t>
      </w:r>
      <w:r w:rsidRPr="00DA4677">
        <w:rPr>
          <w:rFonts w:ascii="Times New Roman" w:eastAsia="Times New Roman" w:hAnsi="Times New Roman" w:cs="Times New Roman"/>
          <w:kern w:val="0"/>
          <w:sz w:val="20"/>
          <w:szCs w:val="20"/>
          <w:lang w:eastAsia=""/>
        </w:rPr>
        <w:t>restricted</w:t>
      </w:r>
      <w:r w:rsidRPr="00DA4677">
        <w:rPr>
          <w:rFonts w:ascii="Times New Roman" w:eastAsia="Times New Roman" w:hAnsi="Times New Roman" w:cs="Times New Roman"/>
          <w:kern w:val="0"/>
          <w:sz w:val="20"/>
          <w:szCs w:val="20"/>
          <w:lang w:eastAsia=""/>
          <w14:ligatures w14:val="none"/>
        </w:rPr>
        <w:t xml:space="preserve"> cubic splines, Cox proportional hazards, SHAP explainability, nonlinear modeling, survival analysis, precision oncology.</w:t>
      </w:r>
    </w:p>
    <w:bookmarkEnd w:id="0"/>
    <w:p w14:paraId="414DDA11" w14:textId="77777777" w:rsidR="0054579B" w:rsidRDefault="0054579B" w:rsidP="00612B51">
      <w:pPr>
        <w:rPr>
          <w:rFonts w:ascii="Times New Roman" w:hAnsi="Times New Roman" w:cs="Times New Roman"/>
          <w:b/>
          <w:bCs/>
          <w:sz w:val="20"/>
          <w:szCs w:val="20"/>
        </w:rPr>
      </w:pPr>
    </w:p>
    <w:p w14:paraId="1D8B5242" w14:textId="77777777" w:rsidR="0054579B" w:rsidRDefault="0054579B" w:rsidP="00612B51">
      <w:pPr>
        <w:rPr>
          <w:rFonts w:ascii="Times New Roman" w:hAnsi="Times New Roman" w:cs="Times New Roman"/>
          <w:b/>
          <w:bCs/>
          <w:sz w:val="20"/>
          <w:szCs w:val="20"/>
        </w:rPr>
      </w:pPr>
    </w:p>
    <w:p w14:paraId="6A163D64" w14:textId="62B38F3F" w:rsidR="00612B51" w:rsidRPr="00DA4677" w:rsidRDefault="00C92CF8" w:rsidP="00612B51">
      <w:pPr>
        <w:rPr>
          <w:rFonts w:ascii="Times New Roman" w:hAnsi="Times New Roman" w:cs="Times New Roman"/>
          <w:b/>
          <w:bCs/>
          <w:sz w:val="20"/>
          <w:szCs w:val="20"/>
        </w:rPr>
      </w:pPr>
      <w:r w:rsidRPr="00DA4677">
        <w:rPr>
          <w:rFonts w:ascii="Times New Roman" w:hAnsi="Times New Roman" w:cs="Times New Roman"/>
          <w:b/>
          <w:bCs/>
          <w:sz w:val="20"/>
          <w:szCs w:val="20"/>
        </w:rPr>
        <w:t>Background</w:t>
      </w:r>
    </w:p>
    <w:p w14:paraId="723E0BAD" w14:textId="382BDAB4"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Prostate cancer remains one of the most prevalent malignancies affecting men globally and </w:t>
      </w:r>
      <w:bookmarkStart w:id="2" w:name="_Hlk211484722"/>
      <w:r w:rsidRPr="00DA4677">
        <w:rPr>
          <w:rFonts w:ascii="Times New Roman" w:eastAsia="Calibri" w:hAnsi="Times New Roman" w:cs="Times New Roman"/>
          <w:sz w:val="20"/>
          <w:szCs w:val="20"/>
        </w:rPr>
        <w:t>is</w:t>
      </w:r>
      <w:r w:rsidRPr="00DA4677">
        <w:rPr>
          <w:rFonts w:ascii="Times New Roman" w:hAnsi="Times New Roman" w:cs="Times New Roman"/>
          <w:sz w:val="20"/>
          <w:szCs w:val="20"/>
        </w:rPr>
        <w:t xml:space="preserve"> a leading cause of cancer-related morbidity and mortality. Prostate cancer accounts for approximately 15% of all new cancer cases in men and 8% of cancer deaths wo</w:t>
      </w:r>
      <w:r w:rsidRPr="00DA4677">
        <w:rPr>
          <w:rFonts w:ascii="Times New Roman" w:hAnsi="Times New Roman" w:cs="Times New Roman"/>
          <w:sz w:val="20"/>
          <w:szCs w:val="20"/>
        </w:rPr>
        <w:t xml:space="preserve">rldwide (Kratzer et al., 2025; James et al., 2024; Zi et al., 2024; Preisser et al., 2025; </w:t>
      </w:r>
      <w:proofErr w:type="spellStart"/>
      <w:r w:rsidRPr="00DA4677">
        <w:rPr>
          <w:rFonts w:ascii="Times New Roman" w:hAnsi="Times New Roman" w:cs="Times New Roman"/>
          <w:sz w:val="20"/>
          <w:szCs w:val="20"/>
        </w:rPr>
        <w:t>Belkahla</w:t>
      </w:r>
      <w:proofErr w:type="spellEnd"/>
      <w:r w:rsidRPr="00DA4677">
        <w:rPr>
          <w:rFonts w:ascii="Times New Roman" w:hAnsi="Times New Roman" w:cs="Times New Roman"/>
          <w:sz w:val="20"/>
          <w:szCs w:val="20"/>
        </w:rPr>
        <w:t xml:space="preserve"> et al., 2022). Its burden is </w:t>
      </w:r>
      <w:r w:rsidRPr="00DA4677">
        <w:rPr>
          <w:rFonts w:ascii="Times New Roman" w:eastAsia="Calibri" w:hAnsi="Times New Roman" w:cs="Times New Roman"/>
          <w:sz w:val="20"/>
          <w:szCs w:val="20"/>
        </w:rPr>
        <w:t>increasing</w:t>
      </w:r>
      <w:r w:rsidRPr="00DA4677">
        <w:rPr>
          <w:rFonts w:ascii="Times New Roman" w:hAnsi="Times New Roman" w:cs="Times New Roman"/>
          <w:sz w:val="20"/>
          <w:szCs w:val="20"/>
        </w:rPr>
        <w:t xml:space="preserve"> in low- and middle-income countries (LMICs), where limited access to diagnostic tools and screening programs has led</w:t>
      </w:r>
      <w:r w:rsidRPr="00DA4677">
        <w:rPr>
          <w:rFonts w:ascii="Times New Roman" w:hAnsi="Times New Roman" w:cs="Times New Roman"/>
          <w:sz w:val="20"/>
          <w:szCs w:val="20"/>
        </w:rPr>
        <w:t xml:space="preserve"> to late-stage presentation and poor outcomes (Kitson-Mills et al., 2025; Dee et al., 2025; Liu et al., 2025).</w:t>
      </w:r>
      <w:r w:rsidRPr="00DA4677">
        <w:rPr>
          <w:rFonts w:ascii="Times New Roman" w:eastAsia="Calibri" w:hAnsi="Times New Roman" w:cs="Times New Roman"/>
          <w:sz w:val="20"/>
          <w:szCs w:val="20"/>
        </w:rPr>
        <w:t xml:space="preserve"> </w:t>
      </w:r>
      <w:r w:rsidRPr="00DA4677">
        <w:rPr>
          <w:rFonts w:ascii="Times New Roman" w:hAnsi="Times New Roman" w:cs="Times New Roman"/>
          <w:sz w:val="20"/>
          <w:szCs w:val="20"/>
        </w:rPr>
        <w:t>In sub-Saharan Africa, the situation is particularly concerning, with increasing incidence rates attributed to urbanization, changing lifestyles,</w:t>
      </w:r>
      <w:r w:rsidRPr="00DA4677">
        <w:rPr>
          <w:rFonts w:ascii="Times New Roman" w:hAnsi="Times New Roman" w:cs="Times New Roman"/>
          <w:sz w:val="20"/>
          <w:szCs w:val="20"/>
        </w:rPr>
        <w:t xml:space="preserve"> and the aging population (Zhang et al., 2025; Dlamini et al., 2025; </w:t>
      </w:r>
      <w:proofErr w:type="spellStart"/>
      <w:r w:rsidRPr="00DA4677">
        <w:rPr>
          <w:rFonts w:ascii="Times New Roman" w:hAnsi="Times New Roman" w:cs="Times New Roman"/>
          <w:sz w:val="20"/>
          <w:szCs w:val="20"/>
        </w:rPr>
        <w:t>Amaeshi</w:t>
      </w:r>
      <w:proofErr w:type="spellEnd"/>
      <w:r w:rsidRPr="00DA4677">
        <w:rPr>
          <w:rFonts w:ascii="Times New Roman" w:hAnsi="Times New Roman" w:cs="Times New Roman"/>
          <w:sz w:val="20"/>
          <w:szCs w:val="20"/>
        </w:rPr>
        <w:t xml:space="preserve"> et al., 2025)</w:t>
      </w:r>
      <w:bookmarkEnd w:id="2"/>
      <w:r w:rsidRPr="00DA4677">
        <w:rPr>
          <w:rFonts w:ascii="Times New Roman" w:hAnsi="Times New Roman" w:cs="Times New Roman"/>
          <w:sz w:val="20"/>
          <w:szCs w:val="20"/>
        </w:rPr>
        <w:t xml:space="preserve">. Ghana reflects this continental trend, where prostate cancer constitutes </w:t>
      </w:r>
      <w:r w:rsidR="006C527F">
        <w:rPr>
          <w:rFonts w:ascii="Times New Roman" w:hAnsi="Times New Roman" w:cs="Times New Roman"/>
          <w:sz w:val="20"/>
          <w:szCs w:val="20"/>
        </w:rPr>
        <w:t xml:space="preserve">one of </w:t>
      </w:r>
      <w:r w:rsidRPr="00DA4677">
        <w:rPr>
          <w:rFonts w:ascii="Times New Roman" w:hAnsi="Times New Roman" w:cs="Times New Roman"/>
          <w:sz w:val="20"/>
          <w:szCs w:val="20"/>
        </w:rPr>
        <w:t xml:space="preserve">the most commonly diagnosed </w:t>
      </w:r>
      <w:r w:rsidR="00DD7901">
        <w:rPr>
          <w:rFonts w:ascii="Times New Roman" w:hAnsi="Times New Roman" w:cs="Times New Roman"/>
          <w:sz w:val="20"/>
          <w:szCs w:val="20"/>
        </w:rPr>
        <w:t>cancers</w:t>
      </w:r>
      <w:r w:rsidRPr="00DA4677">
        <w:rPr>
          <w:rFonts w:ascii="Times New Roman" w:hAnsi="Times New Roman" w:cs="Times New Roman"/>
          <w:sz w:val="20"/>
          <w:szCs w:val="20"/>
        </w:rPr>
        <w:t xml:space="preserve"> among men, accounting for </w:t>
      </w:r>
      <w:r w:rsidRPr="00DA4677">
        <w:rPr>
          <w:rFonts w:ascii="Times New Roman" w:eastAsia="Calibri" w:hAnsi="Times New Roman" w:cs="Times New Roman"/>
          <w:sz w:val="20"/>
          <w:szCs w:val="20"/>
        </w:rPr>
        <w:t>approximately</w:t>
      </w:r>
      <w:r w:rsidRPr="00DA4677">
        <w:rPr>
          <w:rFonts w:ascii="Times New Roman" w:hAnsi="Times New Roman" w:cs="Times New Roman"/>
          <w:sz w:val="20"/>
          <w:szCs w:val="20"/>
        </w:rPr>
        <w:t xml:space="preserve"> 12% of a</w:t>
      </w:r>
      <w:r w:rsidRPr="00DA4677">
        <w:rPr>
          <w:rFonts w:ascii="Times New Roman" w:hAnsi="Times New Roman" w:cs="Times New Roman"/>
          <w:sz w:val="20"/>
          <w:szCs w:val="20"/>
        </w:rPr>
        <w:t xml:space="preserve">ll male cancer cases </w:t>
      </w:r>
      <w:bookmarkStart w:id="3" w:name="_Hlk213968838"/>
      <w:r w:rsidRPr="00DA4677">
        <w:rPr>
          <w:rFonts w:ascii="Times New Roman" w:hAnsi="Times New Roman" w:cs="Times New Roman"/>
          <w:sz w:val="20"/>
          <w:szCs w:val="20"/>
        </w:rPr>
        <w:t>(Der et al., 2025; Sarpong et al., 2025; Abu et al., 2025).</w:t>
      </w:r>
      <w:bookmarkEnd w:id="3"/>
    </w:p>
    <w:p w14:paraId="5152F0B2"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lastRenderedPageBreak/>
        <w:t>Despite global advances in early detection and treatment, prostate cancer outcomes in Ghana remain suboptimal. Factors such as low public awareness, limited screening infrastr</w:t>
      </w:r>
      <w:r w:rsidRPr="00DA4677">
        <w:rPr>
          <w:rFonts w:ascii="Times New Roman" w:hAnsi="Times New Roman" w:cs="Times New Roman"/>
          <w:sz w:val="20"/>
          <w:szCs w:val="20"/>
        </w:rPr>
        <w:t>ucture, and inconsistent follow-up systems have contributed to high proportions of late-stage diagnoses. Clinical data from major tertiary hospitals in Ghana reveal that most men present with locally advanced or metastatic disease, often after prolonged sy</w:t>
      </w:r>
      <w:r w:rsidRPr="00DA4677">
        <w:rPr>
          <w:rFonts w:ascii="Times New Roman" w:hAnsi="Times New Roman" w:cs="Times New Roman"/>
          <w:sz w:val="20"/>
          <w:szCs w:val="20"/>
        </w:rPr>
        <w:t xml:space="preserve">mptom duration </w:t>
      </w:r>
      <w:bookmarkStart w:id="4" w:name="_Hlk211485523"/>
      <w:r w:rsidRPr="00DA4677">
        <w:rPr>
          <w:rFonts w:ascii="Times New Roman" w:hAnsi="Times New Roman" w:cs="Times New Roman"/>
          <w:sz w:val="20"/>
          <w:szCs w:val="20"/>
        </w:rPr>
        <w:t xml:space="preserve">(Ofori et al., 2025; Daniels et al., 2025; </w:t>
      </w:r>
      <w:proofErr w:type="spellStart"/>
      <w:r w:rsidRPr="00DA4677">
        <w:rPr>
          <w:rFonts w:ascii="Times New Roman" w:hAnsi="Times New Roman" w:cs="Times New Roman"/>
          <w:sz w:val="20"/>
          <w:szCs w:val="20"/>
        </w:rPr>
        <w:t>Dadee-Seshie</w:t>
      </w:r>
      <w:proofErr w:type="spellEnd"/>
      <w:r w:rsidRPr="00DA4677">
        <w:rPr>
          <w:rFonts w:ascii="Times New Roman" w:hAnsi="Times New Roman" w:cs="Times New Roman"/>
          <w:sz w:val="20"/>
          <w:szCs w:val="20"/>
        </w:rPr>
        <w:t xml:space="preserve"> et al., 2025; Obeng et al., 2025).</w:t>
      </w:r>
      <w:bookmarkEnd w:id="4"/>
      <w:r w:rsidRPr="00DA4677">
        <w:rPr>
          <w:rFonts w:ascii="Times New Roman" w:hAnsi="Times New Roman" w:cs="Times New Roman"/>
          <w:sz w:val="20"/>
          <w:szCs w:val="20"/>
        </w:rPr>
        <w:t xml:space="preserve"> Biochemical markers such as prostate-specific antigen (PSA) levels, tumor size, and Gleason scores </w:t>
      </w:r>
      <w:r w:rsidRPr="00DA4677">
        <w:rPr>
          <w:rFonts w:ascii="Times New Roman" w:eastAsia="Calibri" w:hAnsi="Times New Roman" w:cs="Times New Roman"/>
          <w:sz w:val="20"/>
          <w:szCs w:val="20"/>
        </w:rPr>
        <w:t>are</w:t>
      </w:r>
      <w:r w:rsidRPr="00DA4677">
        <w:rPr>
          <w:rFonts w:ascii="Times New Roman" w:hAnsi="Times New Roman" w:cs="Times New Roman"/>
          <w:sz w:val="20"/>
          <w:szCs w:val="20"/>
        </w:rPr>
        <w:t xml:space="preserve"> key determinants of prognosis. However, these i</w:t>
      </w:r>
      <w:r w:rsidRPr="00DA4677">
        <w:rPr>
          <w:rFonts w:ascii="Times New Roman" w:hAnsi="Times New Roman" w:cs="Times New Roman"/>
          <w:sz w:val="20"/>
          <w:szCs w:val="20"/>
        </w:rPr>
        <w:t>ndicators are frequently underutilized in integrated predictive models that account for nonlinear risk patterns and survival heterogeneity.</w:t>
      </w:r>
    </w:p>
    <w:p w14:paraId="75E8B873" w14:textId="7EBE2A59"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Recent modeling advances, particularly the application of flexible survival models such as the Cox proportional haza</w:t>
      </w:r>
      <w:r w:rsidRPr="00DA4677">
        <w:rPr>
          <w:rFonts w:ascii="Times New Roman" w:hAnsi="Times New Roman" w:cs="Times New Roman"/>
          <w:sz w:val="20"/>
          <w:szCs w:val="20"/>
        </w:rPr>
        <w:t>rds model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provide a refined approach to understanding the nonlinear associations between clinical predictors and patient outcomes (</w:t>
      </w: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xml:space="preserve">, 2025; Aziz et al., 2025; Flannery et al., 2025; Esteban et al., 2025). </w:t>
      </w:r>
      <w:r w:rsidRPr="00DA4677">
        <w:rPr>
          <w:rFonts w:ascii="Times New Roman" w:hAnsi="Times New Roman" w:cs="Times New Roman"/>
          <w:sz w:val="20"/>
          <w:szCs w:val="20"/>
        </w:rPr>
        <w:t>These models enhance interpretability by allowing for curved relationships between age, tumor size, and hazard ratios</w:t>
      </w:r>
      <w:r w:rsidR="006C527F">
        <w:rPr>
          <w:rFonts w:ascii="Times New Roman" w:hAnsi="Times New Roman" w:cs="Times New Roman"/>
          <w:sz w:val="20"/>
          <w:szCs w:val="20"/>
        </w:rPr>
        <w:t xml:space="preserve"> </w:t>
      </w:r>
      <w:r w:rsidRPr="00DA4677">
        <w:rPr>
          <w:rFonts w:ascii="Times New Roman" w:hAnsi="Times New Roman" w:cs="Times New Roman"/>
          <w:sz w:val="20"/>
          <w:szCs w:val="20"/>
        </w:rPr>
        <w:t xml:space="preserve">relationships often masked by traditional linear models. Integrating these analytical methods within local cancer registries and hospital </w:t>
      </w:r>
      <w:r w:rsidRPr="00DA4677">
        <w:rPr>
          <w:rFonts w:ascii="Times New Roman" w:hAnsi="Times New Roman" w:cs="Times New Roman"/>
          <w:sz w:val="20"/>
          <w:szCs w:val="20"/>
        </w:rPr>
        <w:t xml:space="preserve">data in Ghana can offer actionable insights into the biological and sociodemographic determinants of prostate cancer survival. Such evidence directly aligns with the objectives of Sustainable Development Goal (SDG) 3, particularly target </w:t>
      </w:r>
      <w:r w:rsidRPr="006C527F">
        <w:rPr>
          <w:rFonts w:ascii="Times New Roman" w:hAnsi="Times New Roman" w:cs="Times New Roman"/>
          <w:sz w:val="20"/>
          <w:szCs w:val="20"/>
        </w:rPr>
        <w:t>3.4</w:t>
      </w:r>
      <w:r w:rsidRPr="00DA4677">
        <w:rPr>
          <w:rFonts w:ascii="Times New Roman" w:hAnsi="Times New Roman" w:cs="Times New Roman"/>
          <w:sz w:val="20"/>
          <w:szCs w:val="20"/>
        </w:rPr>
        <w:t>, which aims to</w:t>
      </w:r>
      <w:r w:rsidRPr="00DA4677">
        <w:rPr>
          <w:rFonts w:ascii="Times New Roman" w:hAnsi="Times New Roman" w:cs="Times New Roman"/>
          <w:sz w:val="20"/>
          <w:szCs w:val="20"/>
        </w:rPr>
        <w:t xml:space="preserve"> reduce premature mortality from </w:t>
      </w:r>
      <w:r w:rsidRPr="00DA4677">
        <w:rPr>
          <w:rFonts w:ascii="Times New Roman" w:eastAsia="Calibri" w:hAnsi="Times New Roman" w:cs="Times New Roman"/>
          <w:sz w:val="20"/>
          <w:szCs w:val="20"/>
        </w:rPr>
        <w:t>noncommunicable</w:t>
      </w:r>
      <w:r w:rsidRPr="00DA4677">
        <w:rPr>
          <w:rFonts w:ascii="Times New Roman" w:hAnsi="Times New Roman" w:cs="Times New Roman"/>
          <w:sz w:val="20"/>
          <w:szCs w:val="20"/>
        </w:rPr>
        <w:t xml:space="preserve"> diseases through early detection and treatment interventions.</w:t>
      </w:r>
    </w:p>
    <w:p w14:paraId="7BF9012B" w14:textId="20433DFC"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Prostate cancer progression and survival outcomes have been extensively studied in developed contexts, with several well-established prognostic m</w:t>
      </w:r>
      <w:r w:rsidRPr="00DA4677">
        <w:rPr>
          <w:rFonts w:ascii="Times New Roman" w:hAnsi="Times New Roman" w:cs="Times New Roman"/>
          <w:sz w:val="20"/>
          <w:szCs w:val="20"/>
        </w:rPr>
        <w:t>arkers, including age, PSA levels, Gleason score, tumor size, and cancer stage (</w:t>
      </w: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xml:space="preserve">, 2025; </w:t>
      </w:r>
      <w:proofErr w:type="spellStart"/>
      <w:r w:rsidRPr="00DA4677">
        <w:rPr>
          <w:rFonts w:ascii="Times New Roman" w:hAnsi="Times New Roman" w:cs="Times New Roman"/>
          <w:sz w:val="20"/>
          <w:szCs w:val="20"/>
        </w:rPr>
        <w:t>Kavak</w:t>
      </w:r>
      <w:proofErr w:type="spellEnd"/>
      <w:r w:rsidRPr="00DA4677">
        <w:rPr>
          <w:rFonts w:ascii="Times New Roman" w:hAnsi="Times New Roman" w:cs="Times New Roman"/>
          <w:sz w:val="20"/>
          <w:szCs w:val="20"/>
        </w:rPr>
        <w:t xml:space="preserve"> et al., 2025; Freedland et al., 2025; Wu et al., 2025). Age is among the strongest demographic correlates, with incidence increasing exponentially a</w:t>
      </w:r>
      <w:r w:rsidRPr="00DA4677">
        <w:rPr>
          <w:rFonts w:ascii="Times New Roman" w:hAnsi="Times New Roman" w:cs="Times New Roman"/>
          <w:sz w:val="20"/>
          <w:szCs w:val="20"/>
        </w:rPr>
        <w:t>fter the fifth decade of life (</w:t>
      </w: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xml:space="preserve">, 2025; Zhao et al., 2025; Zhu et al., 2025; Bhandari et al., 2025; Ghanem et al., 2025). However, the relationship between age and survival is </w:t>
      </w:r>
      <w:r w:rsidR="00DD7901">
        <w:rPr>
          <w:rFonts w:ascii="Times New Roman" w:hAnsi="Times New Roman" w:cs="Times New Roman"/>
          <w:sz w:val="20"/>
          <w:szCs w:val="20"/>
        </w:rPr>
        <w:t>complex;</w:t>
      </w:r>
      <w:r w:rsidR="006C527F">
        <w:rPr>
          <w:rFonts w:ascii="Times New Roman" w:hAnsi="Times New Roman" w:cs="Times New Roman"/>
          <w:sz w:val="20"/>
          <w:szCs w:val="20"/>
        </w:rPr>
        <w:t xml:space="preserve"> </w:t>
      </w:r>
      <w:r w:rsidRPr="00DA4677">
        <w:rPr>
          <w:rFonts w:ascii="Times New Roman" w:hAnsi="Times New Roman" w:cs="Times New Roman"/>
          <w:sz w:val="20"/>
          <w:szCs w:val="20"/>
        </w:rPr>
        <w:t>while older age increases biological vulnerability, some s</w:t>
      </w:r>
      <w:r w:rsidRPr="00DA4677">
        <w:rPr>
          <w:rFonts w:ascii="Times New Roman" w:hAnsi="Times New Roman" w:cs="Times New Roman"/>
          <w:sz w:val="20"/>
          <w:szCs w:val="20"/>
        </w:rPr>
        <w:t>tudies report that younger men with high-grade tumors exhibit worse outcomes, suggesting that tumor biology and genetics may mediate the effect of age.</w:t>
      </w:r>
    </w:p>
    <w:p w14:paraId="4060B978"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PSA remains the cornerstone of prostate cancer screening and monitoring. Nonetheless, the predictive acc</w:t>
      </w:r>
      <w:r w:rsidRPr="00DA4677">
        <w:rPr>
          <w:rFonts w:ascii="Times New Roman" w:hAnsi="Times New Roman" w:cs="Times New Roman"/>
          <w:sz w:val="20"/>
          <w:szCs w:val="20"/>
        </w:rPr>
        <w:t xml:space="preserve">uracy of PSA alone is widely debated </w:t>
      </w:r>
      <w:r w:rsidRPr="00DA4677">
        <w:rPr>
          <w:rFonts w:ascii="Times New Roman" w:eastAsia="Calibri" w:hAnsi="Times New Roman" w:cs="Times New Roman"/>
          <w:sz w:val="20"/>
          <w:szCs w:val="20"/>
        </w:rPr>
        <w:t>because of</w:t>
      </w:r>
      <w:r w:rsidRPr="00DA4677">
        <w:rPr>
          <w:rFonts w:ascii="Times New Roman" w:hAnsi="Times New Roman" w:cs="Times New Roman"/>
          <w:sz w:val="20"/>
          <w:szCs w:val="20"/>
        </w:rPr>
        <w:t xml:space="preserve"> false-positive rates and overlaps in PSA values between benign and malignant cases. Researchers have thus recommended combining PSA levels with other indicators</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 such as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Gleason score and tumor size</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 for improved risk classification (Guo et al., 2025; </w:t>
      </w:r>
      <w:proofErr w:type="spellStart"/>
      <w:r w:rsidRPr="00DA4677">
        <w:rPr>
          <w:rFonts w:ascii="Times New Roman" w:hAnsi="Times New Roman" w:cs="Times New Roman"/>
          <w:sz w:val="20"/>
          <w:szCs w:val="20"/>
        </w:rPr>
        <w:t>Yeasin</w:t>
      </w:r>
      <w:proofErr w:type="spellEnd"/>
      <w:r w:rsidRPr="00DA4677">
        <w:rPr>
          <w:rFonts w:ascii="Times New Roman" w:hAnsi="Times New Roman" w:cs="Times New Roman"/>
          <w:sz w:val="20"/>
          <w:szCs w:val="20"/>
        </w:rPr>
        <w:t xml:space="preserve"> et al., 2025; Xiong et al., 2025). In sub-Saharan African populations, elevated PSA levels are often detected at later disease stages, reflecting diagnostic delays and restricted access to special</w:t>
      </w:r>
      <w:r w:rsidRPr="00DA4677">
        <w:rPr>
          <w:rFonts w:ascii="Times New Roman" w:hAnsi="Times New Roman" w:cs="Times New Roman"/>
          <w:sz w:val="20"/>
          <w:szCs w:val="20"/>
        </w:rPr>
        <w:t>ized care.</w:t>
      </w:r>
    </w:p>
    <w:p w14:paraId="59B7F47A"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In Ghana, the majority of existing studies on prostate cancer have been descriptive, focusing on hospital-based case series and prevalence assessments. These investigations have highlighted the predominance of late-stage diagnoses and high tumor</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burdens</w:t>
      </w:r>
      <w:r w:rsidRPr="00DA4677">
        <w:rPr>
          <w:rFonts w:ascii="Times New Roman" w:hAnsi="Times New Roman" w:cs="Times New Roman"/>
          <w:sz w:val="20"/>
          <w:szCs w:val="20"/>
        </w:rPr>
        <w:t xml:space="preserve"> but offer limited insights into the functional relationships among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clinical predictors of survival. Moreover,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conventional regression approaches used in these studies fail to address the nonlinear and interaction effects that characterize </w:t>
      </w:r>
      <w:r w:rsidRPr="00DA4677">
        <w:rPr>
          <w:rFonts w:ascii="Times New Roman" w:hAnsi="Times New Roman" w:cs="Times New Roman"/>
          <w:sz w:val="20"/>
          <w:szCs w:val="20"/>
        </w:rPr>
        <w:t>complex cancer data. The absence of such advanced modeling limits policy-level decision-making, particularly in resource-constrained environments where precision in prognostication is vital for optimizing treatment allocation.</w:t>
      </w:r>
    </w:p>
    <w:p w14:paraId="012ADBE5" w14:textId="77777777" w:rsidR="00612B51" w:rsidRPr="00DA4677" w:rsidRDefault="00C92CF8" w:rsidP="00612B51">
      <w:pPr>
        <w:pStyle w:val="NormalWeb"/>
        <w:rPr>
          <w:sz w:val="20"/>
          <w:szCs w:val="20"/>
        </w:rPr>
      </w:pPr>
      <w:r w:rsidRPr="00DA4677">
        <w:rPr>
          <w:sz w:val="20"/>
          <w:szCs w:val="20"/>
        </w:rPr>
        <w:t xml:space="preserve">Previous studies on prostate </w:t>
      </w:r>
      <w:r w:rsidRPr="00DA4677">
        <w:rPr>
          <w:sz w:val="20"/>
          <w:szCs w:val="20"/>
        </w:rPr>
        <w:t>cancer survival in Ghana have relied predominantly on linear Cox regression frameworks or descriptive statistics, which constrain the capacity to capture nonlinear and heterogeneous risk relationships across clinical variables. These approaches fail to acc</w:t>
      </w:r>
      <w:r w:rsidRPr="00DA4677">
        <w:rPr>
          <w:sz w:val="20"/>
          <w:szCs w:val="20"/>
        </w:rPr>
        <w:t>ount for the complex interactions between biochemical, pathological, and treatment-related factors that influence patient survival. Furthermore, existing models in the Ghanaian context have not systematically incorporated explainable artificial intelligenc</w:t>
      </w:r>
      <w:r w:rsidRPr="00DA4677">
        <w:rPr>
          <w:sz w:val="20"/>
          <w:szCs w:val="20"/>
        </w:rPr>
        <w:t>e (XAI) tools to interpret model outputs and quantify variable contributions to mortality risk.</w:t>
      </w:r>
    </w:p>
    <w:p w14:paraId="66115C5B" w14:textId="14E7F6A4" w:rsidR="00612B51" w:rsidRPr="00DA4677" w:rsidRDefault="00C92CF8" w:rsidP="006C527F">
      <w:pPr>
        <w:pStyle w:val="NormalWeb"/>
        <w:rPr>
          <w:sz w:val="20"/>
          <w:szCs w:val="20"/>
        </w:rPr>
      </w:pPr>
      <w:r w:rsidRPr="00DA4677">
        <w:rPr>
          <w:sz w:val="20"/>
          <w:szCs w:val="20"/>
        </w:rPr>
        <w:t>This study introduces a methodological advancement by integrating Shapley additive explanations (SHAP) analysis within the Cox proportional hazards model augmen</w:t>
      </w:r>
      <w:r w:rsidRPr="00DA4677">
        <w:rPr>
          <w:sz w:val="20"/>
          <w:szCs w:val="20"/>
        </w:rPr>
        <w:t>ted by restricted cubic splines. The SHAP component enhances interpretability by decomposing the model’s predicted log hazard into additive feature contributions, thereby offering both global importance rankings and individualized patient-level explanation</w:t>
      </w:r>
      <w:r w:rsidRPr="00DA4677">
        <w:rPr>
          <w:sz w:val="20"/>
          <w:szCs w:val="20"/>
        </w:rPr>
        <w:t>s. When combined with the spline-based flexibility of the Cox model, this hybrid framework overcomes the linearity constraint of traditional survival models and ensures transparent, data-driven risk attribution.</w:t>
      </w:r>
    </w:p>
    <w:p w14:paraId="431108AB"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This research addresses these gaps by applyi</w:t>
      </w:r>
      <w:r w:rsidRPr="00DA4677">
        <w:rPr>
          <w:rFonts w:ascii="Times New Roman" w:hAnsi="Times New Roman" w:cs="Times New Roman"/>
          <w:sz w:val="20"/>
          <w:szCs w:val="20"/>
        </w:rPr>
        <w:t>ng a Cox proportional hazards model integrated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to evaluate the nonlinear effects of age and tumor size on prostate cancer survival. The model also incorporates key categorical variables such as PSA levels, cancer stage,</w:t>
      </w:r>
      <w:r w:rsidRPr="00DA4677">
        <w:rPr>
          <w:rFonts w:ascii="Times New Roman" w:hAnsi="Times New Roman" w:cs="Times New Roman"/>
          <w:sz w:val="20"/>
          <w:szCs w:val="20"/>
        </w:rPr>
        <w:t xml:space="preserve"> Gleason score, and treatment modalities, </w:t>
      </w:r>
      <w:r w:rsidRPr="00DA4677">
        <w:rPr>
          <w:rFonts w:ascii="Times New Roman" w:hAnsi="Times New Roman" w:cs="Times New Roman"/>
          <w:sz w:val="20"/>
          <w:szCs w:val="20"/>
        </w:rPr>
        <w:lastRenderedPageBreak/>
        <w:t xml:space="preserve">providing a holistic understanding of survival determinants among Ghanaian men. By doing so, </w:t>
      </w:r>
      <w:r w:rsidRPr="00DA4677">
        <w:rPr>
          <w:rFonts w:ascii="Times New Roman" w:eastAsia="Calibri" w:hAnsi="Times New Roman" w:cs="Times New Roman"/>
          <w:sz w:val="20"/>
          <w:szCs w:val="20"/>
        </w:rPr>
        <w:t>this</w:t>
      </w:r>
      <w:r w:rsidRPr="00DA4677">
        <w:rPr>
          <w:rFonts w:ascii="Times New Roman" w:hAnsi="Times New Roman" w:cs="Times New Roman"/>
          <w:sz w:val="20"/>
          <w:szCs w:val="20"/>
        </w:rPr>
        <w:t xml:space="preserve"> study not only contributes novel methodological insights </w:t>
      </w:r>
      <w:r w:rsidRPr="00DA4677">
        <w:rPr>
          <w:rFonts w:ascii="Times New Roman" w:eastAsia="Calibri" w:hAnsi="Times New Roman" w:cs="Times New Roman"/>
          <w:sz w:val="20"/>
          <w:szCs w:val="20"/>
        </w:rPr>
        <w:t>into</w:t>
      </w:r>
      <w:r w:rsidRPr="00DA4677">
        <w:rPr>
          <w:rFonts w:ascii="Times New Roman" w:hAnsi="Times New Roman" w:cs="Times New Roman"/>
          <w:sz w:val="20"/>
          <w:szCs w:val="20"/>
        </w:rPr>
        <w:t xml:space="preserve"> local cancer epidemiology but also supports data-drive</w:t>
      </w:r>
      <w:r w:rsidRPr="00DA4677">
        <w:rPr>
          <w:rFonts w:ascii="Times New Roman" w:hAnsi="Times New Roman" w:cs="Times New Roman"/>
          <w:sz w:val="20"/>
          <w:szCs w:val="20"/>
        </w:rPr>
        <w:t xml:space="preserve">n strategies for early diagnosis and personalized treatment planning. The evidence generated is expected to guide national cancer control efforts </w:t>
      </w:r>
      <w:r w:rsidRPr="00DA4677">
        <w:rPr>
          <w:rFonts w:ascii="Times New Roman" w:eastAsia="Calibri" w:hAnsi="Times New Roman" w:cs="Times New Roman"/>
          <w:sz w:val="20"/>
          <w:szCs w:val="20"/>
        </w:rPr>
        <w:t>to achieve</w:t>
      </w:r>
      <w:r w:rsidRPr="00DA4677">
        <w:rPr>
          <w:rFonts w:ascii="Times New Roman" w:hAnsi="Times New Roman" w:cs="Times New Roman"/>
          <w:sz w:val="20"/>
          <w:szCs w:val="20"/>
        </w:rPr>
        <w:t xml:space="preserve"> SDG 3.4 (reducing premature cancer mortality) and SDG 3.d (strengthening health system resilience t</w:t>
      </w:r>
      <w:r w:rsidRPr="00DA4677">
        <w:rPr>
          <w:rFonts w:ascii="Times New Roman" w:hAnsi="Times New Roman" w:cs="Times New Roman"/>
          <w:sz w:val="20"/>
          <w:szCs w:val="20"/>
        </w:rPr>
        <w:t>hrough evidence-based care).</w:t>
      </w:r>
    </w:p>
    <w:p w14:paraId="7F865A64" w14:textId="255DA759" w:rsidR="00612B51" w:rsidRPr="00DA4677" w:rsidRDefault="006C527F" w:rsidP="00612B51">
      <w:pPr>
        <w:jc w:val="both"/>
        <w:rPr>
          <w:rFonts w:ascii="Times New Roman" w:hAnsi="Times New Roman" w:cs="Times New Roman"/>
          <w:sz w:val="20"/>
          <w:szCs w:val="20"/>
        </w:rPr>
      </w:pPr>
      <w:r>
        <w:rPr>
          <w:rFonts w:ascii="Times New Roman" w:hAnsi="Times New Roman" w:cs="Times New Roman"/>
          <w:sz w:val="20"/>
          <w:szCs w:val="20"/>
        </w:rPr>
        <w:t>Again, the</w:t>
      </w:r>
      <w:r w:rsidRPr="00DA4677">
        <w:rPr>
          <w:rFonts w:ascii="Times New Roman" w:hAnsi="Times New Roman" w:cs="Times New Roman"/>
          <w:sz w:val="20"/>
          <w:szCs w:val="20"/>
        </w:rPr>
        <w:t xml:space="preserve"> study aimed to build and validate a survival model for prostate cancer that captures nonlinear risk patterns relevant to clinical decision</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making in Ghana. The analysis focused on the flexible effects of age and tumor size, adjusted for PSA, clinical stage, Gleason score, nodal status, and treatment. The objectives were to estimate hazard functions with restricted cubic splines, assess proportional hazards, compare model performance with a linear Cox baseline, and present effect plots and </w:t>
      </w:r>
      <w:r w:rsidRPr="00DA4677">
        <w:rPr>
          <w:rFonts w:ascii="Times New Roman" w:eastAsia="Calibri" w:hAnsi="Times New Roman" w:cs="Times New Roman"/>
          <w:sz w:val="20"/>
          <w:szCs w:val="20"/>
        </w:rPr>
        <w:t>calibrations</w:t>
      </w:r>
      <w:r w:rsidRPr="00DA4677">
        <w:rPr>
          <w:rFonts w:ascii="Times New Roman" w:hAnsi="Times New Roman" w:cs="Times New Roman"/>
          <w:sz w:val="20"/>
          <w:szCs w:val="20"/>
        </w:rPr>
        <w:t xml:space="preserve"> suitable for clinical interpretation.</w:t>
      </w:r>
      <w:r w:rsidR="00274234" w:rsidRPr="00DA4677">
        <w:rPr>
          <w:rFonts w:ascii="Times New Roman" w:hAnsi="Times New Roman" w:cs="Times New Roman"/>
          <w:sz w:val="20"/>
          <w:szCs w:val="20"/>
        </w:rPr>
        <w:t xml:space="preserve"> The model was designed to support clinical decision pathways by providing flexible risk estimates suitable for triage, treatment planning, and follow-up prioritization within resource-limited oncology settings.</w:t>
      </w:r>
    </w:p>
    <w:p w14:paraId="60469919"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The integration of SHAP explainability addresses three critical gaps:</w:t>
      </w:r>
    </w:p>
    <w:p w14:paraId="0F6C4E25" w14:textId="77777777" w:rsidR="00612B51" w:rsidRPr="00DA4677" w:rsidRDefault="00C92CF8" w:rsidP="00612B51">
      <w:pPr>
        <w:numPr>
          <w:ilvl w:val="0"/>
          <w:numId w:val="4"/>
        </w:numPr>
        <w:jc w:val="both"/>
        <w:rPr>
          <w:rFonts w:ascii="Times New Roman" w:hAnsi="Times New Roman" w:cs="Times New Roman"/>
          <w:sz w:val="20"/>
          <w:szCs w:val="20"/>
        </w:rPr>
      </w:pPr>
      <w:r w:rsidRPr="00DA4677">
        <w:rPr>
          <w:rFonts w:ascii="Times New Roman" w:hAnsi="Times New Roman" w:cs="Times New Roman"/>
          <w:b/>
          <w:bCs/>
          <w:sz w:val="20"/>
          <w:szCs w:val="20"/>
        </w:rPr>
        <w:t>Analytical gap:</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This approach</w:t>
      </w:r>
      <w:r w:rsidRPr="00DA4677">
        <w:rPr>
          <w:rFonts w:ascii="Times New Roman" w:hAnsi="Times New Roman" w:cs="Times New Roman"/>
          <w:sz w:val="20"/>
          <w:szCs w:val="20"/>
        </w:rPr>
        <w:t xml:space="preserve"> extends conventional spline-based survival modeling into the explainable AI domain, providing interpretable nonlinear effects fo</w:t>
      </w:r>
      <w:r w:rsidRPr="00DA4677">
        <w:rPr>
          <w:rFonts w:ascii="Times New Roman" w:hAnsi="Times New Roman" w:cs="Times New Roman"/>
          <w:sz w:val="20"/>
          <w:szCs w:val="20"/>
        </w:rPr>
        <w:t>r continuous and categorical predictors.</w:t>
      </w:r>
    </w:p>
    <w:p w14:paraId="48FE90CC" w14:textId="77777777" w:rsidR="00612B51" w:rsidRPr="00DA4677" w:rsidRDefault="00C92CF8" w:rsidP="00612B51">
      <w:pPr>
        <w:numPr>
          <w:ilvl w:val="0"/>
          <w:numId w:val="4"/>
        </w:numPr>
        <w:jc w:val="both"/>
        <w:rPr>
          <w:rFonts w:ascii="Times New Roman" w:hAnsi="Times New Roman" w:cs="Times New Roman"/>
          <w:sz w:val="20"/>
          <w:szCs w:val="20"/>
        </w:rPr>
      </w:pPr>
      <w:r w:rsidRPr="00DA4677">
        <w:rPr>
          <w:rFonts w:ascii="Times New Roman" w:hAnsi="Times New Roman" w:cs="Times New Roman"/>
          <w:b/>
          <w:bCs/>
          <w:sz w:val="20"/>
          <w:szCs w:val="20"/>
        </w:rPr>
        <w:t>Empirical gap:</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This study provides</w:t>
      </w:r>
      <w:r w:rsidRPr="00DA4677">
        <w:rPr>
          <w:rFonts w:ascii="Times New Roman" w:hAnsi="Times New Roman" w:cs="Times New Roman"/>
          <w:sz w:val="20"/>
          <w:szCs w:val="20"/>
        </w:rPr>
        <w:t xml:space="preserve"> robust feature-level insights specific to Ghanaian prostate cancer patients, revealing context-sensitive drivers of mortality</w:t>
      </w:r>
      <w:r w:rsidRPr="00DA4677">
        <w:rPr>
          <w:rFonts w:ascii="Times New Roman" w:eastAsia="Calibri" w:hAnsi="Times New Roman" w:cs="Times New Roman"/>
          <w:sz w:val="20"/>
          <w:szCs w:val="20"/>
        </w:rPr>
        <w:t>,</w:t>
      </w:r>
      <w:r w:rsidRPr="00DA4677">
        <w:rPr>
          <w:rFonts w:ascii="Times New Roman" w:hAnsi="Times New Roman" w:cs="Times New Roman"/>
          <w:sz w:val="20"/>
          <w:szCs w:val="20"/>
        </w:rPr>
        <w:t xml:space="preserve"> such as tumor size, Gleason score, and treatment heterogeneity.</w:t>
      </w:r>
    </w:p>
    <w:p w14:paraId="6905B427" w14:textId="77777777" w:rsidR="00612B51" w:rsidRPr="00DA4677" w:rsidRDefault="00C92CF8" w:rsidP="00612B51">
      <w:pPr>
        <w:numPr>
          <w:ilvl w:val="0"/>
          <w:numId w:val="4"/>
        </w:numPr>
        <w:jc w:val="both"/>
        <w:rPr>
          <w:rFonts w:ascii="Times New Roman" w:hAnsi="Times New Roman" w:cs="Times New Roman"/>
          <w:sz w:val="20"/>
          <w:szCs w:val="20"/>
        </w:rPr>
      </w:pPr>
      <w:r w:rsidRPr="00DA4677">
        <w:rPr>
          <w:rFonts w:ascii="Times New Roman" w:hAnsi="Times New Roman" w:cs="Times New Roman"/>
          <w:b/>
          <w:bCs/>
          <w:sz w:val="20"/>
          <w:szCs w:val="20"/>
        </w:rPr>
        <w:t>Policy gap:</w:t>
      </w:r>
      <w:r w:rsidRPr="00DA4677">
        <w:rPr>
          <w:rFonts w:ascii="Times New Roman" w:hAnsi="Times New Roman" w:cs="Times New Roman"/>
          <w:sz w:val="20"/>
          <w:szCs w:val="20"/>
        </w:rPr>
        <w:t xml:space="preserve"> </w:t>
      </w:r>
      <w:r w:rsidRPr="00DA4677">
        <w:rPr>
          <w:rFonts w:ascii="Times New Roman" w:eastAsia="Calibri" w:hAnsi="Times New Roman" w:cs="Times New Roman"/>
          <w:sz w:val="20"/>
          <w:szCs w:val="20"/>
        </w:rPr>
        <w:t>This gap</w:t>
      </w:r>
      <w:r w:rsidRPr="00DA4677">
        <w:rPr>
          <w:rFonts w:ascii="Times New Roman" w:hAnsi="Times New Roman" w:cs="Times New Roman"/>
          <w:sz w:val="20"/>
          <w:szCs w:val="20"/>
        </w:rPr>
        <w:t xml:space="preserve"> enhances decision support for clinical practitioners and policymakers by linking statistical inference with explainable model outputs, facilitating transparent and indivi</w:t>
      </w:r>
      <w:r w:rsidRPr="00DA4677">
        <w:rPr>
          <w:rFonts w:ascii="Times New Roman" w:hAnsi="Times New Roman" w:cs="Times New Roman"/>
          <w:sz w:val="20"/>
          <w:szCs w:val="20"/>
        </w:rPr>
        <w:t>dualized risk communication in oncology practice.</w:t>
      </w:r>
    </w:p>
    <w:p w14:paraId="33C9810A" w14:textId="40543CC5" w:rsidR="00612B51" w:rsidRPr="00DA4677" w:rsidRDefault="006C527F" w:rsidP="00347080">
      <w:pPr>
        <w:pStyle w:val="NormalWeb"/>
        <w:jc w:val="both"/>
        <w:rPr>
          <w:sz w:val="20"/>
          <w:szCs w:val="20"/>
        </w:rPr>
      </w:pPr>
      <w:r>
        <w:rPr>
          <w:sz w:val="20"/>
          <w:szCs w:val="20"/>
        </w:rPr>
        <w:t>Moreover, t</w:t>
      </w:r>
      <w:r w:rsidRPr="00DA4677">
        <w:rPr>
          <w:sz w:val="20"/>
          <w:szCs w:val="20"/>
        </w:rPr>
        <w:t>his study builds upon prior epidemiologic findings by providing a flexible survival framework capable of capturing nonlinear risk gradients relevant to the Ghanaian context. The spline-augmented Cox model and SHAP explainability provide a structured approach that aligns with contemporary precision-oncology objectives. The reviewed evidence highlights a persistent pattern of late-stage diagnosis and heterogeneous risk profiles in Ghana, supporting the need for an adaptable modeling framework capable of capturing nonlinear effects in survival data.</w:t>
      </w:r>
    </w:p>
    <w:p w14:paraId="54682A42" w14:textId="77777777" w:rsidR="00612B51" w:rsidRPr="00DA4677" w:rsidRDefault="00C92CF8"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 xml:space="preserve">Materials and </w:t>
      </w:r>
      <w:r w:rsidRPr="00DA4677">
        <w:rPr>
          <w:rFonts w:ascii="Times New Roman" w:eastAsia="Calibri" w:hAnsi="Times New Roman" w:cs="Times New Roman"/>
          <w:b/>
          <w:bCs/>
          <w:sz w:val="20"/>
          <w:szCs w:val="20"/>
        </w:rPr>
        <w:t>methods</w:t>
      </w:r>
    </w:p>
    <w:p w14:paraId="3B2A06B6" w14:textId="77777777" w:rsidR="00612B51" w:rsidRPr="00DA4677" w:rsidRDefault="00C92CF8"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Study Design and Setting</w:t>
      </w:r>
    </w:p>
    <w:p w14:paraId="228A5557" w14:textId="5BB5841D"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This was a retrospective cohort study of men with histologically confirmed prostate cancer managed at Korle</w:t>
      </w:r>
      <w:r w:rsidRPr="00DA4677">
        <w:rPr>
          <w:rFonts w:ascii="Times New Roman" w:hAnsi="Times New Roman" w:cs="Times New Roman"/>
          <w:sz w:val="20"/>
          <w:szCs w:val="20"/>
        </w:rPr>
        <w:t xml:space="preserve"> Bu Teaching Hospital, Ghana, </w:t>
      </w:r>
      <w:r w:rsidRPr="00DA4677">
        <w:rPr>
          <w:rFonts w:ascii="Times New Roman" w:eastAsia="Calibri" w:hAnsi="Times New Roman" w:cs="Times New Roman"/>
          <w:sz w:val="20"/>
          <w:szCs w:val="20"/>
        </w:rPr>
        <w:t>from</w:t>
      </w:r>
      <w:r w:rsidRPr="00DA4677">
        <w:rPr>
          <w:rFonts w:ascii="Times New Roman" w:hAnsi="Times New Roman" w:cs="Times New Roman"/>
          <w:sz w:val="20"/>
          <w:szCs w:val="20"/>
        </w:rPr>
        <w:t xml:space="preserve"> </w:t>
      </w:r>
      <w:r w:rsidR="00DD7901">
        <w:rPr>
          <w:rFonts w:ascii="Times New Roman" w:hAnsi="Times New Roman" w:cs="Times New Roman"/>
          <w:sz w:val="20"/>
          <w:szCs w:val="20"/>
        </w:rPr>
        <w:t xml:space="preserve">2015 to 2020. </w:t>
      </w:r>
      <w:r w:rsidRPr="00DA4677">
        <w:rPr>
          <w:rFonts w:ascii="Times New Roman" w:eastAsia="Calibri" w:hAnsi="Times New Roman" w:cs="Times New Roman"/>
          <w:sz w:val="20"/>
          <w:szCs w:val="20"/>
        </w:rPr>
        <w:t>The time of</w:t>
      </w:r>
      <w:r w:rsidRPr="00DA4677">
        <w:rPr>
          <w:rFonts w:ascii="Times New Roman" w:hAnsi="Times New Roman" w:cs="Times New Roman"/>
          <w:sz w:val="20"/>
          <w:szCs w:val="20"/>
        </w:rPr>
        <w:t xml:space="preserve"> origin was the date of histologic diagnosis. Patients were followed until death to the event of interest (prostate cancer). </w:t>
      </w:r>
      <w:r w:rsidRPr="00DA4677">
        <w:rPr>
          <w:rFonts w:ascii="Times New Roman" w:eastAsia="Calibri" w:hAnsi="Times New Roman" w:cs="Times New Roman"/>
          <w:sz w:val="20"/>
          <w:szCs w:val="20"/>
        </w:rPr>
        <w:t>The inclusion</w:t>
      </w:r>
      <w:r w:rsidRPr="00DA4677">
        <w:rPr>
          <w:rFonts w:ascii="Times New Roman" w:hAnsi="Times New Roman" w:cs="Times New Roman"/>
          <w:sz w:val="20"/>
          <w:szCs w:val="20"/>
        </w:rPr>
        <w:t xml:space="preserve"> criteria were age ≥18 </w:t>
      </w:r>
      <w:r w:rsidR="000F4926">
        <w:rPr>
          <w:rFonts w:ascii="Times New Roman" w:hAnsi="Times New Roman" w:cs="Times New Roman"/>
          <w:sz w:val="20"/>
          <w:szCs w:val="20"/>
        </w:rPr>
        <w:t>years and</w:t>
      </w:r>
      <w:r w:rsidRPr="00DA4677">
        <w:rPr>
          <w:rFonts w:ascii="Times New Roman" w:hAnsi="Times New Roman" w:cs="Times New Roman"/>
          <w:sz w:val="20"/>
          <w:szCs w:val="20"/>
        </w:rPr>
        <w:t xml:space="preserve"> availability of baseline </w:t>
      </w:r>
      <w:r w:rsidRPr="00DA4677">
        <w:rPr>
          <w:rFonts w:ascii="Times New Roman" w:hAnsi="Times New Roman" w:cs="Times New Roman"/>
          <w:sz w:val="20"/>
          <w:szCs w:val="20"/>
        </w:rPr>
        <w:t xml:space="preserve">clinical variables at diagnosis. </w:t>
      </w:r>
      <w:r w:rsidRPr="00DA4677">
        <w:rPr>
          <w:rFonts w:ascii="Times New Roman" w:eastAsia="Calibri" w:hAnsi="Times New Roman" w:cs="Times New Roman"/>
          <w:sz w:val="20"/>
          <w:szCs w:val="20"/>
        </w:rPr>
        <w:t>The exclusion</w:t>
      </w:r>
      <w:r w:rsidRPr="00DA4677">
        <w:rPr>
          <w:rFonts w:ascii="Times New Roman" w:hAnsi="Times New Roman" w:cs="Times New Roman"/>
          <w:sz w:val="20"/>
          <w:szCs w:val="20"/>
        </w:rPr>
        <w:t xml:space="preserve"> criteria were prior malignancy requiring systemic therapy and missing diagnosis </w:t>
      </w:r>
      <w:r w:rsidRPr="00DA4677">
        <w:rPr>
          <w:rFonts w:ascii="Times New Roman" w:eastAsia="Calibri" w:hAnsi="Times New Roman" w:cs="Times New Roman"/>
          <w:sz w:val="20"/>
          <w:szCs w:val="20"/>
        </w:rPr>
        <w:t xml:space="preserve">data. </w:t>
      </w:r>
      <w:r w:rsidRPr="00DA4677">
        <w:rPr>
          <w:rFonts w:ascii="Times New Roman" w:hAnsi="Times New Roman" w:cs="Times New Roman"/>
          <w:sz w:val="20"/>
          <w:szCs w:val="20"/>
        </w:rPr>
        <w:t xml:space="preserve">The primary endpoint was overall survival, defined as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time from diagnosis to death from any cause. Patients without </w:t>
      </w:r>
      <w:r w:rsidRPr="00DA4677">
        <w:rPr>
          <w:rFonts w:ascii="Times New Roman" w:eastAsia="Calibri" w:hAnsi="Times New Roman" w:cs="Times New Roman"/>
          <w:sz w:val="20"/>
          <w:szCs w:val="20"/>
        </w:rPr>
        <w:t>eve</w:t>
      </w:r>
      <w:r w:rsidRPr="00DA4677">
        <w:rPr>
          <w:rFonts w:ascii="Times New Roman" w:eastAsia="Calibri" w:hAnsi="Times New Roman" w:cs="Times New Roman"/>
          <w:sz w:val="20"/>
          <w:szCs w:val="20"/>
        </w:rPr>
        <w:t>nts</w:t>
      </w:r>
      <w:r w:rsidRPr="00DA4677">
        <w:rPr>
          <w:rFonts w:ascii="Times New Roman" w:hAnsi="Times New Roman" w:cs="Times New Roman"/>
          <w:sz w:val="20"/>
          <w:szCs w:val="20"/>
        </w:rPr>
        <w:t xml:space="preserve"> at censoring were treated as right-censored. The analysis used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time since diagnosis in months. </w:t>
      </w:r>
      <w:r w:rsidRPr="00DA4677">
        <w:rPr>
          <w:rFonts w:ascii="Times New Roman" w:eastAsia="Calibri" w:hAnsi="Times New Roman" w:cs="Times New Roman"/>
          <w:sz w:val="20"/>
          <w:szCs w:val="20"/>
        </w:rPr>
        <w:t>The prespecified</w:t>
      </w:r>
      <w:r w:rsidRPr="00DA4677">
        <w:rPr>
          <w:rFonts w:ascii="Times New Roman" w:hAnsi="Times New Roman" w:cs="Times New Roman"/>
          <w:sz w:val="20"/>
          <w:szCs w:val="20"/>
        </w:rPr>
        <w:t xml:space="preserve"> baseline predictors included age (years), tumor size (cm), PSA (ng/mL), clinical stage, Gleason score, regional lymph node involvement, and first-line treatment category. </w:t>
      </w:r>
      <w:r w:rsidR="00636F42" w:rsidRPr="00DA4677">
        <w:rPr>
          <w:rFonts w:ascii="Times New Roman" w:hAnsi="Times New Roman" w:cs="Times New Roman"/>
          <w:sz w:val="20"/>
          <w:szCs w:val="20"/>
        </w:rPr>
        <w:t xml:space="preserve">Global and covariate-specific proportional hazards assumptions were evaluated </w:t>
      </w:r>
      <w:r w:rsidR="007B413A">
        <w:rPr>
          <w:rFonts w:ascii="Times New Roman" w:hAnsi="Times New Roman" w:cs="Times New Roman"/>
          <w:sz w:val="20"/>
          <w:szCs w:val="20"/>
        </w:rPr>
        <w:t xml:space="preserve">via </w:t>
      </w:r>
      <w:r w:rsidR="007B413A" w:rsidRPr="007B413A">
        <w:rPr>
          <w:rFonts w:ascii="Times New Roman" w:eastAsia="Calibri" w:hAnsi="Times New Roman" w:cs="Times New Roman"/>
          <w:sz w:val="20"/>
          <w:szCs w:val="20"/>
        </w:rPr>
        <w:t>graphical diagnostics</w:t>
      </w:r>
      <w:r w:rsidR="00636F42" w:rsidRPr="00DA4677">
        <w:rPr>
          <w:rFonts w:ascii="Times New Roman" w:hAnsi="Times New Roman" w:cs="Times New Roman"/>
          <w:sz w:val="20"/>
          <w:szCs w:val="20"/>
        </w:rPr>
        <w:t xml:space="preserve"> tests. </w:t>
      </w:r>
      <w:r w:rsidRPr="00DA4677">
        <w:rPr>
          <w:rFonts w:ascii="Times New Roman" w:hAnsi="Times New Roman" w:cs="Times New Roman"/>
          <w:sz w:val="20"/>
          <w:szCs w:val="20"/>
        </w:rPr>
        <w:t xml:space="preserve">Cox proportional hazards models were fitted to estimate hazard ratios. Flexible effects for age and tumor size were introduced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restricted cubic splines to allow data-driven curvature while preserving smoothness.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RCS model</w:t>
      </w:r>
      <w:r w:rsidRPr="00DA4677">
        <w:rPr>
          <w:rFonts w:ascii="Times New Roman" w:hAnsi="Times New Roman" w:cs="Times New Roman"/>
          <w:sz w:val="20"/>
          <w:szCs w:val="20"/>
        </w:rPr>
        <w:t xml:space="preserve">s were fitted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four interior knots located at the 5th, 35th, 65th, and 95th percentiles of each continuous predictor distribution. </w:t>
      </w:r>
      <w:r w:rsidRPr="00DA4677">
        <w:rPr>
          <w:rFonts w:ascii="Times New Roman" w:eastAsia="Calibri" w:hAnsi="Times New Roman" w:cs="Times New Roman"/>
          <w:sz w:val="20"/>
          <w:szCs w:val="20"/>
        </w:rPr>
        <w:t>The reference</w:t>
      </w:r>
      <w:r w:rsidRPr="00DA4677">
        <w:rPr>
          <w:rFonts w:ascii="Times New Roman" w:hAnsi="Times New Roman" w:cs="Times New Roman"/>
          <w:sz w:val="20"/>
          <w:szCs w:val="20"/>
        </w:rPr>
        <w:t xml:space="preserve"> categories were Stage I for cancer stage, low PSA for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PSA category, and no therapy for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treatment var</w:t>
      </w:r>
      <w:r w:rsidRPr="00DA4677">
        <w:rPr>
          <w:rFonts w:ascii="Times New Roman" w:hAnsi="Times New Roman" w:cs="Times New Roman"/>
          <w:sz w:val="20"/>
          <w:szCs w:val="20"/>
        </w:rPr>
        <w:t xml:space="preserve">iables. SHAP values were computed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a log</w:t>
      </w:r>
      <w:r w:rsidRPr="00DA4677">
        <w:rPr>
          <w:rFonts w:ascii="Times New Roman" w:eastAsia="Calibri" w:hAnsi="Times New Roman" w:cs="Times New Roman"/>
          <w:sz w:val="20"/>
          <w:szCs w:val="20"/>
        </w:rPr>
        <w:t xml:space="preserve"> </w:t>
      </w:r>
      <w:r w:rsidRPr="00DA4677">
        <w:rPr>
          <w:rFonts w:ascii="Times New Roman" w:hAnsi="Times New Roman" w:cs="Times New Roman"/>
          <w:sz w:val="20"/>
          <w:szCs w:val="20"/>
        </w:rPr>
        <w:t>hazard–based explainer with the Cox model linear predictor as the background expectation.</w:t>
      </w:r>
      <w:r w:rsidR="00636F42">
        <w:rPr>
          <w:rFonts w:ascii="Times New Roman" w:hAnsi="Times New Roman" w:cs="Times New Roman"/>
          <w:sz w:val="20"/>
          <w:szCs w:val="20"/>
        </w:rPr>
        <w:t xml:space="preserve"> </w:t>
      </w:r>
      <w:r w:rsidRPr="00DA4677">
        <w:rPr>
          <w:rFonts w:ascii="Times New Roman" w:hAnsi="Times New Roman" w:cs="Times New Roman"/>
          <w:sz w:val="20"/>
          <w:szCs w:val="20"/>
        </w:rPr>
        <w:t xml:space="preserve">Nonlinearity was assessed </w:t>
      </w:r>
      <w:r w:rsidRPr="00DA4677">
        <w:rPr>
          <w:rFonts w:ascii="Times New Roman" w:eastAsia="Calibri" w:hAnsi="Times New Roman" w:cs="Times New Roman"/>
          <w:sz w:val="20"/>
          <w:szCs w:val="20"/>
        </w:rPr>
        <w:t>via</w:t>
      </w:r>
      <w:r w:rsidRPr="00DA4677">
        <w:rPr>
          <w:rFonts w:ascii="Times New Roman" w:hAnsi="Times New Roman" w:cs="Times New Roman"/>
          <w:sz w:val="20"/>
          <w:szCs w:val="20"/>
        </w:rPr>
        <w:t xml:space="preserve"> Wald tests</w:t>
      </w:r>
      <w:r w:rsidRPr="00DA4677">
        <w:rPr>
          <w:rFonts w:ascii="Times New Roman" w:eastAsia="Calibri" w:hAnsi="Times New Roman" w:cs="Times New Roman"/>
          <w:sz w:val="20"/>
          <w:szCs w:val="20"/>
        </w:rPr>
        <w:t>, which compared</w:t>
      </w:r>
      <w:r w:rsidRPr="00DA4677">
        <w:rPr>
          <w:rFonts w:ascii="Times New Roman" w:hAnsi="Times New Roman" w:cs="Times New Roman"/>
          <w:sz w:val="20"/>
          <w:szCs w:val="20"/>
        </w:rPr>
        <w:t xml:space="preserve"> the spline model with its linear counterpart. Partial effect plot</w:t>
      </w:r>
      <w:r w:rsidRPr="00DA4677">
        <w:rPr>
          <w:rFonts w:ascii="Times New Roman" w:hAnsi="Times New Roman" w:cs="Times New Roman"/>
          <w:sz w:val="20"/>
          <w:szCs w:val="20"/>
        </w:rPr>
        <w:t>s display adjusted hazard ratios across the observed range, anchored at clinically meaningful reference values with 95% confidence intervals.</w:t>
      </w:r>
    </w:p>
    <w:p w14:paraId="2B3B4CF7" w14:textId="77777777" w:rsidR="00612B51" w:rsidRDefault="00C92CF8" w:rsidP="00612B51">
      <w:pPr>
        <w:jc w:val="both"/>
        <w:rPr>
          <w:rFonts w:ascii="Times New Roman" w:hAnsi="Times New Roman" w:cs="Times New Roman"/>
          <w:sz w:val="20"/>
          <w:szCs w:val="20"/>
        </w:rPr>
      </w:pPr>
      <w:r w:rsidRPr="00816922">
        <w:rPr>
          <w:rFonts w:ascii="Times New Roman" w:hAnsi="Times New Roman" w:cs="Times New Roman"/>
          <w:sz w:val="20"/>
          <w:szCs w:val="20"/>
        </w:rPr>
        <w:t xml:space="preserve">Descriptive statistics were computed for all </w:t>
      </w:r>
      <w:r w:rsidRPr="00816922">
        <w:rPr>
          <w:rFonts w:ascii="Times New Roman" w:eastAsia="Calibri" w:hAnsi="Times New Roman" w:cs="Times New Roman"/>
          <w:sz w:val="20"/>
          <w:szCs w:val="20"/>
        </w:rPr>
        <w:t xml:space="preserve">the </w:t>
      </w:r>
      <w:r w:rsidRPr="00816922">
        <w:rPr>
          <w:rFonts w:ascii="Times New Roman" w:hAnsi="Times New Roman" w:cs="Times New Roman"/>
          <w:sz w:val="20"/>
          <w:szCs w:val="20"/>
        </w:rPr>
        <w:t xml:space="preserve">variables. Continuous variables </w:t>
      </w:r>
      <w:r w:rsidRPr="00816922">
        <w:rPr>
          <w:rFonts w:ascii="Times New Roman" w:eastAsia="Calibri" w:hAnsi="Times New Roman" w:cs="Times New Roman"/>
          <w:sz w:val="20"/>
          <w:szCs w:val="20"/>
        </w:rPr>
        <w:t>are</w:t>
      </w:r>
      <w:r w:rsidRPr="00816922">
        <w:rPr>
          <w:rFonts w:ascii="Times New Roman" w:hAnsi="Times New Roman" w:cs="Times New Roman"/>
          <w:sz w:val="20"/>
          <w:szCs w:val="20"/>
        </w:rPr>
        <w:t xml:space="preserve"> summarized as </w:t>
      </w:r>
      <w:r w:rsidRPr="00816922">
        <w:rPr>
          <w:rFonts w:ascii="Times New Roman" w:eastAsia="Calibri" w:hAnsi="Times New Roman" w:cs="Times New Roman"/>
          <w:sz w:val="20"/>
          <w:szCs w:val="20"/>
        </w:rPr>
        <w:t xml:space="preserve">the </w:t>
      </w:r>
      <w:r w:rsidRPr="00816922">
        <w:rPr>
          <w:rFonts w:ascii="Times New Roman" w:hAnsi="Times New Roman" w:cs="Times New Roman"/>
          <w:sz w:val="20"/>
          <w:szCs w:val="20"/>
        </w:rPr>
        <w:t>means and s</w:t>
      </w:r>
      <w:r w:rsidRPr="00816922">
        <w:rPr>
          <w:rFonts w:ascii="Times New Roman" w:hAnsi="Times New Roman" w:cs="Times New Roman"/>
          <w:sz w:val="20"/>
          <w:szCs w:val="20"/>
        </w:rPr>
        <w:t xml:space="preserve">tandard deviations, </w:t>
      </w:r>
      <w:r w:rsidRPr="00816922">
        <w:rPr>
          <w:rFonts w:ascii="Times New Roman" w:eastAsia="Calibri" w:hAnsi="Times New Roman" w:cs="Times New Roman"/>
          <w:sz w:val="20"/>
          <w:szCs w:val="20"/>
        </w:rPr>
        <w:t>whereas</w:t>
      </w:r>
      <w:r w:rsidRPr="00816922">
        <w:rPr>
          <w:rFonts w:ascii="Times New Roman" w:hAnsi="Times New Roman" w:cs="Times New Roman"/>
          <w:sz w:val="20"/>
          <w:szCs w:val="20"/>
        </w:rPr>
        <w:t xml:space="preserve"> categorical variables </w:t>
      </w:r>
      <w:r w:rsidRPr="00816922">
        <w:rPr>
          <w:rFonts w:ascii="Times New Roman" w:eastAsia="Calibri" w:hAnsi="Times New Roman" w:cs="Times New Roman"/>
          <w:sz w:val="20"/>
          <w:szCs w:val="20"/>
        </w:rPr>
        <w:t>are</w:t>
      </w:r>
      <w:r w:rsidRPr="00816922">
        <w:rPr>
          <w:rFonts w:ascii="Times New Roman" w:hAnsi="Times New Roman" w:cs="Times New Roman"/>
          <w:sz w:val="20"/>
          <w:szCs w:val="20"/>
        </w:rPr>
        <w:t xml:space="preserve"> presented as counts and percentages. The mean patient age was 52.76 ± 17.65 years, and the average tumor size was 5.47 ± 2.60 cm, indicating a predominance of middle-aged individuals with moderate tumor</w:t>
      </w:r>
      <w:r w:rsidRPr="00816922">
        <w:rPr>
          <w:rFonts w:ascii="Times New Roman" w:hAnsi="Times New Roman" w:cs="Times New Roman"/>
          <w:sz w:val="20"/>
          <w:szCs w:val="20"/>
        </w:rPr>
        <w:t xml:space="preserve"> burdens at diagnosis. Most patients presented </w:t>
      </w:r>
      <w:r w:rsidRPr="00816922">
        <w:rPr>
          <w:rFonts w:ascii="Times New Roman" w:eastAsia="Calibri" w:hAnsi="Times New Roman" w:cs="Times New Roman"/>
          <w:sz w:val="20"/>
          <w:szCs w:val="20"/>
        </w:rPr>
        <w:t>with</w:t>
      </w:r>
      <w:r w:rsidRPr="00816922">
        <w:rPr>
          <w:rFonts w:ascii="Times New Roman" w:hAnsi="Times New Roman" w:cs="Times New Roman"/>
          <w:sz w:val="20"/>
          <w:szCs w:val="20"/>
        </w:rPr>
        <w:t xml:space="preserve"> Stage II (30%) </w:t>
      </w:r>
      <w:r w:rsidRPr="00816922">
        <w:rPr>
          <w:rFonts w:ascii="Times New Roman" w:eastAsia="Calibri" w:hAnsi="Times New Roman" w:cs="Times New Roman"/>
          <w:sz w:val="20"/>
          <w:szCs w:val="20"/>
        </w:rPr>
        <w:t>or</w:t>
      </w:r>
      <w:r w:rsidRPr="00816922">
        <w:rPr>
          <w:rFonts w:ascii="Times New Roman" w:hAnsi="Times New Roman" w:cs="Times New Roman"/>
          <w:sz w:val="20"/>
          <w:szCs w:val="20"/>
        </w:rPr>
        <w:t xml:space="preserve"> Stage </w:t>
      </w:r>
      <w:r w:rsidRPr="00816922">
        <w:rPr>
          <w:rFonts w:ascii="Times New Roman" w:hAnsi="Times New Roman" w:cs="Times New Roman"/>
          <w:sz w:val="20"/>
          <w:szCs w:val="20"/>
        </w:rPr>
        <w:lastRenderedPageBreak/>
        <w:t>III (28%)</w:t>
      </w:r>
      <w:r w:rsidRPr="00816922">
        <w:rPr>
          <w:rFonts w:ascii="Times New Roman" w:eastAsia="Calibri" w:hAnsi="Times New Roman" w:cs="Times New Roman"/>
          <w:sz w:val="20"/>
          <w:szCs w:val="20"/>
        </w:rPr>
        <w:t xml:space="preserve"> disease, whereas</w:t>
      </w:r>
      <w:r w:rsidRPr="00816922">
        <w:rPr>
          <w:rFonts w:ascii="Times New Roman" w:hAnsi="Times New Roman" w:cs="Times New Roman"/>
          <w:sz w:val="20"/>
          <w:szCs w:val="20"/>
        </w:rPr>
        <w:t xml:space="preserve"> 17% had</w:t>
      </w:r>
      <w:r w:rsidRPr="00DA4677">
        <w:rPr>
          <w:rFonts w:ascii="Times New Roman" w:hAnsi="Times New Roman" w:cs="Times New Roman"/>
          <w:sz w:val="20"/>
          <w:szCs w:val="20"/>
        </w:rPr>
        <w:t xml:space="preserve"> Stage IV disease, highlighting the late presentation pattern observed in Ghanaian prostate cancer </w:t>
      </w:r>
      <w:r w:rsidRPr="00DA4677">
        <w:rPr>
          <w:rFonts w:ascii="Times New Roman" w:eastAsia="Calibri" w:hAnsi="Times New Roman" w:cs="Times New Roman"/>
          <w:sz w:val="20"/>
          <w:szCs w:val="20"/>
        </w:rPr>
        <w:t>patients</w:t>
      </w:r>
      <w:r w:rsidRPr="00DA4677">
        <w:rPr>
          <w:rFonts w:ascii="Times New Roman" w:hAnsi="Times New Roman" w:cs="Times New Roman"/>
          <w:sz w:val="20"/>
          <w:szCs w:val="20"/>
        </w:rPr>
        <w:t>.</w:t>
      </w:r>
    </w:p>
    <w:p w14:paraId="22081F18" w14:textId="77777777" w:rsidR="007B413A" w:rsidRPr="007B413A" w:rsidRDefault="007B413A" w:rsidP="007B413A">
      <w:pPr>
        <w:jc w:val="both"/>
        <w:rPr>
          <w:rFonts w:ascii="Times New Roman" w:hAnsi="Times New Roman" w:cs="Times New Roman"/>
          <w:sz w:val="20"/>
          <w:szCs w:val="20"/>
        </w:rPr>
      </w:pPr>
      <w:r w:rsidRPr="007B413A">
        <w:rPr>
          <w:rFonts w:ascii="Times New Roman" w:hAnsi="Times New Roman" w:cs="Times New Roman"/>
          <w:sz w:val="20"/>
          <w:szCs w:val="20"/>
        </w:rPr>
        <w:t xml:space="preserve">Although the Cox proportional hazards model assumes that the effect of a covariate on the hazard remains constant over time, the </w:t>
      </w:r>
      <w:bookmarkStart w:id="5" w:name="_Hlk214010864"/>
      <w:r w:rsidRPr="007B413A">
        <w:rPr>
          <w:rFonts w:ascii="Times New Roman" w:hAnsi="Times New Roman" w:cs="Times New Roman"/>
          <w:sz w:val="20"/>
          <w:szCs w:val="20"/>
        </w:rPr>
        <w:t xml:space="preserve">graphical diagnostics </w:t>
      </w:r>
      <w:bookmarkEnd w:id="5"/>
      <w:r w:rsidRPr="007B413A">
        <w:rPr>
          <w:rFonts w:ascii="Times New Roman" w:hAnsi="Times New Roman" w:cs="Times New Roman"/>
          <w:sz w:val="20"/>
          <w:szCs w:val="20"/>
        </w:rPr>
        <w:t>from this study indicate that this assumption may not fully hold for age and tumor size. The complementary log–log plots stratified by quartiles (Figure S1 for age; Figure S2 for tumor size) show mild but visible divergence and partial crossings of the curves across follow-up time. Such departures suggest that the hazards associated with these continuous predictors may vary nonlinearly rather than proportionally. Instead of imposing a strict linearity and proportionality constraint, the use of restricted cubic splines provides a flexible structure that allows the effect of age and tumor size to bend smoothly across their ranges and accommodate latent time-dependent variation. This approach offers a principled method for relaxing potential violations of the proportional hazards assumption while retaining the interpretability and robustness of the semiparametric Cox framework. For this reason, the study adopted spline-based modeling for these covariates, ensuring that their complex, nonlinear contributions to mortality risk were accurately captured.</w:t>
      </w:r>
    </w:p>
    <w:p w14:paraId="3B14425E" w14:textId="77777777" w:rsidR="007B413A" w:rsidRPr="00DA4677" w:rsidRDefault="007B413A" w:rsidP="00612B51">
      <w:pPr>
        <w:jc w:val="both"/>
        <w:rPr>
          <w:rFonts w:ascii="Times New Roman" w:hAnsi="Times New Roman" w:cs="Times New Roman"/>
          <w:sz w:val="20"/>
          <w:szCs w:val="20"/>
        </w:rPr>
      </w:pPr>
    </w:p>
    <w:p w14:paraId="1D046E68"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Cox </w:t>
      </w:r>
      <w:r w:rsidRPr="00DA4677">
        <w:rPr>
          <w:rFonts w:ascii="Times New Roman" w:eastAsia="Times New Roman" w:hAnsi="Times New Roman" w:cs="Times New Roman"/>
          <w:b/>
          <w:bCs/>
          <w:color w:val="auto"/>
          <w:sz w:val="20"/>
          <w:szCs w:val="20"/>
        </w:rPr>
        <w:t>proportional hazards (PH) model</w:t>
      </w:r>
    </w:p>
    <w:p w14:paraId="4E0C5AFB"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 xml:space="preserve">The main analytical model </w:t>
      </w:r>
      <w:r w:rsidRPr="00DA4677">
        <w:rPr>
          <w:rFonts w:cs="Times New Roman"/>
          <w:sz w:val="20"/>
          <w:szCs w:val="20"/>
        </w:rPr>
        <w:t>applied in this study is the Cox proportional hazards model, defined as</w:t>
      </w:r>
    </w:p>
    <w:p w14:paraId="4B0B28CC" w14:textId="77777777" w:rsidR="00612B51" w:rsidRPr="00DA4677" w:rsidRDefault="00C92CF8" w:rsidP="00C653E8">
      <w:pPr>
        <w:pStyle w:val="BodyText"/>
        <w:jc w:val="center"/>
        <w:rPr>
          <w:rFonts w:cs="Times New Roman"/>
          <w:sz w:val="20"/>
          <w:szCs w:val="20"/>
        </w:rPr>
      </w:pPr>
      <m:oMath>
        <m:r>
          <w:rPr>
            <w:rFonts w:ascii="Cambria Math" w:hAnsi="Cambria Math" w:cs="Times New Roman"/>
            <w:sz w:val="20"/>
            <w:szCs w:val="20"/>
          </w:rPr>
          <m:t>h</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)×exp(</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p</m:t>
            </m:r>
          </m:sub>
        </m:sSub>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p</m:t>
            </m:r>
          </m:sub>
        </m:sSub>
        <m:r>
          <m:rPr>
            <m:sty m:val="p"/>
          </m:rPr>
          <w:rPr>
            <w:rFonts w:ascii="Cambria Math" w:hAnsi="Cambria Math" w:cs="Times New Roman"/>
            <w:sz w:val="20"/>
            <w:szCs w:val="20"/>
          </w:rPr>
          <m:t>)</m:t>
        </m:r>
      </m:oMath>
      <w:r w:rsidRPr="00DA4677">
        <w:rPr>
          <w:rFonts w:eastAsiaTheme="minorEastAsia" w:cs="Times New Roman"/>
          <w:sz w:val="20"/>
          <w:szCs w:val="20"/>
        </w:rPr>
        <w:t>………………</w:t>
      </w:r>
      <w:proofErr w:type="gramStart"/>
      <w:r w:rsidRPr="00DA4677">
        <w:rPr>
          <w:rFonts w:eastAsiaTheme="minorEastAsia" w:cs="Times New Roman"/>
          <w:sz w:val="20"/>
          <w:szCs w:val="20"/>
        </w:rPr>
        <w:t>…(</w:t>
      </w:r>
      <w:proofErr w:type="gramEnd"/>
      <w:r w:rsidRPr="00DA4677">
        <w:rPr>
          <w:rFonts w:eastAsiaTheme="minorEastAsia" w:cs="Times New Roman"/>
          <w:sz w:val="20"/>
          <w:szCs w:val="20"/>
        </w:rPr>
        <w:t>1)</w:t>
      </w:r>
    </w:p>
    <w:p w14:paraId="0628FD3E"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Restricted Cubic Splines (</w:t>
      </w:r>
      <w:r w:rsidRPr="00DA4677">
        <w:rPr>
          <w:rFonts w:ascii="Times New Roman" w:eastAsia="Times New Roman" w:hAnsi="Times New Roman" w:cs="Times New Roman"/>
          <w:b/>
          <w:bCs/>
          <w:color w:val="auto"/>
          <w:sz w:val="20"/>
          <w:szCs w:val="20"/>
        </w:rPr>
        <w:t>RCSs</w:t>
      </w:r>
      <w:r w:rsidRPr="00DA4677">
        <w:rPr>
          <w:rFonts w:ascii="Times New Roman" w:hAnsi="Times New Roman" w:cs="Times New Roman"/>
          <w:b/>
          <w:bCs/>
          <w:color w:val="auto"/>
          <w:sz w:val="20"/>
          <w:szCs w:val="20"/>
        </w:rPr>
        <w:t>)</w:t>
      </w:r>
    </w:p>
    <w:p w14:paraId="6D87F2E9"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 xml:space="preserve">Restricted cubic splines were used to model the nonlinear effects of age and tumor size (cm) </w:t>
      </w:r>
      <w:r w:rsidRPr="00DA4677">
        <w:rPr>
          <w:rFonts w:cs="Times New Roman"/>
          <w:sz w:val="20"/>
          <w:szCs w:val="20"/>
        </w:rPr>
        <w:t>within the Cox framework:</w:t>
      </w:r>
    </w:p>
    <w:p w14:paraId="137EC81D" w14:textId="77777777" w:rsidR="00612B51" w:rsidRPr="00DA4677" w:rsidRDefault="00C92CF8" w:rsidP="00C653E8">
      <w:pPr>
        <w:pStyle w:val="BodyText"/>
        <w:jc w:val="center"/>
        <w:rPr>
          <w:rFonts w:cs="Times New Roman"/>
          <w:sz w:val="20"/>
          <w:szCs w:val="20"/>
        </w:rPr>
      </w:pPr>
      <m:oMath>
        <m:r>
          <w:rPr>
            <w:rFonts w:ascii="Cambria Math" w:hAnsi="Cambria Math" w:cs="Times New Roman"/>
            <w:sz w:val="20"/>
            <w:szCs w:val="20"/>
          </w:rPr>
          <m:t>f</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0</m:t>
            </m:r>
          </m:sub>
        </m:sSub>
        <m:r>
          <w:rPr>
            <w:rFonts w:ascii="Cambria Math" w:hAnsi="Cambria Math" w:cs="Times New Roman"/>
            <w:sz w:val="20"/>
            <w:szCs w:val="20"/>
          </w:rPr>
          <m:t>X</m:t>
        </m:r>
        <m:r>
          <m:rPr>
            <m:sty m:val="p"/>
          </m:rPr>
          <w:rPr>
            <w:rFonts w:ascii="Cambria Math" w:hAnsi="Cambria Math" w:cs="Times New Roman"/>
            <w:sz w:val="20"/>
            <w:szCs w:val="20"/>
          </w:rPr>
          <m:t>+</m:t>
        </m:r>
        <m:nary>
          <m:naryPr>
            <m:chr m:val="∑"/>
            <m:limLoc m:val="undOvr"/>
            <m:ctrlPr>
              <w:rPr>
                <w:rFonts w:ascii="Cambria Math" w:hAnsi="Cambria Math" w:cs="Times New Roman"/>
                <w:sz w:val="20"/>
                <w:szCs w:val="20"/>
              </w:rPr>
            </m:ctrlPr>
          </m:naryPr>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up>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2</m:t>
            </m:r>
          </m:sup>
          <m:e>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k</m:t>
                </m:r>
              </m:sub>
            </m:sSub>
          </m:e>
        </m:nary>
        <m:d>
          <m:dPr>
            <m:begChr m:val="["/>
            <m:endChr m:val="]"/>
            <m:ctrlPr>
              <w:rPr>
                <w:rFonts w:ascii="Cambria Math" w:hAnsi="Cambria Math" w:cs="Times New Roman"/>
                <w:sz w:val="20"/>
                <w:szCs w:val="20"/>
              </w:rPr>
            </m:ctrlPr>
          </m:dPr>
          <m:e>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m:rPr>
                    <m:sty m:val="p"/>
                  </m:rPr>
                  <w:rPr>
                    <w:rFonts w:ascii="Cambria Math" w:hAnsi="Cambria Math" w:cs="Times New Roman"/>
                    <w:sz w:val="20"/>
                    <w:szCs w:val="20"/>
                  </w:rPr>
                  <m:t>+</m:t>
                </m:r>
              </m:sub>
              <m:sup>
                <m:r>
                  <w:rPr>
                    <w:rFonts w:ascii="Cambria Math" w:hAnsi="Cambria Math" w:cs="Times New Roman"/>
                    <w:sz w:val="20"/>
                    <w:szCs w:val="20"/>
                  </w:rPr>
                  <m:t>3</m:t>
                </m:r>
              </m:sup>
            </m:sSubSup>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num>
              <m:den>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den>
            </m:f>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m:rPr>
                    <m:sty m:val="p"/>
                  </m:rPr>
                  <w:rPr>
                    <w:rFonts w:ascii="Cambria Math" w:hAnsi="Cambria Math" w:cs="Times New Roman"/>
                    <w:sz w:val="20"/>
                    <w:szCs w:val="20"/>
                  </w:rPr>
                  <m:t>+</m:t>
                </m:r>
              </m:sub>
              <m:sup>
                <m:r>
                  <w:rPr>
                    <w:rFonts w:ascii="Cambria Math" w:hAnsi="Cambria Math" w:cs="Times New Roman"/>
                    <w:sz w:val="20"/>
                    <w:szCs w:val="20"/>
                  </w:rPr>
                  <m:t>3</m:t>
                </m:r>
              </m:sup>
            </m:sSubSup>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num>
              <m:den>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r>
                      <m:rPr>
                        <m:sty m:val="p"/>
                      </m:rPr>
                      <w:rPr>
                        <w:rFonts w:ascii="Cambria Math" w:hAnsi="Cambria Math" w:cs="Times New Roman"/>
                        <w:sz w:val="20"/>
                        <w:szCs w:val="20"/>
                      </w:rPr>
                      <m:t>-</m:t>
                    </m:r>
                    <m:r>
                      <w:rPr>
                        <w:rFonts w:ascii="Cambria Math" w:hAnsi="Cambria Math" w:cs="Times New Roman"/>
                        <w:sz w:val="20"/>
                        <w:szCs w:val="20"/>
                      </w:rPr>
                      <m:t>1</m:t>
                    </m:r>
                  </m:sub>
                </m:sSub>
              </m:den>
            </m:f>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κ</m:t>
                </m:r>
              </m:e>
              <m:sub>
                <m:r>
                  <w:rPr>
                    <w:rFonts w:ascii="Cambria Math" w:hAnsi="Cambria Math" w:cs="Times New Roman"/>
                    <w:sz w:val="20"/>
                    <w:szCs w:val="20"/>
                  </w:rPr>
                  <m:t>K</m:t>
                </m:r>
              </m:sub>
            </m:sSub>
            <m:sSubSup>
              <m:sSubSupPr>
                <m:ctrlPr>
                  <w:rPr>
                    <w:rFonts w:ascii="Cambria Math" w:hAnsi="Cambria Math" w:cs="Times New Roman"/>
                    <w:sz w:val="20"/>
                    <w:szCs w:val="20"/>
                  </w:rPr>
                </m:ctrlPr>
              </m:sSubSupPr>
              <m:e>
                <m:r>
                  <m:rPr>
                    <m:sty m:val="p"/>
                  </m:rPr>
                  <w:rPr>
                    <w:rFonts w:ascii="Cambria Math" w:hAnsi="Cambria Math" w:cs="Times New Roman"/>
                    <w:sz w:val="20"/>
                    <w:szCs w:val="20"/>
                  </w:rPr>
                  <m:t>)</m:t>
                </m:r>
              </m:e>
              <m:sub>
                <m:r>
                  <m:rPr>
                    <m:sty m:val="p"/>
                  </m:rPr>
                  <w:rPr>
                    <w:rFonts w:ascii="Cambria Math" w:hAnsi="Cambria Math" w:cs="Times New Roman"/>
                    <w:sz w:val="20"/>
                    <w:szCs w:val="20"/>
                  </w:rPr>
                  <m:t>+</m:t>
                </m:r>
              </m:sub>
              <m:sup>
                <m:r>
                  <w:rPr>
                    <w:rFonts w:ascii="Cambria Math" w:hAnsi="Cambria Math" w:cs="Times New Roman"/>
                    <w:sz w:val="20"/>
                    <w:szCs w:val="20"/>
                  </w:rPr>
                  <m:t>3</m:t>
                </m:r>
              </m:sup>
            </m:sSubSup>
          </m:e>
        </m:d>
      </m:oMath>
      <w:r w:rsidRPr="00DA4677">
        <w:rPr>
          <w:rFonts w:eastAsiaTheme="minorEastAsia" w:cs="Times New Roman"/>
          <w:sz w:val="20"/>
          <w:szCs w:val="20"/>
        </w:rPr>
        <w:t>……</w:t>
      </w:r>
      <w:proofErr w:type="gramStart"/>
      <w:r w:rsidRPr="00DA4677">
        <w:rPr>
          <w:rFonts w:eastAsiaTheme="minorEastAsia" w:cs="Times New Roman"/>
          <w:sz w:val="20"/>
          <w:szCs w:val="20"/>
        </w:rPr>
        <w:t>…(</w:t>
      </w:r>
      <w:proofErr w:type="gramEnd"/>
      <w:r w:rsidRPr="00DA4677">
        <w:rPr>
          <w:rFonts w:eastAsiaTheme="minorEastAsia" w:cs="Times New Roman"/>
          <w:sz w:val="20"/>
          <w:szCs w:val="20"/>
        </w:rPr>
        <w:t>2)</w:t>
      </w:r>
    </w:p>
    <w:p w14:paraId="358F33A1"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Kaplan–Meier </w:t>
      </w:r>
      <w:r w:rsidRPr="00DA4677">
        <w:rPr>
          <w:rFonts w:ascii="Times New Roman" w:eastAsia="Times New Roman" w:hAnsi="Times New Roman" w:cs="Times New Roman"/>
          <w:b/>
          <w:bCs/>
          <w:color w:val="auto"/>
          <w:sz w:val="20"/>
          <w:szCs w:val="20"/>
        </w:rPr>
        <w:t>survival analysis</w:t>
      </w:r>
    </w:p>
    <w:p w14:paraId="51BC8778"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Nonparametric survival estimates were computed as follows:</w:t>
      </w:r>
    </w:p>
    <w:p w14:paraId="48A5FA95" w14:textId="77071602" w:rsidR="00612B51" w:rsidRPr="00DA4677" w:rsidRDefault="00C92CF8" w:rsidP="00C653E8">
      <w:pPr>
        <w:jc w:val="center"/>
        <w:rPr>
          <w:rFonts w:ascii="Times New Roman" w:eastAsiaTheme="minorEastAsia" w:hAnsi="Times New Roman" w:cs="Times New Roman"/>
          <w:sz w:val="20"/>
          <w:szCs w:val="20"/>
        </w:rPr>
      </w:pPr>
      <m:oMath>
        <m:acc>
          <m:accPr>
            <m:ctrlPr>
              <w:rPr>
                <w:rFonts w:ascii="Cambria Math" w:hAnsi="Cambria Math" w:cs="Times New Roman"/>
                <w:sz w:val="20"/>
                <w:szCs w:val="20"/>
              </w:rPr>
            </m:ctrlPr>
          </m:accPr>
          <m:e>
            <m:r>
              <w:rPr>
                <w:rFonts w:ascii="Cambria Math" w:hAnsi="Cambria Math" w:cs="Times New Roman"/>
                <w:sz w:val="20"/>
                <w:szCs w:val="20"/>
              </w:rPr>
              <m:t>S</m:t>
            </m:r>
          </m:e>
        </m:acc>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nary>
          <m:naryPr>
            <m:chr m:val="∏"/>
            <m:limLoc m:val="undOvr"/>
            <m:supHide m:val="1"/>
            <m:ctrlPr>
              <w:rPr>
                <w:rFonts w:ascii="Cambria Math" w:hAnsi="Cambria Math" w:cs="Times New Roman"/>
                <w:sz w:val="20"/>
                <w:szCs w:val="20"/>
              </w:rPr>
            </m:ctrlPr>
          </m:naryPr>
          <m:sub>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i</m:t>
                </m:r>
              </m:sub>
            </m:sSub>
            <m:r>
              <m:rPr>
                <m:sty m:val="p"/>
              </m:rPr>
              <w:rPr>
                <w:rFonts w:ascii="Cambria Math" w:hAnsi="Cambria Math" w:cs="Times New Roman"/>
                <w:sz w:val="20"/>
                <w:szCs w:val="20"/>
              </w:rPr>
              <m:t>≤</m:t>
            </m:r>
            <m:r>
              <w:rPr>
                <w:rFonts w:ascii="Cambria Math" w:hAnsi="Cambria Math" w:cs="Times New Roman"/>
                <w:sz w:val="20"/>
                <w:szCs w:val="20"/>
              </w:rPr>
              <m:t>t</m:t>
            </m:r>
          </m:sub>
          <m:sup>
            <m:r>
              <w:rPr>
                <w:rFonts w:ascii="Cambria Math" w:hAnsi="Cambria Math" w:cs="Times New Roman"/>
                <w:sz w:val="20"/>
                <w:szCs w:val="20"/>
              </w:rPr>
              <m:t>​</m:t>
            </m:r>
          </m:sup>
          <m:e>
            <m:d>
              <m:dPr>
                <m:ctrlPr>
                  <w:rPr>
                    <w:rFonts w:ascii="Cambria Math" w:hAnsi="Cambria Math" w:cs="Times New Roman"/>
                    <w:sz w:val="20"/>
                    <w:szCs w:val="20"/>
                  </w:rPr>
                </m:ctrlPr>
              </m:dPr>
              <m:e>
                <m:r>
                  <w:rPr>
                    <w:rFonts w:ascii="Cambria Math" w:hAnsi="Cambria Math" w:cs="Times New Roman"/>
                    <w:sz w:val="20"/>
                    <w:szCs w:val="20"/>
                  </w:rPr>
                  <m:t>1</m:t>
                </m:r>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den>
                </m:f>
              </m:e>
            </m:d>
          </m:e>
        </m:nary>
      </m:oMath>
      <w:r w:rsidRPr="00DA4677">
        <w:rPr>
          <w:rFonts w:ascii="Times New Roman" w:hAnsi="Times New Roman" w:cs="Times New Roman"/>
          <w:sz w:val="20"/>
          <w:szCs w:val="20"/>
        </w:rPr>
        <w:t xml:space="preserve">  </w:t>
      </w:r>
      <w:r w:rsidRPr="00DA4677">
        <w:rPr>
          <w:rFonts w:ascii="Times New Roman" w:eastAsiaTheme="minorEastAsia" w:hAnsi="Times New Roman" w:cs="Times New Roman"/>
          <w:sz w:val="20"/>
          <w:szCs w:val="20"/>
        </w:rPr>
        <w:t>………………</w:t>
      </w:r>
      <w:proofErr w:type="gramStart"/>
      <w:r w:rsidRPr="00DA4677">
        <w:rPr>
          <w:rFonts w:ascii="Times New Roman" w:eastAsiaTheme="minorEastAsia" w:hAnsi="Times New Roman" w:cs="Times New Roman"/>
          <w:sz w:val="20"/>
          <w:szCs w:val="20"/>
        </w:rPr>
        <w:t>…(</w:t>
      </w:r>
      <w:proofErr w:type="gramEnd"/>
      <w:r w:rsidR="002E4BDD">
        <w:rPr>
          <w:rFonts w:ascii="Times New Roman" w:eastAsiaTheme="minorEastAsia" w:hAnsi="Times New Roman" w:cs="Times New Roman"/>
          <w:sz w:val="20"/>
          <w:szCs w:val="20"/>
        </w:rPr>
        <w:t>3</w:t>
      </w:r>
      <w:r w:rsidRPr="00DA4677">
        <w:rPr>
          <w:rFonts w:ascii="Times New Roman" w:eastAsiaTheme="minorEastAsia" w:hAnsi="Times New Roman" w:cs="Times New Roman"/>
          <w:sz w:val="20"/>
          <w:szCs w:val="20"/>
        </w:rPr>
        <w:t>)</w:t>
      </w:r>
    </w:p>
    <w:p w14:paraId="228B06DD"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Integrated Final Model</w:t>
      </w:r>
    </w:p>
    <w:p w14:paraId="4A9312DE"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The complete model incorporating restricted cubic splines and categorical covariates is expressed as:</w:t>
      </w:r>
    </w:p>
    <w:p w14:paraId="0747AC8A" w14:textId="00079636" w:rsidR="00612B51" w:rsidRPr="00DA4677" w:rsidRDefault="00C92CF8" w:rsidP="00C653E8">
      <w:pPr>
        <w:pStyle w:val="BodyText"/>
        <w:jc w:val="center"/>
        <w:rPr>
          <w:rFonts w:cs="Times New Roman"/>
          <w:sz w:val="20"/>
          <w:szCs w:val="20"/>
        </w:rPr>
      </w:pPr>
      <m:oMath>
        <m:r>
          <w:rPr>
            <w:rFonts w:ascii="Cambria Math" w:hAnsi="Cambria Math" w:cs="Times New Roman"/>
            <w:sz w:val="20"/>
            <w:szCs w:val="20"/>
          </w:rPr>
          <m:t>h</m:t>
        </m:r>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)×exp{</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1</m:t>
            </m:r>
          </m:sub>
        </m:sSub>
        <m:r>
          <w:rPr>
            <w:rFonts w:ascii="Cambria Math" w:hAnsi="Cambria Math" w:cs="Times New Roman"/>
            <w:sz w:val="20"/>
            <w:szCs w:val="20"/>
          </w:rPr>
          <m:t>rcs</m:t>
        </m:r>
        <m:r>
          <m:rPr>
            <m:sty m:val="p"/>
          </m:rPr>
          <w:rPr>
            <w:rFonts w:ascii="Cambria Math" w:hAnsi="Cambria Math" w:cs="Times New Roman"/>
            <w:sz w:val="20"/>
            <w:szCs w:val="20"/>
          </w:rPr>
          <m:t>(</m:t>
        </m:r>
        <m:r>
          <m:rPr>
            <m:nor/>
          </m:rPr>
          <w:rPr>
            <w:rFonts w:cs="Times New Roman"/>
            <w:sz w:val="20"/>
            <w:szCs w:val="20"/>
          </w:rPr>
          <m:t>Age</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2</m:t>
            </m:r>
          </m:sub>
        </m:sSub>
        <m:r>
          <w:rPr>
            <w:rFonts w:ascii="Cambria Math" w:hAnsi="Cambria Math" w:cs="Times New Roman"/>
            <w:sz w:val="20"/>
            <w:szCs w:val="20"/>
          </w:rPr>
          <m:t>rcs</m:t>
        </m:r>
        <m:r>
          <m:rPr>
            <m:sty m:val="p"/>
          </m:rPr>
          <w:rPr>
            <w:rFonts w:ascii="Cambria Math" w:hAnsi="Cambria Math" w:cs="Times New Roman"/>
            <w:sz w:val="20"/>
            <w:szCs w:val="20"/>
          </w:rPr>
          <m:t>(</m:t>
        </m:r>
        <m:r>
          <m:rPr>
            <m:nor/>
          </m:rPr>
          <w:rPr>
            <w:rFonts w:cs="Times New Roman"/>
            <w:sz w:val="20"/>
            <w:szCs w:val="20"/>
          </w:rPr>
          <m:t>Tumor Size</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3</m:t>
            </m:r>
          </m:sub>
        </m:sSub>
        <m:r>
          <m:rPr>
            <m:sty m:val="p"/>
          </m:rPr>
          <w:rPr>
            <w:rFonts w:ascii="Cambria Math" w:hAnsi="Cambria Math" w:cs="Times New Roman"/>
            <w:sz w:val="20"/>
            <w:szCs w:val="20"/>
          </w:rPr>
          <m:t>(</m:t>
        </m:r>
        <m:r>
          <m:rPr>
            <m:nor/>
          </m:rPr>
          <w:rPr>
            <w:rFonts w:cs="Times New Roman"/>
            <w:sz w:val="20"/>
            <w:szCs w:val="20"/>
          </w:rPr>
          <m:t>Stage</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4</m:t>
            </m:r>
          </m:sub>
        </m:sSub>
        <m:r>
          <m:rPr>
            <m:sty m:val="p"/>
          </m:rPr>
          <w:rPr>
            <w:rFonts w:ascii="Cambria Math" w:hAnsi="Cambria Math" w:cs="Times New Roman"/>
            <w:sz w:val="20"/>
            <w:szCs w:val="20"/>
          </w:rPr>
          <m:t>(</m:t>
        </m:r>
        <m:r>
          <m:rPr>
            <m:nor/>
          </m:rPr>
          <w:rPr>
            <w:rFonts w:cs="Times New Roman"/>
            <w:sz w:val="20"/>
            <w:szCs w:val="20"/>
          </w:rPr>
          <m:t>PSA</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5</m:t>
            </m:r>
          </m:sub>
        </m:sSub>
        <m:r>
          <m:rPr>
            <m:sty m:val="p"/>
          </m:rPr>
          <w:rPr>
            <w:rFonts w:ascii="Cambria Math" w:hAnsi="Cambria Math" w:cs="Times New Roman"/>
            <w:sz w:val="20"/>
            <w:szCs w:val="20"/>
          </w:rPr>
          <m:t>(</m:t>
        </m:r>
        <m:r>
          <m:rPr>
            <m:nor/>
          </m:rPr>
          <w:rPr>
            <w:rFonts w:cs="Times New Roman"/>
            <w:sz w:val="20"/>
            <w:szCs w:val="20"/>
          </w:rPr>
          <m:t>Treatment</m:t>
        </m:r>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β</m:t>
            </m:r>
          </m:e>
          <m:sub>
            <m:r>
              <w:rPr>
                <w:rFonts w:ascii="Cambria Math" w:hAnsi="Cambria Math" w:cs="Times New Roman"/>
                <w:sz w:val="20"/>
                <w:szCs w:val="20"/>
              </w:rPr>
              <m:t>6</m:t>
            </m:r>
          </m:sub>
        </m:sSub>
        <m:r>
          <m:rPr>
            <m:sty m:val="p"/>
          </m:rPr>
          <w:rPr>
            <w:rFonts w:ascii="Cambria Math" w:hAnsi="Cambria Math" w:cs="Times New Roman"/>
            <w:sz w:val="20"/>
            <w:szCs w:val="20"/>
          </w:rPr>
          <m:t>(</m:t>
        </m:r>
        <m:r>
          <m:rPr>
            <m:nor/>
          </m:rPr>
          <w:rPr>
            <w:rFonts w:cs="Times New Roman"/>
            <w:sz w:val="20"/>
            <w:szCs w:val="20"/>
          </w:rPr>
          <m:t>Gleason Score</m:t>
        </m:r>
        <m:r>
          <m:rPr>
            <m:sty m:val="p"/>
          </m:rPr>
          <w:rPr>
            <w:rFonts w:ascii="Cambria Math" w:hAnsi="Cambria Math" w:cs="Times New Roman"/>
            <w:sz w:val="20"/>
            <w:szCs w:val="20"/>
          </w:rPr>
          <m:t>)}</m:t>
        </m:r>
      </m:oMath>
      <w:r w:rsidRPr="00DA4677">
        <w:rPr>
          <w:rFonts w:eastAsiaTheme="minorEastAsia" w:cs="Times New Roman"/>
          <w:sz w:val="20"/>
          <w:szCs w:val="20"/>
        </w:rPr>
        <w:t xml:space="preserve"> ………………</w:t>
      </w:r>
      <w:proofErr w:type="gramStart"/>
      <w:r w:rsidRPr="00DA4677">
        <w:rPr>
          <w:rFonts w:eastAsiaTheme="minorEastAsia" w:cs="Times New Roman"/>
          <w:sz w:val="20"/>
          <w:szCs w:val="20"/>
        </w:rPr>
        <w:t>…(</w:t>
      </w:r>
      <w:proofErr w:type="gramEnd"/>
      <w:r w:rsidR="002E4BDD">
        <w:rPr>
          <w:rFonts w:eastAsiaTheme="minorEastAsia" w:cs="Times New Roman"/>
          <w:sz w:val="20"/>
          <w:szCs w:val="20"/>
        </w:rPr>
        <w:t>4</w:t>
      </w:r>
      <w:r w:rsidRPr="00DA4677">
        <w:rPr>
          <w:rFonts w:eastAsiaTheme="minorEastAsia" w:cs="Times New Roman"/>
          <w:sz w:val="20"/>
          <w:szCs w:val="20"/>
        </w:rPr>
        <w:t>)</w:t>
      </w:r>
    </w:p>
    <w:p w14:paraId="63B2CE19"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This integration allows for flexible modeling of continuous predictors and direct estimation of the impact of categorical clinical indicators.</w:t>
      </w:r>
    </w:p>
    <w:p w14:paraId="5D99761D" w14:textId="77777777" w:rsidR="00612B51" w:rsidRPr="00DA4677" w:rsidRDefault="00612B51" w:rsidP="00612B51">
      <w:pPr>
        <w:pStyle w:val="BodyText"/>
        <w:jc w:val="both"/>
        <w:rPr>
          <w:rFonts w:cs="Times New Roman"/>
          <w:sz w:val="20"/>
          <w:szCs w:val="20"/>
        </w:rPr>
      </w:pPr>
    </w:p>
    <w:p w14:paraId="635518FD"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Model Fit and Diagnostics</w:t>
      </w:r>
    </w:p>
    <w:p w14:paraId="52AC95AC" w14:textId="77777777" w:rsidR="00612B51" w:rsidRPr="00DA4677" w:rsidRDefault="00C92CF8" w:rsidP="00612B51">
      <w:pPr>
        <w:pStyle w:val="Heading3"/>
        <w:jc w:val="both"/>
        <w:rPr>
          <w:rFonts w:ascii="Times New Roman" w:hAnsi="Times New Roman" w:cs="Times New Roman"/>
          <w:color w:val="auto"/>
          <w:sz w:val="20"/>
          <w:szCs w:val="20"/>
        </w:rPr>
      </w:pPr>
      <w:bookmarkStart w:id="6" w:name="a-akaike-information-criterion-aic"/>
      <w:r w:rsidRPr="00DA4677">
        <w:rPr>
          <w:rFonts w:ascii="Times New Roman" w:hAnsi="Times New Roman" w:cs="Times New Roman"/>
          <w:b/>
          <w:bCs/>
          <w:color w:val="auto"/>
          <w:sz w:val="20"/>
          <w:szCs w:val="20"/>
        </w:rPr>
        <w:t xml:space="preserve">(a) Akaike </w:t>
      </w:r>
      <w:r w:rsidRPr="00DA4677">
        <w:rPr>
          <w:rFonts w:ascii="Times New Roman" w:eastAsia="Times New Roman" w:hAnsi="Times New Roman" w:cs="Times New Roman"/>
          <w:b/>
          <w:bCs/>
          <w:color w:val="auto"/>
          <w:sz w:val="20"/>
          <w:szCs w:val="20"/>
        </w:rPr>
        <w:t>information criterion</w:t>
      </w:r>
      <w:r w:rsidRPr="00DA4677">
        <w:rPr>
          <w:rFonts w:ascii="Times New Roman" w:hAnsi="Times New Roman" w:cs="Times New Roman"/>
          <w:b/>
          <w:bCs/>
          <w:color w:val="auto"/>
          <w:sz w:val="20"/>
          <w:szCs w:val="20"/>
        </w:rPr>
        <w:t xml:space="preserve"> (AIC)</w:t>
      </w:r>
    </w:p>
    <w:p w14:paraId="41F6D9AD" w14:textId="12BD8086" w:rsidR="00612B51" w:rsidRPr="00DA4677" w:rsidRDefault="00C92CF8" w:rsidP="00C653E8">
      <w:pPr>
        <w:pStyle w:val="BodyText"/>
        <w:jc w:val="center"/>
        <w:rPr>
          <w:rFonts w:cs="Times New Roman"/>
          <w:sz w:val="20"/>
          <w:szCs w:val="20"/>
        </w:rPr>
      </w:pPr>
      <m:oMath>
        <m:r>
          <w:rPr>
            <w:rFonts w:ascii="Cambria Math" w:hAnsi="Cambria Math" w:cs="Times New Roman"/>
            <w:sz w:val="20"/>
            <w:szCs w:val="20"/>
          </w:rPr>
          <m:t>AIC</m:t>
        </m:r>
        <m:r>
          <m:rPr>
            <m:sty m:val="p"/>
          </m:rPr>
          <w:rPr>
            <w:rFonts w:ascii="Cambria Math" w:hAnsi="Cambria Math" w:cs="Times New Roman"/>
            <w:sz w:val="20"/>
            <w:szCs w:val="20"/>
          </w:rPr>
          <m:t>=-</m:t>
        </m:r>
        <m:r>
          <w:rPr>
            <w:rFonts w:ascii="Cambria Math" w:hAnsi="Cambria Math" w:cs="Times New Roman"/>
            <w:sz w:val="20"/>
            <w:szCs w:val="20"/>
          </w:rPr>
          <m:t>2</m:t>
        </m:r>
        <m:r>
          <m:rPr>
            <m:sty m:val="p"/>
          </m:rPr>
          <w:rPr>
            <w:rFonts w:ascii="Cambria Math" w:hAnsi="Cambria Math" w:cs="Times New Roman"/>
            <w:sz w:val="20"/>
            <w:szCs w:val="20"/>
          </w:rPr>
          <m:t>log(</m:t>
        </m:r>
        <m:r>
          <w:rPr>
            <w:rFonts w:ascii="Cambria Math" w:hAnsi="Cambria Math" w:cs="Times New Roman"/>
            <w:sz w:val="20"/>
            <w:szCs w:val="20"/>
          </w:rPr>
          <m:t>L</m:t>
        </m:r>
        <m:r>
          <m:rPr>
            <m:sty m:val="p"/>
          </m:rPr>
          <w:rPr>
            <w:rFonts w:ascii="Cambria Math" w:hAnsi="Cambria Math" w:cs="Times New Roman"/>
            <w:sz w:val="20"/>
            <w:szCs w:val="20"/>
          </w:rPr>
          <m:t>)+</m:t>
        </m:r>
        <m:r>
          <w:rPr>
            <w:rFonts w:ascii="Cambria Math" w:hAnsi="Cambria Math" w:cs="Times New Roman"/>
            <w:sz w:val="20"/>
            <w:szCs w:val="20"/>
          </w:rPr>
          <m:t>2</m:t>
        </m:r>
        <m:r>
          <w:rPr>
            <w:rFonts w:ascii="Cambria Math" w:hAnsi="Cambria Math" w:cs="Times New Roman"/>
            <w:sz w:val="20"/>
            <w:szCs w:val="20"/>
          </w:rPr>
          <m:t>k</m:t>
        </m:r>
      </m:oMath>
      <w:r w:rsidRPr="00DA4677">
        <w:rPr>
          <w:rFonts w:eastAsiaTheme="minorEastAsia" w:cs="Times New Roman"/>
          <w:sz w:val="20"/>
          <w:szCs w:val="20"/>
        </w:rPr>
        <w:t xml:space="preserve"> </w:t>
      </w:r>
      <m:oMath>
        <m:r>
          <m:rPr>
            <m:sty m:val="p"/>
          </m:rPr>
          <w:rPr>
            <w:rFonts w:ascii="Cambria Math" w:hAnsi="Cambria Math" w:cs="Times New Roman"/>
            <w:sz w:val="20"/>
            <w:szCs w:val="20"/>
          </w:rPr>
          <m:t>)</m:t>
        </m:r>
      </m:oMath>
      <w:r w:rsidRPr="00DA4677">
        <w:rPr>
          <w:rFonts w:eastAsiaTheme="minorEastAsia" w:cs="Times New Roman"/>
          <w:sz w:val="20"/>
          <w:szCs w:val="20"/>
        </w:rPr>
        <w:t>…………………(</w:t>
      </w:r>
      <w:r w:rsidR="002E4BDD">
        <w:rPr>
          <w:rFonts w:eastAsiaTheme="minorEastAsia" w:cs="Times New Roman"/>
          <w:sz w:val="20"/>
          <w:szCs w:val="20"/>
        </w:rPr>
        <w:t>5</w:t>
      </w:r>
      <w:r w:rsidRPr="00DA4677">
        <w:rPr>
          <w:rFonts w:eastAsiaTheme="minorEastAsia" w:cs="Times New Roman"/>
          <w:sz w:val="20"/>
          <w:szCs w:val="20"/>
        </w:rPr>
        <w:t>a)</w:t>
      </w:r>
    </w:p>
    <w:p w14:paraId="360994CB"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 xml:space="preserve">where </w:t>
      </w:r>
      <m:oMath>
        <m:r>
          <w:rPr>
            <w:rFonts w:ascii="Cambria Math" w:hAnsi="Cambria Math" w:cs="Times New Roman"/>
            <w:sz w:val="20"/>
            <w:szCs w:val="20"/>
          </w:rPr>
          <m:t>L</m:t>
        </m:r>
      </m:oMath>
      <w:r w:rsidRPr="00DA4677">
        <w:rPr>
          <w:rFonts w:cs="Times New Roman"/>
          <w:sz w:val="20"/>
          <w:szCs w:val="20"/>
        </w:rPr>
        <w:t xml:space="preserve"> is the model likelihood and where </w:t>
      </w:r>
      <m:oMath>
        <m:r>
          <w:rPr>
            <w:rFonts w:ascii="Cambria Math" w:hAnsi="Cambria Math" w:cs="Times New Roman"/>
            <w:sz w:val="20"/>
            <w:szCs w:val="20"/>
          </w:rPr>
          <m:t>k</m:t>
        </m:r>
      </m:oMath>
      <w:r w:rsidRPr="00DA4677">
        <w:rPr>
          <w:rFonts w:cs="Times New Roman"/>
          <w:sz w:val="20"/>
          <w:szCs w:val="20"/>
        </w:rPr>
        <w:t xml:space="preserve"> is the number of estimated parameters.</w:t>
      </w:r>
      <w:r w:rsidRPr="00DA4677">
        <w:rPr>
          <w:rFonts w:cs="Times New Roman"/>
          <w:sz w:val="20"/>
          <w:szCs w:val="20"/>
        </w:rPr>
        <w:br/>
        <w:t>A lower AIC indicates a better-fitting model.</w:t>
      </w:r>
    </w:p>
    <w:p w14:paraId="289E0C82" w14:textId="77777777" w:rsidR="00612B51" w:rsidRPr="00DA4677" w:rsidRDefault="00C92CF8" w:rsidP="00612B51">
      <w:pPr>
        <w:pStyle w:val="Heading3"/>
        <w:jc w:val="both"/>
        <w:rPr>
          <w:rFonts w:ascii="Times New Roman" w:hAnsi="Times New Roman" w:cs="Times New Roman"/>
          <w:color w:val="auto"/>
          <w:sz w:val="20"/>
          <w:szCs w:val="20"/>
        </w:rPr>
      </w:pPr>
      <w:bookmarkStart w:id="7" w:name="b-harrells-concordance-index-c-index"/>
      <w:bookmarkEnd w:id="6"/>
      <w:r w:rsidRPr="00DA4677">
        <w:rPr>
          <w:rFonts w:ascii="Times New Roman" w:hAnsi="Times New Roman" w:cs="Times New Roman"/>
          <w:b/>
          <w:bCs/>
          <w:color w:val="auto"/>
          <w:sz w:val="20"/>
          <w:szCs w:val="20"/>
        </w:rPr>
        <w:t>(b) Harrell’s Concordance Index (C-index)</w:t>
      </w:r>
    </w:p>
    <w:p w14:paraId="5252AC1F" w14:textId="71E698D9" w:rsidR="00612B51" w:rsidRPr="00DA4677" w:rsidRDefault="00C92CF8" w:rsidP="00C653E8">
      <w:pPr>
        <w:pStyle w:val="FirstParagraph"/>
        <w:jc w:val="center"/>
        <w:rPr>
          <w:rFonts w:cs="Times New Roman"/>
          <w:sz w:val="20"/>
          <w:szCs w:val="20"/>
        </w:rPr>
      </w:pPr>
      <m:oMath>
        <m:r>
          <w:rPr>
            <w:rFonts w:ascii="Cambria Math" w:hAnsi="Cambria Math" w:cs="Times New Roman"/>
            <w:sz w:val="20"/>
            <w:szCs w:val="20"/>
          </w:rPr>
          <m:t>C</m:t>
        </m:r>
        <m:r>
          <m:rPr>
            <m:sty m:val="p"/>
          </m:rPr>
          <w:rPr>
            <w:rFonts w:ascii="Cambria Math" w:hAnsi="Cambria Math" w:cs="Times New Roman"/>
            <w:sz w:val="20"/>
            <w:szCs w:val="20"/>
          </w:rPr>
          <m:t>=</m:t>
        </m:r>
        <m:f>
          <m:fPr>
            <m:ctrlPr>
              <w:rPr>
                <w:rFonts w:ascii="Cambria Math" w:hAnsi="Cambria Math" w:cs="Times New Roman"/>
                <w:sz w:val="20"/>
                <w:szCs w:val="20"/>
              </w:rPr>
            </m:ctrlPr>
          </m:fPr>
          <m:num>
            <m:r>
              <m:rPr>
                <m:nor/>
              </m:rPr>
              <w:rPr>
                <w:rFonts w:cs="Times New Roman"/>
                <w:sz w:val="20"/>
                <w:szCs w:val="20"/>
              </w:rPr>
              <m:t>Number of concordant pairs</m:t>
            </m:r>
          </m:num>
          <m:den>
            <m:r>
              <m:rPr>
                <m:nor/>
              </m:rPr>
              <w:rPr>
                <w:rFonts w:cs="Times New Roman"/>
                <w:sz w:val="20"/>
                <w:szCs w:val="20"/>
              </w:rPr>
              <m:t>Total comparable pairs</m:t>
            </m:r>
          </m:den>
        </m:f>
      </m:oMath>
      <w:r w:rsidRPr="00DA4677">
        <w:rPr>
          <w:rFonts w:eastAsiaTheme="minorEastAsia" w:cs="Times New Roman"/>
          <w:sz w:val="20"/>
          <w:szCs w:val="20"/>
        </w:rPr>
        <w:t xml:space="preserve">  …………………(</w:t>
      </w:r>
      <w:r w:rsidR="002E4BDD">
        <w:rPr>
          <w:rFonts w:eastAsiaTheme="minorEastAsia" w:cs="Times New Roman"/>
          <w:sz w:val="20"/>
          <w:szCs w:val="20"/>
        </w:rPr>
        <w:t>5</w:t>
      </w:r>
      <w:r w:rsidRPr="00DA4677">
        <w:rPr>
          <w:rFonts w:eastAsiaTheme="minorEastAsia" w:cs="Times New Roman"/>
          <w:sz w:val="20"/>
          <w:szCs w:val="20"/>
        </w:rPr>
        <w:t>b)</w:t>
      </w:r>
    </w:p>
    <w:p w14:paraId="48A1F362"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Evaluates the model’s disc</w:t>
      </w:r>
      <w:r w:rsidRPr="00DA4677">
        <w:rPr>
          <w:rFonts w:cs="Times New Roman"/>
          <w:sz w:val="20"/>
          <w:szCs w:val="20"/>
        </w:rPr>
        <w:t xml:space="preserve">riminative ability; values near </w:t>
      </w:r>
      <w:r w:rsidRPr="00DA4677">
        <w:rPr>
          <w:rFonts w:cs="Times New Roman"/>
          <w:b/>
          <w:bCs/>
          <w:sz w:val="20"/>
          <w:szCs w:val="20"/>
        </w:rPr>
        <w:t>1.0</w:t>
      </w:r>
      <w:r w:rsidRPr="00DA4677">
        <w:rPr>
          <w:rFonts w:cs="Times New Roman"/>
          <w:sz w:val="20"/>
          <w:szCs w:val="20"/>
        </w:rPr>
        <w:t xml:space="preserve"> denote excellent predictive accuracy.</w:t>
      </w:r>
    </w:p>
    <w:bookmarkEnd w:id="7"/>
    <w:p w14:paraId="0802D371" w14:textId="77777777" w:rsidR="00612B51" w:rsidRPr="00DA4677" w:rsidRDefault="00C92CF8" w:rsidP="00612B51">
      <w:pPr>
        <w:pStyle w:val="Heading3"/>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lastRenderedPageBreak/>
        <w:t xml:space="preserve">(c) Variance </w:t>
      </w:r>
      <w:r w:rsidRPr="00DA4677">
        <w:rPr>
          <w:rFonts w:ascii="Times New Roman" w:eastAsia="Times New Roman" w:hAnsi="Times New Roman" w:cs="Times New Roman"/>
          <w:b/>
          <w:bCs/>
          <w:color w:val="auto"/>
          <w:sz w:val="20"/>
          <w:szCs w:val="20"/>
        </w:rPr>
        <w:t>inflation factor</w:t>
      </w:r>
      <w:r w:rsidRPr="00DA4677">
        <w:rPr>
          <w:rFonts w:ascii="Times New Roman" w:hAnsi="Times New Roman" w:cs="Times New Roman"/>
          <w:b/>
          <w:bCs/>
          <w:color w:val="auto"/>
          <w:sz w:val="20"/>
          <w:szCs w:val="20"/>
        </w:rPr>
        <w:t xml:space="preserve"> (VIF)</w:t>
      </w:r>
    </w:p>
    <w:p w14:paraId="6F764B8C" w14:textId="4DE0535E" w:rsidR="00612B51" w:rsidRPr="00DA4677" w:rsidRDefault="00C92CF8" w:rsidP="00C653E8">
      <w:pPr>
        <w:pStyle w:val="FirstParagraph"/>
        <w:jc w:val="center"/>
        <w:rPr>
          <w:rFonts w:cs="Times New Roman"/>
          <w:sz w:val="20"/>
          <w:szCs w:val="20"/>
        </w:rPr>
      </w:pPr>
      <m:oMath>
        <m:r>
          <w:rPr>
            <w:rFonts w:ascii="Cambria Math" w:hAnsi="Cambria Math" w:cs="Times New Roman"/>
            <w:sz w:val="20"/>
            <w:szCs w:val="20"/>
          </w:rPr>
          <m:t>VI</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1</m:t>
            </m:r>
            <m:r>
              <m:rPr>
                <m:sty m:val="p"/>
              </m:rPr>
              <w:rPr>
                <w:rFonts w:ascii="Cambria Math" w:hAnsi="Cambria Math" w:cs="Times New Roman"/>
                <w:sz w:val="20"/>
                <w:szCs w:val="20"/>
              </w:rPr>
              <m:t>-</m:t>
            </m:r>
            <m:sSubSup>
              <m:sSubSupPr>
                <m:ctrlPr>
                  <w:rPr>
                    <w:rFonts w:ascii="Cambria Math" w:hAnsi="Cambria Math" w:cs="Times New Roman"/>
                    <w:sz w:val="20"/>
                    <w:szCs w:val="20"/>
                  </w:rPr>
                </m:ctrlPr>
              </m:sSubSupPr>
              <m:e>
                <m:r>
                  <w:rPr>
                    <w:rFonts w:ascii="Cambria Math" w:hAnsi="Cambria Math" w:cs="Times New Roman"/>
                    <w:sz w:val="20"/>
                    <w:szCs w:val="20"/>
                  </w:rPr>
                  <m:t>R</m:t>
                </m:r>
              </m:e>
              <m:sub>
                <m:r>
                  <w:rPr>
                    <w:rFonts w:ascii="Cambria Math" w:hAnsi="Cambria Math" w:cs="Times New Roman"/>
                    <w:sz w:val="20"/>
                    <w:szCs w:val="20"/>
                  </w:rPr>
                  <m:t>i</m:t>
                </m:r>
              </m:sub>
              <m:sup>
                <m:r>
                  <w:rPr>
                    <w:rFonts w:ascii="Cambria Math" w:hAnsi="Cambria Math" w:cs="Times New Roman"/>
                    <w:sz w:val="20"/>
                    <w:szCs w:val="20"/>
                  </w:rPr>
                  <m:t>2</m:t>
                </m:r>
              </m:sup>
            </m:sSubSup>
          </m:den>
        </m:f>
      </m:oMath>
      <w:r w:rsidRPr="00DA4677">
        <w:rPr>
          <w:rFonts w:cs="Times New Roman"/>
          <w:sz w:val="20"/>
          <w:szCs w:val="20"/>
        </w:rPr>
        <w:t xml:space="preserve">  </w:t>
      </w:r>
      <w:r w:rsidRPr="00DA4677">
        <w:rPr>
          <w:rFonts w:eastAsiaTheme="minorEastAsia" w:cs="Times New Roman"/>
          <w:sz w:val="20"/>
          <w:szCs w:val="20"/>
        </w:rPr>
        <w:t>………………(</w:t>
      </w:r>
      <w:r w:rsidR="002E4BDD">
        <w:rPr>
          <w:rFonts w:eastAsiaTheme="minorEastAsia" w:cs="Times New Roman"/>
          <w:sz w:val="20"/>
          <w:szCs w:val="20"/>
        </w:rPr>
        <w:t>5</w:t>
      </w:r>
      <w:r w:rsidRPr="00DA4677">
        <w:rPr>
          <w:rFonts w:eastAsiaTheme="minorEastAsia" w:cs="Times New Roman"/>
          <w:sz w:val="20"/>
          <w:szCs w:val="20"/>
        </w:rPr>
        <w:t>c)</w:t>
      </w:r>
    </w:p>
    <w:p w14:paraId="283D2E3A"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 xml:space="preserve">When multicollinearity is detected, </w:t>
      </w:r>
      <m:oMath>
        <m:r>
          <w:rPr>
            <w:rFonts w:ascii="Cambria Math" w:hAnsi="Cambria Math" w:cs="Times New Roman"/>
            <w:sz w:val="20"/>
            <w:szCs w:val="20"/>
          </w:rPr>
          <m:t>VIF</m:t>
        </m:r>
        <m:r>
          <m:rPr>
            <m:sty m:val="p"/>
          </m:rPr>
          <w:rPr>
            <w:rFonts w:ascii="Cambria Math" w:hAnsi="Cambria Math" w:cs="Times New Roman"/>
            <w:sz w:val="20"/>
            <w:szCs w:val="20"/>
          </w:rPr>
          <m:t>&lt;</m:t>
        </m:r>
        <m:r>
          <w:rPr>
            <w:rFonts w:ascii="Cambria Math" w:hAnsi="Cambria Math" w:cs="Times New Roman"/>
            <w:sz w:val="20"/>
            <w:szCs w:val="20"/>
          </w:rPr>
          <m:t>5</m:t>
        </m:r>
      </m:oMath>
      <w:r w:rsidRPr="00DA4677">
        <w:rPr>
          <w:rFonts w:cs="Times New Roman"/>
          <w:sz w:val="20"/>
          <w:szCs w:val="20"/>
        </w:rPr>
        <w:t xml:space="preserve"> confirms acceptable independence between predictors.</w:t>
      </w:r>
    </w:p>
    <w:p w14:paraId="4E231DFE" w14:textId="77777777" w:rsidR="00612B51" w:rsidRPr="00DA4677" w:rsidRDefault="00C92CF8" w:rsidP="00612B51">
      <w:pPr>
        <w:pStyle w:val="Heading1"/>
        <w:jc w:val="both"/>
        <w:rPr>
          <w:rFonts w:ascii="Times New Roman" w:hAnsi="Times New Roman" w:cs="Times New Roman"/>
          <w:color w:val="auto"/>
          <w:sz w:val="20"/>
          <w:szCs w:val="20"/>
        </w:rPr>
      </w:pPr>
      <w:r w:rsidRPr="00DA4677">
        <w:rPr>
          <w:rFonts w:ascii="Times New Roman" w:hAnsi="Times New Roman" w:cs="Times New Roman"/>
          <w:b/>
          <w:bCs/>
          <w:color w:val="auto"/>
          <w:sz w:val="20"/>
          <w:szCs w:val="20"/>
        </w:rPr>
        <w:t xml:space="preserve">Interpretation of </w:t>
      </w:r>
      <w:r w:rsidRPr="00DA4677">
        <w:rPr>
          <w:rFonts w:ascii="Times New Roman" w:eastAsia="Times New Roman" w:hAnsi="Times New Roman" w:cs="Times New Roman"/>
          <w:b/>
          <w:bCs/>
          <w:color w:val="auto"/>
          <w:sz w:val="20"/>
          <w:szCs w:val="20"/>
        </w:rPr>
        <w:t xml:space="preserve">the </w:t>
      </w:r>
      <w:r w:rsidRPr="00DA4677">
        <w:rPr>
          <w:rFonts w:ascii="Times New Roman" w:hAnsi="Times New Roman" w:cs="Times New Roman"/>
          <w:b/>
          <w:bCs/>
          <w:color w:val="auto"/>
          <w:sz w:val="20"/>
          <w:szCs w:val="20"/>
        </w:rPr>
        <w:t>Statistical Equations</w:t>
      </w:r>
    </w:p>
    <w:p w14:paraId="34427895" w14:textId="77777777" w:rsidR="00612B51" w:rsidRPr="00DA4677" w:rsidRDefault="00C92CF8" w:rsidP="00612B51">
      <w:pPr>
        <w:pStyle w:val="FirstParagraph"/>
        <w:jc w:val="both"/>
        <w:rPr>
          <w:rFonts w:cs="Times New Roman"/>
          <w:sz w:val="20"/>
          <w:szCs w:val="20"/>
        </w:rPr>
      </w:pPr>
      <w:r w:rsidRPr="00DA4677">
        <w:rPr>
          <w:rFonts w:cs="Times New Roman"/>
          <w:sz w:val="20"/>
          <w:szCs w:val="20"/>
        </w:rPr>
        <w:t>The Cox proportional hazards (PH) model, as expressed in Equation (1), serves as the principal framework for modeling prostate cancer survival. This model estimates the instantaneous risk of death on the basis of multiple predicto</w:t>
      </w:r>
      <w:r w:rsidRPr="00DA4677">
        <w:rPr>
          <w:rFonts w:cs="Times New Roman"/>
          <w:sz w:val="20"/>
          <w:szCs w:val="20"/>
        </w:rPr>
        <w:t xml:space="preserve">rs while leaving the baseline hazard </w:t>
      </w:r>
      <m:oMath>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0</m:t>
            </m:r>
          </m:sub>
        </m:sSub>
        <m:r>
          <m:rPr>
            <m:sty m:val="p"/>
          </m:rPr>
          <w:rPr>
            <w:rFonts w:ascii="Cambria Math" w:hAnsi="Cambria Math" w:cs="Times New Roman"/>
            <w:sz w:val="20"/>
            <w:szCs w:val="20"/>
          </w:rPr>
          <m:t>(</m:t>
        </m:r>
        <m:r>
          <w:rPr>
            <w:rFonts w:ascii="Cambria Math" w:hAnsi="Cambria Math" w:cs="Times New Roman"/>
            <w:sz w:val="20"/>
            <w:szCs w:val="20"/>
          </w:rPr>
          <m:t>t</m:t>
        </m:r>
        <m:r>
          <m:rPr>
            <m:sty m:val="p"/>
          </m:rPr>
          <w:rPr>
            <w:rFonts w:ascii="Cambria Math" w:hAnsi="Cambria Math" w:cs="Times New Roman"/>
            <w:sz w:val="20"/>
            <w:szCs w:val="20"/>
          </w:rPr>
          <m:t>)</m:t>
        </m:r>
      </m:oMath>
      <w:r w:rsidRPr="00DA4677">
        <w:rPr>
          <w:rFonts w:cs="Times New Roman"/>
          <w:sz w:val="20"/>
          <w:szCs w:val="20"/>
        </w:rPr>
        <w:t xml:space="preserve"> unspecified. In this study, the model quantified how variables such as age, tumor size, PSA level, cancer stage, Gleason score, and treatment modality influenced the hazard of mortality among patients. By estimat</w:t>
      </w:r>
      <w:r w:rsidRPr="00DA4677">
        <w:rPr>
          <w:rFonts w:cs="Times New Roman"/>
          <w:sz w:val="20"/>
          <w:szCs w:val="20"/>
        </w:rPr>
        <w:t>ing hazard ratios, the model provided an interpretable measure of risk that identified high-risk subgroups. This allowed for targeted public health interventions in Ghana’s healthcare system, advancing the SDG 3.4 goal of reducing premature deaths due to n</w:t>
      </w:r>
      <w:r w:rsidRPr="00DA4677">
        <w:rPr>
          <w:rFonts w:cs="Times New Roman"/>
          <w:sz w:val="20"/>
          <w:szCs w:val="20"/>
        </w:rPr>
        <w:t>oncommunicable diseases.</w:t>
      </w:r>
    </w:p>
    <w:p w14:paraId="7518C7C3" w14:textId="77777777" w:rsidR="00612B51" w:rsidRPr="00DA4677" w:rsidRDefault="00C92CF8" w:rsidP="00612B51">
      <w:pPr>
        <w:pStyle w:val="BodyText"/>
        <w:jc w:val="both"/>
        <w:rPr>
          <w:rFonts w:cs="Times New Roman"/>
          <w:sz w:val="20"/>
          <w:szCs w:val="20"/>
        </w:rPr>
      </w:pPr>
      <w:r w:rsidRPr="00DA4677">
        <w:rPr>
          <w:rFonts w:cs="Times New Roman"/>
          <w:sz w:val="20"/>
          <w:szCs w:val="20"/>
        </w:rPr>
        <w:t>The restricted cubic splines (RCSs) equation, shown in Equation (2), was incorporated to address the nonlinear relationships between continuous predictors and prostate cancer survival. This function allows the data to be used to de</w:t>
      </w:r>
      <w:r w:rsidRPr="00DA4677">
        <w:rPr>
          <w:rFonts w:cs="Times New Roman"/>
          <w:sz w:val="20"/>
          <w:szCs w:val="20"/>
        </w:rPr>
        <w:t>termine the shape of the relationship between variables such as age and tumor size and survival risk. The spline terms revealed threshold effects, such as increased mortality for patients with extremely large tumors or very advanced age. In this context, t</w:t>
      </w:r>
      <w:r w:rsidRPr="00DA4677">
        <w:rPr>
          <w:rFonts w:cs="Times New Roman"/>
          <w:sz w:val="20"/>
          <w:szCs w:val="20"/>
        </w:rPr>
        <w:t>he RCS enhanced the flexibility and realism of the survival model, enabling a more accurate reflection of the biological variation and disease heterogeneity often observed in African populations.</w:t>
      </w:r>
    </w:p>
    <w:p w14:paraId="7312021E" w14:textId="2364D381" w:rsidR="00612B51" w:rsidRPr="00DA4677" w:rsidRDefault="00C92CF8" w:rsidP="00612B51">
      <w:pPr>
        <w:pStyle w:val="BodyText"/>
        <w:jc w:val="both"/>
        <w:rPr>
          <w:rFonts w:cs="Times New Roman"/>
          <w:sz w:val="20"/>
          <w:szCs w:val="20"/>
        </w:rPr>
      </w:pPr>
      <w:r w:rsidRPr="00DA4677">
        <w:rPr>
          <w:rFonts w:cs="Times New Roman"/>
          <w:sz w:val="20"/>
          <w:szCs w:val="20"/>
        </w:rPr>
        <w:t>The Kaplan</w:t>
      </w:r>
      <w:r w:rsidR="00321D3E">
        <w:rPr>
          <w:rFonts w:cs="Times New Roman"/>
          <w:sz w:val="20"/>
          <w:szCs w:val="20"/>
        </w:rPr>
        <w:t>-</w:t>
      </w:r>
      <w:r w:rsidRPr="00DA4677">
        <w:rPr>
          <w:rFonts w:cs="Times New Roman"/>
          <w:sz w:val="20"/>
          <w:szCs w:val="20"/>
        </w:rPr>
        <w:t>Meier survival function, expressed in Equation (</w:t>
      </w:r>
      <w:r w:rsidR="002E4BDD">
        <w:rPr>
          <w:rFonts w:cs="Times New Roman"/>
          <w:sz w:val="20"/>
          <w:szCs w:val="20"/>
        </w:rPr>
        <w:t>3</w:t>
      </w:r>
      <w:r w:rsidRPr="00DA4677">
        <w:rPr>
          <w:rFonts w:cs="Times New Roman"/>
          <w:sz w:val="20"/>
          <w:szCs w:val="20"/>
        </w:rPr>
        <w:t xml:space="preserve">), was applied to derive nonparametric survival estimates across patient subgroups. This estimator computes the probability of surviving beyond time </w:t>
      </w:r>
      <m:oMath>
        <m:r>
          <w:rPr>
            <w:rFonts w:ascii="Cambria Math" w:hAnsi="Cambria Math" w:cs="Times New Roman"/>
            <w:sz w:val="20"/>
            <w:szCs w:val="20"/>
          </w:rPr>
          <m:t>t</m:t>
        </m:r>
      </m:oMath>
      <w:r w:rsidRPr="00DA4677">
        <w:rPr>
          <w:rFonts w:cs="Times New Roman"/>
          <w:sz w:val="20"/>
          <w:szCs w:val="20"/>
        </w:rPr>
        <w:t xml:space="preserve">, where </w:t>
      </w:r>
      <m:oMath>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Pr="00DA4677">
        <w:rPr>
          <w:rFonts w:cs="Times New Roman"/>
          <w:sz w:val="20"/>
          <w:szCs w:val="20"/>
        </w:rPr>
        <w:t xml:space="preserve"> represents deaths and where </w:t>
      </w: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oMath>
      <w:r w:rsidRPr="00DA4677">
        <w:rPr>
          <w:rFonts w:cs="Times New Roman"/>
          <w:sz w:val="20"/>
          <w:szCs w:val="20"/>
        </w:rPr>
        <w:t xml:space="preserve"> represents the number at risk. </w:t>
      </w:r>
      <w:r w:rsidR="005469AE">
        <w:rPr>
          <w:rFonts w:cs="Times New Roman"/>
          <w:sz w:val="20"/>
          <w:szCs w:val="20"/>
        </w:rPr>
        <w:t xml:space="preserve">Also, </w:t>
      </w:r>
      <w:r w:rsidRPr="00DA4677">
        <w:rPr>
          <w:rFonts w:cs="Times New Roman"/>
          <w:sz w:val="20"/>
          <w:szCs w:val="20"/>
        </w:rPr>
        <w:t>K–M curves were used t</w:t>
      </w:r>
      <w:r w:rsidRPr="00DA4677">
        <w:rPr>
          <w:rFonts w:cs="Times New Roman"/>
          <w:sz w:val="20"/>
          <w:szCs w:val="20"/>
        </w:rPr>
        <w:t>o visualize survival differences across PSA categories and cancer stages, and the results demonstrated that early-stage (I–II) patients had markedly higher survival probabilities than advanced-stage (III–IV) patients did. These findings supported the study</w:t>
      </w:r>
      <w:r w:rsidRPr="00DA4677">
        <w:rPr>
          <w:rFonts w:cs="Times New Roman"/>
          <w:sz w:val="20"/>
          <w:szCs w:val="20"/>
        </w:rPr>
        <w:t>’s recommendation for strengthening early screening initiatives and diagnostic infrastructure in Ghana’s tertiary hospitals.</w:t>
      </w:r>
    </w:p>
    <w:p w14:paraId="14E81E0E" w14:textId="63441012" w:rsidR="00612B51" w:rsidRPr="00DA4677" w:rsidRDefault="00C92CF8" w:rsidP="00612B51">
      <w:pPr>
        <w:pStyle w:val="BodyText"/>
        <w:jc w:val="both"/>
        <w:rPr>
          <w:rFonts w:cs="Times New Roman"/>
          <w:sz w:val="20"/>
          <w:szCs w:val="20"/>
        </w:rPr>
      </w:pPr>
      <w:r w:rsidRPr="00DA4677">
        <w:rPr>
          <w:rFonts w:cs="Times New Roman"/>
          <w:sz w:val="20"/>
          <w:szCs w:val="20"/>
        </w:rPr>
        <w:t>The integrated final model in Equation (</w:t>
      </w:r>
      <w:r w:rsidR="002E4BDD">
        <w:rPr>
          <w:rFonts w:cs="Times New Roman"/>
          <w:sz w:val="20"/>
          <w:szCs w:val="20"/>
        </w:rPr>
        <w:t>4</w:t>
      </w:r>
      <w:r w:rsidRPr="00DA4677">
        <w:rPr>
          <w:rFonts w:cs="Times New Roman"/>
          <w:sz w:val="20"/>
          <w:szCs w:val="20"/>
        </w:rPr>
        <w:t>) combines spline-based continuous predictors and categorical covariates into a single mod</w:t>
      </w:r>
      <w:r w:rsidRPr="00DA4677">
        <w:rPr>
          <w:rFonts w:cs="Times New Roman"/>
          <w:sz w:val="20"/>
          <w:szCs w:val="20"/>
        </w:rPr>
        <w:t>eling framework. This equation allows for simultaneous assessment of nonlinear and categorical effects. Within this model, tumor size and Gleason score emerged as strong predictors of mortality, whereas treatment variables showed moderate but consistent pr</w:t>
      </w:r>
      <w:r w:rsidRPr="00DA4677">
        <w:rPr>
          <w:rFonts w:cs="Times New Roman"/>
          <w:sz w:val="20"/>
          <w:szCs w:val="20"/>
        </w:rPr>
        <w:t>otective effects. The model provides a holistic survival prediction tool capable of guiding clinical risk stratification and personalized care in prostate cancer management.</w:t>
      </w:r>
    </w:p>
    <w:p w14:paraId="27D5BAF5" w14:textId="4CFE32BF" w:rsidR="00612B51" w:rsidRPr="00DA4677" w:rsidRDefault="00C92CF8" w:rsidP="00612B51">
      <w:pPr>
        <w:pStyle w:val="BodyText"/>
        <w:jc w:val="both"/>
        <w:rPr>
          <w:rFonts w:cs="Times New Roman"/>
          <w:sz w:val="20"/>
          <w:szCs w:val="20"/>
        </w:rPr>
      </w:pPr>
      <w:r w:rsidRPr="00DA4677">
        <w:rPr>
          <w:rFonts w:cs="Times New Roman"/>
          <w:sz w:val="20"/>
          <w:szCs w:val="20"/>
        </w:rPr>
        <w:t>The Model Fit and Diagnostic Equations (</w:t>
      </w:r>
      <w:r w:rsidR="002E4BDD">
        <w:rPr>
          <w:rFonts w:cs="Times New Roman"/>
          <w:sz w:val="20"/>
          <w:szCs w:val="20"/>
        </w:rPr>
        <w:t>5</w:t>
      </w:r>
      <w:r w:rsidRPr="00DA4677">
        <w:rPr>
          <w:rFonts w:cs="Times New Roman"/>
          <w:sz w:val="20"/>
          <w:szCs w:val="20"/>
        </w:rPr>
        <w:t>a–</w:t>
      </w:r>
      <w:r w:rsidR="002E4BDD">
        <w:rPr>
          <w:rFonts w:cs="Times New Roman"/>
          <w:sz w:val="20"/>
          <w:szCs w:val="20"/>
        </w:rPr>
        <w:t>5</w:t>
      </w:r>
      <w:r w:rsidRPr="00DA4677">
        <w:rPr>
          <w:rFonts w:cs="Times New Roman"/>
          <w:sz w:val="20"/>
          <w:szCs w:val="20"/>
        </w:rPr>
        <w:t>c) were used to evaluate the statistic</w:t>
      </w:r>
      <w:r w:rsidRPr="00DA4677">
        <w:rPr>
          <w:rFonts w:cs="Times New Roman"/>
          <w:sz w:val="20"/>
          <w:szCs w:val="20"/>
        </w:rPr>
        <w:t>al robustness and accuracy of the fitted model. The Akaike information criterion</w:t>
      </w:r>
      <w:r w:rsidRPr="00DA4677">
        <w:rPr>
          <w:rFonts w:cs="Times New Roman"/>
          <w:b/>
          <w:bCs/>
          <w:sz w:val="20"/>
          <w:szCs w:val="20"/>
        </w:rPr>
        <w:t xml:space="preserve"> </w:t>
      </w:r>
      <w:r w:rsidRPr="00DA4677">
        <w:rPr>
          <w:rFonts w:cs="Times New Roman"/>
          <w:sz w:val="20"/>
          <w:szCs w:val="20"/>
        </w:rPr>
        <w:t>(AIC) was used to compare competing model specifications, with lower AIC values indicating improved fit. The spline-augmented Cox model demonstrated superior parsimony over it</w:t>
      </w:r>
      <w:r w:rsidRPr="00DA4677">
        <w:rPr>
          <w:rFonts w:cs="Times New Roman"/>
          <w:sz w:val="20"/>
          <w:szCs w:val="20"/>
        </w:rPr>
        <w:t>s linear counterpart. Harrell’s concordance index (C-index) was used to measure predictive discrimination, with values near 0.85 confirming strong agreement between the predicted and observed outcomes. The variance inflation factor (VIF) was used to assess</w:t>
      </w:r>
      <w:r w:rsidRPr="00DA4677">
        <w:rPr>
          <w:rFonts w:cs="Times New Roman"/>
          <w:sz w:val="20"/>
          <w:szCs w:val="20"/>
        </w:rPr>
        <w:t xml:space="preserve"> multicollinearity among covariates, ensuring model stability. Collectively, these diagnostics confirmed that the model was statistically sound, highly predictive, and well calibrated</w:t>
      </w:r>
      <w:r w:rsidR="005469AE">
        <w:rPr>
          <w:rFonts w:cs="Times New Roman"/>
          <w:sz w:val="20"/>
          <w:szCs w:val="20"/>
        </w:rPr>
        <w:t xml:space="preserve"> </w:t>
      </w:r>
      <w:r w:rsidRPr="00DA4677">
        <w:rPr>
          <w:rFonts w:cs="Times New Roman"/>
          <w:sz w:val="20"/>
          <w:szCs w:val="20"/>
        </w:rPr>
        <w:t xml:space="preserve">offering credible insights into prostate cancer mortality risk in Ghana </w:t>
      </w:r>
      <w:r w:rsidRPr="00DA4677">
        <w:rPr>
          <w:rFonts w:cs="Times New Roman"/>
          <w:sz w:val="20"/>
          <w:szCs w:val="20"/>
        </w:rPr>
        <w:t>and informing evidence-based cancer control strategies.</w:t>
      </w:r>
    </w:p>
    <w:p w14:paraId="29B063B1" w14:textId="2EC0FB38" w:rsidR="00274234" w:rsidRPr="00DA4677" w:rsidRDefault="00C92CF8" w:rsidP="00612B51">
      <w:pPr>
        <w:pStyle w:val="BodyText"/>
        <w:jc w:val="both"/>
        <w:rPr>
          <w:rFonts w:cs="Times New Roman"/>
          <w:sz w:val="20"/>
          <w:szCs w:val="20"/>
        </w:rPr>
      </w:pPr>
      <w:r w:rsidRPr="00DA4677">
        <w:rPr>
          <w:rFonts w:cs="Times New Roman"/>
          <w:sz w:val="20"/>
          <w:szCs w:val="20"/>
        </w:rPr>
        <w:t xml:space="preserve">SHAP values were generated via a log hazard–based explainer constructed around the fitted Cox model. The explainer decomposed the linear predictor into additive feature contributions via a background </w:t>
      </w:r>
      <w:r w:rsidRPr="00DA4677">
        <w:rPr>
          <w:rFonts w:cs="Times New Roman"/>
          <w:sz w:val="20"/>
          <w:szCs w:val="20"/>
        </w:rPr>
        <w:t>distribution on the basis of the model’s linear predictor mean.</w:t>
      </w:r>
      <w:r w:rsidRPr="00DA4677">
        <w:rPr>
          <w:rFonts w:cs="Times New Roman"/>
          <w:kern w:val="2"/>
          <w:sz w:val="20"/>
          <w:szCs w:val="20"/>
          <w14:ligatures w14:val="standardContextual"/>
        </w:rPr>
        <w:t xml:space="preserve"> </w:t>
      </w:r>
      <w:r w:rsidRPr="00DA4677">
        <w:rPr>
          <w:rFonts w:cs="Times New Roman"/>
          <w:sz w:val="20"/>
          <w:szCs w:val="20"/>
        </w:rPr>
        <w:t>Stage I served as the reference category for cancer stage, low PSA served as the reference for PSA levels, and “no therapy” served as the reference for each treatment modality.</w:t>
      </w:r>
    </w:p>
    <w:p w14:paraId="6EED4F1F"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b/>
          <w:bCs/>
          <w:sz w:val="20"/>
          <w:szCs w:val="20"/>
        </w:rPr>
        <w:t>Discussion</w:t>
      </w:r>
    </w:p>
    <w:p w14:paraId="21013F97"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w:t>
      </w:r>
      <w:r w:rsidRPr="00DA4677">
        <w:rPr>
          <w:rFonts w:ascii="Times New Roman" w:hAnsi="Times New Roman" w:cs="Times New Roman"/>
          <w:sz w:val="20"/>
          <w:szCs w:val="20"/>
        </w:rPr>
        <w:t xml:space="preserve">cohort exhibited a predominance of intermediate and advanced stages at presentation. As shown in Table 1, Stage II and Stage III together comprised more than half of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cases, with Stage IV contributing a further 17%. This distribution aligns with reports from tertiary centers in low- and middle-income settings where delayed presentation remains common. The observed mean tumor size and average number of lymph nodes involv</w:t>
      </w:r>
      <w:r w:rsidRPr="00DA4677">
        <w:rPr>
          <w:rFonts w:ascii="Times New Roman" w:hAnsi="Times New Roman" w:cs="Times New Roman"/>
          <w:sz w:val="20"/>
          <w:szCs w:val="20"/>
        </w:rPr>
        <w:t xml:space="preserve">ed indicate </w:t>
      </w:r>
      <w:r w:rsidRPr="00DA4677">
        <w:rPr>
          <w:rFonts w:ascii="Times New Roman" w:eastAsia="Calibri" w:hAnsi="Times New Roman" w:cs="Times New Roman"/>
          <w:sz w:val="20"/>
          <w:szCs w:val="20"/>
        </w:rPr>
        <w:t xml:space="preserve">a </w:t>
      </w:r>
      <w:r w:rsidRPr="00DA4677">
        <w:rPr>
          <w:rFonts w:ascii="Times New Roman" w:hAnsi="Times New Roman" w:cs="Times New Roman"/>
          <w:sz w:val="20"/>
          <w:szCs w:val="20"/>
        </w:rPr>
        <w:t xml:space="preserve">substantial disease burden at diagnosis, reinforcing the critical need for early detection programs. The distribution of PSA levels in Figure 2 shows a moderate range,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Figure 1 highlights the stage mix that typically accompanies diagn</w:t>
      </w:r>
      <w:r w:rsidRPr="00DA4677">
        <w:rPr>
          <w:rFonts w:ascii="Times New Roman" w:hAnsi="Times New Roman" w:cs="Times New Roman"/>
          <w:sz w:val="20"/>
          <w:szCs w:val="20"/>
        </w:rPr>
        <w:t>ostic delays and uneven screening access.</w:t>
      </w:r>
    </w:p>
    <w:p w14:paraId="47F149EA"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noProof/>
          <w:sz w:val="20"/>
          <w:szCs w:val="20"/>
        </w:rPr>
        <w:lastRenderedPageBreak/>
        <w:drawing>
          <wp:inline distT="0" distB="0" distL="0" distR="0" wp14:anchorId="3C740C3E" wp14:editId="5963970F">
            <wp:extent cx="5942330" cy="1498565"/>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noChangeArrowheads="1"/>
                    </pic:cNvPicPr>
                  </pic:nvPicPr>
                  <pic:blipFill rotWithShape="1">
                    <a:blip r:embed="rId7"/>
                    <a:srcRect t="6349" b="-2"/>
                    <a:stretch>
                      <a:fillRect/>
                    </a:stretch>
                  </pic:blipFill>
                  <pic:spPr bwMode="auto">
                    <a:xfrm>
                      <a:off x="0" y="0"/>
                      <a:ext cx="82679" cy="20850"/>
                    </a:xfrm>
                    <a:prstGeom prst="rect">
                      <a:avLst/>
                    </a:prstGeom>
                    <a:noFill/>
                    <a:ln>
                      <a:noFill/>
                    </a:ln>
                    <a:extLst>
                      <a:ext uri="{53640926-AAD7-44D8-BBD7-CCE9431645EC}">
                        <a14:shadowObscured xmlns:a14="http://schemas.microsoft.com/office/drawing/2010/main"/>
                      </a:ext>
                    </a:extLst>
                  </pic:spPr>
                </pic:pic>
              </a:graphicData>
            </a:graphic>
          </wp:inline>
        </w:drawing>
      </w:r>
    </w:p>
    <w:p w14:paraId="0EAD697B" w14:textId="77777777" w:rsidR="00612B51" w:rsidRPr="00DA4677" w:rsidRDefault="00C92CF8" w:rsidP="00612B51">
      <w:pPr>
        <w:pStyle w:val="Heading3"/>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1: Cancer </w:t>
      </w:r>
      <w:r w:rsidRPr="00DA4677">
        <w:rPr>
          <w:rFonts w:ascii="Times New Roman" w:eastAsia="Times New Roman" w:hAnsi="Times New Roman" w:cs="Times New Roman"/>
          <w:color w:val="auto"/>
          <w:sz w:val="20"/>
          <w:szCs w:val="20"/>
        </w:rPr>
        <w:t>stage counts</w:t>
      </w:r>
    </w:p>
    <w:p w14:paraId="2DB4547F" w14:textId="77777777" w:rsidR="00612B51" w:rsidRPr="00DA4677" w:rsidRDefault="00612B51" w:rsidP="00612B51">
      <w:pPr>
        <w:jc w:val="both"/>
        <w:rPr>
          <w:rFonts w:ascii="Times New Roman" w:hAnsi="Times New Roman" w:cs="Times New Roman"/>
          <w:sz w:val="20"/>
          <w:szCs w:val="20"/>
        </w:rPr>
      </w:pPr>
    </w:p>
    <w:p w14:paraId="7A1A6A8B"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50F63E4C" wp14:editId="7A44F26F">
            <wp:extent cx="5943600" cy="140969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rotWithShape="1">
                    <a:blip r:embed="rId8"/>
                    <a:srcRect t="7115"/>
                    <a:stretch>
                      <a:fillRect/>
                    </a:stretch>
                  </pic:blipFill>
                  <pic:spPr bwMode="auto">
                    <a:xfrm>
                      <a:off x="0" y="0"/>
                      <a:ext cx="82568" cy="19583"/>
                    </a:xfrm>
                    <a:prstGeom prst="rect">
                      <a:avLst/>
                    </a:prstGeom>
                    <a:noFill/>
                    <a:ln>
                      <a:noFill/>
                    </a:ln>
                    <a:extLst>
                      <a:ext uri="{53640926-AAD7-44D8-BBD7-CCE9431645EC}">
                        <a14:shadowObscured xmlns:a14="http://schemas.microsoft.com/office/drawing/2010/main"/>
                      </a:ext>
                    </a:extLst>
                  </pic:spPr>
                </pic:pic>
              </a:graphicData>
            </a:graphic>
          </wp:inline>
        </w:drawing>
      </w:r>
    </w:p>
    <w:p w14:paraId="6276519A" w14:textId="77777777" w:rsidR="00612B51" w:rsidRPr="00DA4677" w:rsidRDefault="00C92CF8" w:rsidP="00612B51">
      <w:pPr>
        <w:pStyle w:val="Heading3"/>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2: PSA </w:t>
      </w:r>
      <w:r w:rsidRPr="00DA4677">
        <w:rPr>
          <w:rFonts w:ascii="Times New Roman" w:eastAsia="Times New Roman" w:hAnsi="Times New Roman" w:cs="Times New Roman"/>
          <w:color w:val="auto"/>
          <w:sz w:val="20"/>
          <w:szCs w:val="20"/>
        </w:rPr>
        <w:t>level counts</w:t>
      </w:r>
    </w:p>
    <w:p w14:paraId="70256B91" w14:textId="77777777" w:rsidR="00612B51" w:rsidRPr="00DA4677" w:rsidRDefault="00612B51" w:rsidP="00612B51">
      <w:pPr>
        <w:jc w:val="both"/>
        <w:rPr>
          <w:rFonts w:ascii="Times New Roman" w:hAnsi="Times New Roman" w:cs="Times New Roman"/>
          <w:sz w:val="20"/>
          <w:szCs w:val="20"/>
        </w:rPr>
      </w:pPr>
    </w:p>
    <w:p w14:paraId="669C85B8"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2AC38834" wp14:editId="645E9A72">
            <wp:extent cx="5943600" cy="14160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noChangeArrowheads="1"/>
                    </pic:cNvPicPr>
                  </pic:nvPicPr>
                  <pic:blipFill rotWithShape="1">
                    <a:blip r:embed="rId9"/>
                    <a:srcRect t="8230"/>
                    <a:stretch>
                      <a:fillRect/>
                    </a:stretch>
                  </pic:blipFill>
                  <pic:spPr bwMode="auto">
                    <a:xfrm>
                      <a:off x="0" y="0"/>
                      <a:ext cx="82561" cy="19670"/>
                    </a:xfrm>
                    <a:prstGeom prst="rect">
                      <a:avLst/>
                    </a:prstGeom>
                    <a:noFill/>
                    <a:ln>
                      <a:noFill/>
                    </a:ln>
                    <a:extLst>
                      <a:ext uri="{53640926-AAD7-44D8-BBD7-CCE9431645EC}">
                        <a14:shadowObscured xmlns:a14="http://schemas.microsoft.com/office/drawing/2010/main"/>
                      </a:ext>
                    </a:extLst>
                  </pic:spPr>
                </pic:pic>
              </a:graphicData>
            </a:graphic>
          </wp:inline>
        </w:drawing>
      </w:r>
    </w:p>
    <w:p w14:paraId="1DC2E15A" w14:textId="6E5F10A7" w:rsidR="00612B51" w:rsidRPr="00DA4677" w:rsidRDefault="00C92CF8" w:rsidP="00612B51">
      <w:pPr>
        <w:pStyle w:val="Heading3"/>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3: Tumor </w:t>
      </w:r>
      <w:r w:rsidRPr="00DA4677">
        <w:rPr>
          <w:rFonts w:ascii="Times New Roman" w:eastAsia="Times New Roman" w:hAnsi="Times New Roman" w:cs="Times New Roman"/>
          <w:color w:val="auto"/>
          <w:sz w:val="20"/>
          <w:szCs w:val="20"/>
        </w:rPr>
        <w:t>size</w:t>
      </w:r>
      <w:r w:rsidRPr="00DA4677">
        <w:rPr>
          <w:rFonts w:ascii="Times New Roman" w:hAnsi="Times New Roman" w:cs="Times New Roman"/>
          <w:color w:val="auto"/>
          <w:sz w:val="20"/>
          <w:szCs w:val="20"/>
        </w:rPr>
        <w:t xml:space="preserve"> by </w:t>
      </w:r>
      <w:r w:rsidR="00C653E8">
        <w:rPr>
          <w:rFonts w:ascii="Times New Roman" w:hAnsi="Times New Roman" w:cs="Times New Roman"/>
          <w:color w:val="auto"/>
          <w:sz w:val="20"/>
          <w:szCs w:val="20"/>
        </w:rPr>
        <w:t xml:space="preserve">cancer </w:t>
      </w:r>
      <w:r w:rsidRPr="00DA4677">
        <w:rPr>
          <w:rFonts w:ascii="Times New Roman" w:eastAsia="Times New Roman" w:hAnsi="Times New Roman" w:cs="Times New Roman"/>
          <w:color w:val="auto"/>
          <w:sz w:val="20"/>
          <w:szCs w:val="20"/>
        </w:rPr>
        <w:t>stage</w:t>
      </w:r>
    </w:p>
    <w:p w14:paraId="584BF6B0" w14:textId="77777777" w:rsidR="00612B51" w:rsidRPr="00DA4677" w:rsidRDefault="00C92CF8" w:rsidP="00612B51">
      <w:pPr>
        <w:pStyle w:val="Heading1"/>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Cox </w:t>
      </w:r>
      <w:r w:rsidRPr="00DA4677">
        <w:rPr>
          <w:rFonts w:ascii="Times New Roman" w:eastAsia="Times New Roman" w:hAnsi="Times New Roman" w:cs="Times New Roman"/>
          <w:color w:val="auto"/>
          <w:sz w:val="20"/>
          <w:szCs w:val="20"/>
        </w:rPr>
        <w:t>proportional hazards with restricted cubic splines</w:t>
      </w:r>
    </w:p>
    <w:p w14:paraId="7543923B"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Table 1:</w:t>
      </w:r>
      <w:r w:rsidRPr="00DA4677">
        <w:rPr>
          <w:rFonts w:ascii="Times New Roman" w:eastAsia="Times New Roman" w:hAnsi="Times New Roman" w:cs="Times New Roman"/>
          <w:color w:val="auto"/>
          <w:sz w:val="20"/>
          <w:szCs w:val="20"/>
        </w:rPr>
        <w:t xml:space="preserve"> </w:t>
      </w:r>
      <w:r w:rsidRPr="00DA4677">
        <w:rPr>
          <w:rFonts w:ascii="Times New Roman" w:hAnsi="Times New Roman" w:cs="Times New Roman"/>
          <w:color w:val="auto"/>
          <w:sz w:val="20"/>
          <w:szCs w:val="20"/>
        </w:rPr>
        <w:t xml:space="preserve">Baseline </w:t>
      </w:r>
      <w:r w:rsidRPr="00DA4677">
        <w:rPr>
          <w:rFonts w:ascii="Times New Roman" w:eastAsia="Times New Roman" w:hAnsi="Times New Roman" w:cs="Times New Roman"/>
          <w:color w:val="auto"/>
          <w:sz w:val="20"/>
          <w:szCs w:val="20"/>
        </w:rPr>
        <w:t>characteristics</w:t>
      </w:r>
    </w:p>
    <w:tbl>
      <w:tblPr>
        <w:tblW w:w="0" w:type="auto"/>
        <w:jc w:val="center"/>
        <w:tblLayout w:type="fixed"/>
        <w:tblLook w:val="0420" w:firstRow="1" w:lastRow="0" w:firstColumn="0" w:lastColumn="0" w:noHBand="0" w:noVBand="1"/>
      </w:tblPr>
      <w:tblGrid>
        <w:gridCol w:w="2649"/>
        <w:gridCol w:w="1719"/>
      </w:tblGrid>
      <w:tr w:rsidR="00DA4677" w:rsidRPr="00DA4677" w14:paraId="68087B7B" w14:textId="77777777" w:rsidTr="007C013F">
        <w:trPr>
          <w:tblHeader/>
          <w:jc w:val="center"/>
        </w:trPr>
        <w:tc>
          <w:tcPr>
            <w:tcW w:w="264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C4DC88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Characteristic</w:t>
            </w:r>
          </w:p>
        </w:tc>
        <w:tc>
          <w:tcPr>
            <w:tcW w:w="171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F130737"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N = 300</w:t>
            </w:r>
            <w:r w:rsidRPr="00DA4677">
              <w:rPr>
                <w:rFonts w:ascii="Times New Roman" w:eastAsia="Arial" w:hAnsi="Times New Roman" w:cs="Times New Roman"/>
                <w:sz w:val="20"/>
                <w:szCs w:val="20"/>
                <w:vertAlign w:val="superscript"/>
              </w:rPr>
              <w:t>1</w:t>
            </w:r>
          </w:p>
        </w:tc>
      </w:tr>
      <w:tr w:rsidR="00DA4677" w:rsidRPr="00DA4677" w14:paraId="6521FF3F" w14:textId="77777777" w:rsidTr="007C013F">
        <w:trPr>
          <w:jc w:val="center"/>
        </w:trPr>
        <w:tc>
          <w:tcPr>
            <w:tcW w:w="2649" w:type="dxa"/>
            <w:tcBorders>
              <w:top w:val="single" w:sz="8" w:space="0" w:color="000000"/>
              <w:left w:val="nil"/>
              <w:bottom w:val="nil"/>
              <w:right w:val="nil"/>
            </w:tcBorders>
            <w:shd w:val="clear" w:color="auto" w:fill="FFFFFF"/>
            <w:tcMar>
              <w:top w:w="0" w:type="dxa"/>
              <w:left w:w="0" w:type="dxa"/>
              <w:bottom w:w="0" w:type="dxa"/>
              <w:right w:w="0" w:type="dxa"/>
            </w:tcMar>
          </w:tcPr>
          <w:p w14:paraId="287607D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age</w:t>
            </w:r>
          </w:p>
        </w:tc>
        <w:tc>
          <w:tcPr>
            <w:tcW w:w="1719" w:type="dxa"/>
            <w:tcBorders>
              <w:top w:val="single" w:sz="8" w:space="0" w:color="000000"/>
              <w:left w:val="nil"/>
              <w:bottom w:val="nil"/>
              <w:right w:val="nil"/>
            </w:tcBorders>
            <w:shd w:val="clear" w:color="auto" w:fill="FFFFFF"/>
            <w:tcMar>
              <w:top w:w="0" w:type="dxa"/>
              <w:left w:w="0" w:type="dxa"/>
              <w:bottom w:w="0" w:type="dxa"/>
              <w:right w:w="0" w:type="dxa"/>
            </w:tcMar>
          </w:tcPr>
          <w:p w14:paraId="5318452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52.76 (17.65)</w:t>
            </w:r>
          </w:p>
        </w:tc>
      </w:tr>
      <w:tr w:rsidR="00DA4677" w:rsidRPr="00DA4677" w14:paraId="5E817DA9"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44A0D6B"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cancer_stage</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07F1B38B"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6FC62F9F"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28BEB601"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w:t>
            </w:r>
          </w:p>
        </w:tc>
        <w:tc>
          <w:tcPr>
            <w:tcW w:w="1719" w:type="dxa"/>
            <w:tcBorders>
              <w:top w:val="nil"/>
              <w:left w:val="nil"/>
              <w:bottom w:val="nil"/>
              <w:right w:val="nil"/>
            </w:tcBorders>
            <w:shd w:val="clear" w:color="auto" w:fill="FFFFFF"/>
            <w:tcMar>
              <w:top w:w="0" w:type="dxa"/>
              <w:left w:w="0" w:type="dxa"/>
              <w:bottom w:w="0" w:type="dxa"/>
              <w:right w:w="0" w:type="dxa"/>
            </w:tcMar>
          </w:tcPr>
          <w:p w14:paraId="375916A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77 (26%)</w:t>
            </w:r>
          </w:p>
        </w:tc>
      </w:tr>
      <w:tr w:rsidR="00DA4677" w:rsidRPr="00DA4677" w14:paraId="4E47EAE2"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211DE0BF"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w:t>
            </w:r>
          </w:p>
        </w:tc>
        <w:tc>
          <w:tcPr>
            <w:tcW w:w="1719" w:type="dxa"/>
            <w:tcBorders>
              <w:top w:val="nil"/>
              <w:left w:val="nil"/>
              <w:bottom w:val="nil"/>
              <w:right w:val="nil"/>
            </w:tcBorders>
            <w:shd w:val="clear" w:color="auto" w:fill="FFFFFF"/>
            <w:tcMar>
              <w:top w:w="0" w:type="dxa"/>
              <w:left w:w="0" w:type="dxa"/>
              <w:bottom w:w="0" w:type="dxa"/>
              <w:right w:w="0" w:type="dxa"/>
            </w:tcMar>
          </w:tcPr>
          <w:p w14:paraId="1243CE2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90 (30%)</w:t>
            </w:r>
          </w:p>
        </w:tc>
      </w:tr>
      <w:tr w:rsidR="00DA4677" w:rsidRPr="00DA4677" w14:paraId="35627A7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380AB598"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III</w:t>
            </w:r>
          </w:p>
        </w:tc>
        <w:tc>
          <w:tcPr>
            <w:tcW w:w="1719" w:type="dxa"/>
            <w:tcBorders>
              <w:top w:val="nil"/>
              <w:left w:val="nil"/>
              <w:bottom w:val="nil"/>
              <w:right w:val="nil"/>
            </w:tcBorders>
            <w:shd w:val="clear" w:color="auto" w:fill="FFFFFF"/>
            <w:tcMar>
              <w:top w:w="0" w:type="dxa"/>
              <w:left w:w="0" w:type="dxa"/>
              <w:bottom w:w="0" w:type="dxa"/>
              <w:right w:w="0" w:type="dxa"/>
            </w:tcMar>
          </w:tcPr>
          <w:p w14:paraId="0DE56BB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83 (28%)</w:t>
            </w:r>
          </w:p>
        </w:tc>
      </w:tr>
      <w:tr w:rsidR="00DA4677" w:rsidRPr="00DA4677" w14:paraId="4B79EC8B"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DFFF98D"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IV</w:t>
            </w:r>
          </w:p>
        </w:tc>
        <w:tc>
          <w:tcPr>
            <w:tcW w:w="1719" w:type="dxa"/>
            <w:tcBorders>
              <w:top w:val="nil"/>
              <w:left w:val="nil"/>
              <w:bottom w:val="nil"/>
              <w:right w:val="nil"/>
            </w:tcBorders>
            <w:shd w:val="clear" w:color="auto" w:fill="FFFFFF"/>
            <w:tcMar>
              <w:top w:w="0" w:type="dxa"/>
              <w:left w:w="0" w:type="dxa"/>
              <w:bottom w:w="0" w:type="dxa"/>
              <w:right w:w="0" w:type="dxa"/>
            </w:tcMar>
          </w:tcPr>
          <w:p w14:paraId="0015480E"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50 (17%)</w:t>
            </w:r>
          </w:p>
        </w:tc>
      </w:tr>
      <w:tr w:rsidR="00DA4677" w:rsidRPr="00DA4677" w14:paraId="0A75252F"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F7477D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tumor_size_cm</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5225AD46"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5.47 (2.60)</w:t>
            </w:r>
          </w:p>
        </w:tc>
      </w:tr>
      <w:tr w:rsidR="00DA4677" w:rsidRPr="00DA4677" w14:paraId="34EDB6F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4B202BE1"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lymph_nodes_involved</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2C402C3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7.09 (4.39)</w:t>
            </w:r>
          </w:p>
        </w:tc>
      </w:tr>
      <w:tr w:rsidR="00DA4677" w:rsidRPr="00DA4677" w14:paraId="5056B82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E8FF76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psa_levels</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1413A2BC"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46A4A802"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29E27573"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Low</w:t>
            </w:r>
          </w:p>
        </w:tc>
        <w:tc>
          <w:tcPr>
            <w:tcW w:w="1719" w:type="dxa"/>
            <w:tcBorders>
              <w:top w:val="nil"/>
              <w:left w:val="nil"/>
              <w:bottom w:val="nil"/>
              <w:right w:val="nil"/>
            </w:tcBorders>
            <w:shd w:val="clear" w:color="auto" w:fill="FFFFFF"/>
            <w:tcMar>
              <w:top w:w="0" w:type="dxa"/>
              <w:left w:w="0" w:type="dxa"/>
              <w:bottom w:w="0" w:type="dxa"/>
              <w:right w:w="0" w:type="dxa"/>
            </w:tcMar>
          </w:tcPr>
          <w:p w14:paraId="6FC07DB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82 (27%)</w:t>
            </w:r>
          </w:p>
        </w:tc>
      </w:tr>
      <w:tr w:rsidR="00DA4677" w:rsidRPr="00DA4677" w14:paraId="0FDE5CF8"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35CE2161"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Moderate</w:t>
            </w:r>
          </w:p>
        </w:tc>
        <w:tc>
          <w:tcPr>
            <w:tcW w:w="1719" w:type="dxa"/>
            <w:tcBorders>
              <w:top w:val="nil"/>
              <w:left w:val="nil"/>
              <w:bottom w:val="nil"/>
              <w:right w:val="nil"/>
            </w:tcBorders>
            <w:shd w:val="clear" w:color="auto" w:fill="FFFFFF"/>
            <w:tcMar>
              <w:top w:w="0" w:type="dxa"/>
              <w:left w:w="0" w:type="dxa"/>
              <w:bottom w:w="0" w:type="dxa"/>
              <w:right w:w="0" w:type="dxa"/>
            </w:tcMar>
          </w:tcPr>
          <w:p w14:paraId="3FE3591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129 (43%)</w:t>
            </w:r>
          </w:p>
        </w:tc>
      </w:tr>
      <w:tr w:rsidR="00DA4677" w:rsidRPr="00DA4677" w14:paraId="48AF8DB6"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0A148BE"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High</w:t>
            </w:r>
          </w:p>
        </w:tc>
        <w:tc>
          <w:tcPr>
            <w:tcW w:w="1719" w:type="dxa"/>
            <w:tcBorders>
              <w:top w:val="nil"/>
              <w:left w:val="nil"/>
              <w:bottom w:val="nil"/>
              <w:right w:val="nil"/>
            </w:tcBorders>
            <w:shd w:val="clear" w:color="auto" w:fill="FFFFFF"/>
            <w:tcMar>
              <w:top w:w="0" w:type="dxa"/>
              <w:left w:w="0" w:type="dxa"/>
              <w:bottom w:w="0" w:type="dxa"/>
              <w:right w:w="0" w:type="dxa"/>
            </w:tcMar>
          </w:tcPr>
          <w:p w14:paraId="2670992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89 (30%)</w:t>
            </w:r>
          </w:p>
        </w:tc>
      </w:tr>
      <w:tr w:rsidR="00DA4677" w:rsidRPr="00DA4677" w14:paraId="3B8B6933"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1DC493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chemotherapy</w:t>
            </w:r>
          </w:p>
        </w:tc>
        <w:tc>
          <w:tcPr>
            <w:tcW w:w="1719" w:type="dxa"/>
            <w:tcBorders>
              <w:top w:val="nil"/>
              <w:left w:val="nil"/>
              <w:bottom w:val="nil"/>
              <w:right w:val="nil"/>
            </w:tcBorders>
            <w:shd w:val="clear" w:color="auto" w:fill="FFFFFF"/>
            <w:tcMar>
              <w:top w:w="0" w:type="dxa"/>
              <w:left w:w="0" w:type="dxa"/>
              <w:bottom w:w="0" w:type="dxa"/>
              <w:right w:w="0" w:type="dxa"/>
            </w:tcMar>
          </w:tcPr>
          <w:p w14:paraId="4AF1DBD5"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165 (55%)</w:t>
            </w:r>
          </w:p>
        </w:tc>
      </w:tr>
      <w:tr w:rsidR="00DA4677" w:rsidRPr="00DA4677" w14:paraId="7F51598A"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E4F95C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radiation_therapy</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7E32D63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179</w:t>
            </w:r>
            <w:r w:rsidRPr="00DA4677">
              <w:rPr>
                <w:rFonts w:ascii="Times New Roman" w:eastAsia="Arial" w:hAnsi="Times New Roman" w:cs="Times New Roman"/>
                <w:sz w:val="20"/>
                <w:szCs w:val="20"/>
              </w:rPr>
              <w:t xml:space="preserve"> (60%)</w:t>
            </w:r>
          </w:p>
        </w:tc>
      </w:tr>
      <w:tr w:rsidR="00DA4677" w:rsidRPr="00DA4677" w14:paraId="223B8701"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EE507AE"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hormone_therapy</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6364847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154 (51%)</w:t>
            </w:r>
          </w:p>
        </w:tc>
      </w:tr>
      <w:tr w:rsidR="00DA4677" w:rsidRPr="00DA4677" w14:paraId="415F83C4"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60B6F1C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gleason_score</w:t>
            </w:r>
            <w:proofErr w:type="spellEnd"/>
          </w:p>
        </w:tc>
        <w:tc>
          <w:tcPr>
            <w:tcW w:w="1719" w:type="dxa"/>
            <w:tcBorders>
              <w:top w:val="nil"/>
              <w:left w:val="nil"/>
              <w:bottom w:val="nil"/>
              <w:right w:val="nil"/>
            </w:tcBorders>
            <w:shd w:val="clear" w:color="auto" w:fill="FFFFFF"/>
            <w:tcMar>
              <w:top w:w="0" w:type="dxa"/>
              <w:left w:w="0" w:type="dxa"/>
              <w:bottom w:w="0" w:type="dxa"/>
              <w:right w:w="0" w:type="dxa"/>
            </w:tcMar>
          </w:tcPr>
          <w:p w14:paraId="65672767"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44F8EADD"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084EDEE2"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6</w:t>
            </w:r>
          </w:p>
        </w:tc>
        <w:tc>
          <w:tcPr>
            <w:tcW w:w="1719" w:type="dxa"/>
            <w:tcBorders>
              <w:top w:val="nil"/>
              <w:left w:val="nil"/>
              <w:bottom w:val="nil"/>
              <w:right w:val="nil"/>
            </w:tcBorders>
            <w:shd w:val="clear" w:color="auto" w:fill="FFFFFF"/>
            <w:tcMar>
              <w:top w:w="0" w:type="dxa"/>
              <w:left w:w="0" w:type="dxa"/>
              <w:bottom w:w="0" w:type="dxa"/>
              <w:right w:w="0" w:type="dxa"/>
            </w:tcMar>
          </w:tcPr>
          <w:p w14:paraId="54C92E0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74 (25%)</w:t>
            </w:r>
          </w:p>
        </w:tc>
      </w:tr>
      <w:tr w:rsidR="00DA4677" w:rsidRPr="00DA4677" w14:paraId="20AC62AA"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C56EBF7"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w:t>
            </w:r>
          </w:p>
        </w:tc>
        <w:tc>
          <w:tcPr>
            <w:tcW w:w="1719" w:type="dxa"/>
            <w:tcBorders>
              <w:top w:val="nil"/>
              <w:left w:val="nil"/>
              <w:bottom w:val="nil"/>
              <w:right w:val="nil"/>
            </w:tcBorders>
            <w:shd w:val="clear" w:color="auto" w:fill="FFFFFF"/>
            <w:tcMar>
              <w:top w:w="0" w:type="dxa"/>
              <w:left w:w="0" w:type="dxa"/>
              <w:bottom w:w="0" w:type="dxa"/>
              <w:right w:w="0" w:type="dxa"/>
            </w:tcMar>
          </w:tcPr>
          <w:p w14:paraId="4DA727B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74 (25%)</w:t>
            </w:r>
          </w:p>
        </w:tc>
      </w:tr>
      <w:tr w:rsidR="00DA4677" w:rsidRPr="00DA4677" w14:paraId="27D19F50" w14:textId="77777777" w:rsidTr="007C013F">
        <w:trPr>
          <w:jc w:val="center"/>
        </w:trPr>
        <w:tc>
          <w:tcPr>
            <w:tcW w:w="2649" w:type="dxa"/>
            <w:tcBorders>
              <w:top w:val="nil"/>
              <w:left w:val="nil"/>
              <w:bottom w:val="nil"/>
              <w:right w:val="nil"/>
            </w:tcBorders>
            <w:shd w:val="clear" w:color="auto" w:fill="FFFFFF"/>
            <w:tcMar>
              <w:top w:w="0" w:type="dxa"/>
              <w:left w:w="0" w:type="dxa"/>
              <w:bottom w:w="0" w:type="dxa"/>
              <w:right w:w="0" w:type="dxa"/>
            </w:tcMar>
          </w:tcPr>
          <w:p w14:paraId="1051E7E8"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lastRenderedPageBreak/>
              <w:t>8</w:t>
            </w:r>
          </w:p>
        </w:tc>
        <w:tc>
          <w:tcPr>
            <w:tcW w:w="1719" w:type="dxa"/>
            <w:tcBorders>
              <w:top w:val="nil"/>
              <w:left w:val="nil"/>
              <w:bottom w:val="nil"/>
              <w:right w:val="nil"/>
            </w:tcBorders>
            <w:shd w:val="clear" w:color="auto" w:fill="FFFFFF"/>
            <w:tcMar>
              <w:top w:w="0" w:type="dxa"/>
              <w:left w:w="0" w:type="dxa"/>
              <w:bottom w:w="0" w:type="dxa"/>
              <w:right w:w="0" w:type="dxa"/>
            </w:tcMar>
          </w:tcPr>
          <w:p w14:paraId="313A6215"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73 (24%)</w:t>
            </w:r>
          </w:p>
        </w:tc>
      </w:tr>
      <w:tr w:rsidR="00DA4677" w:rsidRPr="00DA4677" w14:paraId="7C536AC2" w14:textId="77777777" w:rsidTr="007C013F">
        <w:trPr>
          <w:jc w:val="center"/>
        </w:trPr>
        <w:tc>
          <w:tcPr>
            <w:tcW w:w="2649" w:type="dxa"/>
            <w:tcBorders>
              <w:top w:val="nil"/>
              <w:left w:val="nil"/>
              <w:bottom w:val="single" w:sz="8" w:space="0" w:color="000000"/>
              <w:right w:val="nil"/>
            </w:tcBorders>
            <w:shd w:val="clear" w:color="auto" w:fill="FFFFFF"/>
            <w:tcMar>
              <w:top w:w="0" w:type="dxa"/>
              <w:left w:w="0" w:type="dxa"/>
              <w:bottom w:w="0" w:type="dxa"/>
              <w:right w:w="0" w:type="dxa"/>
            </w:tcMar>
          </w:tcPr>
          <w:p w14:paraId="2FD9982E"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9</w:t>
            </w:r>
          </w:p>
        </w:tc>
        <w:tc>
          <w:tcPr>
            <w:tcW w:w="1719" w:type="dxa"/>
            <w:tcBorders>
              <w:top w:val="nil"/>
              <w:left w:val="nil"/>
              <w:bottom w:val="single" w:sz="8" w:space="0" w:color="000000"/>
              <w:right w:val="nil"/>
            </w:tcBorders>
            <w:shd w:val="clear" w:color="auto" w:fill="FFFFFF"/>
            <w:tcMar>
              <w:top w:w="0" w:type="dxa"/>
              <w:left w:w="0" w:type="dxa"/>
              <w:bottom w:w="0" w:type="dxa"/>
              <w:right w:w="0" w:type="dxa"/>
            </w:tcMar>
          </w:tcPr>
          <w:p w14:paraId="49AFE79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79 (26%)</w:t>
            </w:r>
          </w:p>
        </w:tc>
      </w:tr>
      <w:tr w:rsidR="00DA4677" w:rsidRPr="00DA4677" w14:paraId="7DD38BDF" w14:textId="77777777" w:rsidTr="007C013F">
        <w:trPr>
          <w:jc w:val="center"/>
        </w:trPr>
        <w:tc>
          <w:tcPr>
            <w:tcW w:w="4368" w:type="dxa"/>
            <w:gridSpan w:val="2"/>
            <w:tcBorders>
              <w:top w:val="single" w:sz="8" w:space="0" w:color="000000"/>
              <w:left w:val="nil"/>
              <w:bottom w:val="nil"/>
              <w:right w:val="nil"/>
            </w:tcBorders>
            <w:shd w:val="clear" w:color="auto" w:fill="FFFFFF"/>
            <w:tcMar>
              <w:top w:w="0" w:type="dxa"/>
              <w:left w:w="0" w:type="dxa"/>
              <w:bottom w:w="0" w:type="dxa"/>
              <w:right w:w="0" w:type="dxa"/>
            </w:tcMar>
            <w:vAlign w:val="center"/>
          </w:tcPr>
          <w:p w14:paraId="2733807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vertAlign w:val="superscript"/>
              </w:rPr>
              <w:t>1. Mean</w:t>
            </w:r>
            <w:r w:rsidRPr="00DA4677">
              <w:rPr>
                <w:rFonts w:ascii="Times New Roman" w:eastAsia="Arial" w:hAnsi="Times New Roman" w:cs="Times New Roman"/>
                <w:sz w:val="20"/>
                <w:szCs w:val="20"/>
              </w:rPr>
              <w:t xml:space="preserve"> (SD); n (%)</w:t>
            </w:r>
          </w:p>
        </w:tc>
      </w:tr>
    </w:tbl>
    <w:p w14:paraId="37A9F0E2" w14:textId="77777777" w:rsidR="00612B51" w:rsidRPr="00DA4677" w:rsidRDefault="00C92CF8" w:rsidP="00774E50">
      <w:pPr>
        <w:pStyle w:val="Heading2"/>
        <w:spacing w:before="0" w:after="0" w:line="240" w:lineRule="auto"/>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Table 2:</w:t>
      </w:r>
      <w:r w:rsidRPr="00DA4677">
        <w:rPr>
          <w:rFonts w:ascii="Times New Roman" w:eastAsia="Times New Roman" w:hAnsi="Times New Roman" w:cs="Times New Roman"/>
          <w:color w:val="auto"/>
          <w:sz w:val="20"/>
          <w:szCs w:val="20"/>
        </w:rPr>
        <w:t xml:space="preserve"> </w:t>
      </w:r>
      <w:r w:rsidRPr="00DA4677">
        <w:rPr>
          <w:rFonts w:ascii="Times New Roman" w:hAnsi="Times New Roman" w:cs="Times New Roman"/>
          <w:color w:val="auto"/>
          <w:sz w:val="20"/>
          <w:szCs w:val="20"/>
        </w:rPr>
        <w:t xml:space="preserve">Model </w:t>
      </w:r>
      <w:r w:rsidRPr="00DA4677">
        <w:rPr>
          <w:rFonts w:ascii="Times New Roman" w:eastAsia="Times New Roman" w:hAnsi="Times New Roman" w:cs="Times New Roman"/>
          <w:color w:val="auto"/>
          <w:sz w:val="20"/>
          <w:szCs w:val="20"/>
        </w:rPr>
        <w:t>results</w:t>
      </w:r>
      <w:r w:rsidRPr="00DA4677">
        <w:rPr>
          <w:rFonts w:ascii="Times New Roman" w:hAnsi="Times New Roman" w:cs="Times New Roman"/>
          <w:color w:val="auto"/>
          <w:sz w:val="20"/>
          <w:szCs w:val="20"/>
        </w:rPr>
        <w:t xml:space="preserve"> (Cox PH with RCS for </w:t>
      </w:r>
      <w:r w:rsidRPr="00DA4677">
        <w:rPr>
          <w:rFonts w:ascii="Times New Roman" w:eastAsia="Times New Roman" w:hAnsi="Times New Roman" w:cs="Times New Roman"/>
          <w:color w:val="auto"/>
          <w:sz w:val="20"/>
          <w:szCs w:val="20"/>
        </w:rPr>
        <w:t>age</w:t>
      </w:r>
      <w:r w:rsidRPr="00DA4677">
        <w:rPr>
          <w:rFonts w:ascii="Times New Roman" w:hAnsi="Times New Roman" w:cs="Times New Roman"/>
          <w:color w:val="auto"/>
          <w:sz w:val="20"/>
          <w:szCs w:val="20"/>
        </w:rPr>
        <w:t xml:space="preserve"> and </w:t>
      </w:r>
      <w:r w:rsidRPr="00DA4677">
        <w:rPr>
          <w:rFonts w:ascii="Times New Roman" w:eastAsia="Times New Roman" w:hAnsi="Times New Roman" w:cs="Times New Roman"/>
          <w:color w:val="auto"/>
          <w:sz w:val="20"/>
          <w:szCs w:val="20"/>
        </w:rPr>
        <w:t>tumor size</w:t>
      </w:r>
      <w:r w:rsidRPr="00DA4677">
        <w:rPr>
          <w:rFonts w:ascii="Times New Roman" w:hAnsi="Times New Roman" w:cs="Times New Roman"/>
          <w:color w:val="auto"/>
          <w:sz w:val="20"/>
          <w:szCs w:val="20"/>
        </w:rPr>
        <w:t>)</w:t>
      </w:r>
    </w:p>
    <w:tbl>
      <w:tblPr>
        <w:tblW w:w="0" w:type="auto"/>
        <w:jc w:val="center"/>
        <w:tblLayout w:type="fixed"/>
        <w:tblLook w:val="0420" w:firstRow="1" w:lastRow="0" w:firstColumn="0" w:lastColumn="0" w:noHBand="0" w:noVBand="1"/>
      </w:tblPr>
      <w:tblGrid>
        <w:gridCol w:w="4156"/>
        <w:gridCol w:w="839"/>
        <w:gridCol w:w="1389"/>
        <w:gridCol w:w="1181"/>
      </w:tblGrid>
      <w:tr w:rsidR="00DA4677" w:rsidRPr="00DA4677" w14:paraId="0199709A" w14:textId="77777777" w:rsidTr="007C013F">
        <w:trPr>
          <w:tblHeader/>
          <w:jc w:val="center"/>
        </w:trPr>
        <w:tc>
          <w:tcPr>
            <w:tcW w:w="4156"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0D8AE625"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Characteristic</w:t>
            </w:r>
          </w:p>
        </w:tc>
        <w:tc>
          <w:tcPr>
            <w:tcW w:w="83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24ABDD5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HR</w:t>
            </w:r>
          </w:p>
        </w:tc>
        <w:tc>
          <w:tcPr>
            <w:tcW w:w="138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056A8B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95% CI</w:t>
            </w:r>
          </w:p>
        </w:tc>
        <w:tc>
          <w:tcPr>
            <w:tcW w:w="1181"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7938671"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b/>
                <w:sz w:val="20"/>
                <w:szCs w:val="20"/>
              </w:rPr>
              <w:t>p value</w:t>
            </w:r>
          </w:p>
        </w:tc>
      </w:tr>
      <w:tr w:rsidR="00DA4677" w:rsidRPr="00DA4677" w14:paraId="41CA9EFF" w14:textId="77777777" w:rsidTr="007C013F">
        <w:trPr>
          <w:jc w:val="center"/>
        </w:trPr>
        <w:tc>
          <w:tcPr>
            <w:tcW w:w="4156" w:type="dxa"/>
            <w:tcBorders>
              <w:top w:val="single" w:sz="8" w:space="0" w:color="000000"/>
              <w:left w:val="nil"/>
              <w:bottom w:val="nil"/>
              <w:right w:val="nil"/>
            </w:tcBorders>
            <w:shd w:val="clear" w:color="auto" w:fill="FFFFFF"/>
            <w:tcMar>
              <w:top w:w="0" w:type="dxa"/>
              <w:left w:w="0" w:type="dxa"/>
              <w:bottom w:w="0" w:type="dxa"/>
              <w:right w:w="0" w:type="dxa"/>
            </w:tcMar>
          </w:tcPr>
          <w:p w14:paraId="7681655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gramStart"/>
            <w:r w:rsidRPr="00DA4677">
              <w:rPr>
                <w:rFonts w:ascii="Times New Roman" w:eastAsia="Arial" w:hAnsi="Times New Roman" w:cs="Times New Roman"/>
                <w:b/>
                <w:sz w:val="20"/>
                <w:szCs w:val="20"/>
              </w:rPr>
              <w:t>splines::</w:t>
            </w:r>
            <w:proofErr w:type="gramEnd"/>
            <w:r w:rsidRPr="00DA4677">
              <w:rPr>
                <w:rFonts w:ascii="Times New Roman" w:eastAsia="Arial" w:hAnsi="Times New Roman" w:cs="Times New Roman"/>
                <w:b/>
                <w:sz w:val="20"/>
                <w:szCs w:val="20"/>
              </w:rPr>
              <w:t>ns(age, df = 4)</w:t>
            </w:r>
          </w:p>
        </w:tc>
        <w:tc>
          <w:tcPr>
            <w:tcW w:w="839" w:type="dxa"/>
            <w:tcBorders>
              <w:top w:val="single" w:sz="8" w:space="0" w:color="000000"/>
              <w:left w:val="nil"/>
              <w:bottom w:val="nil"/>
              <w:right w:val="nil"/>
            </w:tcBorders>
            <w:shd w:val="clear" w:color="auto" w:fill="FFFFFF"/>
            <w:tcMar>
              <w:top w:w="0" w:type="dxa"/>
              <w:left w:w="0" w:type="dxa"/>
              <w:bottom w:w="0" w:type="dxa"/>
              <w:right w:w="0" w:type="dxa"/>
            </w:tcMar>
          </w:tcPr>
          <w:p w14:paraId="5D1A7B13"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single" w:sz="8" w:space="0" w:color="000000"/>
              <w:left w:val="nil"/>
              <w:bottom w:val="nil"/>
              <w:right w:val="nil"/>
            </w:tcBorders>
            <w:shd w:val="clear" w:color="auto" w:fill="FFFFFF"/>
            <w:tcMar>
              <w:top w:w="0" w:type="dxa"/>
              <w:left w:w="0" w:type="dxa"/>
              <w:bottom w:w="0" w:type="dxa"/>
              <w:right w:w="0" w:type="dxa"/>
            </w:tcMar>
          </w:tcPr>
          <w:p w14:paraId="5BF068A2"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single" w:sz="8" w:space="0" w:color="000000"/>
              <w:left w:val="nil"/>
              <w:bottom w:val="nil"/>
              <w:right w:val="nil"/>
            </w:tcBorders>
            <w:shd w:val="clear" w:color="auto" w:fill="FFFFFF"/>
            <w:tcMar>
              <w:top w:w="0" w:type="dxa"/>
              <w:left w:w="0" w:type="dxa"/>
              <w:bottom w:w="0" w:type="dxa"/>
              <w:right w:w="0" w:type="dxa"/>
            </w:tcMar>
          </w:tcPr>
          <w:p w14:paraId="30EAFBCC"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5973F8EB"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54266F8"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ns(age, df = 4) 1</w:t>
            </w:r>
          </w:p>
        </w:tc>
        <w:tc>
          <w:tcPr>
            <w:tcW w:w="839" w:type="dxa"/>
            <w:tcBorders>
              <w:top w:val="nil"/>
              <w:left w:val="nil"/>
              <w:bottom w:val="nil"/>
              <w:right w:val="nil"/>
            </w:tcBorders>
            <w:shd w:val="clear" w:color="auto" w:fill="FFFFFF"/>
            <w:tcMar>
              <w:top w:w="0" w:type="dxa"/>
              <w:left w:w="0" w:type="dxa"/>
              <w:bottom w:w="0" w:type="dxa"/>
              <w:right w:w="0" w:type="dxa"/>
            </w:tcMar>
          </w:tcPr>
          <w:p w14:paraId="2F74F2C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0.72</w:t>
            </w:r>
          </w:p>
        </w:tc>
        <w:tc>
          <w:tcPr>
            <w:tcW w:w="1389" w:type="dxa"/>
            <w:tcBorders>
              <w:top w:val="nil"/>
              <w:left w:val="nil"/>
              <w:bottom w:val="nil"/>
              <w:right w:val="nil"/>
            </w:tcBorders>
            <w:shd w:val="clear" w:color="auto" w:fill="FFFFFF"/>
            <w:tcMar>
              <w:top w:w="0" w:type="dxa"/>
              <w:left w:w="0" w:type="dxa"/>
              <w:bottom w:w="0" w:type="dxa"/>
              <w:right w:w="0" w:type="dxa"/>
            </w:tcMar>
          </w:tcPr>
          <w:p w14:paraId="3492054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0.30, 1.71</w:t>
            </w:r>
          </w:p>
        </w:tc>
        <w:tc>
          <w:tcPr>
            <w:tcW w:w="1181" w:type="dxa"/>
            <w:tcBorders>
              <w:top w:val="nil"/>
              <w:left w:val="nil"/>
              <w:bottom w:val="nil"/>
              <w:right w:val="nil"/>
            </w:tcBorders>
            <w:shd w:val="clear" w:color="auto" w:fill="FFFFFF"/>
            <w:tcMar>
              <w:top w:w="0" w:type="dxa"/>
              <w:left w:w="0" w:type="dxa"/>
              <w:bottom w:w="0" w:type="dxa"/>
              <w:right w:w="0" w:type="dxa"/>
            </w:tcMar>
          </w:tcPr>
          <w:p w14:paraId="60E20202"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23F127B5"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1212251"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ns(age, df = 4) 2</w:t>
            </w:r>
          </w:p>
        </w:tc>
        <w:tc>
          <w:tcPr>
            <w:tcW w:w="839" w:type="dxa"/>
            <w:tcBorders>
              <w:top w:val="nil"/>
              <w:left w:val="nil"/>
              <w:bottom w:val="nil"/>
              <w:right w:val="nil"/>
            </w:tcBorders>
            <w:shd w:val="clear" w:color="auto" w:fill="FFFFFF"/>
            <w:tcMar>
              <w:top w:w="0" w:type="dxa"/>
              <w:left w:w="0" w:type="dxa"/>
              <w:bottom w:w="0" w:type="dxa"/>
              <w:right w:w="0" w:type="dxa"/>
            </w:tcMar>
          </w:tcPr>
          <w:p w14:paraId="7F2E5A2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1.11</w:t>
            </w:r>
          </w:p>
        </w:tc>
        <w:tc>
          <w:tcPr>
            <w:tcW w:w="1389" w:type="dxa"/>
            <w:tcBorders>
              <w:top w:val="nil"/>
              <w:left w:val="nil"/>
              <w:bottom w:val="nil"/>
              <w:right w:val="nil"/>
            </w:tcBorders>
            <w:shd w:val="clear" w:color="auto" w:fill="FFFFFF"/>
            <w:tcMar>
              <w:top w:w="0" w:type="dxa"/>
              <w:left w:w="0" w:type="dxa"/>
              <w:bottom w:w="0" w:type="dxa"/>
              <w:right w:w="0" w:type="dxa"/>
            </w:tcMar>
          </w:tcPr>
          <w:p w14:paraId="3046B855"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0.46, 2.64</w:t>
            </w:r>
          </w:p>
        </w:tc>
        <w:tc>
          <w:tcPr>
            <w:tcW w:w="1181" w:type="dxa"/>
            <w:tcBorders>
              <w:top w:val="nil"/>
              <w:left w:val="nil"/>
              <w:bottom w:val="nil"/>
              <w:right w:val="nil"/>
            </w:tcBorders>
            <w:shd w:val="clear" w:color="auto" w:fill="FFFFFF"/>
            <w:tcMar>
              <w:top w:w="0" w:type="dxa"/>
              <w:left w:w="0" w:type="dxa"/>
              <w:bottom w:w="0" w:type="dxa"/>
              <w:right w:w="0" w:type="dxa"/>
            </w:tcMar>
          </w:tcPr>
          <w:p w14:paraId="241A671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w:t>
            </w:r>
          </w:p>
        </w:tc>
      </w:tr>
      <w:tr w:rsidR="00DA4677" w:rsidRPr="00DA4677" w14:paraId="243D9C3E"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58D227E"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ns(age, df = 4) 3</w:t>
            </w:r>
          </w:p>
        </w:tc>
        <w:tc>
          <w:tcPr>
            <w:tcW w:w="839" w:type="dxa"/>
            <w:tcBorders>
              <w:top w:val="nil"/>
              <w:left w:val="nil"/>
              <w:bottom w:val="nil"/>
              <w:right w:val="nil"/>
            </w:tcBorders>
            <w:shd w:val="clear" w:color="auto" w:fill="FFFFFF"/>
            <w:tcMar>
              <w:top w:w="0" w:type="dxa"/>
              <w:left w:w="0" w:type="dxa"/>
              <w:bottom w:w="0" w:type="dxa"/>
              <w:right w:w="0" w:type="dxa"/>
            </w:tcMar>
          </w:tcPr>
          <w:p w14:paraId="4271308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1.97</w:t>
            </w:r>
          </w:p>
        </w:tc>
        <w:tc>
          <w:tcPr>
            <w:tcW w:w="1389" w:type="dxa"/>
            <w:tcBorders>
              <w:top w:val="nil"/>
              <w:left w:val="nil"/>
              <w:bottom w:val="nil"/>
              <w:right w:val="nil"/>
            </w:tcBorders>
            <w:shd w:val="clear" w:color="auto" w:fill="FFFFFF"/>
            <w:tcMar>
              <w:top w:w="0" w:type="dxa"/>
              <w:left w:w="0" w:type="dxa"/>
              <w:bottom w:w="0" w:type="dxa"/>
              <w:right w:w="0" w:type="dxa"/>
            </w:tcMar>
          </w:tcPr>
          <w:p w14:paraId="0B5EEB6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0.41, 9.44</w:t>
            </w:r>
          </w:p>
        </w:tc>
        <w:tc>
          <w:tcPr>
            <w:tcW w:w="1181" w:type="dxa"/>
            <w:tcBorders>
              <w:top w:val="nil"/>
              <w:left w:val="nil"/>
              <w:bottom w:val="nil"/>
              <w:right w:val="nil"/>
            </w:tcBorders>
            <w:shd w:val="clear" w:color="auto" w:fill="FFFFFF"/>
            <w:tcMar>
              <w:top w:w="0" w:type="dxa"/>
              <w:left w:w="0" w:type="dxa"/>
              <w:bottom w:w="0" w:type="dxa"/>
              <w:right w:w="0" w:type="dxa"/>
            </w:tcMar>
          </w:tcPr>
          <w:p w14:paraId="537AACA2"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w:t>
            </w:r>
          </w:p>
        </w:tc>
      </w:tr>
      <w:tr w:rsidR="00DA4677" w:rsidRPr="00DA4677" w14:paraId="68606F6D"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6A9FC4BF"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ns(age, df = 4) 4</w:t>
            </w:r>
          </w:p>
        </w:tc>
        <w:tc>
          <w:tcPr>
            <w:tcW w:w="839" w:type="dxa"/>
            <w:tcBorders>
              <w:top w:val="nil"/>
              <w:left w:val="nil"/>
              <w:bottom w:val="nil"/>
              <w:right w:val="nil"/>
            </w:tcBorders>
            <w:shd w:val="clear" w:color="auto" w:fill="FFFFFF"/>
            <w:tcMar>
              <w:top w:w="0" w:type="dxa"/>
              <w:left w:w="0" w:type="dxa"/>
              <w:bottom w:w="0" w:type="dxa"/>
              <w:right w:w="0" w:type="dxa"/>
            </w:tcMar>
          </w:tcPr>
          <w:p w14:paraId="0E4BC582"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0.82</w:t>
            </w:r>
          </w:p>
        </w:tc>
        <w:tc>
          <w:tcPr>
            <w:tcW w:w="1389" w:type="dxa"/>
            <w:tcBorders>
              <w:top w:val="nil"/>
              <w:left w:val="nil"/>
              <w:bottom w:val="nil"/>
              <w:right w:val="nil"/>
            </w:tcBorders>
            <w:shd w:val="clear" w:color="auto" w:fill="FFFFFF"/>
            <w:tcMar>
              <w:top w:w="0" w:type="dxa"/>
              <w:left w:w="0" w:type="dxa"/>
              <w:bottom w:w="0" w:type="dxa"/>
              <w:right w:w="0" w:type="dxa"/>
            </w:tcMar>
          </w:tcPr>
          <w:p w14:paraId="0BE4B1D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0.38, 1.73</w:t>
            </w:r>
          </w:p>
        </w:tc>
        <w:tc>
          <w:tcPr>
            <w:tcW w:w="1181" w:type="dxa"/>
            <w:tcBorders>
              <w:top w:val="nil"/>
              <w:left w:val="nil"/>
              <w:bottom w:val="nil"/>
              <w:right w:val="nil"/>
            </w:tcBorders>
            <w:shd w:val="clear" w:color="auto" w:fill="FFFFFF"/>
            <w:tcMar>
              <w:top w:w="0" w:type="dxa"/>
              <w:left w:w="0" w:type="dxa"/>
              <w:bottom w:w="0" w:type="dxa"/>
              <w:right w:w="0" w:type="dxa"/>
            </w:tcMar>
          </w:tcPr>
          <w:p w14:paraId="5F8765F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0.6</w:t>
            </w:r>
          </w:p>
        </w:tc>
      </w:tr>
      <w:tr w:rsidR="00DA4677" w:rsidRPr="00DA4677" w14:paraId="5A887C65"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69FA49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gramStart"/>
            <w:r w:rsidRPr="00DA4677">
              <w:rPr>
                <w:rFonts w:ascii="Times New Roman" w:eastAsia="Arial" w:hAnsi="Times New Roman" w:cs="Times New Roman"/>
                <w:b/>
                <w:sz w:val="20"/>
                <w:szCs w:val="20"/>
              </w:rPr>
              <w:t>splines::</w:t>
            </w:r>
            <w:proofErr w:type="gramEnd"/>
            <w:r w:rsidRPr="00DA4677">
              <w:rPr>
                <w:rFonts w:ascii="Times New Roman" w:eastAsia="Arial" w:hAnsi="Times New Roman" w:cs="Times New Roman"/>
                <w:b/>
                <w:sz w:val="20"/>
                <w:szCs w:val="20"/>
              </w:rPr>
              <w:t>ns(</w:t>
            </w:r>
            <w:proofErr w:type="spellStart"/>
            <w:r w:rsidRPr="00DA4677">
              <w:rPr>
                <w:rFonts w:ascii="Times New Roman" w:eastAsia="Arial" w:hAnsi="Times New Roman" w:cs="Times New Roman"/>
                <w:b/>
                <w:sz w:val="20"/>
                <w:szCs w:val="20"/>
              </w:rPr>
              <w:t>tumor_size_cm</w:t>
            </w:r>
            <w:proofErr w:type="spellEnd"/>
            <w:r w:rsidRPr="00DA4677">
              <w:rPr>
                <w:rFonts w:ascii="Times New Roman" w:eastAsia="Arial" w:hAnsi="Times New Roman" w:cs="Times New Roman"/>
                <w:b/>
                <w:sz w:val="20"/>
                <w:szCs w:val="20"/>
              </w:rPr>
              <w:t>, df = 4)</w:t>
            </w:r>
          </w:p>
        </w:tc>
        <w:tc>
          <w:tcPr>
            <w:tcW w:w="839" w:type="dxa"/>
            <w:tcBorders>
              <w:top w:val="nil"/>
              <w:left w:val="nil"/>
              <w:bottom w:val="nil"/>
              <w:right w:val="nil"/>
            </w:tcBorders>
            <w:shd w:val="clear" w:color="auto" w:fill="FFFFFF"/>
            <w:tcMar>
              <w:top w:w="0" w:type="dxa"/>
              <w:left w:w="0" w:type="dxa"/>
              <w:bottom w:w="0" w:type="dxa"/>
              <w:right w:w="0" w:type="dxa"/>
            </w:tcMar>
          </w:tcPr>
          <w:p w14:paraId="457A9963"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0B5B44F5"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47712440"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6DC7BE26"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41192408"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1</w:t>
            </w:r>
          </w:p>
        </w:tc>
        <w:tc>
          <w:tcPr>
            <w:tcW w:w="839" w:type="dxa"/>
            <w:tcBorders>
              <w:top w:val="nil"/>
              <w:left w:val="nil"/>
              <w:bottom w:val="nil"/>
              <w:right w:val="nil"/>
            </w:tcBorders>
            <w:shd w:val="clear" w:color="auto" w:fill="FFFFFF"/>
            <w:tcMar>
              <w:top w:w="0" w:type="dxa"/>
              <w:left w:w="0" w:type="dxa"/>
              <w:bottom w:w="0" w:type="dxa"/>
              <w:right w:w="0" w:type="dxa"/>
            </w:tcMar>
          </w:tcPr>
          <w:p w14:paraId="7C880B9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0.41</w:t>
            </w:r>
          </w:p>
        </w:tc>
        <w:tc>
          <w:tcPr>
            <w:tcW w:w="1389" w:type="dxa"/>
            <w:tcBorders>
              <w:top w:val="nil"/>
              <w:left w:val="nil"/>
              <w:bottom w:val="nil"/>
              <w:right w:val="nil"/>
            </w:tcBorders>
            <w:shd w:val="clear" w:color="auto" w:fill="FFFFFF"/>
            <w:tcMar>
              <w:top w:w="0" w:type="dxa"/>
              <w:left w:w="0" w:type="dxa"/>
              <w:bottom w:w="0" w:type="dxa"/>
              <w:right w:w="0" w:type="dxa"/>
            </w:tcMar>
          </w:tcPr>
          <w:p w14:paraId="0A32758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0.17, 0.99</w:t>
            </w:r>
          </w:p>
        </w:tc>
        <w:tc>
          <w:tcPr>
            <w:tcW w:w="1181" w:type="dxa"/>
            <w:tcBorders>
              <w:top w:val="nil"/>
              <w:left w:val="nil"/>
              <w:bottom w:val="nil"/>
              <w:right w:val="nil"/>
            </w:tcBorders>
            <w:shd w:val="clear" w:color="auto" w:fill="FFFFFF"/>
            <w:tcMar>
              <w:top w:w="0" w:type="dxa"/>
              <w:left w:w="0" w:type="dxa"/>
              <w:bottom w:w="0" w:type="dxa"/>
              <w:right w:w="0" w:type="dxa"/>
            </w:tcMar>
          </w:tcPr>
          <w:p w14:paraId="4CD3A0A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0.048</w:t>
            </w:r>
          </w:p>
        </w:tc>
      </w:tr>
      <w:tr w:rsidR="00DA4677" w:rsidRPr="00DA4677" w14:paraId="4BA6B1C3"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22D6A594"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2</w:t>
            </w:r>
          </w:p>
        </w:tc>
        <w:tc>
          <w:tcPr>
            <w:tcW w:w="839" w:type="dxa"/>
            <w:tcBorders>
              <w:top w:val="nil"/>
              <w:left w:val="nil"/>
              <w:bottom w:val="nil"/>
              <w:right w:val="nil"/>
            </w:tcBorders>
            <w:shd w:val="clear" w:color="auto" w:fill="FFFFFF"/>
            <w:tcMar>
              <w:top w:w="0" w:type="dxa"/>
              <w:left w:w="0" w:type="dxa"/>
              <w:bottom w:w="0" w:type="dxa"/>
              <w:right w:w="0" w:type="dxa"/>
            </w:tcMar>
          </w:tcPr>
          <w:p w14:paraId="1F9AD64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1.38</w:t>
            </w:r>
          </w:p>
        </w:tc>
        <w:tc>
          <w:tcPr>
            <w:tcW w:w="1389" w:type="dxa"/>
            <w:tcBorders>
              <w:top w:val="nil"/>
              <w:left w:val="nil"/>
              <w:bottom w:val="nil"/>
              <w:right w:val="nil"/>
            </w:tcBorders>
            <w:shd w:val="clear" w:color="auto" w:fill="FFFFFF"/>
            <w:tcMar>
              <w:top w:w="0" w:type="dxa"/>
              <w:left w:w="0" w:type="dxa"/>
              <w:bottom w:w="0" w:type="dxa"/>
              <w:right w:w="0" w:type="dxa"/>
            </w:tcMar>
          </w:tcPr>
          <w:p w14:paraId="121B9F37"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0.59, 3.22</w:t>
            </w:r>
          </w:p>
        </w:tc>
        <w:tc>
          <w:tcPr>
            <w:tcW w:w="1181" w:type="dxa"/>
            <w:tcBorders>
              <w:top w:val="nil"/>
              <w:left w:val="nil"/>
              <w:bottom w:val="nil"/>
              <w:right w:val="nil"/>
            </w:tcBorders>
            <w:shd w:val="clear" w:color="auto" w:fill="FFFFFF"/>
            <w:tcMar>
              <w:top w:w="0" w:type="dxa"/>
              <w:left w:w="0" w:type="dxa"/>
              <w:bottom w:w="0" w:type="dxa"/>
              <w:right w:w="0" w:type="dxa"/>
            </w:tcMar>
          </w:tcPr>
          <w:p w14:paraId="48B7BBA6"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2CF3C680"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4FE533D"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3</w:t>
            </w:r>
          </w:p>
        </w:tc>
        <w:tc>
          <w:tcPr>
            <w:tcW w:w="839" w:type="dxa"/>
            <w:tcBorders>
              <w:top w:val="nil"/>
              <w:left w:val="nil"/>
              <w:bottom w:val="nil"/>
              <w:right w:val="nil"/>
            </w:tcBorders>
            <w:shd w:val="clear" w:color="auto" w:fill="FFFFFF"/>
            <w:tcMar>
              <w:top w:w="0" w:type="dxa"/>
              <w:left w:w="0" w:type="dxa"/>
              <w:bottom w:w="0" w:type="dxa"/>
              <w:right w:w="0" w:type="dxa"/>
            </w:tcMar>
          </w:tcPr>
          <w:p w14:paraId="3BCC3D5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1.07</w:t>
            </w:r>
          </w:p>
        </w:tc>
        <w:tc>
          <w:tcPr>
            <w:tcW w:w="1389" w:type="dxa"/>
            <w:tcBorders>
              <w:top w:val="nil"/>
              <w:left w:val="nil"/>
              <w:bottom w:val="nil"/>
              <w:right w:val="nil"/>
            </w:tcBorders>
            <w:shd w:val="clear" w:color="auto" w:fill="FFFFFF"/>
            <w:tcMar>
              <w:top w:w="0" w:type="dxa"/>
              <w:left w:w="0" w:type="dxa"/>
              <w:bottom w:w="0" w:type="dxa"/>
              <w:right w:w="0" w:type="dxa"/>
            </w:tcMar>
          </w:tcPr>
          <w:p w14:paraId="255A78A5"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0.21, 5.41</w:t>
            </w:r>
          </w:p>
        </w:tc>
        <w:tc>
          <w:tcPr>
            <w:tcW w:w="1181" w:type="dxa"/>
            <w:tcBorders>
              <w:top w:val="nil"/>
              <w:left w:val="nil"/>
              <w:bottom w:val="nil"/>
              <w:right w:val="nil"/>
            </w:tcBorders>
            <w:shd w:val="clear" w:color="auto" w:fill="FFFFFF"/>
            <w:tcMar>
              <w:top w:w="0" w:type="dxa"/>
              <w:left w:w="0" w:type="dxa"/>
              <w:bottom w:w="0" w:type="dxa"/>
              <w:right w:w="0" w:type="dxa"/>
            </w:tcMar>
          </w:tcPr>
          <w:p w14:paraId="1AD3085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&gt;0.9</w:t>
            </w:r>
          </w:p>
        </w:tc>
      </w:tr>
      <w:tr w:rsidR="00DA4677" w:rsidRPr="00DA4677" w14:paraId="1395C5B9"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F12EEA0"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proofErr w:type="gramStart"/>
            <w:r w:rsidRPr="00DA4677">
              <w:rPr>
                <w:rFonts w:ascii="Times New Roman" w:eastAsia="Arial" w:hAnsi="Times New Roman" w:cs="Times New Roman"/>
                <w:sz w:val="20"/>
                <w:szCs w:val="20"/>
              </w:rPr>
              <w:t>splines::</w:t>
            </w:r>
            <w:proofErr w:type="gramEnd"/>
            <w:r w:rsidRPr="00DA4677">
              <w:rPr>
                <w:rFonts w:ascii="Times New Roman" w:eastAsia="Arial" w:hAnsi="Times New Roman" w:cs="Times New Roman"/>
                <w:sz w:val="20"/>
                <w:szCs w:val="20"/>
              </w:rPr>
              <w:t>ns(</w:t>
            </w:r>
            <w:proofErr w:type="spellStart"/>
            <w:r w:rsidRPr="00DA4677">
              <w:rPr>
                <w:rFonts w:ascii="Times New Roman" w:eastAsia="Arial" w:hAnsi="Times New Roman" w:cs="Times New Roman"/>
                <w:sz w:val="20"/>
                <w:szCs w:val="20"/>
              </w:rPr>
              <w:t>tumor_size_cm</w:t>
            </w:r>
            <w:proofErr w:type="spellEnd"/>
            <w:r w:rsidRPr="00DA4677">
              <w:rPr>
                <w:rFonts w:ascii="Times New Roman" w:eastAsia="Arial" w:hAnsi="Times New Roman" w:cs="Times New Roman"/>
                <w:sz w:val="20"/>
                <w:szCs w:val="20"/>
              </w:rPr>
              <w:t>, df = 4) 4</w:t>
            </w:r>
          </w:p>
        </w:tc>
        <w:tc>
          <w:tcPr>
            <w:tcW w:w="839" w:type="dxa"/>
            <w:tcBorders>
              <w:top w:val="nil"/>
              <w:left w:val="nil"/>
              <w:bottom w:val="nil"/>
              <w:right w:val="nil"/>
            </w:tcBorders>
            <w:shd w:val="clear" w:color="auto" w:fill="FFFFFF"/>
            <w:tcMar>
              <w:top w:w="0" w:type="dxa"/>
              <w:left w:w="0" w:type="dxa"/>
              <w:bottom w:w="0" w:type="dxa"/>
              <w:right w:w="0" w:type="dxa"/>
            </w:tcMar>
          </w:tcPr>
          <w:p w14:paraId="3459269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1.03</w:t>
            </w:r>
          </w:p>
        </w:tc>
        <w:tc>
          <w:tcPr>
            <w:tcW w:w="1389" w:type="dxa"/>
            <w:tcBorders>
              <w:top w:val="nil"/>
              <w:left w:val="nil"/>
              <w:bottom w:val="nil"/>
              <w:right w:val="nil"/>
            </w:tcBorders>
            <w:shd w:val="clear" w:color="auto" w:fill="FFFFFF"/>
            <w:tcMar>
              <w:top w:w="0" w:type="dxa"/>
              <w:left w:w="0" w:type="dxa"/>
              <w:bottom w:w="0" w:type="dxa"/>
              <w:right w:w="0" w:type="dxa"/>
            </w:tcMar>
          </w:tcPr>
          <w:p w14:paraId="5B2A9771"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0.48, 2.19</w:t>
            </w:r>
          </w:p>
        </w:tc>
        <w:tc>
          <w:tcPr>
            <w:tcW w:w="1181" w:type="dxa"/>
            <w:tcBorders>
              <w:top w:val="nil"/>
              <w:left w:val="nil"/>
              <w:bottom w:val="nil"/>
              <w:right w:val="nil"/>
            </w:tcBorders>
            <w:shd w:val="clear" w:color="auto" w:fill="FFFFFF"/>
            <w:tcMar>
              <w:top w:w="0" w:type="dxa"/>
              <w:left w:w="0" w:type="dxa"/>
              <w:bottom w:w="0" w:type="dxa"/>
              <w:right w:w="0" w:type="dxa"/>
            </w:tcMar>
          </w:tcPr>
          <w:p w14:paraId="0C00BE6B"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&gt;0.9</w:t>
            </w:r>
          </w:p>
        </w:tc>
      </w:tr>
      <w:tr w:rsidR="00DA4677" w:rsidRPr="00DA4677" w14:paraId="41BED3F8"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3CEFC2E"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cancer_stage</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66AD76D5"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27B4A89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58B563B4"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0A887B77"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0D6BA4B"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w:t>
            </w:r>
          </w:p>
        </w:tc>
        <w:tc>
          <w:tcPr>
            <w:tcW w:w="839" w:type="dxa"/>
            <w:tcBorders>
              <w:top w:val="nil"/>
              <w:left w:val="nil"/>
              <w:bottom w:val="nil"/>
              <w:right w:val="nil"/>
            </w:tcBorders>
            <w:shd w:val="clear" w:color="auto" w:fill="FFFFFF"/>
            <w:tcMar>
              <w:top w:w="0" w:type="dxa"/>
              <w:left w:w="0" w:type="dxa"/>
              <w:bottom w:w="0" w:type="dxa"/>
              <w:right w:w="0" w:type="dxa"/>
            </w:tcMar>
          </w:tcPr>
          <w:p w14:paraId="58B5A9F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4C47011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5B0283D5"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15F570D6"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30F54C17"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w:t>
            </w:r>
          </w:p>
        </w:tc>
        <w:tc>
          <w:tcPr>
            <w:tcW w:w="839" w:type="dxa"/>
            <w:tcBorders>
              <w:top w:val="nil"/>
              <w:left w:val="nil"/>
              <w:bottom w:val="nil"/>
              <w:right w:val="nil"/>
            </w:tcBorders>
            <w:shd w:val="clear" w:color="auto" w:fill="FFFFFF"/>
            <w:tcMar>
              <w:top w:w="0" w:type="dxa"/>
              <w:left w:w="0" w:type="dxa"/>
              <w:bottom w:w="0" w:type="dxa"/>
              <w:right w:w="0" w:type="dxa"/>
            </w:tcMar>
          </w:tcPr>
          <w:p w14:paraId="4D74C94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0.88</w:t>
            </w:r>
          </w:p>
        </w:tc>
        <w:tc>
          <w:tcPr>
            <w:tcW w:w="1389" w:type="dxa"/>
            <w:tcBorders>
              <w:top w:val="nil"/>
              <w:left w:val="nil"/>
              <w:bottom w:val="nil"/>
              <w:right w:val="nil"/>
            </w:tcBorders>
            <w:shd w:val="clear" w:color="auto" w:fill="FFFFFF"/>
            <w:tcMar>
              <w:top w:w="0" w:type="dxa"/>
              <w:left w:w="0" w:type="dxa"/>
              <w:bottom w:w="0" w:type="dxa"/>
              <w:right w:w="0" w:type="dxa"/>
            </w:tcMar>
          </w:tcPr>
          <w:p w14:paraId="14596D4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0.57, 1.37</w:t>
            </w:r>
          </w:p>
        </w:tc>
        <w:tc>
          <w:tcPr>
            <w:tcW w:w="1181" w:type="dxa"/>
            <w:tcBorders>
              <w:top w:val="nil"/>
              <w:left w:val="nil"/>
              <w:bottom w:val="nil"/>
              <w:right w:val="nil"/>
            </w:tcBorders>
            <w:shd w:val="clear" w:color="auto" w:fill="FFFFFF"/>
            <w:tcMar>
              <w:top w:w="0" w:type="dxa"/>
              <w:left w:w="0" w:type="dxa"/>
              <w:bottom w:w="0" w:type="dxa"/>
              <w:right w:w="0" w:type="dxa"/>
            </w:tcMar>
          </w:tcPr>
          <w:p w14:paraId="45C0F14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0.6</w:t>
            </w:r>
          </w:p>
        </w:tc>
      </w:tr>
      <w:tr w:rsidR="00DA4677" w:rsidRPr="00DA4677" w14:paraId="41FE415E"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3F68A20"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III</w:t>
            </w:r>
          </w:p>
        </w:tc>
        <w:tc>
          <w:tcPr>
            <w:tcW w:w="839" w:type="dxa"/>
            <w:tcBorders>
              <w:top w:val="nil"/>
              <w:left w:val="nil"/>
              <w:bottom w:val="nil"/>
              <w:right w:val="nil"/>
            </w:tcBorders>
            <w:shd w:val="clear" w:color="auto" w:fill="FFFFFF"/>
            <w:tcMar>
              <w:top w:w="0" w:type="dxa"/>
              <w:left w:w="0" w:type="dxa"/>
              <w:bottom w:w="0" w:type="dxa"/>
              <w:right w:w="0" w:type="dxa"/>
            </w:tcMar>
          </w:tcPr>
          <w:p w14:paraId="241DB2F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0.87</w:t>
            </w:r>
          </w:p>
        </w:tc>
        <w:tc>
          <w:tcPr>
            <w:tcW w:w="1389" w:type="dxa"/>
            <w:tcBorders>
              <w:top w:val="nil"/>
              <w:left w:val="nil"/>
              <w:bottom w:val="nil"/>
              <w:right w:val="nil"/>
            </w:tcBorders>
            <w:shd w:val="clear" w:color="auto" w:fill="FFFFFF"/>
            <w:tcMar>
              <w:top w:w="0" w:type="dxa"/>
              <w:left w:w="0" w:type="dxa"/>
              <w:bottom w:w="0" w:type="dxa"/>
              <w:right w:w="0" w:type="dxa"/>
            </w:tcMar>
          </w:tcPr>
          <w:p w14:paraId="22665557"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0.56, 1.35</w:t>
            </w:r>
          </w:p>
        </w:tc>
        <w:tc>
          <w:tcPr>
            <w:tcW w:w="1181" w:type="dxa"/>
            <w:tcBorders>
              <w:top w:val="nil"/>
              <w:left w:val="nil"/>
              <w:bottom w:val="nil"/>
              <w:right w:val="nil"/>
            </w:tcBorders>
            <w:shd w:val="clear" w:color="auto" w:fill="FFFFFF"/>
            <w:tcMar>
              <w:top w:w="0" w:type="dxa"/>
              <w:left w:w="0" w:type="dxa"/>
              <w:bottom w:w="0" w:type="dxa"/>
              <w:right w:w="0" w:type="dxa"/>
            </w:tcMar>
          </w:tcPr>
          <w:p w14:paraId="4AE4AE4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73058987"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21E84BF"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IV</w:t>
            </w:r>
          </w:p>
        </w:tc>
        <w:tc>
          <w:tcPr>
            <w:tcW w:w="839" w:type="dxa"/>
            <w:tcBorders>
              <w:top w:val="nil"/>
              <w:left w:val="nil"/>
              <w:bottom w:val="nil"/>
              <w:right w:val="nil"/>
            </w:tcBorders>
            <w:shd w:val="clear" w:color="auto" w:fill="FFFFFF"/>
            <w:tcMar>
              <w:top w:w="0" w:type="dxa"/>
              <w:left w:w="0" w:type="dxa"/>
              <w:bottom w:w="0" w:type="dxa"/>
              <w:right w:w="0" w:type="dxa"/>
            </w:tcMar>
          </w:tcPr>
          <w:p w14:paraId="77D765CE"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0.75</w:t>
            </w:r>
          </w:p>
        </w:tc>
        <w:tc>
          <w:tcPr>
            <w:tcW w:w="1389" w:type="dxa"/>
            <w:tcBorders>
              <w:top w:val="nil"/>
              <w:left w:val="nil"/>
              <w:bottom w:val="nil"/>
              <w:right w:val="nil"/>
            </w:tcBorders>
            <w:shd w:val="clear" w:color="auto" w:fill="FFFFFF"/>
            <w:tcMar>
              <w:top w:w="0" w:type="dxa"/>
              <w:left w:w="0" w:type="dxa"/>
              <w:bottom w:w="0" w:type="dxa"/>
              <w:right w:w="0" w:type="dxa"/>
            </w:tcMar>
          </w:tcPr>
          <w:p w14:paraId="1D69888C"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0.45, 1.27</w:t>
            </w:r>
          </w:p>
        </w:tc>
        <w:tc>
          <w:tcPr>
            <w:tcW w:w="1181" w:type="dxa"/>
            <w:tcBorders>
              <w:top w:val="nil"/>
              <w:left w:val="nil"/>
              <w:bottom w:val="nil"/>
              <w:right w:val="nil"/>
            </w:tcBorders>
            <w:shd w:val="clear" w:color="auto" w:fill="FFFFFF"/>
            <w:tcMar>
              <w:top w:w="0" w:type="dxa"/>
              <w:left w:w="0" w:type="dxa"/>
              <w:bottom w:w="0" w:type="dxa"/>
              <w:right w:w="0" w:type="dxa"/>
            </w:tcMar>
          </w:tcPr>
          <w:p w14:paraId="74A82E4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0.3</w:t>
            </w:r>
          </w:p>
        </w:tc>
      </w:tr>
      <w:tr w:rsidR="00DA4677" w:rsidRPr="00DA4677" w14:paraId="2F9506C1"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3679F18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psa_levels</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7F34DBFA"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29E80EA4"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46867721"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0E7AD0A7"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330E4D2"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Low</w:t>
            </w:r>
          </w:p>
        </w:tc>
        <w:tc>
          <w:tcPr>
            <w:tcW w:w="839" w:type="dxa"/>
            <w:tcBorders>
              <w:top w:val="nil"/>
              <w:left w:val="nil"/>
              <w:bottom w:val="nil"/>
              <w:right w:val="nil"/>
            </w:tcBorders>
            <w:shd w:val="clear" w:color="auto" w:fill="FFFFFF"/>
            <w:tcMar>
              <w:top w:w="0" w:type="dxa"/>
              <w:left w:w="0" w:type="dxa"/>
              <w:bottom w:w="0" w:type="dxa"/>
              <w:right w:w="0" w:type="dxa"/>
            </w:tcMar>
          </w:tcPr>
          <w:p w14:paraId="05C70371"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3EDBAD8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0C9D6D67"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18447918"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8A34E0B"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Moderate</w:t>
            </w:r>
          </w:p>
        </w:tc>
        <w:tc>
          <w:tcPr>
            <w:tcW w:w="839" w:type="dxa"/>
            <w:tcBorders>
              <w:top w:val="nil"/>
              <w:left w:val="nil"/>
              <w:bottom w:val="nil"/>
              <w:right w:val="nil"/>
            </w:tcBorders>
            <w:shd w:val="clear" w:color="auto" w:fill="FFFFFF"/>
            <w:tcMar>
              <w:top w:w="0" w:type="dxa"/>
              <w:left w:w="0" w:type="dxa"/>
              <w:bottom w:w="0" w:type="dxa"/>
              <w:right w:w="0" w:type="dxa"/>
            </w:tcMar>
          </w:tcPr>
          <w:p w14:paraId="4BF5B86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1.28</w:t>
            </w:r>
          </w:p>
        </w:tc>
        <w:tc>
          <w:tcPr>
            <w:tcW w:w="1389" w:type="dxa"/>
            <w:tcBorders>
              <w:top w:val="nil"/>
              <w:left w:val="nil"/>
              <w:bottom w:val="nil"/>
              <w:right w:val="nil"/>
            </w:tcBorders>
            <w:shd w:val="clear" w:color="auto" w:fill="FFFFFF"/>
            <w:tcMar>
              <w:top w:w="0" w:type="dxa"/>
              <w:left w:w="0" w:type="dxa"/>
              <w:bottom w:w="0" w:type="dxa"/>
              <w:right w:w="0" w:type="dxa"/>
            </w:tcMar>
          </w:tcPr>
          <w:p w14:paraId="2CAF973E"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0.84, 1.94</w:t>
            </w:r>
          </w:p>
        </w:tc>
        <w:tc>
          <w:tcPr>
            <w:tcW w:w="1181" w:type="dxa"/>
            <w:tcBorders>
              <w:top w:val="nil"/>
              <w:left w:val="nil"/>
              <w:bottom w:val="nil"/>
              <w:right w:val="nil"/>
            </w:tcBorders>
            <w:shd w:val="clear" w:color="auto" w:fill="FFFFFF"/>
            <w:tcMar>
              <w:top w:w="0" w:type="dxa"/>
              <w:left w:w="0" w:type="dxa"/>
              <w:bottom w:w="0" w:type="dxa"/>
              <w:right w:w="0" w:type="dxa"/>
            </w:tcMar>
          </w:tcPr>
          <w:p w14:paraId="6749E0DD"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0.2</w:t>
            </w:r>
          </w:p>
        </w:tc>
      </w:tr>
      <w:tr w:rsidR="00DA4677" w:rsidRPr="00DA4677" w14:paraId="7ADC0976"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15E65C65"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High</w:t>
            </w:r>
          </w:p>
        </w:tc>
        <w:tc>
          <w:tcPr>
            <w:tcW w:w="839" w:type="dxa"/>
            <w:tcBorders>
              <w:top w:val="nil"/>
              <w:left w:val="nil"/>
              <w:bottom w:val="nil"/>
              <w:right w:val="nil"/>
            </w:tcBorders>
            <w:shd w:val="clear" w:color="auto" w:fill="FFFFFF"/>
            <w:tcMar>
              <w:top w:w="0" w:type="dxa"/>
              <w:left w:w="0" w:type="dxa"/>
              <w:bottom w:w="0" w:type="dxa"/>
              <w:right w:w="0" w:type="dxa"/>
            </w:tcMar>
          </w:tcPr>
          <w:p w14:paraId="41735DE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0.93</w:t>
            </w:r>
          </w:p>
        </w:tc>
        <w:tc>
          <w:tcPr>
            <w:tcW w:w="1389" w:type="dxa"/>
            <w:tcBorders>
              <w:top w:val="nil"/>
              <w:left w:val="nil"/>
              <w:bottom w:val="nil"/>
              <w:right w:val="nil"/>
            </w:tcBorders>
            <w:shd w:val="clear" w:color="auto" w:fill="FFFFFF"/>
            <w:tcMar>
              <w:top w:w="0" w:type="dxa"/>
              <w:left w:w="0" w:type="dxa"/>
              <w:bottom w:w="0" w:type="dxa"/>
              <w:right w:w="0" w:type="dxa"/>
            </w:tcMar>
          </w:tcPr>
          <w:p w14:paraId="01E5CD72"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0.59, 1.47</w:t>
            </w:r>
          </w:p>
        </w:tc>
        <w:tc>
          <w:tcPr>
            <w:tcW w:w="1181" w:type="dxa"/>
            <w:tcBorders>
              <w:top w:val="nil"/>
              <w:left w:val="nil"/>
              <w:bottom w:val="nil"/>
              <w:right w:val="nil"/>
            </w:tcBorders>
            <w:shd w:val="clear" w:color="auto" w:fill="FFFFFF"/>
            <w:tcMar>
              <w:top w:w="0" w:type="dxa"/>
              <w:left w:w="0" w:type="dxa"/>
              <w:bottom w:w="0" w:type="dxa"/>
              <w:right w:w="0" w:type="dxa"/>
            </w:tcMar>
          </w:tcPr>
          <w:p w14:paraId="68074B2E"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w:t>
            </w:r>
          </w:p>
        </w:tc>
      </w:tr>
      <w:tr w:rsidR="00DA4677" w:rsidRPr="00DA4677" w14:paraId="36751105"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6663FE55"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lymph_nodes_involved</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2520F67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0.99</w:t>
            </w:r>
          </w:p>
        </w:tc>
        <w:tc>
          <w:tcPr>
            <w:tcW w:w="1389" w:type="dxa"/>
            <w:tcBorders>
              <w:top w:val="nil"/>
              <w:left w:val="nil"/>
              <w:bottom w:val="nil"/>
              <w:right w:val="nil"/>
            </w:tcBorders>
            <w:shd w:val="clear" w:color="auto" w:fill="FFFFFF"/>
            <w:tcMar>
              <w:top w:w="0" w:type="dxa"/>
              <w:left w:w="0" w:type="dxa"/>
              <w:bottom w:w="0" w:type="dxa"/>
              <w:right w:w="0" w:type="dxa"/>
            </w:tcMar>
          </w:tcPr>
          <w:p w14:paraId="7C9D2406"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0.95, 1.02</w:t>
            </w:r>
          </w:p>
        </w:tc>
        <w:tc>
          <w:tcPr>
            <w:tcW w:w="1181" w:type="dxa"/>
            <w:tcBorders>
              <w:top w:val="nil"/>
              <w:left w:val="nil"/>
              <w:bottom w:val="nil"/>
              <w:right w:val="nil"/>
            </w:tcBorders>
            <w:shd w:val="clear" w:color="auto" w:fill="FFFFFF"/>
            <w:tcMar>
              <w:top w:w="0" w:type="dxa"/>
              <w:left w:w="0" w:type="dxa"/>
              <w:bottom w:w="0" w:type="dxa"/>
              <w:right w:w="0" w:type="dxa"/>
            </w:tcMar>
          </w:tcPr>
          <w:p w14:paraId="337BFBBB"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w:t>
            </w:r>
          </w:p>
        </w:tc>
      </w:tr>
      <w:tr w:rsidR="00DA4677" w:rsidRPr="00DA4677" w14:paraId="0B23E182"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441ACFB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r w:rsidRPr="00DA4677">
              <w:rPr>
                <w:rFonts w:ascii="Times New Roman" w:eastAsia="Arial" w:hAnsi="Times New Roman" w:cs="Times New Roman"/>
                <w:b/>
                <w:sz w:val="20"/>
                <w:szCs w:val="20"/>
              </w:rPr>
              <w:t>chemotherapy</w:t>
            </w:r>
          </w:p>
        </w:tc>
        <w:tc>
          <w:tcPr>
            <w:tcW w:w="839" w:type="dxa"/>
            <w:tcBorders>
              <w:top w:val="nil"/>
              <w:left w:val="nil"/>
              <w:bottom w:val="nil"/>
              <w:right w:val="nil"/>
            </w:tcBorders>
            <w:shd w:val="clear" w:color="auto" w:fill="FFFFFF"/>
            <w:tcMar>
              <w:top w:w="0" w:type="dxa"/>
              <w:left w:w="0" w:type="dxa"/>
              <w:bottom w:w="0" w:type="dxa"/>
              <w:right w:w="0" w:type="dxa"/>
            </w:tcMar>
          </w:tcPr>
          <w:p w14:paraId="539FBD0E"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32249B8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4170456B"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13CD8E04"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A8EDE36"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No</w:t>
            </w:r>
          </w:p>
        </w:tc>
        <w:tc>
          <w:tcPr>
            <w:tcW w:w="839" w:type="dxa"/>
            <w:tcBorders>
              <w:top w:val="nil"/>
              <w:left w:val="nil"/>
              <w:bottom w:val="nil"/>
              <w:right w:val="nil"/>
            </w:tcBorders>
            <w:shd w:val="clear" w:color="auto" w:fill="FFFFFF"/>
            <w:tcMar>
              <w:top w:w="0" w:type="dxa"/>
              <w:left w:w="0" w:type="dxa"/>
              <w:bottom w:w="0" w:type="dxa"/>
              <w:right w:w="0" w:type="dxa"/>
            </w:tcMar>
          </w:tcPr>
          <w:p w14:paraId="55EFC157"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69D90D0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46D5D15C"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3D29DFEA"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4FCDEFE4"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Yes</w:t>
            </w:r>
          </w:p>
        </w:tc>
        <w:tc>
          <w:tcPr>
            <w:tcW w:w="839" w:type="dxa"/>
            <w:tcBorders>
              <w:top w:val="nil"/>
              <w:left w:val="nil"/>
              <w:bottom w:val="nil"/>
              <w:right w:val="nil"/>
            </w:tcBorders>
            <w:shd w:val="clear" w:color="auto" w:fill="FFFFFF"/>
            <w:tcMar>
              <w:top w:w="0" w:type="dxa"/>
              <w:left w:w="0" w:type="dxa"/>
              <w:bottom w:w="0" w:type="dxa"/>
              <w:right w:w="0" w:type="dxa"/>
            </w:tcMar>
          </w:tcPr>
          <w:p w14:paraId="2A78DFC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0.75</w:t>
            </w:r>
          </w:p>
        </w:tc>
        <w:tc>
          <w:tcPr>
            <w:tcW w:w="1389" w:type="dxa"/>
            <w:tcBorders>
              <w:top w:val="nil"/>
              <w:left w:val="nil"/>
              <w:bottom w:val="nil"/>
              <w:right w:val="nil"/>
            </w:tcBorders>
            <w:shd w:val="clear" w:color="auto" w:fill="FFFFFF"/>
            <w:tcMar>
              <w:top w:w="0" w:type="dxa"/>
              <w:left w:w="0" w:type="dxa"/>
              <w:bottom w:w="0" w:type="dxa"/>
              <w:right w:w="0" w:type="dxa"/>
            </w:tcMar>
          </w:tcPr>
          <w:p w14:paraId="7A2CFED3"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0.54, 1.05</w:t>
            </w:r>
          </w:p>
        </w:tc>
        <w:tc>
          <w:tcPr>
            <w:tcW w:w="1181" w:type="dxa"/>
            <w:tcBorders>
              <w:top w:val="nil"/>
              <w:left w:val="nil"/>
              <w:bottom w:val="nil"/>
              <w:right w:val="nil"/>
            </w:tcBorders>
            <w:shd w:val="clear" w:color="auto" w:fill="FFFFFF"/>
            <w:tcMar>
              <w:top w:w="0" w:type="dxa"/>
              <w:left w:w="0" w:type="dxa"/>
              <w:bottom w:w="0" w:type="dxa"/>
              <w:right w:w="0" w:type="dxa"/>
            </w:tcMar>
          </w:tcPr>
          <w:p w14:paraId="2B38CD54"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0.10</w:t>
            </w:r>
          </w:p>
        </w:tc>
      </w:tr>
      <w:tr w:rsidR="00DA4677" w:rsidRPr="00DA4677" w14:paraId="590CE40A"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A7FEA07"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radiation_therapy</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6841D619"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40BF68D4"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0A256E80"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0B179364"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5E952EAB"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No</w:t>
            </w:r>
          </w:p>
        </w:tc>
        <w:tc>
          <w:tcPr>
            <w:tcW w:w="839" w:type="dxa"/>
            <w:tcBorders>
              <w:top w:val="nil"/>
              <w:left w:val="nil"/>
              <w:bottom w:val="nil"/>
              <w:right w:val="nil"/>
            </w:tcBorders>
            <w:shd w:val="clear" w:color="auto" w:fill="FFFFFF"/>
            <w:tcMar>
              <w:top w:w="0" w:type="dxa"/>
              <w:left w:w="0" w:type="dxa"/>
              <w:bottom w:w="0" w:type="dxa"/>
              <w:right w:w="0" w:type="dxa"/>
            </w:tcMar>
          </w:tcPr>
          <w:p w14:paraId="1C2C4A9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6A35342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161DAA36"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2DA52871"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227E1888"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Yes</w:t>
            </w:r>
          </w:p>
        </w:tc>
        <w:tc>
          <w:tcPr>
            <w:tcW w:w="839" w:type="dxa"/>
            <w:tcBorders>
              <w:top w:val="nil"/>
              <w:left w:val="nil"/>
              <w:bottom w:val="nil"/>
              <w:right w:val="nil"/>
            </w:tcBorders>
            <w:shd w:val="clear" w:color="auto" w:fill="FFFFFF"/>
            <w:tcMar>
              <w:top w:w="0" w:type="dxa"/>
              <w:left w:w="0" w:type="dxa"/>
              <w:bottom w:w="0" w:type="dxa"/>
              <w:right w:w="0" w:type="dxa"/>
            </w:tcMar>
          </w:tcPr>
          <w:p w14:paraId="5A7FCB88"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0.87</w:t>
            </w:r>
          </w:p>
        </w:tc>
        <w:tc>
          <w:tcPr>
            <w:tcW w:w="1389" w:type="dxa"/>
            <w:tcBorders>
              <w:top w:val="nil"/>
              <w:left w:val="nil"/>
              <w:bottom w:val="nil"/>
              <w:right w:val="nil"/>
            </w:tcBorders>
            <w:shd w:val="clear" w:color="auto" w:fill="FFFFFF"/>
            <w:tcMar>
              <w:top w:w="0" w:type="dxa"/>
              <w:left w:w="0" w:type="dxa"/>
              <w:bottom w:w="0" w:type="dxa"/>
              <w:right w:w="0" w:type="dxa"/>
            </w:tcMar>
          </w:tcPr>
          <w:p w14:paraId="73B00E1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0.62, 1.22</w:t>
            </w:r>
          </w:p>
        </w:tc>
        <w:tc>
          <w:tcPr>
            <w:tcW w:w="1181" w:type="dxa"/>
            <w:tcBorders>
              <w:top w:val="nil"/>
              <w:left w:val="nil"/>
              <w:bottom w:val="nil"/>
              <w:right w:val="nil"/>
            </w:tcBorders>
            <w:shd w:val="clear" w:color="auto" w:fill="FFFFFF"/>
            <w:tcMar>
              <w:top w:w="0" w:type="dxa"/>
              <w:left w:w="0" w:type="dxa"/>
              <w:bottom w:w="0" w:type="dxa"/>
              <w:right w:w="0" w:type="dxa"/>
            </w:tcMar>
          </w:tcPr>
          <w:p w14:paraId="4419D24A"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w:t>
            </w:r>
          </w:p>
        </w:tc>
      </w:tr>
      <w:tr w:rsidR="00DA4677" w:rsidRPr="00DA4677" w14:paraId="57B9691A"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340D3C6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hormone_therapy</w:t>
            </w:r>
            <w:proofErr w:type="spellEnd"/>
          </w:p>
        </w:tc>
        <w:tc>
          <w:tcPr>
            <w:tcW w:w="839" w:type="dxa"/>
            <w:tcBorders>
              <w:top w:val="nil"/>
              <w:left w:val="nil"/>
              <w:bottom w:val="nil"/>
              <w:right w:val="nil"/>
            </w:tcBorders>
            <w:shd w:val="clear" w:color="auto" w:fill="FFFFFF"/>
            <w:tcMar>
              <w:top w:w="0" w:type="dxa"/>
              <w:left w:w="0" w:type="dxa"/>
              <w:bottom w:w="0" w:type="dxa"/>
              <w:right w:w="0" w:type="dxa"/>
            </w:tcMar>
          </w:tcPr>
          <w:p w14:paraId="7AD44FC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389" w:type="dxa"/>
            <w:tcBorders>
              <w:top w:val="nil"/>
              <w:left w:val="nil"/>
              <w:bottom w:val="nil"/>
              <w:right w:val="nil"/>
            </w:tcBorders>
            <w:shd w:val="clear" w:color="auto" w:fill="FFFFFF"/>
            <w:tcMar>
              <w:top w:w="0" w:type="dxa"/>
              <w:left w:w="0" w:type="dxa"/>
              <w:bottom w:w="0" w:type="dxa"/>
              <w:right w:w="0" w:type="dxa"/>
            </w:tcMar>
          </w:tcPr>
          <w:p w14:paraId="3E0677BD"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c>
          <w:tcPr>
            <w:tcW w:w="1181" w:type="dxa"/>
            <w:tcBorders>
              <w:top w:val="nil"/>
              <w:left w:val="nil"/>
              <w:bottom w:val="nil"/>
              <w:right w:val="nil"/>
            </w:tcBorders>
            <w:shd w:val="clear" w:color="auto" w:fill="FFFFFF"/>
            <w:tcMar>
              <w:top w:w="0" w:type="dxa"/>
              <w:left w:w="0" w:type="dxa"/>
              <w:bottom w:w="0" w:type="dxa"/>
              <w:right w:w="0" w:type="dxa"/>
            </w:tcMar>
          </w:tcPr>
          <w:p w14:paraId="192C68B3"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2C0D2638"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7F01EE9F"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No</w:t>
            </w:r>
          </w:p>
        </w:tc>
        <w:tc>
          <w:tcPr>
            <w:tcW w:w="839" w:type="dxa"/>
            <w:tcBorders>
              <w:top w:val="nil"/>
              <w:left w:val="nil"/>
              <w:bottom w:val="nil"/>
              <w:right w:val="nil"/>
            </w:tcBorders>
            <w:shd w:val="clear" w:color="auto" w:fill="FFFFFF"/>
            <w:tcMar>
              <w:top w:w="0" w:type="dxa"/>
              <w:left w:w="0" w:type="dxa"/>
              <w:bottom w:w="0" w:type="dxa"/>
              <w:right w:w="0" w:type="dxa"/>
            </w:tcMar>
          </w:tcPr>
          <w:p w14:paraId="082C445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389" w:type="dxa"/>
            <w:tcBorders>
              <w:top w:val="nil"/>
              <w:left w:val="nil"/>
              <w:bottom w:val="nil"/>
              <w:right w:val="nil"/>
            </w:tcBorders>
            <w:shd w:val="clear" w:color="auto" w:fill="FFFFFF"/>
            <w:tcMar>
              <w:top w:w="0" w:type="dxa"/>
              <w:left w:w="0" w:type="dxa"/>
              <w:bottom w:w="0" w:type="dxa"/>
              <w:right w:w="0" w:type="dxa"/>
            </w:tcMar>
          </w:tcPr>
          <w:p w14:paraId="2546C41B"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w:t>
            </w:r>
          </w:p>
        </w:tc>
        <w:tc>
          <w:tcPr>
            <w:tcW w:w="1181" w:type="dxa"/>
            <w:tcBorders>
              <w:top w:val="nil"/>
              <w:left w:val="nil"/>
              <w:bottom w:val="nil"/>
              <w:right w:val="nil"/>
            </w:tcBorders>
            <w:shd w:val="clear" w:color="auto" w:fill="FFFFFF"/>
            <w:tcMar>
              <w:top w:w="0" w:type="dxa"/>
              <w:left w:w="0" w:type="dxa"/>
              <w:bottom w:w="0" w:type="dxa"/>
              <w:right w:w="0" w:type="dxa"/>
            </w:tcMar>
          </w:tcPr>
          <w:p w14:paraId="26DDF502" w14:textId="77777777" w:rsidR="00612B51" w:rsidRPr="00DA4677" w:rsidRDefault="00612B51"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p>
        </w:tc>
      </w:tr>
      <w:tr w:rsidR="00DA4677" w:rsidRPr="00DA4677" w14:paraId="6CF55DED" w14:textId="77777777" w:rsidTr="007C013F">
        <w:trPr>
          <w:jc w:val="center"/>
        </w:trPr>
        <w:tc>
          <w:tcPr>
            <w:tcW w:w="4156" w:type="dxa"/>
            <w:tcBorders>
              <w:top w:val="nil"/>
              <w:left w:val="nil"/>
              <w:bottom w:val="nil"/>
              <w:right w:val="nil"/>
            </w:tcBorders>
            <w:shd w:val="clear" w:color="auto" w:fill="FFFFFF"/>
            <w:tcMar>
              <w:top w:w="0" w:type="dxa"/>
              <w:left w:w="0" w:type="dxa"/>
              <w:bottom w:w="0" w:type="dxa"/>
              <w:right w:w="0" w:type="dxa"/>
            </w:tcMar>
          </w:tcPr>
          <w:p w14:paraId="0F7FF9AE" w14:textId="77777777" w:rsidR="00612B51" w:rsidRPr="00DA4677" w:rsidRDefault="00C92CF8" w:rsidP="00774E50">
            <w:pPr>
              <w:pBdr>
                <w:top w:val="nil"/>
                <w:left w:val="nil"/>
                <w:bottom w:val="nil"/>
                <w:right w:val="nil"/>
              </w:pBdr>
              <w:spacing w:after="0" w:line="240" w:lineRule="auto"/>
              <w:ind w:left="3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Yes</w:t>
            </w:r>
          </w:p>
        </w:tc>
        <w:tc>
          <w:tcPr>
            <w:tcW w:w="839" w:type="dxa"/>
            <w:tcBorders>
              <w:top w:val="nil"/>
              <w:left w:val="nil"/>
              <w:bottom w:val="nil"/>
              <w:right w:val="nil"/>
            </w:tcBorders>
            <w:shd w:val="clear" w:color="auto" w:fill="FFFFFF"/>
            <w:tcMar>
              <w:top w:w="0" w:type="dxa"/>
              <w:left w:w="0" w:type="dxa"/>
              <w:bottom w:w="0" w:type="dxa"/>
              <w:right w:w="0" w:type="dxa"/>
            </w:tcMar>
          </w:tcPr>
          <w:p w14:paraId="3B9A38B1"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1.16</w:t>
            </w:r>
          </w:p>
        </w:tc>
        <w:tc>
          <w:tcPr>
            <w:tcW w:w="1389" w:type="dxa"/>
            <w:tcBorders>
              <w:top w:val="nil"/>
              <w:left w:val="nil"/>
              <w:bottom w:val="nil"/>
              <w:right w:val="nil"/>
            </w:tcBorders>
            <w:shd w:val="clear" w:color="auto" w:fill="FFFFFF"/>
            <w:tcMar>
              <w:top w:w="0" w:type="dxa"/>
              <w:left w:w="0" w:type="dxa"/>
              <w:bottom w:w="0" w:type="dxa"/>
              <w:right w:w="0" w:type="dxa"/>
            </w:tcMar>
          </w:tcPr>
          <w:p w14:paraId="267DA5C9"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0.83, 1.62</w:t>
            </w:r>
          </w:p>
        </w:tc>
        <w:tc>
          <w:tcPr>
            <w:tcW w:w="1181" w:type="dxa"/>
            <w:tcBorders>
              <w:top w:val="nil"/>
              <w:left w:val="nil"/>
              <w:bottom w:val="nil"/>
              <w:right w:val="nil"/>
            </w:tcBorders>
            <w:shd w:val="clear" w:color="auto" w:fill="FFFFFF"/>
            <w:tcMar>
              <w:top w:w="0" w:type="dxa"/>
              <w:left w:w="0" w:type="dxa"/>
              <w:bottom w:w="0" w:type="dxa"/>
              <w:right w:w="0" w:type="dxa"/>
            </w:tcMar>
          </w:tcPr>
          <w:p w14:paraId="3D4DCE6F"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0.4</w:t>
            </w:r>
          </w:p>
        </w:tc>
      </w:tr>
      <w:tr w:rsidR="00DA4677" w:rsidRPr="00DA4677" w14:paraId="515F3667" w14:textId="77777777" w:rsidTr="007C013F">
        <w:trPr>
          <w:jc w:val="center"/>
        </w:trPr>
        <w:tc>
          <w:tcPr>
            <w:tcW w:w="4156" w:type="dxa"/>
            <w:tcBorders>
              <w:top w:val="nil"/>
              <w:left w:val="nil"/>
              <w:bottom w:val="single" w:sz="8" w:space="0" w:color="000000"/>
              <w:right w:val="nil"/>
            </w:tcBorders>
            <w:shd w:val="clear" w:color="auto" w:fill="FFFFFF"/>
            <w:tcMar>
              <w:top w:w="0" w:type="dxa"/>
              <w:left w:w="0" w:type="dxa"/>
              <w:bottom w:w="0" w:type="dxa"/>
              <w:right w:w="0" w:type="dxa"/>
            </w:tcMar>
          </w:tcPr>
          <w:p w14:paraId="1C2132A1"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b/>
                <w:sz w:val="20"/>
                <w:szCs w:val="20"/>
              </w:rPr>
            </w:pPr>
            <w:proofErr w:type="spellStart"/>
            <w:r w:rsidRPr="00DA4677">
              <w:rPr>
                <w:rFonts w:ascii="Times New Roman" w:eastAsia="Arial" w:hAnsi="Times New Roman" w:cs="Times New Roman"/>
                <w:b/>
                <w:sz w:val="20"/>
                <w:szCs w:val="20"/>
              </w:rPr>
              <w:t>gleason_score</w:t>
            </w:r>
            <w:proofErr w:type="spellEnd"/>
          </w:p>
        </w:tc>
        <w:tc>
          <w:tcPr>
            <w:tcW w:w="839" w:type="dxa"/>
            <w:tcBorders>
              <w:top w:val="nil"/>
              <w:left w:val="nil"/>
              <w:bottom w:val="single" w:sz="8" w:space="0" w:color="000000"/>
              <w:right w:val="nil"/>
            </w:tcBorders>
            <w:shd w:val="clear" w:color="auto" w:fill="FFFFFF"/>
            <w:tcMar>
              <w:top w:w="0" w:type="dxa"/>
              <w:left w:w="0" w:type="dxa"/>
              <w:bottom w:w="0" w:type="dxa"/>
              <w:right w:w="0" w:type="dxa"/>
            </w:tcMar>
          </w:tcPr>
          <w:p w14:paraId="40A002C2"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0.85</w:t>
            </w:r>
          </w:p>
        </w:tc>
        <w:tc>
          <w:tcPr>
            <w:tcW w:w="1389" w:type="dxa"/>
            <w:tcBorders>
              <w:top w:val="nil"/>
              <w:left w:val="nil"/>
              <w:bottom w:val="single" w:sz="8" w:space="0" w:color="000000"/>
              <w:right w:val="nil"/>
            </w:tcBorders>
            <w:shd w:val="clear" w:color="auto" w:fill="FFFFFF"/>
            <w:tcMar>
              <w:top w:w="0" w:type="dxa"/>
              <w:left w:w="0" w:type="dxa"/>
              <w:bottom w:w="0" w:type="dxa"/>
              <w:right w:w="0" w:type="dxa"/>
            </w:tcMar>
          </w:tcPr>
          <w:p w14:paraId="5596B62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0.74, 0.99</w:t>
            </w:r>
          </w:p>
        </w:tc>
        <w:tc>
          <w:tcPr>
            <w:tcW w:w="1181" w:type="dxa"/>
            <w:tcBorders>
              <w:top w:val="nil"/>
              <w:left w:val="nil"/>
              <w:bottom w:val="single" w:sz="8" w:space="0" w:color="000000"/>
              <w:right w:val="nil"/>
            </w:tcBorders>
            <w:shd w:val="clear" w:color="auto" w:fill="FFFFFF"/>
            <w:tcMar>
              <w:top w:w="0" w:type="dxa"/>
              <w:left w:w="0" w:type="dxa"/>
              <w:bottom w:w="0" w:type="dxa"/>
              <w:right w:w="0" w:type="dxa"/>
            </w:tcMar>
          </w:tcPr>
          <w:p w14:paraId="11D5C7D0" w14:textId="77777777" w:rsidR="00612B51" w:rsidRPr="00DA4677" w:rsidRDefault="00C92CF8" w:rsidP="00774E50">
            <w:pPr>
              <w:pBdr>
                <w:top w:val="nil"/>
                <w:left w:val="nil"/>
                <w:bottom w:val="nil"/>
                <w:right w:val="nil"/>
              </w:pBdr>
              <w:spacing w:after="0" w:line="240" w:lineRule="auto"/>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0.036</w:t>
            </w:r>
          </w:p>
        </w:tc>
      </w:tr>
      <w:tr w:rsidR="00DA4677" w:rsidRPr="00DA4677" w14:paraId="1E6E30B0" w14:textId="77777777" w:rsidTr="007C013F">
        <w:trPr>
          <w:jc w:val="center"/>
        </w:trPr>
        <w:tc>
          <w:tcPr>
            <w:tcW w:w="7565" w:type="dxa"/>
            <w:gridSpan w:val="4"/>
            <w:tcBorders>
              <w:top w:val="single" w:sz="8" w:space="0" w:color="000000"/>
              <w:left w:val="nil"/>
              <w:bottom w:val="nil"/>
              <w:right w:val="nil"/>
            </w:tcBorders>
            <w:shd w:val="clear" w:color="auto" w:fill="FFFFFF"/>
            <w:tcMar>
              <w:top w:w="0" w:type="dxa"/>
              <w:left w:w="0" w:type="dxa"/>
              <w:bottom w:w="0" w:type="dxa"/>
              <w:right w:w="0" w:type="dxa"/>
            </w:tcMar>
            <w:vAlign w:val="center"/>
          </w:tcPr>
          <w:p w14:paraId="4CB6DDF7" w14:textId="77777777" w:rsidR="00612B51" w:rsidRPr="00DA4677" w:rsidRDefault="00C92CF8" w:rsidP="007C013F">
            <w:pPr>
              <w:pBdr>
                <w:top w:val="nil"/>
                <w:left w:val="nil"/>
                <w:bottom w:val="nil"/>
                <w:right w:val="nil"/>
              </w:pBdr>
              <w:spacing w:before="100" w:after="100"/>
              <w:ind w:left="100" w:right="100"/>
              <w:jc w:val="both"/>
              <w:rPr>
                <w:rFonts w:ascii="Times New Roman" w:eastAsia="Arial" w:hAnsi="Times New Roman" w:cs="Times New Roman"/>
                <w:sz w:val="20"/>
                <w:szCs w:val="20"/>
              </w:rPr>
            </w:pPr>
            <w:r w:rsidRPr="00DA4677">
              <w:rPr>
                <w:rFonts w:ascii="Times New Roman" w:eastAsia="Arial" w:hAnsi="Times New Roman" w:cs="Times New Roman"/>
                <w:sz w:val="20"/>
                <w:szCs w:val="20"/>
              </w:rPr>
              <w:t>Abbreviations: CI = Confidence Interval, HR = Hazard Ratio</w:t>
            </w:r>
          </w:p>
        </w:tc>
      </w:tr>
    </w:tbl>
    <w:p w14:paraId="6DB6C15A" w14:textId="0BD96100" w:rsidR="003757C8"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spline-derived partial effect plots indicate risk accumulation at tumor sizes </w:t>
      </w:r>
      <w:r w:rsidRPr="00DA4677">
        <w:rPr>
          <w:rFonts w:ascii="Times New Roman" w:eastAsia="Calibri" w:hAnsi="Times New Roman" w:cs="Times New Roman"/>
          <w:sz w:val="20"/>
          <w:szCs w:val="20"/>
        </w:rPr>
        <w:t>greater than</w:t>
      </w:r>
      <w:r w:rsidRPr="00DA4677">
        <w:rPr>
          <w:rFonts w:ascii="Times New Roman" w:hAnsi="Times New Roman" w:cs="Times New Roman"/>
          <w:sz w:val="20"/>
          <w:szCs w:val="20"/>
        </w:rPr>
        <w:t xml:space="preserve"> approximately 6–7 cm,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the hazard gradient for age remained flat across most of the observed range, </w:t>
      </w:r>
      <w:r w:rsidRPr="00DA4677">
        <w:rPr>
          <w:rFonts w:ascii="Times New Roman" w:eastAsia="Calibri" w:hAnsi="Times New Roman" w:cs="Times New Roman"/>
          <w:sz w:val="20"/>
          <w:szCs w:val="20"/>
        </w:rPr>
        <w:t xml:space="preserve">which is </w:t>
      </w:r>
      <w:r w:rsidRPr="00DA4677">
        <w:rPr>
          <w:rFonts w:ascii="Times New Roman" w:hAnsi="Times New Roman" w:cs="Times New Roman"/>
          <w:sz w:val="20"/>
          <w:szCs w:val="20"/>
        </w:rPr>
        <w:t xml:space="preserve">consistent with the </w:t>
      </w:r>
      <w:r w:rsidRPr="00DA4677">
        <w:rPr>
          <w:rFonts w:ascii="Times New Roman" w:eastAsia="Calibri" w:hAnsi="Times New Roman" w:cs="Times New Roman"/>
          <w:sz w:val="20"/>
          <w:szCs w:val="20"/>
        </w:rPr>
        <w:t>nonsignificant</w:t>
      </w:r>
      <w:r w:rsidRPr="00DA4677">
        <w:rPr>
          <w:rFonts w:ascii="Times New Roman" w:hAnsi="Times New Roman" w:cs="Times New Roman"/>
          <w:sz w:val="20"/>
          <w:szCs w:val="20"/>
        </w:rPr>
        <w:t xml:space="preserve"> spline terms.</w:t>
      </w:r>
      <w:r w:rsidR="00274234" w:rsidRPr="00DA4677">
        <w:rPr>
          <w:rFonts w:ascii="Times New Roman" w:hAnsi="Times New Roman" w:cs="Times New Roman"/>
          <w:sz w:val="20"/>
          <w:szCs w:val="20"/>
        </w:rPr>
        <w:t xml:space="preserve"> Four knots were selected at the 5th, 35th, 65th, and 95th percentiles of each continuous variable distribution. Boundary knots were positioned at the minimum and maximum observed values, permitting monotonicity beyond the boundary region. The upward inflection of hazard at larger tumor sizes likely reflects </w:t>
      </w:r>
      <w:r w:rsidRPr="00DA4677">
        <w:rPr>
          <w:rFonts w:ascii="Times New Roman" w:eastAsia="Calibri" w:hAnsi="Times New Roman" w:cs="Times New Roman"/>
          <w:sz w:val="20"/>
          <w:szCs w:val="20"/>
        </w:rPr>
        <w:t xml:space="preserve">the </w:t>
      </w:r>
      <w:r w:rsidR="00274234" w:rsidRPr="00DA4677">
        <w:rPr>
          <w:rFonts w:ascii="Times New Roman" w:hAnsi="Times New Roman" w:cs="Times New Roman"/>
          <w:sz w:val="20"/>
          <w:szCs w:val="20"/>
        </w:rPr>
        <w:t xml:space="preserve">biological aggressiveness associated with advanced tumor burden. At smaller sizes, the plateau suggests relatively stable risk within the early to moderate size range. The partial overlap between PSA categories may reflect treatment variability and the limited discriminatory capacity of one-time PSA measurements, indicating potential value in incorporating PSA kinetics in future modeling. </w:t>
      </w:r>
      <w:r w:rsidRPr="00DA4677">
        <w:rPr>
          <w:rFonts w:ascii="Times New Roman" w:eastAsia="Calibri" w:hAnsi="Times New Roman" w:cs="Times New Roman"/>
          <w:sz w:val="20"/>
          <w:szCs w:val="20"/>
        </w:rPr>
        <w:t>Overall, the</w:t>
      </w:r>
      <w:r w:rsidR="00274234" w:rsidRPr="00DA4677">
        <w:rPr>
          <w:rFonts w:ascii="Times New Roman" w:hAnsi="Times New Roman" w:cs="Times New Roman"/>
          <w:sz w:val="20"/>
          <w:szCs w:val="20"/>
        </w:rPr>
        <w:t xml:space="preserve"> evidence confirms the predominance of intermediate and advanced stages at diagnosis, reinforcing findings from earlier Ghanaian studies.</w:t>
      </w:r>
    </w:p>
    <w:p w14:paraId="17249601" w14:textId="24267D96" w:rsidR="00612B51" w:rsidRPr="00DA4677" w:rsidRDefault="00074DFF" w:rsidP="00612B51">
      <w:pPr>
        <w:jc w:val="both"/>
        <w:rPr>
          <w:rFonts w:ascii="Times New Roman" w:hAnsi="Times New Roman" w:cs="Times New Roman"/>
          <w:sz w:val="20"/>
          <w:szCs w:val="20"/>
        </w:rPr>
      </w:pPr>
      <w:r>
        <w:rPr>
          <w:noProof/>
        </w:rPr>
        <w:lastRenderedPageBreak/>
        <w:drawing>
          <wp:inline distT="0" distB="0" distL="0" distR="0" wp14:anchorId="442BA0DF" wp14:editId="3452F9F0">
            <wp:extent cx="5731510" cy="3164205"/>
            <wp:effectExtent l="0" t="0" r="2540" b="0"/>
            <wp:docPr id="1823658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64205"/>
                    </a:xfrm>
                    <a:prstGeom prst="rect">
                      <a:avLst/>
                    </a:prstGeom>
                    <a:noFill/>
                    <a:ln>
                      <a:noFill/>
                    </a:ln>
                  </pic:spPr>
                </pic:pic>
              </a:graphicData>
            </a:graphic>
          </wp:inline>
        </w:drawing>
      </w:r>
    </w:p>
    <w:p w14:paraId="719B6506"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4: Adjusted </w:t>
      </w:r>
      <w:r w:rsidRPr="00DA4677">
        <w:rPr>
          <w:rFonts w:ascii="Times New Roman" w:eastAsia="Times New Roman" w:hAnsi="Times New Roman" w:cs="Times New Roman"/>
          <w:color w:val="auto"/>
          <w:sz w:val="20"/>
          <w:szCs w:val="20"/>
        </w:rPr>
        <w:t>hazard ratios (age and tumor size</w:t>
      </w:r>
      <w:r w:rsidRPr="00DA4677">
        <w:rPr>
          <w:rFonts w:ascii="Times New Roman" w:hAnsi="Times New Roman" w:cs="Times New Roman"/>
          <w:color w:val="auto"/>
          <w:sz w:val="20"/>
          <w:szCs w:val="20"/>
        </w:rPr>
        <w:t>)</w:t>
      </w:r>
    </w:p>
    <w:p w14:paraId="717F8E03"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33EDC62F" wp14:editId="43D8C9FF">
            <wp:extent cx="5942006" cy="2108200"/>
            <wp:effectExtent l="0" t="0" r="1905" b="6350"/>
            <wp:docPr id="1312525057" name="Picture 131252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25057" name=""/>
                    <pic:cNvPicPr>
                      <a:picLocks noChangeAspect="1" noChangeArrowheads="1"/>
                    </pic:cNvPicPr>
                  </pic:nvPicPr>
                  <pic:blipFill>
                    <a:blip r:embed="rId11"/>
                    <a:stretch>
                      <a:fillRect/>
                    </a:stretch>
                  </pic:blipFill>
                  <pic:spPr bwMode="auto">
                    <a:xfrm>
                      <a:off x="0" y="0"/>
                      <a:ext cx="82735" cy="29354"/>
                    </a:xfrm>
                    <a:prstGeom prst="rect">
                      <a:avLst/>
                    </a:prstGeom>
                    <a:noFill/>
                  </pic:spPr>
                </pic:pic>
              </a:graphicData>
            </a:graphic>
          </wp:inline>
        </w:drawing>
      </w:r>
    </w:p>
    <w:p w14:paraId="45780C97"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Figure 5:</w:t>
      </w:r>
      <w:r w:rsidRPr="00DA4677">
        <w:rPr>
          <w:rFonts w:ascii="Times New Roman" w:eastAsia="Times New Roman" w:hAnsi="Times New Roman" w:cs="Times New Roman"/>
          <w:color w:val="auto"/>
          <w:sz w:val="20"/>
          <w:szCs w:val="20"/>
        </w:rPr>
        <w:t xml:space="preserve"> </w:t>
      </w:r>
      <w:r w:rsidRPr="00DA4677">
        <w:rPr>
          <w:rFonts w:ascii="Times New Roman" w:hAnsi="Times New Roman" w:cs="Times New Roman"/>
          <w:color w:val="auto"/>
          <w:sz w:val="20"/>
          <w:szCs w:val="20"/>
        </w:rPr>
        <w:t xml:space="preserve">Survival by </w:t>
      </w:r>
      <w:r w:rsidRPr="00DA4677">
        <w:rPr>
          <w:rFonts w:ascii="Times New Roman" w:eastAsia="Times New Roman" w:hAnsi="Times New Roman" w:cs="Times New Roman"/>
          <w:color w:val="auto"/>
          <w:sz w:val="20"/>
          <w:szCs w:val="20"/>
        </w:rPr>
        <w:t>cancer stage</w:t>
      </w:r>
    </w:p>
    <w:p w14:paraId="2987CE4E"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noProof/>
          <w:sz w:val="20"/>
          <w:szCs w:val="20"/>
        </w:rPr>
        <w:drawing>
          <wp:inline distT="0" distB="0" distL="0" distR="0" wp14:anchorId="6ECA1C11" wp14:editId="5AA3AF9C">
            <wp:extent cx="5943600" cy="2495550"/>
            <wp:effectExtent l="0" t="0" r="0" b="0"/>
            <wp:docPr id="1517280090" name="Picture 15172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0090" name=""/>
                    <pic:cNvPicPr>
                      <a:picLocks noChangeAspect="1" noChangeArrowheads="1"/>
                    </pic:cNvPicPr>
                  </pic:nvPicPr>
                  <pic:blipFill>
                    <a:blip r:embed="rId12"/>
                    <a:stretch>
                      <a:fillRect/>
                    </a:stretch>
                  </pic:blipFill>
                  <pic:spPr bwMode="auto">
                    <a:xfrm>
                      <a:off x="0" y="0"/>
                      <a:ext cx="82554" cy="34662"/>
                    </a:xfrm>
                    <a:prstGeom prst="rect">
                      <a:avLst/>
                    </a:prstGeom>
                    <a:noFill/>
                  </pic:spPr>
                </pic:pic>
              </a:graphicData>
            </a:graphic>
          </wp:inline>
        </w:drawing>
      </w:r>
    </w:p>
    <w:p w14:paraId="5A024AD2" w14:textId="77777777" w:rsidR="00612B51" w:rsidRPr="00DA4677" w:rsidRDefault="00C92CF8" w:rsidP="00612B51">
      <w:pPr>
        <w:pStyle w:val="Heading2"/>
        <w:jc w:val="both"/>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6: Survival by PSA </w:t>
      </w:r>
      <w:r w:rsidRPr="00DA4677">
        <w:rPr>
          <w:rFonts w:ascii="Times New Roman" w:eastAsia="Times New Roman" w:hAnsi="Times New Roman" w:cs="Times New Roman"/>
          <w:color w:val="auto"/>
          <w:sz w:val="20"/>
          <w:szCs w:val="20"/>
        </w:rPr>
        <w:t>level</w:t>
      </w:r>
    </w:p>
    <w:p w14:paraId="24FD34E1"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The Cox proportional hazard</w:t>
      </w:r>
      <w:r w:rsidRPr="00DA4677">
        <w:rPr>
          <w:rFonts w:ascii="Times New Roman" w:hAnsi="Times New Roman" w:cs="Times New Roman"/>
          <w:sz w:val="20"/>
          <w:szCs w:val="20"/>
        </w:rPr>
        <w:t xml:space="preserve">s model provided a nuanced view of risk. In Table 2, the restricted cubic spline specification revealed a significant nonlinear association </w:t>
      </w:r>
      <w:r w:rsidRPr="00DA4677">
        <w:rPr>
          <w:rFonts w:ascii="Times New Roman" w:eastAsia="Calibri" w:hAnsi="Times New Roman" w:cs="Times New Roman"/>
          <w:sz w:val="20"/>
          <w:szCs w:val="20"/>
        </w:rPr>
        <w:t>with</w:t>
      </w:r>
      <w:r w:rsidRPr="00DA4677">
        <w:rPr>
          <w:rFonts w:ascii="Times New Roman" w:hAnsi="Times New Roman" w:cs="Times New Roman"/>
          <w:sz w:val="20"/>
          <w:szCs w:val="20"/>
        </w:rPr>
        <w:t xml:space="preserve"> tumor size, with the first spline basis indicating a protective gradient at lower sizes and </w:t>
      </w:r>
      <w:r w:rsidRPr="00DA4677">
        <w:rPr>
          <w:rFonts w:ascii="Times New Roman" w:eastAsia="Calibri" w:hAnsi="Times New Roman" w:cs="Times New Roman"/>
          <w:sz w:val="20"/>
          <w:szCs w:val="20"/>
        </w:rPr>
        <w:t xml:space="preserve">a </w:t>
      </w:r>
      <w:r w:rsidRPr="00DA4677">
        <w:rPr>
          <w:rFonts w:ascii="Times New Roman" w:hAnsi="Times New Roman" w:cs="Times New Roman"/>
          <w:sz w:val="20"/>
          <w:szCs w:val="20"/>
        </w:rPr>
        <w:t>diminishing benef</w:t>
      </w:r>
      <w:r w:rsidRPr="00DA4677">
        <w:rPr>
          <w:rFonts w:ascii="Times New Roman" w:hAnsi="Times New Roman" w:cs="Times New Roman"/>
          <w:sz w:val="20"/>
          <w:szCs w:val="20"/>
        </w:rPr>
        <w:t xml:space="preserve">it as size </w:t>
      </w:r>
      <w:r w:rsidRPr="00DA4677">
        <w:rPr>
          <w:rFonts w:ascii="Times New Roman" w:eastAsia="Calibri" w:hAnsi="Times New Roman" w:cs="Times New Roman"/>
          <w:sz w:val="20"/>
          <w:szCs w:val="20"/>
        </w:rPr>
        <w:t>increased</w:t>
      </w:r>
      <w:r w:rsidRPr="00DA4677">
        <w:rPr>
          <w:rFonts w:ascii="Times New Roman" w:hAnsi="Times New Roman" w:cs="Times New Roman"/>
          <w:sz w:val="20"/>
          <w:szCs w:val="20"/>
        </w:rPr>
        <w:t xml:space="preserve">. The Gleason score retained </w:t>
      </w:r>
      <w:r w:rsidRPr="00DA4677">
        <w:rPr>
          <w:rFonts w:ascii="Times New Roman" w:hAnsi="Times New Roman" w:cs="Times New Roman"/>
          <w:sz w:val="20"/>
          <w:szCs w:val="20"/>
        </w:rPr>
        <w:lastRenderedPageBreak/>
        <w:t xml:space="preserve">prognostic salience, which is consistent with global evidence that histopathology remains a central driver of outcomes. Age spline terms were not statistically significant, suggesting that biological aggressiveness and disease </w:t>
      </w:r>
      <w:r w:rsidRPr="00DA4677">
        <w:rPr>
          <w:rFonts w:ascii="Times New Roman" w:hAnsi="Times New Roman" w:cs="Times New Roman"/>
          <w:sz w:val="20"/>
          <w:szCs w:val="20"/>
        </w:rPr>
        <w:t>burden may outweigh chronological age in shaping short- to medium-term survival in this cohort. These results are consistent with the patterns visualized in Figure 4, where the hazard ratio function for tumor size bends upward at larger diameters.</w:t>
      </w:r>
    </w:p>
    <w:p w14:paraId="20E2665E"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Survival</w:t>
      </w:r>
      <w:r w:rsidRPr="00DA4677">
        <w:rPr>
          <w:rFonts w:ascii="Times New Roman" w:hAnsi="Times New Roman" w:cs="Times New Roman"/>
          <w:sz w:val="20"/>
          <w:szCs w:val="20"/>
        </w:rPr>
        <w:t xml:space="preserve"> functions stratified by cancer stage and PSA level provide additional context. Figure 5 </w:t>
      </w:r>
      <w:r w:rsidRPr="00DA4677">
        <w:rPr>
          <w:rFonts w:ascii="Times New Roman" w:eastAsia="Calibri" w:hAnsi="Times New Roman" w:cs="Times New Roman"/>
          <w:sz w:val="20"/>
          <w:szCs w:val="20"/>
        </w:rPr>
        <w:t>clearly shows the</w:t>
      </w:r>
      <w:r w:rsidRPr="00DA4677">
        <w:rPr>
          <w:rFonts w:ascii="Times New Roman" w:hAnsi="Times New Roman" w:cs="Times New Roman"/>
          <w:sz w:val="20"/>
          <w:szCs w:val="20"/>
        </w:rPr>
        <w:t xml:space="preserve"> separation of survival curves across stages, with Stage I and Stage II showing more favorable trajectories and Stage IV declining most rapidly. This </w:t>
      </w:r>
      <w:r w:rsidRPr="00DA4677">
        <w:rPr>
          <w:rFonts w:ascii="Times New Roman" w:hAnsi="Times New Roman" w:cs="Times New Roman"/>
          <w:sz w:val="20"/>
          <w:szCs w:val="20"/>
        </w:rPr>
        <w:t xml:space="preserve">pattern supports the interpretation that downstaging through earlier detection would confer meaningful survival benefits. Figure 6 </w:t>
      </w:r>
      <w:r w:rsidRPr="00DA4677">
        <w:rPr>
          <w:rFonts w:ascii="Times New Roman" w:eastAsia="Calibri" w:hAnsi="Times New Roman" w:cs="Times New Roman"/>
          <w:sz w:val="20"/>
          <w:szCs w:val="20"/>
        </w:rPr>
        <w:t>shows</w:t>
      </w:r>
      <w:r w:rsidRPr="00DA4677">
        <w:rPr>
          <w:rFonts w:ascii="Times New Roman" w:hAnsi="Times New Roman" w:cs="Times New Roman"/>
          <w:sz w:val="20"/>
          <w:szCs w:val="20"/>
        </w:rPr>
        <w:t xml:space="preserve"> partially overlapping curves across PSA groups, which may reflect treatment heterogeneity and the known limitations of </w:t>
      </w:r>
      <w:r w:rsidRPr="00DA4677">
        <w:rPr>
          <w:rFonts w:ascii="Times New Roman" w:hAnsi="Times New Roman" w:cs="Times New Roman"/>
          <w:sz w:val="20"/>
          <w:szCs w:val="20"/>
        </w:rPr>
        <w:t xml:space="preserve">single-time PSA measurements. </w:t>
      </w:r>
      <w:r w:rsidRPr="00DA4677">
        <w:rPr>
          <w:rFonts w:ascii="Times New Roman" w:eastAsia="Calibri" w:hAnsi="Times New Roman" w:cs="Times New Roman"/>
          <w:sz w:val="20"/>
          <w:szCs w:val="20"/>
        </w:rPr>
        <w:t>The incorporation of</w:t>
      </w:r>
      <w:r w:rsidRPr="00DA4677">
        <w:rPr>
          <w:rFonts w:ascii="Times New Roman" w:hAnsi="Times New Roman" w:cs="Times New Roman"/>
          <w:sz w:val="20"/>
          <w:szCs w:val="20"/>
        </w:rPr>
        <w:t xml:space="preserve"> PSA trajectories or kinetics may increase prognostic resolution, especially when combined with Gleason grade and nodal metrics.</w:t>
      </w:r>
    </w:p>
    <w:p w14:paraId="287DFAB1"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From a health systems perspective, these findings map directly onto SDG 3.4 b</w:t>
      </w:r>
      <w:r w:rsidRPr="00DA4677">
        <w:rPr>
          <w:rFonts w:ascii="Times New Roman" w:hAnsi="Times New Roman" w:cs="Times New Roman"/>
          <w:sz w:val="20"/>
          <w:szCs w:val="20"/>
        </w:rPr>
        <w:t>y identifying modifiable pathways to reduce premature mortality from prostate cancer. Strengthening community awareness, expanding context-appropriate screening, and ensuring timely referral to multidisciplinary care can shift the stage distribution observ</w:t>
      </w:r>
      <w:r w:rsidRPr="00DA4677">
        <w:rPr>
          <w:rFonts w:ascii="Times New Roman" w:hAnsi="Times New Roman" w:cs="Times New Roman"/>
          <w:sz w:val="20"/>
          <w:szCs w:val="20"/>
        </w:rPr>
        <w:t xml:space="preserve">ed in Figure 1 toward earlier disease. Investment in diagnostic capacity for histology and imaging supports SDG 3.c,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routine capture of longitudinal measures such as PSA kinetics aligns with SDG 3.d on surveillance and early warning.</w:t>
      </w:r>
    </w:p>
    <w:p w14:paraId="04072A47" w14:textId="0621E806" w:rsidR="00612B51" w:rsidRPr="00DA4677" w:rsidRDefault="00C92CF8" w:rsidP="00612B51">
      <w:pPr>
        <w:spacing w:before="100" w:beforeAutospacing="1" w:after="100" w:afterAutospacing="1" w:line="240" w:lineRule="auto"/>
        <w:outlineLvl w:val="2"/>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 xml:space="preserve">SHAP Analysis </w:t>
      </w:r>
      <w:r w:rsidRPr="00DA4677">
        <w:rPr>
          <w:rFonts w:ascii="Times New Roman" w:eastAsia="Times New Roman" w:hAnsi="Times New Roman" w:cs="Times New Roman"/>
          <w:b/>
          <w:bCs/>
          <w:kern w:val="0"/>
          <w:sz w:val="20"/>
          <w:szCs w:val="20"/>
          <w:lang w:eastAsia=""/>
          <w14:ligatures w14:val="none"/>
        </w:rPr>
        <w:t>for Cox PH with Restricted Cubic Splines</w:t>
      </w:r>
    </w:p>
    <w:p w14:paraId="21ED8E55" w14:textId="77777777"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integration of SHAP explainability into the Cox </w:t>
      </w:r>
      <w:r w:rsidRPr="00DA4677">
        <w:rPr>
          <w:rFonts w:ascii="Times New Roman" w:eastAsia="Times New Roman" w:hAnsi="Times New Roman" w:cs="Times New Roman"/>
          <w:kern w:val="0"/>
          <w:sz w:val="20"/>
          <w:szCs w:val="20"/>
          <w:lang w:eastAsia=""/>
        </w:rPr>
        <w:t>proportional hazards</w:t>
      </w:r>
      <w:r w:rsidRPr="00DA4677">
        <w:rPr>
          <w:rFonts w:ascii="Times New Roman" w:eastAsia="Times New Roman" w:hAnsi="Times New Roman" w:cs="Times New Roman"/>
          <w:kern w:val="0"/>
          <w:sz w:val="20"/>
          <w:szCs w:val="20"/>
          <w:lang w:eastAsia=""/>
          <w14:ligatures w14:val="none"/>
        </w:rPr>
        <w:t xml:space="preserve"> model with restricted cubic splines (</w:t>
      </w:r>
      <w:r w:rsidRPr="00DA4677">
        <w:rPr>
          <w:rFonts w:ascii="Times New Roman" w:eastAsia="Times New Roman" w:hAnsi="Times New Roman" w:cs="Times New Roman"/>
          <w:kern w:val="0"/>
          <w:sz w:val="20"/>
          <w:szCs w:val="20"/>
          <w:lang w:eastAsia=""/>
        </w:rPr>
        <w:t>RCSs</w:t>
      </w:r>
      <w:r w:rsidRPr="00DA4677">
        <w:rPr>
          <w:rFonts w:ascii="Times New Roman" w:eastAsia="Times New Roman" w:hAnsi="Times New Roman" w:cs="Times New Roman"/>
          <w:kern w:val="0"/>
          <w:sz w:val="20"/>
          <w:szCs w:val="20"/>
          <w:lang w:eastAsia=""/>
          <w14:ligatures w14:val="none"/>
        </w:rPr>
        <w:t>) provided a transparent, data-driven interpretation of feature contributions to prostate cancer surv</w:t>
      </w:r>
      <w:r w:rsidRPr="00DA4677">
        <w:rPr>
          <w:rFonts w:ascii="Times New Roman" w:eastAsia="Times New Roman" w:hAnsi="Times New Roman" w:cs="Times New Roman"/>
          <w:kern w:val="0"/>
          <w:sz w:val="20"/>
          <w:szCs w:val="20"/>
          <w:lang w:eastAsia=""/>
          <w14:ligatures w14:val="none"/>
        </w:rPr>
        <w:t xml:space="preserve">ival risk. This hybrid approach </w:t>
      </w:r>
      <w:r w:rsidRPr="00DA4677">
        <w:rPr>
          <w:rFonts w:ascii="Times New Roman" w:eastAsia="Times New Roman" w:hAnsi="Times New Roman" w:cs="Times New Roman"/>
          <w:kern w:val="0"/>
          <w:sz w:val="20"/>
          <w:szCs w:val="20"/>
          <w:lang w:eastAsia=""/>
        </w:rPr>
        <w:t>allows</w:t>
      </w:r>
      <w:r w:rsidRPr="00DA4677">
        <w:rPr>
          <w:rFonts w:ascii="Times New Roman" w:eastAsia="Times New Roman" w:hAnsi="Times New Roman" w:cs="Times New Roman"/>
          <w:kern w:val="0"/>
          <w:sz w:val="20"/>
          <w:szCs w:val="20"/>
          <w:lang w:eastAsia=""/>
          <w14:ligatures w14:val="none"/>
        </w:rPr>
        <w:t xml:space="preserve"> </w:t>
      </w:r>
      <w:r w:rsidRPr="005469AE">
        <w:rPr>
          <w:rFonts w:ascii="Times New Roman" w:eastAsia="Times New Roman" w:hAnsi="Times New Roman" w:cs="Times New Roman"/>
          <w:kern w:val="0"/>
          <w:sz w:val="20"/>
          <w:szCs w:val="20"/>
          <w:lang w:eastAsia=""/>
          <w14:ligatures w14:val="none"/>
        </w:rPr>
        <w:t xml:space="preserve">both global </w:t>
      </w:r>
      <w:r w:rsidRPr="005469AE">
        <w:rPr>
          <w:rFonts w:ascii="Times New Roman" w:eastAsia="Times New Roman" w:hAnsi="Times New Roman" w:cs="Times New Roman"/>
          <w:kern w:val="0"/>
          <w:sz w:val="20"/>
          <w:szCs w:val="20"/>
          <w:lang w:eastAsia=""/>
        </w:rPr>
        <w:t xml:space="preserve">interpretability </w:t>
      </w:r>
      <w:r w:rsidRPr="005469AE">
        <w:rPr>
          <w:rFonts w:ascii="Times New Roman" w:eastAsia="Times New Roman" w:hAnsi="Times New Roman" w:cs="Times New Roman"/>
          <w:kern w:val="0"/>
          <w:sz w:val="20"/>
          <w:szCs w:val="20"/>
          <w:lang w:eastAsia=""/>
          <w14:ligatures w14:val="none"/>
        </w:rPr>
        <w:t>and local interpretability</w:t>
      </w:r>
      <w:r w:rsidRPr="00DA4677">
        <w:rPr>
          <w:rFonts w:ascii="Times New Roman" w:eastAsia="Times New Roman" w:hAnsi="Times New Roman" w:cs="Times New Roman"/>
          <w:kern w:val="0"/>
          <w:sz w:val="20"/>
          <w:szCs w:val="20"/>
          <w:lang w:eastAsia=""/>
          <w14:ligatures w14:val="none"/>
        </w:rPr>
        <w:t>, addressing a key limitation of conventional Cox regression models, which report average effects but often mask complex nonlinearities.</w:t>
      </w:r>
    </w:p>
    <w:p w14:paraId="317A109F" w14:textId="77777777" w:rsidR="00612B51" w:rsidRPr="00DA4677" w:rsidRDefault="00C92CF8" w:rsidP="00612B51">
      <w:pPr>
        <w:spacing w:before="100" w:beforeAutospacing="1" w:after="100" w:afterAutospacing="1" w:line="240" w:lineRule="auto"/>
        <w:outlineLvl w:val="3"/>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 xml:space="preserve">Global </w:t>
      </w:r>
      <w:r w:rsidRPr="00DA4677">
        <w:rPr>
          <w:rFonts w:ascii="Times New Roman" w:eastAsia="Times New Roman" w:hAnsi="Times New Roman" w:cs="Times New Roman"/>
          <w:b/>
          <w:bCs/>
          <w:kern w:val="0"/>
          <w:sz w:val="20"/>
          <w:szCs w:val="20"/>
          <w:lang w:eastAsia=""/>
        </w:rPr>
        <w:t>feature importance</w:t>
      </w:r>
      <w:r w:rsidRPr="00DA4677">
        <w:rPr>
          <w:rFonts w:ascii="Times New Roman" w:eastAsia="Times New Roman" w:hAnsi="Times New Roman" w:cs="Times New Roman"/>
          <w:b/>
          <w:bCs/>
          <w:kern w:val="0"/>
          <w:sz w:val="20"/>
          <w:szCs w:val="20"/>
          <w:lang w:eastAsia=""/>
          <w14:ligatures w14:val="none"/>
        </w:rPr>
        <w:t xml:space="preserve"> (Figure 7 and Table 3)</w:t>
      </w:r>
    </w:p>
    <w:p w14:paraId="32DC7104" w14:textId="0BE91792"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5469AE">
        <w:rPr>
          <w:rFonts w:ascii="Times New Roman" w:eastAsia="Times New Roman" w:hAnsi="Times New Roman" w:cs="Times New Roman"/>
          <w:kern w:val="0"/>
          <w:sz w:val="20"/>
          <w:szCs w:val="20"/>
          <w:lang w:eastAsia=""/>
          <w14:ligatures w14:val="none"/>
        </w:rPr>
        <w:t>The Global SHAP Importance Plot (Figure 7) and Table 3 demonstrate that tumor size (</w:t>
      </w:r>
      <w:r w:rsidRPr="005469AE">
        <w:rPr>
          <w:rFonts w:ascii="Times New Roman" w:eastAsia="Times New Roman" w:hAnsi="Times New Roman" w:cs="Times New Roman"/>
          <w:kern w:val="0"/>
          <w:sz w:val="20"/>
          <w:szCs w:val="20"/>
          <w:lang w:eastAsia=""/>
        </w:rPr>
        <w:t>mean</w:t>
      </w:r>
      <w:r w:rsidRPr="005469AE">
        <w:rPr>
          <w:rFonts w:ascii="Times New Roman" w:eastAsia="Times New Roman" w:hAnsi="Times New Roman" w:cs="Times New Roman"/>
          <w:kern w:val="0"/>
          <w:sz w:val="20"/>
          <w:szCs w:val="20"/>
          <w:lang w:eastAsia=""/>
          <w14:ligatures w14:val="none"/>
        </w:rPr>
        <w:t xml:space="preserve"> |SHAP| = 0.2015) and Gleason score (0.1591) were the two most influential predictors of prostate cancer survival. These findings reinforce the </w:t>
      </w:r>
      <w:r w:rsidRPr="005469AE">
        <w:rPr>
          <w:rFonts w:ascii="Times New Roman" w:eastAsia="Times New Roman" w:hAnsi="Times New Roman" w:cs="Times New Roman"/>
          <w:kern w:val="0"/>
          <w:sz w:val="20"/>
          <w:szCs w:val="20"/>
          <w:lang w:eastAsia=""/>
          <w14:ligatures w14:val="none"/>
        </w:rPr>
        <w:t xml:space="preserve">hazard ratio results in Table 1, where </w:t>
      </w:r>
      <w:r w:rsidRPr="005469AE">
        <w:rPr>
          <w:rFonts w:ascii="Times New Roman" w:eastAsia="Times New Roman" w:hAnsi="Times New Roman" w:cs="Times New Roman"/>
          <w:kern w:val="0"/>
          <w:sz w:val="20"/>
          <w:szCs w:val="20"/>
          <w:lang w:eastAsia=""/>
        </w:rPr>
        <w:t xml:space="preserve">the </w:t>
      </w:r>
      <w:r w:rsidRPr="005469AE">
        <w:rPr>
          <w:rFonts w:ascii="Times New Roman" w:eastAsia="Times New Roman" w:hAnsi="Times New Roman" w:cs="Times New Roman"/>
          <w:kern w:val="0"/>
          <w:sz w:val="20"/>
          <w:szCs w:val="20"/>
          <w:lang w:eastAsia=""/>
          <w14:ligatures w14:val="none"/>
        </w:rPr>
        <w:t>Gleason score (HR = 0.85; 95% CI: 0.74</w:t>
      </w:r>
      <w:r w:rsidR="005469AE" w:rsidRPr="005469AE">
        <w:rPr>
          <w:rFonts w:ascii="Times New Roman" w:eastAsia="Times New Roman" w:hAnsi="Times New Roman" w:cs="Times New Roman"/>
          <w:kern w:val="0"/>
          <w:sz w:val="20"/>
          <w:szCs w:val="20"/>
          <w:lang w:eastAsia=""/>
          <w14:ligatures w14:val="none"/>
        </w:rPr>
        <w:t>-</w:t>
      </w:r>
      <w:r w:rsidRPr="005469AE">
        <w:rPr>
          <w:rFonts w:ascii="Times New Roman" w:eastAsia="Times New Roman" w:hAnsi="Times New Roman" w:cs="Times New Roman"/>
          <w:kern w:val="0"/>
          <w:sz w:val="20"/>
          <w:szCs w:val="20"/>
          <w:lang w:eastAsia=""/>
          <w14:ligatures w14:val="none"/>
        </w:rPr>
        <w:t>0.99; p = 0.036) remained statistically significant. The prominence of tumor size in SHAP importance</w:t>
      </w:r>
      <w:r w:rsidR="005469AE" w:rsidRPr="005469AE">
        <w:rPr>
          <w:rFonts w:ascii="Times New Roman" w:eastAsia="Times New Roman" w:hAnsi="Times New Roman" w:cs="Times New Roman"/>
          <w:kern w:val="0"/>
          <w:sz w:val="20"/>
          <w:szCs w:val="20"/>
          <w:lang w:eastAsia=""/>
          <w14:ligatures w14:val="none"/>
        </w:rPr>
        <w:t xml:space="preserve"> </w:t>
      </w:r>
      <w:r w:rsidRPr="005469AE">
        <w:rPr>
          <w:rFonts w:ascii="Times New Roman" w:eastAsia="Times New Roman" w:hAnsi="Times New Roman" w:cs="Times New Roman"/>
          <w:kern w:val="0"/>
          <w:sz w:val="20"/>
          <w:szCs w:val="20"/>
          <w:lang w:eastAsia=""/>
          <w14:ligatures w14:val="none"/>
        </w:rPr>
        <w:t>despite a moderate hazard ratio significance (HR = 0.41; p = 0.048)</w:t>
      </w:r>
      <w:r w:rsidR="005469AE" w:rsidRPr="005469AE">
        <w:rPr>
          <w:rFonts w:ascii="Times New Roman" w:eastAsia="Times New Roman" w:hAnsi="Times New Roman" w:cs="Times New Roman"/>
          <w:kern w:val="0"/>
          <w:sz w:val="20"/>
          <w:szCs w:val="20"/>
          <w:lang w:eastAsia=""/>
          <w14:ligatures w14:val="none"/>
        </w:rPr>
        <w:t xml:space="preserve"> </w:t>
      </w:r>
      <w:r w:rsidRPr="005469AE">
        <w:rPr>
          <w:rFonts w:ascii="Times New Roman" w:eastAsia="Times New Roman" w:hAnsi="Times New Roman" w:cs="Times New Roman"/>
          <w:kern w:val="0"/>
          <w:sz w:val="20"/>
          <w:szCs w:val="20"/>
          <w:lang w:eastAsia=""/>
          <w14:ligatures w14:val="none"/>
        </w:rPr>
        <w:t>sugge</w:t>
      </w:r>
      <w:r w:rsidRPr="005469AE">
        <w:rPr>
          <w:rFonts w:ascii="Times New Roman" w:eastAsia="Times New Roman" w:hAnsi="Times New Roman" w:cs="Times New Roman"/>
          <w:kern w:val="0"/>
          <w:sz w:val="20"/>
          <w:szCs w:val="20"/>
          <w:lang w:eastAsia=""/>
          <w14:ligatures w14:val="none"/>
        </w:rPr>
        <w:t>sts a nonlinear relationship</w:t>
      </w:r>
      <w:r w:rsidRPr="00DA4677">
        <w:rPr>
          <w:rFonts w:ascii="Times New Roman" w:eastAsia="Times New Roman" w:hAnsi="Times New Roman" w:cs="Times New Roman"/>
          <w:kern w:val="0"/>
          <w:sz w:val="20"/>
          <w:szCs w:val="20"/>
          <w:lang w:eastAsia=""/>
          <w14:ligatures w14:val="none"/>
        </w:rPr>
        <w:t>, wherein the risk accelerates after a specific tumor threshold.</w:t>
      </w:r>
      <w:r w:rsidR="005469AE">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kern w:val="0"/>
          <w:sz w:val="20"/>
          <w:szCs w:val="20"/>
          <w:lang w:eastAsia=""/>
          <w14:ligatures w14:val="none"/>
        </w:rPr>
        <w:t xml:space="preserve">Treatment-related variables, particularly </w:t>
      </w:r>
      <w:r w:rsidRPr="00DA4677">
        <w:rPr>
          <w:rFonts w:ascii="Times New Roman" w:eastAsia="Times New Roman" w:hAnsi="Times New Roman" w:cs="Times New Roman"/>
          <w:i/>
          <w:iCs/>
          <w:kern w:val="0"/>
          <w:sz w:val="20"/>
          <w:szCs w:val="20"/>
          <w:lang w:eastAsia=""/>
          <w14:ligatures w14:val="none"/>
        </w:rPr>
        <w:t>chemotherapy</w:t>
      </w:r>
      <w:r w:rsidRPr="00DA4677">
        <w:rPr>
          <w:rFonts w:ascii="Times New Roman" w:eastAsia="Times New Roman" w:hAnsi="Times New Roman" w:cs="Times New Roman"/>
          <w:kern w:val="0"/>
          <w:sz w:val="20"/>
          <w:szCs w:val="20"/>
          <w:lang w:eastAsia=""/>
          <w14:ligatures w14:val="none"/>
        </w:rPr>
        <w:t xml:space="preserve"> (|SHAP| = 0.1409) and </w:t>
      </w:r>
      <w:r w:rsidRPr="00DA4677">
        <w:rPr>
          <w:rFonts w:ascii="Times New Roman" w:eastAsia="Times New Roman" w:hAnsi="Times New Roman" w:cs="Times New Roman"/>
          <w:i/>
          <w:iCs/>
          <w:kern w:val="0"/>
          <w:sz w:val="20"/>
          <w:szCs w:val="20"/>
          <w:lang w:eastAsia=""/>
          <w14:ligatures w14:val="none"/>
        </w:rPr>
        <w:t>PSA levels</w:t>
      </w:r>
      <w:r w:rsidRPr="00DA4677">
        <w:rPr>
          <w:rFonts w:ascii="Times New Roman" w:eastAsia="Times New Roman" w:hAnsi="Times New Roman" w:cs="Times New Roman"/>
          <w:kern w:val="0"/>
          <w:sz w:val="20"/>
          <w:szCs w:val="20"/>
          <w:lang w:eastAsia=""/>
          <w14:ligatures w14:val="none"/>
        </w:rPr>
        <w:t xml:space="preserve"> (|SHAP| = 0.1385), </w:t>
      </w:r>
      <w:r w:rsidRPr="00DA4677">
        <w:rPr>
          <w:rFonts w:ascii="Times New Roman" w:eastAsia="Times New Roman" w:hAnsi="Times New Roman" w:cs="Times New Roman"/>
          <w:kern w:val="0"/>
          <w:sz w:val="20"/>
          <w:szCs w:val="20"/>
          <w:lang w:eastAsia=""/>
        </w:rPr>
        <w:t>have</w:t>
      </w:r>
      <w:r w:rsidRPr="00DA4677">
        <w:rPr>
          <w:rFonts w:ascii="Times New Roman" w:eastAsia="Times New Roman" w:hAnsi="Times New Roman" w:cs="Times New Roman"/>
          <w:kern w:val="0"/>
          <w:sz w:val="20"/>
          <w:szCs w:val="20"/>
          <w:lang w:eastAsia=""/>
          <w14:ligatures w14:val="none"/>
        </w:rPr>
        <w:t xml:space="preserve"> meaningful contributions, indicating that therapeutic response and biochemical markers interact in shaping survival outcomes. Clinical factors such as </w:t>
      </w:r>
      <w:r w:rsidRPr="00DA4677">
        <w:rPr>
          <w:rFonts w:ascii="Times New Roman" w:eastAsia="Times New Roman" w:hAnsi="Times New Roman" w:cs="Times New Roman"/>
          <w:i/>
          <w:iCs/>
          <w:kern w:val="0"/>
          <w:sz w:val="20"/>
          <w:szCs w:val="20"/>
          <w:lang w:eastAsia=""/>
          <w14:ligatures w14:val="none"/>
        </w:rPr>
        <w:t>age</w:t>
      </w:r>
      <w:r w:rsidRPr="00DA4677">
        <w:rPr>
          <w:rFonts w:ascii="Times New Roman" w:eastAsia="Times New Roman" w:hAnsi="Times New Roman" w:cs="Times New Roman"/>
          <w:kern w:val="0"/>
          <w:sz w:val="20"/>
          <w:szCs w:val="20"/>
          <w:lang w:eastAsia=""/>
          <w14:ligatures w14:val="none"/>
        </w:rPr>
        <w:t xml:space="preserve"> and </w:t>
      </w:r>
      <w:r w:rsidRPr="00DA4677">
        <w:rPr>
          <w:rFonts w:ascii="Times New Roman" w:eastAsia="Times New Roman" w:hAnsi="Times New Roman" w:cs="Times New Roman"/>
          <w:i/>
          <w:iCs/>
          <w:kern w:val="0"/>
          <w:sz w:val="20"/>
          <w:szCs w:val="20"/>
          <w:lang w:eastAsia=""/>
          <w14:ligatures w14:val="none"/>
        </w:rPr>
        <w:t>hormone therapy</w:t>
      </w:r>
      <w:r w:rsidRPr="00DA4677">
        <w:rPr>
          <w:rFonts w:ascii="Times New Roman" w:eastAsia="Times New Roman" w:hAnsi="Times New Roman" w:cs="Times New Roman"/>
          <w:kern w:val="0"/>
          <w:sz w:val="20"/>
          <w:szCs w:val="20"/>
          <w:lang w:eastAsia=""/>
          <w14:ligatures w14:val="none"/>
        </w:rPr>
        <w:t xml:space="preserve"> had moderate importance (|SHAP| ≈ 0.10 and 0.0757, respectively), </w:t>
      </w:r>
      <w:r w:rsidRPr="00DA4677">
        <w:rPr>
          <w:rFonts w:ascii="Times New Roman" w:eastAsia="Times New Roman" w:hAnsi="Times New Roman" w:cs="Times New Roman"/>
          <w:kern w:val="0"/>
          <w:sz w:val="20"/>
          <w:szCs w:val="20"/>
          <w:lang w:eastAsia=""/>
        </w:rPr>
        <w:t>whereas</w:t>
      </w:r>
      <w:r w:rsidRPr="00DA4677">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i/>
          <w:iCs/>
          <w:kern w:val="0"/>
          <w:sz w:val="20"/>
          <w:szCs w:val="20"/>
          <w:lang w:eastAsia=""/>
          <w14:ligatures w14:val="none"/>
        </w:rPr>
        <w:t>radiat</w:t>
      </w:r>
      <w:r w:rsidRPr="00DA4677">
        <w:rPr>
          <w:rFonts w:ascii="Times New Roman" w:eastAsia="Times New Roman" w:hAnsi="Times New Roman" w:cs="Times New Roman"/>
          <w:i/>
          <w:iCs/>
          <w:kern w:val="0"/>
          <w:sz w:val="20"/>
          <w:szCs w:val="20"/>
          <w:lang w:eastAsia=""/>
          <w14:ligatures w14:val="none"/>
        </w:rPr>
        <w:t>ion therapy</w:t>
      </w:r>
      <w:r w:rsidRPr="00DA4677">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i/>
          <w:iCs/>
          <w:kern w:val="0"/>
          <w:sz w:val="20"/>
          <w:szCs w:val="20"/>
          <w:lang w:eastAsia=""/>
          <w14:ligatures w14:val="none"/>
        </w:rPr>
        <w:t>cancer stage</w:t>
      </w:r>
      <w:r w:rsidRPr="00DA4677">
        <w:rPr>
          <w:rFonts w:ascii="Times New Roman" w:eastAsia="Times New Roman" w:hAnsi="Times New Roman" w:cs="Times New Roman"/>
          <w:kern w:val="0"/>
          <w:sz w:val="20"/>
          <w:szCs w:val="20"/>
          <w:lang w:eastAsia=""/>
          <w14:ligatures w14:val="none"/>
        </w:rPr>
        <w:t xml:space="preserve">, and </w:t>
      </w:r>
      <w:r w:rsidRPr="00DA4677">
        <w:rPr>
          <w:rFonts w:ascii="Times New Roman" w:eastAsia="Times New Roman" w:hAnsi="Times New Roman" w:cs="Times New Roman"/>
          <w:i/>
          <w:iCs/>
          <w:kern w:val="0"/>
          <w:sz w:val="20"/>
          <w:szCs w:val="20"/>
          <w:lang w:eastAsia=""/>
          <w14:ligatures w14:val="none"/>
        </w:rPr>
        <w:t>lymph node involvement</w:t>
      </w:r>
      <w:r w:rsidRPr="00DA4677">
        <w:rPr>
          <w:rFonts w:ascii="Times New Roman" w:eastAsia="Times New Roman" w:hAnsi="Times New Roman" w:cs="Times New Roman"/>
          <w:kern w:val="0"/>
          <w:sz w:val="20"/>
          <w:szCs w:val="20"/>
          <w:lang w:eastAsia=""/>
          <w14:ligatures w14:val="none"/>
        </w:rPr>
        <w:t xml:space="preserve"> </w:t>
      </w:r>
      <w:r w:rsidRPr="00DA4677">
        <w:rPr>
          <w:rFonts w:ascii="Times New Roman" w:eastAsia="Times New Roman" w:hAnsi="Times New Roman" w:cs="Times New Roman"/>
          <w:kern w:val="0"/>
          <w:sz w:val="20"/>
          <w:szCs w:val="20"/>
          <w:lang w:eastAsia=""/>
        </w:rPr>
        <w:t>had</w:t>
      </w:r>
      <w:r w:rsidRPr="00DA4677">
        <w:rPr>
          <w:rFonts w:ascii="Times New Roman" w:eastAsia="Times New Roman" w:hAnsi="Times New Roman" w:cs="Times New Roman"/>
          <w:kern w:val="0"/>
          <w:sz w:val="20"/>
          <w:szCs w:val="20"/>
          <w:lang w:eastAsia=""/>
          <w14:ligatures w14:val="none"/>
        </w:rPr>
        <w:t xml:space="preserve"> relatively lower but </w:t>
      </w:r>
      <w:r w:rsidRPr="00DA4677">
        <w:rPr>
          <w:rFonts w:ascii="Times New Roman" w:eastAsia="Times New Roman" w:hAnsi="Times New Roman" w:cs="Times New Roman"/>
          <w:kern w:val="0"/>
          <w:sz w:val="20"/>
          <w:szCs w:val="20"/>
          <w:lang w:eastAsia=""/>
        </w:rPr>
        <w:t>nonnegligible</w:t>
      </w:r>
      <w:r w:rsidRPr="00DA4677">
        <w:rPr>
          <w:rFonts w:ascii="Times New Roman" w:eastAsia="Times New Roman" w:hAnsi="Times New Roman" w:cs="Times New Roman"/>
          <w:kern w:val="0"/>
          <w:sz w:val="20"/>
          <w:szCs w:val="20"/>
          <w:lang w:eastAsia=""/>
          <w14:ligatures w14:val="none"/>
        </w:rPr>
        <w:t xml:space="preserve"> impacts.</w:t>
      </w:r>
    </w:p>
    <w:p w14:paraId="4DE86458" w14:textId="77777777" w:rsidR="00612B51" w:rsidRPr="00DA4677" w:rsidRDefault="00C92CF8" w:rsidP="00774E50">
      <w:pPr>
        <w:pStyle w:val="Heading2"/>
        <w:spacing w:before="0" w:after="0"/>
        <w:rPr>
          <w:rFonts w:ascii="Times New Roman" w:hAnsi="Times New Roman" w:cs="Times New Roman"/>
          <w:color w:val="auto"/>
          <w:sz w:val="20"/>
          <w:szCs w:val="20"/>
        </w:rPr>
      </w:pPr>
      <w:r w:rsidRPr="00DA4677">
        <w:rPr>
          <w:rFonts w:ascii="Times New Roman" w:hAnsi="Times New Roman" w:cs="Times New Roman"/>
          <w:color w:val="auto"/>
          <w:sz w:val="20"/>
          <w:szCs w:val="20"/>
        </w:rPr>
        <w:t>Table 3. Global SHAP Importance (Mean |SHAP| on Linear Predictor)</w:t>
      </w:r>
    </w:p>
    <w:tbl>
      <w:tblPr>
        <w:tblW w:w="0" w:type="auto"/>
        <w:jc w:val="center"/>
        <w:tblLayout w:type="fixed"/>
        <w:tblLook w:val="0420" w:firstRow="1" w:lastRow="0" w:firstColumn="0" w:lastColumn="0" w:noHBand="0" w:noVBand="1"/>
      </w:tblPr>
      <w:tblGrid>
        <w:gridCol w:w="924"/>
        <w:gridCol w:w="2649"/>
        <w:gridCol w:w="2983"/>
      </w:tblGrid>
      <w:tr w:rsidR="00DA4677" w:rsidRPr="00DA4677" w14:paraId="55496C4B" w14:textId="77777777" w:rsidTr="007C013F">
        <w:trPr>
          <w:tblHeader/>
          <w:jc w:val="center"/>
        </w:trPr>
        <w:tc>
          <w:tcPr>
            <w:tcW w:w="924"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675E5F28"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b/>
                <w:sz w:val="20"/>
                <w:szCs w:val="20"/>
              </w:rPr>
            </w:pPr>
            <w:r w:rsidRPr="00DA4677">
              <w:rPr>
                <w:rFonts w:ascii="Times New Roman" w:eastAsia="Arial" w:hAnsi="Times New Roman" w:cs="Times New Roman"/>
                <w:b/>
                <w:sz w:val="20"/>
                <w:szCs w:val="20"/>
              </w:rPr>
              <w:t>Rank</w:t>
            </w:r>
          </w:p>
        </w:tc>
        <w:tc>
          <w:tcPr>
            <w:tcW w:w="2649"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2A755D8B"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b/>
                <w:sz w:val="20"/>
                <w:szCs w:val="20"/>
              </w:rPr>
            </w:pPr>
            <w:r w:rsidRPr="00DA4677">
              <w:rPr>
                <w:rFonts w:ascii="Times New Roman" w:eastAsia="Arial" w:hAnsi="Times New Roman" w:cs="Times New Roman"/>
                <w:b/>
                <w:sz w:val="20"/>
                <w:szCs w:val="20"/>
              </w:rPr>
              <w:t>Variable</w:t>
            </w:r>
          </w:p>
        </w:tc>
        <w:tc>
          <w:tcPr>
            <w:tcW w:w="2983" w:type="dxa"/>
            <w:tcBorders>
              <w:top w:val="single" w:sz="12" w:space="0" w:color="666666"/>
              <w:left w:val="nil"/>
              <w:bottom w:val="single" w:sz="12" w:space="0" w:color="666666"/>
              <w:right w:val="nil"/>
            </w:tcBorders>
            <w:shd w:val="clear" w:color="auto" w:fill="FFFFFF"/>
            <w:tcMar>
              <w:top w:w="0" w:type="dxa"/>
              <w:left w:w="0" w:type="dxa"/>
              <w:bottom w:w="0" w:type="dxa"/>
              <w:right w:w="0" w:type="dxa"/>
            </w:tcMar>
            <w:vAlign w:val="center"/>
          </w:tcPr>
          <w:p w14:paraId="7392796E"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b/>
                <w:sz w:val="20"/>
                <w:szCs w:val="20"/>
              </w:rPr>
            </w:pPr>
            <w:r w:rsidRPr="00DA4677">
              <w:rPr>
                <w:rFonts w:ascii="Times New Roman" w:eastAsia="Arial" w:hAnsi="Times New Roman" w:cs="Times New Roman"/>
                <w:b/>
                <w:sz w:val="20"/>
                <w:szCs w:val="20"/>
              </w:rPr>
              <w:t>Mean |SHAP| (log-hazard)</w:t>
            </w:r>
          </w:p>
        </w:tc>
      </w:tr>
      <w:tr w:rsidR="00DA4677" w:rsidRPr="00DA4677" w14:paraId="4FD94926" w14:textId="77777777" w:rsidTr="007C013F">
        <w:trPr>
          <w:jc w:val="center"/>
        </w:trPr>
        <w:tc>
          <w:tcPr>
            <w:tcW w:w="924"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7CCC527B"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1</w:t>
            </w:r>
          </w:p>
        </w:tc>
        <w:tc>
          <w:tcPr>
            <w:tcW w:w="2649"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458545B3"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tumor_size_cm</w:t>
            </w:r>
            <w:proofErr w:type="spellEnd"/>
          </w:p>
        </w:tc>
        <w:tc>
          <w:tcPr>
            <w:tcW w:w="2983" w:type="dxa"/>
            <w:tcBorders>
              <w:top w:val="single" w:sz="12" w:space="0" w:color="666666"/>
              <w:left w:val="nil"/>
              <w:bottom w:val="nil"/>
              <w:right w:val="nil"/>
            </w:tcBorders>
            <w:shd w:val="clear" w:color="auto" w:fill="FFFFFF"/>
            <w:tcMar>
              <w:top w:w="0" w:type="dxa"/>
              <w:left w:w="0" w:type="dxa"/>
              <w:bottom w:w="0" w:type="dxa"/>
              <w:right w:w="0" w:type="dxa"/>
            </w:tcMar>
            <w:vAlign w:val="center"/>
          </w:tcPr>
          <w:p w14:paraId="24CFB82C"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0.2015</w:t>
            </w:r>
          </w:p>
        </w:tc>
      </w:tr>
      <w:tr w:rsidR="00DA4677" w:rsidRPr="00DA4677" w14:paraId="6DA5E6A3"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5DD8167D"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2</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45E39187"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gleason_score</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4652B2E5"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0.1591</w:t>
            </w:r>
          </w:p>
        </w:tc>
      </w:tr>
      <w:tr w:rsidR="00DA4677" w:rsidRPr="00DA4677" w14:paraId="46598FD5"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108DE731"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3</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2EEAEC8A"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r w:rsidRPr="00DA4677">
              <w:rPr>
                <w:rFonts w:ascii="Times New Roman" w:eastAsia="Arial" w:hAnsi="Times New Roman" w:cs="Times New Roman"/>
                <w:sz w:val="20"/>
                <w:szCs w:val="20"/>
              </w:rPr>
              <w:t>chemotherapy</w:t>
            </w:r>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5812448"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0.1409</w:t>
            </w:r>
          </w:p>
        </w:tc>
      </w:tr>
      <w:tr w:rsidR="00DA4677" w:rsidRPr="00DA4677" w14:paraId="2F3B10F9"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74EFC8A0"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4</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2DF091B2"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psa_levels</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1121EFA"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0.1385</w:t>
            </w:r>
          </w:p>
        </w:tc>
      </w:tr>
      <w:tr w:rsidR="00DA4677" w:rsidRPr="00DA4677" w14:paraId="1D7B4149"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0806E41F"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5</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0B6A3911"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r w:rsidRPr="00DA4677">
              <w:rPr>
                <w:rFonts w:ascii="Times New Roman" w:eastAsia="Arial" w:hAnsi="Times New Roman" w:cs="Times New Roman"/>
                <w:sz w:val="20"/>
                <w:szCs w:val="20"/>
              </w:rPr>
              <w:t>age</w:t>
            </w:r>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51BFB10"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0.1041</w:t>
            </w:r>
          </w:p>
        </w:tc>
      </w:tr>
      <w:tr w:rsidR="00DA4677" w:rsidRPr="00DA4677" w14:paraId="7E91701B"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1C844CA6"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6</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1A7D4433"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hormone_therapy</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52AE2A16"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0.0757</w:t>
            </w:r>
          </w:p>
        </w:tc>
      </w:tr>
      <w:tr w:rsidR="00DA4677" w:rsidRPr="00DA4677" w14:paraId="4A44688C"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2C86C9B9"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7</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49F5993F"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radiation_therapy</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6E04D3F6"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0.0654</w:t>
            </w:r>
          </w:p>
        </w:tc>
      </w:tr>
      <w:tr w:rsidR="00DA4677" w:rsidRPr="00DA4677" w14:paraId="332CF418" w14:textId="77777777" w:rsidTr="007C013F">
        <w:trPr>
          <w:jc w:val="center"/>
        </w:trPr>
        <w:tc>
          <w:tcPr>
            <w:tcW w:w="924" w:type="dxa"/>
            <w:tcBorders>
              <w:top w:val="nil"/>
              <w:left w:val="nil"/>
              <w:bottom w:val="nil"/>
              <w:right w:val="nil"/>
            </w:tcBorders>
            <w:shd w:val="clear" w:color="auto" w:fill="FFFFFF"/>
            <w:tcMar>
              <w:top w:w="0" w:type="dxa"/>
              <w:left w:w="0" w:type="dxa"/>
              <w:bottom w:w="0" w:type="dxa"/>
              <w:right w:w="0" w:type="dxa"/>
            </w:tcMar>
            <w:vAlign w:val="center"/>
          </w:tcPr>
          <w:p w14:paraId="3D6B9727"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8</w:t>
            </w:r>
          </w:p>
        </w:tc>
        <w:tc>
          <w:tcPr>
            <w:tcW w:w="2649" w:type="dxa"/>
            <w:tcBorders>
              <w:top w:val="nil"/>
              <w:left w:val="nil"/>
              <w:bottom w:val="nil"/>
              <w:right w:val="nil"/>
            </w:tcBorders>
            <w:shd w:val="clear" w:color="auto" w:fill="FFFFFF"/>
            <w:tcMar>
              <w:top w:w="0" w:type="dxa"/>
              <w:left w:w="0" w:type="dxa"/>
              <w:bottom w:w="0" w:type="dxa"/>
              <w:right w:w="0" w:type="dxa"/>
            </w:tcMar>
            <w:vAlign w:val="center"/>
          </w:tcPr>
          <w:p w14:paraId="63929A44"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cancer_stage</w:t>
            </w:r>
            <w:proofErr w:type="spellEnd"/>
          </w:p>
        </w:tc>
        <w:tc>
          <w:tcPr>
            <w:tcW w:w="2983" w:type="dxa"/>
            <w:tcBorders>
              <w:top w:val="nil"/>
              <w:left w:val="nil"/>
              <w:bottom w:val="nil"/>
              <w:right w:val="nil"/>
            </w:tcBorders>
            <w:shd w:val="clear" w:color="auto" w:fill="FFFFFF"/>
            <w:tcMar>
              <w:top w:w="0" w:type="dxa"/>
              <w:left w:w="0" w:type="dxa"/>
              <w:bottom w:w="0" w:type="dxa"/>
              <w:right w:w="0" w:type="dxa"/>
            </w:tcMar>
            <w:vAlign w:val="center"/>
          </w:tcPr>
          <w:p w14:paraId="0A352083"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0.0649</w:t>
            </w:r>
          </w:p>
        </w:tc>
      </w:tr>
      <w:tr w:rsidR="00DA4677" w:rsidRPr="00DA4677" w14:paraId="6B1748C7" w14:textId="77777777" w:rsidTr="007C013F">
        <w:trPr>
          <w:jc w:val="center"/>
        </w:trPr>
        <w:tc>
          <w:tcPr>
            <w:tcW w:w="924"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5E9D0087"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9</w:t>
            </w:r>
          </w:p>
        </w:tc>
        <w:tc>
          <w:tcPr>
            <w:tcW w:w="2649"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482A23A5" w14:textId="77777777" w:rsidR="00612B51" w:rsidRPr="00DA4677" w:rsidRDefault="00C92CF8" w:rsidP="00774E50">
            <w:pPr>
              <w:pBdr>
                <w:top w:val="nil"/>
                <w:left w:val="nil"/>
                <w:bottom w:val="nil"/>
                <w:right w:val="nil"/>
              </w:pBdr>
              <w:spacing w:after="0"/>
              <w:ind w:left="100" w:right="100"/>
              <w:rPr>
                <w:rFonts w:ascii="Times New Roman" w:eastAsia="Arial" w:hAnsi="Times New Roman" w:cs="Times New Roman"/>
                <w:sz w:val="20"/>
                <w:szCs w:val="20"/>
              </w:rPr>
            </w:pPr>
            <w:proofErr w:type="spellStart"/>
            <w:r w:rsidRPr="00DA4677">
              <w:rPr>
                <w:rFonts w:ascii="Times New Roman" w:eastAsia="Arial" w:hAnsi="Times New Roman" w:cs="Times New Roman"/>
                <w:sz w:val="20"/>
                <w:szCs w:val="20"/>
              </w:rPr>
              <w:t>lymph_nodes_involved</w:t>
            </w:r>
            <w:proofErr w:type="spellEnd"/>
          </w:p>
        </w:tc>
        <w:tc>
          <w:tcPr>
            <w:tcW w:w="2983" w:type="dxa"/>
            <w:tcBorders>
              <w:top w:val="nil"/>
              <w:left w:val="nil"/>
              <w:bottom w:val="single" w:sz="12" w:space="0" w:color="666666"/>
              <w:right w:val="nil"/>
            </w:tcBorders>
            <w:shd w:val="clear" w:color="auto" w:fill="FFFFFF"/>
            <w:tcMar>
              <w:top w:w="0" w:type="dxa"/>
              <w:left w:w="0" w:type="dxa"/>
              <w:bottom w:w="0" w:type="dxa"/>
              <w:right w:w="0" w:type="dxa"/>
            </w:tcMar>
            <w:vAlign w:val="center"/>
          </w:tcPr>
          <w:p w14:paraId="13A63A4D" w14:textId="77777777" w:rsidR="00612B51" w:rsidRPr="00DA4677" w:rsidRDefault="00C92CF8" w:rsidP="00774E50">
            <w:pPr>
              <w:pBdr>
                <w:top w:val="nil"/>
                <w:left w:val="nil"/>
                <w:bottom w:val="nil"/>
                <w:right w:val="nil"/>
              </w:pBdr>
              <w:spacing w:after="0"/>
              <w:ind w:left="100" w:right="100"/>
              <w:jc w:val="right"/>
              <w:rPr>
                <w:rFonts w:ascii="Times New Roman" w:eastAsia="Arial" w:hAnsi="Times New Roman" w:cs="Times New Roman"/>
                <w:sz w:val="20"/>
                <w:szCs w:val="20"/>
              </w:rPr>
            </w:pPr>
            <w:r w:rsidRPr="00DA4677">
              <w:rPr>
                <w:rFonts w:ascii="Times New Roman" w:eastAsia="Arial" w:hAnsi="Times New Roman" w:cs="Times New Roman"/>
                <w:sz w:val="20"/>
                <w:szCs w:val="20"/>
              </w:rPr>
              <w:t>0.0488</w:t>
            </w:r>
          </w:p>
        </w:tc>
      </w:tr>
    </w:tbl>
    <w:p w14:paraId="774FEBF5" w14:textId="77777777"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hAnsi="Times New Roman" w:cs="Times New Roman"/>
          <w:noProof/>
          <w:sz w:val="20"/>
          <w:szCs w:val="20"/>
        </w:rPr>
        <w:lastRenderedPageBreak/>
        <w:drawing>
          <wp:inline distT="0" distB="0" distL="0" distR="0" wp14:anchorId="5494E231" wp14:editId="133F358A">
            <wp:extent cx="5730240" cy="31144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rotWithShape="1">
                    <a:blip r:embed="rId13"/>
                    <a:srcRect t="6661"/>
                    <a:stretch>
                      <a:fillRect/>
                    </a:stretch>
                  </pic:blipFill>
                  <pic:spPr bwMode="auto">
                    <a:xfrm>
                      <a:off x="0" y="0"/>
                      <a:ext cx="5735722" cy="3117382"/>
                    </a:xfrm>
                    <a:prstGeom prst="rect">
                      <a:avLst/>
                    </a:prstGeom>
                    <a:noFill/>
                    <a:ln>
                      <a:noFill/>
                    </a:ln>
                    <a:extLst>
                      <a:ext uri="{53640926-AAD7-44D8-BBD7-CCE9431645EC}">
                        <a14:shadowObscured xmlns:a14="http://schemas.microsoft.com/office/drawing/2010/main"/>
                      </a:ext>
                    </a:extLst>
                  </pic:spPr>
                </pic:pic>
              </a:graphicData>
            </a:graphic>
          </wp:inline>
        </w:drawing>
      </w:r>
    </w:p>
    <w:p w14:paraId="5DF79EBE" w14:textId="0839E567" w:rsidR="00612B51" w:rsidRPr="005469AE" w:rsidRDefault="00C92CF8" w:rsidP="005469AE">
      <w:pPr>
        <w:pStyle w:val="Heading2"/>
        <w:rPr>
          <w:rFonts w:ascii="Times New Roman" w:hAnsi="Times New Roman" w:cs="Times New Roman"/>
          <w:color w:val="auto"/>
          <w:sz w:val="20"/>
          <w:szCs w:val="20"/>
        </w:rPr>
      </w:pPr>
      <w:r w:rsidRPr="00DA4677">
        <w:rPr>
          <w:rFonts w:ascii="Times New Roman" w:hAnsi="Times New Roman" w:cs="Times New Roman"/>
          <w:color w:val="auto"/>
          <w:sz w:val="20"/>
          <w:szCs w:val="20"/>
        </w:rPr>
        <w:t>Figure 7. Global SHAP Importance Bar Plot</w:t>
      </w:r>
    </w:p>
    <w:p w14:paraId="19786DE4" w14:textId="1799064B"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w:t>
      </w:r>
      <w:r w:rsidRPr="00DA4677">
        <w:rPr>
          <w:rFonts w:ascii="Times New Roman" w:eastAsia="Times New Roman" w:hAnsi="Times New Roman" w:cs="Times New Roman"/>
          <w:b/>
          <w:bCs/>
          <w:kern w:val="0"/>
          <w:sz w:val="20"/>
          <w:szCs w:val="20"/>
          <w:lang w:eastAsia=""/>
          <w14:ligatures w14:val="none"/>
        </w:rPr>
        <w:t xml:space="preserve">SHAP </w:t>
      </w:r>
      <w:proofErr w:type="spellStart"/>
      <w:r w:rsidRPr="00DA4677">
        <w:rPr>
          <w:rFonts w:ascii="Times New Roman" w:eastAsia="Times New Roman" w:hAnsi="Times New Roman" w:cs="Times New Roman"/>
          <w:b/>
          <w:bCs/>
          <w:kern w:val="0"/>
          <w:sz w:val="20"/>
          <w:szCs w:val="20"/>
          <w:lang w:eastAsia=""/>
        </w:rPr>
        <w:t>beeswarm</w:t>
      </w:r>
      <w:proofErr w:type="spellEnd"/>
      <w:r w:rsidRPr="00DA4677">
        <w:rPr>
          <w:rFonts w:ascii="Times New Roman" w:eastAsia="Times New Roman" w:hAnsi="Times New Roman" w:cs="Times New Roman"/>
          <w:b/>
          <w:bCs/>
          <w:kern w:val="0"/>
          <w:sz w:val="20"/>
          <w:szCs w:val="20"/>
          <w:lang w:eastAsia=""/>
        </w:rPr>
        <w:t xml:space="preserve"> plot</w:t>
      </w:r>
      <w:r w:rsidRPr="00DA4677">
        <w:rPr>
          <w:rFonts w:ascii="Times New Roman" w:eastAsia="Times New Roman" w:hAnsi="Times New Roman" w:cs="Times New Roman"/>
          <w:b/>
          <w:bCs/>
          <w:kern w:val="0"/>
          <w:sz w:val="20"/>
          <w:szCs w:val="20"/>
          <w:lang w:eastAsia=""/>
          <w14:ligatures w14:val="none"/>
        </w:rPr>
        <w:t xml:space="preserve"> (Figure </w:t>
      </w:r>
      <w:r w:rsidR="005469AE">
        <w:rPr>
          <w:rFonts w:ascii="Times New Roman" w:eastAsia="Times New Roman" w:hAnsi="Times New Roman" w:cs="Times New Roman"/>
          <w:b/>
          <w:bCs/>
          <w:kern w:val="0"/>
          <w:sz w:val="20"/>
          <w:szCs w:val="20"/>
          <w:lang w:eastAsia=""/>
          <w14:ligatures w14:val="none"/>
        </w:rPr>
        <w:t>8</w:t>
      </w:r>
      <w:r w:rsidRPr="00DA4677">
        <w:rPr>
          <w:rFonts w:ascii="Times New Roman" w:eastAsia="Times New Roman" w:hAnsi="Times New Roman" w:cs="Times New Roman"/>
          <w:b/>
          <w:bCs/>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 visualizes how individual patients’ predictor values influence the model’s log</w:t>
      </w:r>
      <w:r w:rsidRPr="00DA4677">
        <w:rPr>
          <w:rFonts w:ascii="Times New Roman" w:eastAsia="Times New Roman" w:hAnsi="Times New Roman" w:cs="Times New Roman"/>
          <w:kern w:val="0"/>
          <w:sz w:val="20"/>
          <w:szCs w:val="20"/>
          <w:lang w:eastAsia=""/>
        </w:rPr>
        <w:t xml:space="preserve"> </w:t>
      </w:r>
      <w:r w:rsidRPr="00DA4677">
        <w:rPr>
          <w:rFonts w:ascii="Times New Roman" w:eastAsia="Times New Roman" w:hAnsi="Times New Roman" w:cs="Times New Roman"/>
          <w:kern w:val="0"/>
          <w:sz w:val="20"/>
          <w:szCs w:val="20"/>
          <w:lang w:eastAsia=""/>
          <w14:ligatures w14:val="none"/>
        </w:rPr>
        <w:t>hazard output. Each dot represents a patient-level SHAP contribution for a given variable. The red</w:t>
      </w:r>
      <w:r w:rsidR="005469AE">
        <w:rPr>
          <w:rFonts w:ascii="Times New Roman" w:eastAsia="Times New Roman" w:hAnsi="Times New Roman" w:cs="Times New Roman"/>
          <w:kern w:val="0"/>
          <w:sz w:val="20"/>
          <w:szCs w:val="20"/>
          <w:lang w:eastAsia=""/>
          <w14:ligatures w14:val="none"/>
        </w:rPr>
        <w:t>-</w:t>
      </w:r>
      <w:r w:rsidRPr="00DA4677">
        <w:rPr>
          <w:rFonts w:ascii="Times New Roman" w:eastAsia="Times New Roman" w:hAnsi="Times New Roman" w:cs="Times New Roman"/>
          <w:kern w:val="0"/>
          <w:sz w:val="20"/>
          <w:szCs w:val="20"/>
          <w:lang w:eastAsia=""/>
          <w14:ligatures w14:val="none"/>
        </w:rPr>
        <w:t xml:space="preserve">blue gradient shows the numeric scale of each predictor. Notably, </w:t>
      </w:r>
      <w:r w:rsidRPr="00DA4677">
        <w:rPr>
          <w:rFonts w:ascii="Times New Roman" w:eastAsia="Times New Roman" w:hAnsi="Times New Roman" w:cs="Times New Roman"/>
          <w:i/>
          <w:iCs/>
          <w:kern w:val="0"/>
          <w:sz w:val="20"/>
          <w:szCs w:val="20"/>
          <w:lang w:eastAsia=""/>
          <w14:ligatures w14:val="none"/>
        </w:rPr>
        <w:t xml:space="preserve">larger </w:t>
      </w:r>
      <w:r w:rsidRPr="00DA4677">
        <w:rPr>
          <w:rFonts w:ascii="Times New Roman" w:eastAsia="Times New Roman" w:hAnsi="Times New Roman" w:cs="Times New Roman"/>
          <w:i/>
          <w:iCs/>
          <w:kern w:val="0"/>
          <w:sz w:val="20"/>
          <w:szCs w:val="20"/>
          <w:lang w:eastAsia=""/>
          <w14:ligatures w14:val="none"/>
        </w:rPr>
        <w:t>tumor sizes</w:t>
      </w:r>
      <w:r w:rsidRPr="00DA4677">
        <w:rPr>
          <w:rFonts w:ascii="Times New Roman" w:eastAsia="Times New Roman" w:hAnsi="Times New Roman" w:cs="Times New Roman"/>
          <w:kern w:val="0"/>
          <w:sz w:val="20"/>
          <w:szCs w:val="20"/>
          <w:lang w:eastAsia=""/>
          <w14:ligatures w14:val="none"/>
        </w:rPr>
        <w:t xml:space="preserve"> (blue gradient in the top panel) corresponded to higher positive SHAP values, indicating </w:t>
      </w:r>
      <w:r w:rsidRPr="00DA4677">
        <w:rPr>
          <w:rFonts w:ascii="Times New Roman" w:eastAsia="Times New Roman" w:hAnsi="Times New Roman" w:cs="Times New Roman"/>
          <w:kern w:val="0"/>
          <w:sz w:val="20"/>
          <w:szCs w:val="20"/>
          <w:lang w:eastAsia=""/>
        </w:rPr>
        <w:t xml:space="preserve">an </w:t>
      </w:r>
      <w:r w:rsidRPr="00DA4677">
        <w:rPr>
          <w:rFonts w:ascii="Times New Roman" w:eastAsia="Times New Roman" w:hAnsi="Times New Roman" w:cs="Times New Roman"/>
          <w:kern w:val="0"/>
          <w:sz w:val="20"/>
          <w:szCs w:val="20"/>
          <w:lang w:eastAsia=""/>
          <w14:ligatures w14:val="none"/>
        </w:rPr>
        <w:t xml:space="preserve">increased hazard contribution. Conversely, </w:t>
      </w:r>
      <w:r w:rsidRPr="00DA4677">
        <w:rPr>
          <w:rFonts w:ascii="Times New Roman" w:eastAsia="Times New Roman" w:hAnsi="Times New Roman" w:cs="Times New Roman"/>
          <w:i/>
          <w:iCs/>
          <w:kern w:val="0"/>
          <w:sz w:val="20"/>
          <w:szCs w:val="20"/>
          <w:lang w:eastAsia=""/>
          <w14:ligatures w14:val="none"/>
        </w:rPr>
        <w:t>higher Gleason scores</w:t>
      </w:r>
      <w:r w:rsidRPr="00DA4677">
        <w:rPr>
          <w:rFonts w:ascii="Times New Roman" w:eastAsia="Times New Roman" w:hAnsi="Times New Roman" w:cs="Times New Roman"/>
          <w:kern w:val="0"/>
          <w:sz w:val="20"/>
          <w:szCs w:val="20"/>
          <w:lang w:eastAsia=""/>
          <w14:ligatures w14:val="none"/>
        </w:rPr>
        <w:t xml:space="preserve"> (red hues) consistently pushed the SHAP value toward the positive (right-hand) side, co</w:t>
      </w:r>
      <w:r w:rsidRPr="00DA4677">
        <w:rPr>
          <w:rFonts w:ascii="Times New Roman" w:eastAsia="Times New Roman" w:hAnsi="Times New Roman" w:cs="Times New Roman"/>
          <w:kern w:val="0"/>
          <w:sz w:val="20"/>
          <w:szCs w:val="20"/>
          <w:lang w:eastAsia=""/>
          <w14:ligatures w14:val="none"/>
        </w:rPr>
        <w:t xml:space="preserve">nfirming their strong additive effect on mortality risk. The spread in </w:t>
      </w:r>
      <w:r w:rsidRPr="00DA4677">
        <w:rPr>
          <w:rFonts w:ascii="Times New Roman" w:eastAsia="Times New Roman" w:hAnsi="Times New Roman" w:cs="Times New Roman"/>
          <w:i/>
          <w:iCs/>
          <w:kern w:val="0"/>
          <w:sz w:val="20"/>
          <w:szCs w:val="20"/>
          <w:lang w:eastAsia=""/>
          <w14:ligatures w14:val="none"/>
        </w:rPr>
        <w:t>PSA levels</w:t>
      </w:r>
      <w:r w:rsidRPr="00DA4677">
        <w:rPr>
          <w:rFonts w:ascii="Times New Roman" w:eastAsia="Times New Roman" w:hAnsi="Times New Roman" w:cs="Times New Roman"/>
          <w:kern w:val="0"/>
          <w:sz w:val="20"/>
          <w:szCs w:val="20"/>
          <w:lang w:eastAsia=""/>
          <w14:ligatures w14:val="none"/>
        </w:rPr>
        <w:t xml:space="preserve"> and </w:t>
      </w:r>
      <w:r w:rsidRPr="00DA4677">
        <w:rPr>
          <w:rFonts w:ascii="Times New Roman" w:eastAsia="Times New Roman" w:hAnsi="Times New Roman" w:cs="Times New Roman"/>
          <w:i/>
          <w:iCs/>
          <w:kern w:val="0"/>
          <w:sz w:val="20"/>
          <w:szCs w:val="20"/>
          <w:lang w:eastAsia=""/>
          <w14:ligatures w14:val="none"/>
        </w:rPr>
        <w:t>chemotherapy</w:t>
      </w:r>
      <w:r w:rsidRPr="00DA4677">
        <w:rPr>
          <w:rFonts w:ascii="Times New Roman" w:eastAsia="Times New Roman" w:hAnsi="Times New Roman" w:cs="Times New Roman"/>
          <w:kern w:val="0"/>
          <w:sz w:val="20"/>
          <w:szCs w:val="20"/>
          <w:lang w:eastAsia=""/>
          <w14:ligatures w14:val="none"/>
        </w:rPr>
        <w:t xml:space="preserve"> suggests partial heterogeneity in treatment response and biomarker </w:t>
      </w:r>
      <w:r w:rsidR="005469AE">
        <w:rPr>
          <w:rFonts w:ascii="Times New Roman" w:eastAsia="Times New Roman" w:hAnsi="Times New Roman" w:cs="Times New Roman"/>
          <w:kern w:val="0"/>
          <w:sz w:val="20"/>
          <w:szCs w:val="20"/>
          <w:lang w:eastAsia=""/>
          <w14:ligatures w14:val="none"/>
        </w:rPr>
        <w:t xml:space="preserve">profiles, which gives </w:t>
      </w:r>
      <w:r w:rsidRPr="00DA4677">
        <w:rPr>
          <w:rFonts w:ascii="Times New Roman" w:eastAsia="Times New Roman" w:hAnsi="Times New Roman" w:cs="Times New Roman"/>
          <w:kern w:val="0"/>
          <w:sz w:val="20"/>
          <w:szCs w:val="20"/>
          <w:lang w:eastAsia=""/>
          <w14:ligatures w14:val="none"/>
        </w:rPr>
        <w:t>an insight unattainable from classical Cox regression alone.</w:t>
      </w:r>
    </w:p>
    <w:p w14:paraId="3C1C9460" w14:textId="195E3E08" w:rsidR="00612B51" w:rsidRPr="00DA4677" w:rsidRDefault="00C92CF8" w:rsidP="00612B51">
      <w:pPr>
        <w:spacing w:before="100" w:beforeAutospacing="1" w:after="100" w:afterAutospacing="1" w:line="240" w:lineRule="auto"/>
        <w:outlineLvl w:val="3"/>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Partial</w:t>
      </w:r>
      <w:r w:rsidRPr="00DA4677">
        <w:rPr>
          <w:rFonts w:ascii="Times New Roman" w:eastAsia="Times New Roman" w:hAnsi="Times New Roman" w:cs="Times New Roman"/>
          <w:b/>
          <w:bCs/>
          <w:kern w:val="0"/>
          <w:sz w:val="20"/>
          <w:szCs w:val="20"/>
          <w:lang w:eastAsia=""/>
          <w14:ligatures w14:val="none"/>
        </w:rPr>
        <w:t xml:space="preserve">-Effect Relationships (Figure </w:t>
      </w:r>
      <w:r w:rsidR="001C5159">
        <w:rPr>
          <w:rFonts w:ascii="Times New Roman" w:eastAsia="Times New Roman" w:hAnsi="Times New Roman" w:cs="Times New Roman"/>
          <w:b/>
          <w:bCs/>
          <w:kern w:val="0"/>
          <w:sz w:val="20"/>
          <w:szCs w:val="20"/>
          <w:lang w:eastAsia=""/>
          <w14:ligatures w14:val="none"/>
        </w:rPr>
        <w:t>9</w:t>
      </w:r>
      <w:r w:rsidRPr="00DA4677">
        <w:rPr>
          <w:rFonts w:ascii="Times New Roman" w:eastAsia="Times New Roman" w:hAnsi="Times New Roman" w:cs="Times New Roman"/>
          <w:b/>
          <w:bCs/>
          <w:kern w:val="0"/>
          <w:sz w:val="20"/>
          <w:szCs w:val="20"/>
          <w:lang w:eastAsia=""/>
          <w14:ligatures w14:val="none"/>
        </w:rPr>
        <w:t>)</w:t>
      </w:r>
    </w:p>
    <w:p w14:paraId="2F750AD5" w14:textId="77777777"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w:t>
      </w:r>
      <w:r w:rsidRPr="00DA4677">
        <w:rPr>
          <w:rFonts w:ascii="Times New Roman" w:eastAsia="Times New Roman" w:hAnsi="Times New Roman" w:cs="Times New Roman"/>
          <w:b/>
          <w:bCs/>
          <w:kern w:val="0"/>
          <w:sz w:val="20"/>
          <w:szCs w:val="20"/>
          <w:lang w:eastAsia=""/>
        </w:rPr>
        <w:t>partial-effect plots</w:t>
      </w:r>
      <w:r w:rsidRPr="00DA4677">
        <w:rPr>
          <w:rFonts w:ascii="Times New Roman" w:eastAsia="Times New Roman" w:hAnsi="Times New Roman" w:cs="Times New Roman"/>
          <w:b/>
          <w:bCs/>
          <w:kern w:val="0"/>
          <w:sz w:val="20"/>
          <w:szCs w:val="20"/>
          <w:lang w:eastAsia=""/>
          <w14:ligatures w14:val="none"/>
        </w:rPr>
        <w:t xml:space="preserve"> (Figure 8)</w:t>
      </w:r>
      <w:r w:rsidRPr="00DA4677">
        <w:rPr>
          <w:rFonts w:ascii="Times New Roman" w:eastAsia="Times New Roman" w:hAnsi="Times New Roman" w:cs="Times New Roman"/>
          <w:kern w:val="0"/>
          <w:sz w:val="20"/>
          <w:szCs w:val="20"/>
          <w:lang w:eastAsia=""/>
          <w14:ligatures w14:val="none"/>
        </w:rPr>
        <w:t xml:space="preserve"> provide a nuanced understanding of nonlinear effects.</w:t>
      </w:r>
    </w:p>
    <w:p w14:paraId="382D4CB2" w14:textId="77777777" w:rsidR="00612B51" w:rsidRPr="001C5159" w:rsidRDefault="00C92CF8" w:rsidP="00612B51">
      <w:pPr>
        <w:numPr>
          <w:ilvl w:val="0"/>
          <w:numId w:val="3"/>
        </w:num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1C5159">
        <w:rPr>
          <w:rFonts w:ascii="Times New Roman" w:eastAsia="Times New Roman" w:hAnsi="Times New Roman" w:cs="Times New Roman"/>
          <w:kern w:val="0"/>
          <w:sz w:val="20"/>
          <w:szCs w:val="20"/>
          <w:lang w:eastAsia=""/>
          <w14:ligatures w14:val="none"/>
        </w:rPr>
        <w:t xml:space="preserve">Tumor </w:t>
      </w:r>
      <w:r w:rsidRPr="001C5159">
        <w:rPr>
          <w:rFonts w:ascii="Times New Roman" w:eastAsia="Times New Roman" w:hAnsi="Times New Roman" w:cs="Times New Roman"/>
          <w:kern w:val="0"/>
          <w:sz w:val="20"/>
          <w:szCs w:val="20"/>
          <w:lang w:eastAsia=""/>
        </w:rPr>
        <w:t>size</w:t>
      </w:r>
      <w:r w:rsidRPr="001C5159">
        <w:rPr>
          <w:rFonts w:ascii="Times New Roman" w:eastAsia="Times New Roman" w:hAnsi="Times New Roman" w:cs="Times New Roman"/>
          <w:kern w:val="0"/>
          <w:sz w:val="20"/>
          <w:szCs w:val="20"/>
          <w:lang w:eastAsia=""/>
          <w14:ligatures w14:val="none"/>
        </w:rPr>
        <w:t xml:space="preserve"> (</w:t>
      </w:r>
      <w:r w:rsidRPr="001C5159">
        <w:rPr>
          <w:rFonts w:ascii="Times New Roman" w:eastAsia="Times New Roman" w:hAnsi="Times New Roman" w:cs="Times New Roman"/>
          <w:kern w:val="0"/>
          <w:sz w:val="20"/>
          <w:szCs w:val="20"/>
          <w:lang w:eastAsia=""/>
        </w:rPr>
        <w:t>top</w:t>
      </w:r>
      <w:r w:rsidRPr="001C5159">
        <w:rPr>
          <w:rFonts w:ascii="Times New Roman" w:eastAsia="Times New Roman" w:hAnsi="Times New Roman" w:cs="Times New Roman"/>
          <w:kern w:val="0"/>
          <w:sz w:val="20"/>
          <w:szCs w:val="20"/>
          <w:lang w:eastAsia=""/>
          <w14:ligatures w14:val="none"/>
        </w:rPr>
        <w:t xml:space="preserve">-left panel): </w:t>
      </w:r>
      <w:r w:rsidRPr="001C5159">
        <w:rPr>
          <w:rFonts w:ascii="Times New Roman" w:eastAsia="Times New Roman" w:hAnsi="Times New Roman" w:cs="Times New Roman"/>
          <w:kern w:val="0"/>
          <w:sz w:val="20"/>
          <w:szCs w:val="20"/>
          <w:lang w:eastAsia=""/>
        </w:rPr>
        <w:t>A</w:t>
      </w:r>
      <w:r w:rsidRPr="001C5159">
        <w:rPr>
          <w:rFonts w:ascii="Times New Roman" w:eastAsia="Times New Roman" w:hAnsi="Times New Roman" w:cs="Times New Roman"/>
          <w:kern w:val="0"/>
          <w:sz w:val="20"/>
          <w:szCs w:val="20"/>
          <w:lang w:eastAsia=""/>
          <w14:ligatures w14:val="none"/>
        </w:rPr>
        <w:t xml:space="preserve"> U-shaped SHAP curve, indicating that both very small and very large tumors contribute to elevated risk, possibly reflecting diagnostic and biological heterogeneity. Moderate tumor sizes (~5 cm) corresponded to the lowest predicted hazard, aligning with th</w:t>
      </w:r>
      <w:r w:rsidRPr="001C5159">
        <w:rPr>
          <w:rFonts w:ascii="Times New Roman" w:eastAsia="Times New Roman" w:hAnsi="Times New Roman" w:cs="Times New Roman"/>
          <w:kern w:val="0"/>
          <w:sz w:val="20"/>
          <w:szCs w:val="20"/>
          <w:lang w:eastAsia=""/>
          <w14:ligatures w14:val="none"/>
        </w:rPr>
        <w:t>e spline-derived protective effect (Table 1).</w:t>
      </w:r>
    </w:p>
    <w:p w14:paraId="3CE40ECC" w14:textId="77777777" w:rsidR="00612B51" w:rsidRPr="001C5159" w:rsidRDefault="00C92CF8" w:rsidP="00612B51">
      <w:pPr>
        <w:numPr>
          <w:ilvl w:val="0"/>
          <w:numId w:val="3"/>
        </w:num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1C5159">
        <w:rPr>
          <w:rFonts w:ascii="Times New Roman" w:eastAsia="Times New Roman" w:hAnsi="Times New Roman" w:cs="Times New Roman"/>
          <w:kern w:val="0"/>
          <w:sz w:val="20"/>
          <w:szCs w:val="20"/>
          <w:lang w:eastAsia=""/>
          <w14:ligatures w14:val="none"/>
        </w:rPr>
        <w:t xml:space="preserve">Gleason </w:t>
      </w:r>
      <w:r w:rsidRPr="001C5159">
        <w:rPr>
          <w:rFonts w:ascii="Times New Roman" w:eastAsia="Times New Roman" w:hAnsi="Times New Roman" w:cs="Times New Roman"/>
          <w:kern w:val="0"/>
          <w:sz w:val="20"/>
          <w:szCs w:val="20"/>
          <w:lang w:eastAsia=""/>
        </w:rPr>
        <w:t>score (top</w:t>
      </w:r>
      <w:r w:rsidRPr="001C5159">
        <w:rPr>
          <w:rFonts w:ascii="Times New Roman" w:eastAsia="Times New Roman" w:hAnsi="Times New Roman" w:cs="Times New Roman"/>
          <w:kern w:val="0"/>
          <w:sz w:val="20"/>
          <w:szCs w:val="20"/>
          <w:lang w:eastAsia=""/>
          <w14:ligatures w14:val="none"/>
        </w:rPr>
        <w:t xml:space="preserve">-right panel): </w:t>
      </w:r>
      <w:r w:rsidRPr="001C5159">
        <w:rPr>
          <w:rFonts w:ascii="Times New Roman" w:eastAsia="Times New Roman" w:hAnsi="Times New Roman" w:cs="Times New Roman"/>
          <w:kern w:val="0"/>
          <w:sz w:val="20"/>
          <w:szCs w:val="20"/>
          <w:lang w:eastAsia=""/>
        </w:rPr>
        <w:t>Monotonic</w:t>
      </w:r>
      <w:r w:rsidRPr="001C5159">
        <w:rPr>
          <w:rFonts w:ascii="Times New Roman" w:eastAsia="Times New Roman" w:hAnsi="Times New Roman" w:cs="Times New Roman"/>
          <w:kern w:val="0"/>
          <w:sz w:val="20"/>
          <w:szCs w:val="20"/>
          <w:lang w:eastAsia=""/>
          <w14:ligatures w14:val="none"/>
        </w:rPr>
        <w:t xml:space="preserve"> increasing relationship, where higher histologic grades (8–9) lead to higher SHAP values, confirming progressive risk escalation.</w:t>
      </w:r>
    </w:p>
    <w:p w14:paraId="1418828D" w14:textId="77777777" w:rsidR="00612B51" w:rsidRPr="00DA4677" w:rsidRDefault="00C92CF8" w:rsidP="00612B51">
      <w:pPr>
        <w:numPr>
          <w:ilvl w:val="0"/>
          <w:numId w:val="3"/>
        </w:num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1C5159">
        <w:rPr>
          <w:rFonts w:ascii="Times New Roman" w:eastAsia="Times New Roman" w:hAnsi="Times New Roman" w:cs="Times New Roman"/>
          <w:kern w:val="0"/>
          <w:sz w:val="20"/>
          <w:szCs w:val="20"/>
          <w:lang w:eastAsia=""/>
          <w14:ligatures w14:val="none"/>
        </w:rPr>
        <w:t xml:space="preserve">Chemotherapy and PSA </w:t>
      </w:r>
      <w:r w:rsidRPr="001C5159">
        <w:rPr>
          <w:rFonts w:ascii="Times New Roman" w:eastAsia="Times New Roman" w:hAnsi="Times New Roman" w:cs="Times New Roman"/>
          <w:kern w:val="0"/>
          <w:sz w:val="20"/>
          <w:szCs w:val="20"/>
          <w:lang w:eastAsia=""/>
        </w:rPr>
        <w:t>levels (bottom</w:t>
      </w:r>
      <w:r w:rsidRPr="001C5159">
        <w:rPr>
          <w:rFonts w:ascii="Times New Roman" w:eastAsia="Times New Roman" w:hAnsi="Times New Roman" w:cs="Times New Roman"/>
          <w:kern w:val="0"/>
          <w:sz w:val="20"/>
          <w:szCs w:val="20"/>
          <w:lang w:eastAsia=""/>
          <w14:ligatures w14:val="none"/>
        </w:rPr>
        <w:t xml:space="preserve"> p</w:t>
      </w:r>
      <w:r w:rsidRPr="001C5159">
        <w:rPr>
          <w:rFonts w:ascii="Times New Roman" w:eastAsia="Times New Roman" w:hAnsi="Times New Roman" w:cs="Times New Roman"/>
          <w:kern w:val="0"/>
          <w:sz w:val="20"/>
          <w:szCs w:val="20"/>
          <w:lang w:eastAsia=""/>
          <w14:ligatures w14:val="none"/>
        </w:rPr>
        <w:t>anels): Reveal modest but consistent SHAP gradients, implying that treatment and biochemical markers influence survival synergistically</w:t>
      </w:r>
      <w:r w:rsidRPr="00DA4677">
        <w:rPr>
          <w:rFonts w:ascii="Times New Roman" w:eastAsia="Times New Roman" w:hAnsi="Times New Roman" w:cs="Times New Roman"/>
          <w:kern w:val="0"/>
          <w:sz w:val="20"/>
          <w:szCs w:val="20"/>
          <w:lang w:eastAsia=""/>
          <w14:ligatures w14:val="none"/>
        </w:rPr>
        <w:t xml:space="preserve"> with histopathology and tumor volume.</w:t>
      </w:r>
    </w:p>
    <w:p w14:paraId="0B5517EB" w14:textId="77777777" w:rsidR="00612B51" w:rsidRPr="00DA4677" w:rsidRDefault="00612B51" w:rsidP="00612B51">
      <w:pPr>
        <w:spacing w:before="100" w:beforeAutospacing="1" w:after="100" w:afterAutospacing="1" w:line="240" w:lineRule="auto"/>
        <w:ind w:left="720"/>
        <w:rPr>
          <w:rFonts w:ascii="Times New Roman" w:eastAsia="Times New Roman" w:hAnsi="Times New Roman" w:cs="Times New Roman"/>
          <w:b/>
          <w:bCs/>
          <w:kern w:val="0"/>
          <w:sz w:val="20"/>
          <w:szCs w:val="20"/>
          <w:lang w:eastAsia=""/>
          <w14:ligatures w14:val="none"/>
        </w:rPr>
      </w:pPr>
    </w:p>
    <w:p w14:paraId="5A834ACA" w14:textId="77777777" w:rsidR="00612B51" w:rsidRPr="00DA4677" w:rsidRDefault="00C92CF8" w:rsidP="00612B51">
      <w:pPr>
        <w:spacing w:before="100" w:beforeAutospacing="1" w:after="100" w:afterAutospacing="1" w:line="240" w:lineRule="auto"/>
        <w:ind w:left="720"/>
        <w:rPr>
          <w:rFonts w:ascii="Times New Roman" w:eastAsia="Times New Roman" w:hAnsi="Times New Roman" w:cs="Times New Roman"/>
          <w:kern w:val="0"/>
          <w:sz w:val="20"/>
          <w:szCs w:val="20"/>
          <w:lang w:eastAsia=""/>
          <w14:ligatures w14:val="none"/>
        </w:rPr>
      </w:pPr>
      <w:r w:rsidRPr="00DA4677">
        <w:rPr>
          <w:rFonts w:ascii="Times New Roman" w:hAnsi="Times New Roman" w:cs="Times New Roman"/>
          <w:noProof/>
          <w:sz w:val="20"/>
          <w:szCs w:val="20"/>
        </w:rPr>
        <w:lastRenderedPageBreak/>
        <w:drawing>
          <wp:inline distT="0" distB="0" distL="0" distR="0" wp14:anchorId="620AC98D" wp14:editId="3D520200">
            <wp:extent cx="5731510" cy="3486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rotWithShape="1">
                    <a:blip r:embed="rId14"/>
                    <a:srcRect t="5345"/>
                    <a:stretch>
                      <a:fillRect/>
                    </a:stretch>
                  </pic:blipFill>
                  <pic:spPr bwMode="auto">
                    <a:xfrm>
                      <a:off x="0" y="0"/>
                      <a:ext cx="573151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1985E60A" w14:textId="1037B2EF" w:rsidR="00612B51" w:rsidRPr="00CD3BD5" w:rsidRDefault="00C92CF8" w:rsidP="00CD3BD5">
      <w:pPr>
        <w:pStyle w:val="Heading2"/>
        <w:spacing w:line="240" w:lineRule="auto"/>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8. SHAP </w:t>
      </w:r>
      <w:proofErr w:type="spellStart"/>
      <w:r w:rsidRPr="00DA4677">
        <w:rPr>
          <w:rFonts w:ascii="Times New Roman" w:hAnsi="Times New Roman" w:cs="Times New Roman"/>
          <w:color w:val="auto"/>
          <w:sz w:val="20"/>
          <w:szCs w:val="20"/>
        </w:rPr>
        <w:t>Beeswarm</w:t>
      </w:r>
      <w:proofErr w:type="spellEnd"/>
      <w:r w:rsidRPr="00DA4677">
        <w:rPr>
          <w:rFonts w:ascii="Times New Roman" w:hAnsi="Times New Roman" w:cs="Times New Roman"/>
          <w:color w:val="auto"/>
          <w:sz w:val="20"/>
          <w:szCs w:val="20"/>
        </w:rPr>
        <w:t xml:space="preserve"> Plot</w:t>
      </w:r>
    </w:p>
    <w:p w14:paraId="40D6CE4C" w14:textId="77777777" w:rsidR="00612B51" w:rsidRPr="00DA4677" w:rsidRDefault="00C92CF8" w:rsidP="00612B51">
      <w:pPr>
        <w:spacing w:before="100" w:beforeAutospacing="1" w:after="100" w:afterAutospacing="1" w:line="240" w:lineRule="auto"/>
        <w:outlineLvl w:val="3"/>
        <w:rPr>
          <w:rFonts w:ascii="Times New Roman" w:eastAsia="Times New Roman" w:hAnsi="Times New Roman" w:cs="Times New Roman"/>
          <w:b/>
          <w:bCs/>
          <w:kern w:val="0"/>
          <w:sz w:val="20"/>
          <w:szCs w:val="20"/>
          <w:lang w:eastAsia=""/>
          <w14:ligatures w14:val="none"/>
        </w:rPr>
      </w:pPr>
      <w:r w:rsidRPr="00DA4677">
        <w:rPr>
          <w:rFonts w:ascii="Times New Roman" w:eastAsia="Times New Roman" w:hAnsi="Times New Roman" w:cs="Times New Roman"/>
          <w:b/>
          <w:bCs/>
          <w:kern w:val="0"/>
          <w:sz w:val="20"/>
          <w:szCs w:val="20"/>
          <w:lang w:eastAsia=""/>
          <w14:ligatures w14:val="none"/>
        </w:rPr>
        <w:t>Integrative Interpretation</w:t>
      </w:r>
    </w:p>
    <w:p w14:paraId="0BB50A16" w14:textId="129F9C31" w:rsidR="00612B51" w:rsidRPr="00DA4677"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When interpreted jointly, </w:t>
      </w:r>
      <w:r w:rsidRPr="00CD3BD5">
        <w:rPr>
          <w:rFonts w:ascii="Times New Roman" w:eastAsia="Times New Roman" w:hAnsi="Times New Roman" w:cs="Times New Roman"/>
          <w:kern w:val="0"/>
          <w:sz w:val="20"/>
          <w:szCs w:val="20"/>
          <w:lang w:eastAsia=""/>
          <w14:ligatures w14:val="none"/>
        </w:rPr>
        <w:t xml:space="preserve">Figures 7–9 illustrate that SHAP complements the Cox PH model by providing both global </w:t>
      </w:r>
      <w:r w:rsidRPr="00CD3BD5">
        <w:rPr>
          <w:rFonts w:ascii="Times New Roman" w:eastAsia="Times New Roman" w:hAnsi="Times New Roman" w:cs="Times New Roman"/>
          <w:kern w:val="0"/>
          <w:sz w:val="20"/>
          <w:szCs w:val="20"/>
          <w:lang w:eastAsia=""/>
        </w:rPr>
        <w:t>rankings</w:t>
      </w:r>
      <w:r w:rsidRPr="00CD3BD5">
        <w:rPr>
          <w:rFonts w:ascii="Times New Roman" w:eastAsia="Times New Roman" w:hAnsi="Times New Roman" w:cs="Times New Roman"/>
          <w:kern w:val="0"/>
          <w:sz w:val="20"/>
          <w:szCs w:val="20"/>
          <w:lang w:eastAsia=""/>
          <w14:ligatures w14:val="none"/>
        </w:rPr>
        <w:t xml:space="preserve"> and individualized insights. While Table 1 quantifies average hazard ratios, SHAP visualizations uncover heterogeneous patient-level e</w:t>
      </w:r>
      <w:r w:rsidRPr="00CD3BD5">
        <w:rPr>
          <w:rFonts w:ascii="Times New Roman" w:eastAsia="Times New Roman" w:hAnsi="Times New Roman" w:cs="Times New Roman"/>
          <w:kern w:val="0"/>
          <w:sz w:val="20"/>
          <w:szCs w:val="20"/>
          <w:lang w:eastAsia=""/>
          <w14:ligatures w14:val="none"/>
        </w:rPr>
        <w:t xml:space="preserve">ffects, highlighting where risk factors exert nonlinear or interactive </w:t>
      </w:r>
      <w:r w:rsidR="00CD3BD5">
        <w:rPr>
          <w:rFonts w:ascii="Times New Roman" w:eastAsia="Times New Roman" w:hAnsi="Times New Roman" w:cs="Times New Roman"/>
          <w:kern w:val="0"/>
          <w:sz w:val="20"/>
          <w:szCs w:val="20"/>
          <w:lang w:eastAsia=""/>
          <w14:ligatures w14:val="none"/>
        </w:rPr>
        <w:t xml:space="preserve">influences. </w:t>
      </w:r>
      <w:r w:rsidRPr="00CD3BD5">
        <w:rPr>
          <w:rFonts w:ascii="Times New Roman" w:eastAsia="Times New Roman" w:hAnsi="Times New Roman" w:cs="Times New Roman"/>
          <w:kern w:val="0"/>
          <w:sz w:val="20"/>
          <w:szCs w:val="20"/>
          <w:lang w:eastAsia=""/>
          <w14:ligatures w14:val="none"/>
        </w:rPr>
        <w:t>Importantly, tumor size and Gleason score not only emerge as dominant predictors in both inferential and explainability analyses but also exhibit biologically plausible nonl</w:t>
      </w:r>
      <w:r w:rsidRPr="00CD3BD5">
        <w:rPr>
          <w:rFonts w:ascii="Times New Roman" w:eastAsia="Times New Roman" w:hAnsi="Times New Roman" w:cs="Times New Roman"/>
          <w:kern w:val="0"/>
          <w:sz w:val="20"/>
          <w:szCs w:val="20"/>
          <w:lang w:eastAsia=""/>
          <w14:ligatures w14:val="none"/>
        </w:rPr>
        <w:t xml:space="preserve">inear </w:t>
      </w:r>
      <w:r w:rsidR="00CD3BD5">
        <w:rPr>
          <w:rFonts w:ascii="Times New Roman" w:eastAsia="Times New Roman" w:hAnsi="Times New Roman" w:cs="Times New Roman"/>
          <w:kern w:val="0"/>
          <w:sz w:val="20"/>
          <w:szCs w:val="20"/>
          <w:lang w:eastAsia=""/>
          <w14:ligatures w14:val="none"/>
        </w:rPr>
        <w:t xml:space="preserve">patterns, </w:t>
      </w:r>
      <w:r w:rsidRPr="00CD3BD5">
        <w:rPr>
          <w:rFonts w:ascii="Times New Roman" w:eastAsia="Times New Roman" w:hAnsi="Times New Roman" w:cs="Times New Roman"/>
          <w:kern w:val="0"/>
          <w:sz w:val="20"/>
          <w:szCs w:val="20"/>
          <w:lang w:eastAsia=""/>
          <w14:ligatures w14:val="none"/>
        </w:rPr>
        <w:t>affirming the validity of using restricted cubic splines</w:t>
      </w:r>
      <w:r w:rsidRPr="00DA4677">
        <w:rPr>
          <w:rFonts w:ascii="Times New Roman" w:eastAsia="Times New Roman" w:hAnsi="Times New Roman" w:cs="Times New Roman"/>
          <w:kern w:val="0"/>
          <w:sz w:val="20"/>
          <w:szCs w:val="20"/>
          <w:lang w:eastAsia=""/>
          <w14:ligatures w14:val="none"/>
        </w:rPr>
        <w:t xml:space="preserve"> to model these effects. The explainability component ensures that clinical stakeholders can interpret the model in transparent, evidence-based terms, supporting data-driven risk stratification and personalized treatment in prostate cancer management.</w:t>
      </w:r>
    </w:p>
    <w:p w14:paraId="3B50A49E" w14:textId="77777777" w:rsidR="003757C8" w:rsidRDefault="00C92CF8" w:rsidP="003757C8">
      <w:pPr>
        <w:rPr>
          <w:rFonts w:ascii="Times New Roman" w:eastAsia="Times New Roman" w:hAnsi="Times New Roman" w:cs="Times New Roman"/>
          <w:sz w:val="20"/>
          <w:szCs w:val="20"/>
          <w:lang w:eastAsia=""/>
        </w:rPr>
      </w:pPr>
      <w:r w:rsidRPr="00DA4677">
        <w:rPr>
          <w:rFonts w:ascii="Times New Roman" w:eastAsia="Times New Roman" w:hAnsi="Times New Roman" w:cs="Times New Roman"/>
          <w:sz w:val="20"/>
          <w:szCs w:val="20"/>
          <w:lang w:eastAsia=""/>
        </w:rPr>
        <w:t xml:space="preserve">The </w:t>
      </w:r>
      <w:r w:rsidRPr="00DA4677">
        <w:rPr>
          <w:rFonts w:ascii="Times New Roman" w:eastAsia="Times New Roman" w:hAnsi="Times New Roman" w:cs="Times New Roman"/>
          <w:sz w:val="20"/>
          <w:szCs w:val="20"/>
          <w:lang w:eastAsia=""/>
        </w:rPr>
        <w:t>U-shaped tumor effect may partly reflect the uneven distribution of tumor sizes within the dataset, indicating the need for larger multicenter datasets to validate the threshold effects reported in this model.</w:t>
      </w:r>
      <w:r w:rsidR="00274234" w:rsidRPr="00DA4677">
        <w:rPr>
          <w:rFonts w:ascii="Times New Roman" w:hAnsi="Times New Roman" w:cs="Times New Roman"/>
          <w:sz w:val="20"/>
          <w:szCs w:val="20"/>
        </w:rPr>
        <w:t xml:space="preserve"> </w:t>
      </w:r>
      <w:r w:rsidR="00274234" w:rsidRPr="00DA4677">
        <w:rPr>
          <w:rFonts w:ascii="Times New Roman" w:eastAsia="Times New Roman" w:hAnsi="Times New Roman" w:cs="Times New Roman"/>
          <w:sz w:val="20"/>
          <w:szCs w:val="20"/>
          <w:lang w:eastAsia=""/>
        </w:rPr>
        <w:t>The U-shaped SHAP effect for tumor size may be influenced by unequal sample density across the tumor size distribution, indicating the need for larger or multicenter datasets to validate this curvature.</w:t>
      </w:r>
      <w:r w:rsidR="00274234" w:rsidRPr="00DA4677">
        <w:rPr>
          <w:rFonts w:ascii="Times New Roman" w:hAnsi="Times New Roman" w:cs="Times New Roman"/>
          <w:sz w:val="20"/>
          <w:szCs w:val="20"/>
        </w:rPr>
        <w:t xml:space="preserve"> </w:t>
      </w:r>
      <w:r w:rsidR="00274234" w:rsidRPr="00DA4677">
        <w:rPr>
          <w:rFonts w:ascii="Times New Roman" w:eastAsia="Times New Roman" w:hAnsi="Times New Roman" w:cs="Times New Roman"/>
          <w:sz w:val="20"/>
          <w:szCs w:val="20"/>
          <w:lang w:eastAsia=""/>
        </w:rPr>
        <w:t>The combined spline–SHAP approach demonstrates the value of integrating nonlinear modeling with transparent feature attribution to support interpretable oncology analytics.</w:t>
      </w:r>
    </w:p>
    <w:p w14:paraId="1FC804D6" w14:textId="7537AFA2" w:rsidR="00612B51" w:rsidRPr="00074DFF" w:rsidRDefault="00074DFF" w:rsidP="00074DFF">
      <w:pPr>
        <w:rPr>
          <w:rFonts w:ascii="Times New Roman" w:eastAsia="Times New Roman" w:hAnsi="Times New Roman" w:cs="Times New Roman"/>
          <w:sz w:val="20"/>
          <w:szCs w:val="20"/>
          <w:lang w:eastAsia=""/>
        </w:rPr>
      </w:pPr>
      <w:r>
        <w:rPr>
          <w:noProof/>
        </w:rPr>
        <w:drawing>
          <wp:inline distT="0" distB="0" distL="0" distR="0" wp14:anchorId="18548C83" wp14:editId="64BCA6AC">
            <wp:extent cx="5731510" cy="1569085"/>
            <wp:effectExtent l="0" t="0" r="2540" b="0"/>
            <wp:docPr id="1143781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569085"/>
                    </a:xfrm>
                    <a:prstGeom prst="rect">
                      <a:avLst/>
                    </a:prstGeom>
                    <a:noFill/>
                    <a:ln>
                      <a:noFill/>
                    </a:ln>
                  </pic:spPr>
                </pic:pic>
              </a:graphicData>
            </a:graphic>
          </wp:inline>
        </w:drawing>
      </w:r>
    </w:p>
    <w:p w14:paraId="576E4B80" w14:textId="77777777" w:rsidR="00612B51" w:rsidRPr="00DA4677" w:rsidRDefault="00C92CF8" w:rsidP="00612B51">
      <w:pPr>
        <w:pStyle w:val="Heading2"/>
        <w:rPr>
          <w:rFonts w:ascii="Times New Roman" w:hAnsi="Times New Roman" w:cs="Times New Roman"/>
          <w:color w:val="auto"/>
          <w:sz w:val="20"/>
          <w:szCs w:val="20"/>
        </w:rPr>
      </w:pPr>
      <w:r w:rsidRPr="00DA4677">
        <w:rPr>
          <w:rFonts w:ascii="Times New Roman" w:hAnsi="Times New Roman" w:cs="Times New Roman"/>
          <w:color w:val="auto"/>
          <w:sz w:val="20"/>
          <w:szCs w:val="20"/>
        </w:rPr>
        <w:t xml:space="preserve">Figure 9. SHAP </w:t>
      </w:r>
      <w:r w:rsidRPr="00DA4677">
        <w:rPr>
          <w:rFonts w:ascii="Times New Roman" w:eastAsia="Times New Roman" w:hAnsi="Times New Roman" w:cs="Times New Roman"/>
          <w:color w:val="auto"/>
          <w:sz w:val="20"/>
          <w:szCs w:val="20"/>
        </w:rPr>
        <w:t>partial-effect plots for the top variables</w:t>
      </w:r>
    </w:p>
    <w:p w14:paraId="3D534B76" w14:textId="13C4E49C" w:rsidR="00612B51" w:rsidRPr="00CD3BD5" w:rsidRDefault="00C92CF8" w:rsidP="00612B51">
      <w:pPr>
        <w:spacing w:before="100" w:beforeAutospacing="1" w:after="100" w:afterAutospacing="1" w:line="240" w:lineRule="auto"/>
        <w:rPr>
          <w:rFonts w:ascii="Times New Roman" w:eastAsia="Times New Roman" w:hAnsi="Times New Roman" w:cs="Times New Roman"/>
          <w:kern w:val="0"/>
          <w:sz w:val="20"/>
          <w:szCs w:val="20"/>
          <w:lang w:eastAsia=""/>
          <w14:ligatures w14:val="none"/>
        </w:rPr>
      </w:pPr>
      <w:r w:rsidRPr="00DA4677">
        <w:rPr>
          <w:rFonts w:ascii="Times New Roman" w:eastAsia="Times New Roman" w:hAnsi="Times New Roman" w:cs="Times New Roman"/>
          <w:kern w:val="0"/>
          <w:sz w:val="20"/>
          <w:szCs w:val="20"/>
          <w:lang w:eastAsia=""/>
          <w14:ligatures w14:val="none"/>
        </w:rPr>
        <w:t xml:space="preserve">The SHAP-augmented RCS Cox model </w:t>
      </w:r>
      <w:r w:rsidRPr="00DA4677">
        <w:rPr>
          <w:rFonts w:ascii="Times New Roman" w:eastAsia="Times New Roman" w:hAnsi="Times New Roman" w:cs="Times New Roman"/>
          <w:kern w:val="0"/>
          <w:sz w:val="20"/>
          <w:szCs w:val="20"/>
          <w:lang w:eastAsia=""/>
        </w:rPr>
        <w:t>confirmed</w:t>
      </w:r>
      <w:r w:rsidRPr="00DA4677">
        <w:rPr>
          <w:rFonts w:ascii="Times New Roman" w:eastAsia="Times New Roman" w:hAnsi="Times New Roman" w:cs="Times New Roman"/>
          <w:kern w:val="0"/>
          <w:sz w:val="20"/>
          <w:szCs w:val="20"/>
          <w:lang w:eastAsia=""/>
          <w14:ligatures w14:val="none"/>
        </w:rPr>
        <w:t xml:space="preserve"> that </w:t>
      </w:r>
      <w:r w:rsidRPr="00CD3BD5">
        <w:rPr>
          <w:rFonts w:ascii="Times New Roman" w:eastAsia="Times New Roman" w:hAnsi="Times New Roman" w:cs="Times New Roman"/>
          <w:kern w:val="0"/>
          <w:sz w:val="20"/>
          <w:szCs w:val="20"/>
          <w:lang w:eastAsia=""/>
          <w14:ligatures w14:val="none"/>
        </w:rPr>
        <w:t xml:space="preserve">tumor size and Gleason score are the principal determinants of prostate cancer survival in this Ghanaian cohort. SHAP analysis provides a </w:t>
      </w:r>
      <w:r w:rsidRPr="00CD3BD5">
        <w:rPr>
          <w:rFonts w:ascii="Times New Roman" w:eastAsia="Times New Roman" w:hAnsi="Times New Roman" w:cs="Times New Roman"/>
          <w:i/>
          <w:iCs/>
          <w:kern w:val="0"/>
          <w:sz w:val="20"/>
          <w:szCs w:val="20"/>
          <w:lang w:eastAsia=""/>
          <w14:ligatures w14:val="none"/>
        </w:rPr>
        <w:t>mechanistic view</w:t>
      </w:r>
      <w:r w:rsidRPr="00CD3BD5">
        <w:rPr>
          <w:rFonts w:ascii="Times New Roman" w:eastAsia="Times New Roman" w:hAnsi="Times New Roman" w:cs="Times New Roman"/>
          <w:kern w:val="0"/>
          <w:sz w:val="20"/>
          <w:szCs w:val="20"/>
          <w:lang w:eastAsia=""/>
          <w14:ligatures w14:val="none"/>
        </w:rPr>
        <w:t xml:space="preserve"> of how each covariate influences risk both globally and individually, revealing nonlinear dependencie</w:t>
      </w:r>
      <w:r w:rsidRPr="00CD3BD5">
        <w:rPr>
          <w:rFonts w:ascii="Times New Roman" w:eastAsia="Times New Roman" w:hAnsi="Times New Roman" w:cs="Times New Roman"/>
          <w:kern w:val="0"/>
          <w:sz w:val="20"/>
          <w:szCs w:val="20"/>
          <w:lang w:eastAsia=""/>
          <w14:ligatures w14:val="none"/>
        </w:rPr>
        <w:t xml:space="preserve">s and </w:t>
      </w:r>
      <w:r w:rsidRPr="00CD3BD5">
        <w:rPr>
          <w:rFonts w:ascii="Times New Roman" w:eastAsia="Times New Roman" w:hAnsi="Times New Roman" w:cs="Times New Roman"/>
          <w:kern w:val="0"/>
          <w:sz w:val="20"/>
          <w:szCs w:val="20"/>
          <w:lang w:eastAsia=""/>
          <w14:ligatures w14:val="none"/>
        </w:rPr>
        <w:lastRenderedPageBreak/>
        <w:t xml:space="preserve">treatment interactions. This dual </w:t>
      </w:r>
      <w:r w:rsidR="00CD3BD5">
        <w:rPr>
          <w:rFonts w:ascii="Times New Roman" w:eastAsia="Times New Roman" w:hAnsi="Times New Roman" w:cs="Times New Roman"/>
          <w:kern w:val="0"/>
          <w:sz w:val="20"/>
          <w:szCs w:val="20"/>
          <w:lang w:eastAsia=""/>
          <w14:ligatures w14:val="none"/>
        </w:rPr>
        <w:t xml:space="preserve">statistically </w:t>
      </w:r>
      <w:r w:rsidRPr="00CD3BD5">
        <w:rPr>
          <w:rFonts w:ascii="Times New Roman" w:eastAsia="Times New Roman" w:hAnsi="Times New Roman" w:cs="Times New Roman"/>
          <w:kern w:val="0"/>
          <w:sz w:val="20"/>
          <w:szCs w:val="20"/>
          <w:lang w:eastAsia=""/>
          <w14:ligatures w14:val="none"/>
        </w:rPr>
        <w:t>explainable approach advances the interpretability of survival models and establishes a reproducible framework for precision oncology and prognostic modeling in resource-constrained clinical settings.</w:t>
      </w:r>
    </w:p>
    <w:p w14:paraId="3F82BF2A" w14:textId="77777777" w:rsidR="00612B51" w:rsidRPr="00DA4677" w:rsidRDefault="00C92CF8"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D</w:t>
      </w:r>
      <w:r w:rsidRPr="00DA4677">
        <w:rPr>
          <w:rFonts w:ascii="Times New Roman" w:hAnsi="Times New Roman" w:cs="Times New Roman"/>
          <w:b/>
          <w:bCs/>
          <w:sz w:val="20"/>
          <w:szCs w:val="20"/>
        </w:rPr>
        <w:t>iscussion</w:t>
      </w:r>
    </w:p>
    <w:p w14:paraId="15EC8B2C"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The integration of SHAP explainability into the Cox </w:t>
      </w:r>
      <w:r w:rsidRPr="00DA4677">
        <w:rPr>
          <w:rFonts w:ascii="Times New Roman" w:eastAsia="Calibri" w:hAnsi="Times New Roman" w:cs="Times New Roman"/>
          <w:sz w:val="20"/>
          <w:szCs w:val="20"/>
        </w:rPr>
        <w:t>proportional hazards</w:t>
      </w:r>
      <w:r w:rsidRPr="00DA4677">
        <w:rPr>
          <w:rFonts w:ascii="Times New Roman" w:hAnsi="Times New Roman" w:cs="Times New Roman"/>
          <w:sz w:val="20"/>
          <w:szCs w:val="20"/>
        </w:rPr>
        <w:t xml:space="preserve"> model with restricted cubic splines (</w:t>
      </w:r>
      <w:r w:rsidRPr="00DA4677">
        <w:rPr>
          <w:rFonts w:ascii="Times New Roman" w:eastAsia="Calibri" w:hAnsi="Times New Roman" w:cs="Times New Roman"/>
          <w:sz w:val="20"/>
          <w:szCs w:val="20"/>
        </w:rPr>
        <w:t>RCSs</w:t>
      </w:r>
      <w:r w:rsidRPr="00DA4677">
        <w:rPr>
          <w:rFonts w:ascii="Times New Roman" w:hAnsi="Times New Roman" w:cs="Times New Roman"/>
          <w:sz w:val="20"/>
          <w:szCs w:val="20"/>
        </w:rPr>
        <w:t xml:space="preserve">) expanded the interpretive depth of the survival analysis by quantifying both global and individualized predictor contributions. </w:t>
      </w:r>
      <w:r w:rsidRPr="00DA4677">
        <w:rPr>
          <w:rFonts w:ascii="Times New Roman" w:hAnsi="Times New Roman" w:cs="Times New Roman"/>
          <w:sz w:val="20"/>
          <w:szCs w:val="20"/>
        </w:rPr>
        <w:t>The SHAP-enhanced Cox model complemented the inferential findings from the spline-based hazard estimates by uncovering nonlinear, heterogeneous, and interaction-driven effects that were not fully observable in the traditional Cox regression results.</w:t>
      </w:r>
    </w:p>
    <w:p w14:paraId="2EA3D374" w14:textId="0312BBC7" w:rsidR="00612B51" w:rsidRPr="00CD3BD5"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The SH</w:t>
      </w:r>
      <w:r w:rsidRPr="00DA4677">
        <w:rPr>
          <w:rFonts w:ascii="Times New Roman" w:hAnsi="Times New Roman" w:cs="Times New Roman"/>
          <w:sz w:val="20"/>
          <w:szCs w:val="20"/>
        </w:rPr>
        <w:t xml:space="preserve">AP summary presented in </w:t>
      </w:r>
      <w:r w:rsidRPr="00CD3BD5">
        <w:rPr>
          <w:rFonts w:ascii="Times New Roman" w:hAnsi="Times New Roman" w:cs="Times New Roman"/>
          <w:sz w:val="20"/>
          <w:szCs w:val="20"/>
        </w:rPr>
        <w:t xml:space="preserve">Table 3 and Figure 7 identifies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and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as the most influential determinants of prostate cancer survival in the Ghanaian cohort. The prominence of these variables supports the hazard ratio outcomes in Table 1, w</w:t>
      </w:r>
      <w:r w:rsidRPr="00CD3BD5">
        <w:rPr>
          <w:rFonts w:ascii="Times New Roman" w:hAnsi="Times New Roman" w:cs="Times New Roman"/>
          <w:sz w:val="20"/>
          <w:szCs w:val="20"/>
        </w:rPr>
        <w:t xml:space="preserve">here </w:t>
      </w:r>
      <w:r w:rsidRPr="00CD3BD5">
        <w:rPr>
          <w:rFonts w:ascii="Times New Roman" w:eastAsia="Calibri" w:hAnsi="Times New Roman" w:cs="Times New Roman"/>
          <w:sz w:val="20"/>
          <w:szCs w:val="20"/>
        </w:rPr>
        <w:t xml:space="preserve">the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(HR = 0.85; 95% CI: 0.74</w:t>
      </w:r>
      <w:r w:rsidR="00CD3BD5" w:rsidRPr="00CD3BD5">
        <w:rPr>
          <w:rFonts w:ascii="Times New Roman" w:hAnsi="Times New Roman" w:cs="Times New Roman"/>
          <w:sz w:val="20"/>
          <w:szCs w:val="20"/>
        </w:rPr>
        <w:t>-</w:t>
      </w:r>
      <w:r w:rsidRPr="00CD3BD5">
        <w:rPr>
          <w:rFonts w:ascii="Times New Roman" w:hAnsi="Times New Roman" w:cs="Times New Roman"/>
          <w:sz w:val="20"/>
          <w:szCs w:val="20"/>
        </w:rPr>
        <w:t xml:space="preserve">0.99; p = 0.036) and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(HR = 0.41; 95% CI: 0.17</w:t>
      </w:r>
      <w:r w:rsidR="00CD3BD5" w:rsidRPr="00CD3BD5">
        <w:rPr>
          <w:rFonts w:ascii="Times New Roman" w:hAnsi="Times New Roman" w:cs="Times New Roman"/>
          <w:sz w:val="20"/>
          <w:szCs w:val="20"/>
        </w:rPr>
        <w:t>-</w:t>
      </w:r>
      <w:r w:rsidRPr="00CD3BD5">
        <w:rPr>
          <w:rFonts w:ascii="Times New Roman" w:hAnsi="Times New Roman" w:cs="Times New Roman"/>
          <w:sz w:val="20"/>
          <w:szCs w:val="20"/>
        </w:rPr>
        <w:t xml:space="preserve">0.99; p = 0.048) emerged as statistically significant predictors. The strong SHAP magnitudes for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(|SHAP| = 0.2015) and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(|SHAP|</w:t>
      </w:r>
      <w:r w:rsidRPr="00CD3BD5">
        <w:rPr>
          <w:rFonts w:ascii="Times New Roman" w:hAnsi="Times New Roman" w:cs="Times New Roman"/>
          <w:sz w:val="20"/>
          <w:szCs w:val="20"/>
        </w:rPr>
        <w:t xml:space="preserve"> = 0.1591) indicate consistent contributions to the log</w:t>
      </w:r>
      <w:r w:rsidRPr="00CD3BD5">
        <w:rPr>
          <w:rFonts w:ascii="Times New Roman" w:eastAsia="Calibri" w:hAnsi="Times New Roman" w:cs="Times New Roman"/>
          <w:sz w:val="20"/>
          <w:szCs w:val="20"/>
        </w:rPr>
        <w:t xml:space="preserve"> </w:t>
      </w:r>
      <w:r w:rsidRPr="00CD3BD5">
        <w:rPr>
          <w:rFonts w:ascii="Times New Roman" w:hAnsi="Times New Roman" w:cs="Times New Roman"/>
          <w:sz w:val="20"/>
          <w:szCs w:val="20"/>
        </w:rPr>
        <w:t>hazard across the patient population, even in cases where conventional inference yielded borderline p</w:t>
      </w:r>
      <w:r w:rsidR="00CD3BD5">
        <w:rPr>
          <w:rFonts w:ascii="Times New Roman" w:hAnsi="Times New Roman" w:cs="Times New Roman"/>
          <w:sz w:val="20"/>
          <w:szCs w:val="20"/>
        </w:rPr>
        <w:t>-values.</w:t>
      </w:r>
      <w:r w:rsidRPr="00CD3BD5">
        <w:rPr>
          <w:rFonts w:ascii="Times New Roman" w:hAnsi="Times New Roman" w:cs="Times New Roman"/>
          <w:sz w:val="20"/>
          <w:szCs w:val="20"/>
        </w:rPr>
        <w:t xml:space="preserve"> </w:t>
      </w:r>
      <w:r w:rsidRPr="00CD3BD5">
        <w:rPr>
          <w:rFonts w:ascii="Times New Roman" w:eastAsia="Calibri" w:hAnsi="Times New Roman" w:cs="Times New Roman"/>
          <w:sz w:val="20"/>
          <w:szCs w:val="20"/>
        </w:rPr>
        <w:t>These findings suggest</w:t>
      </w:r>
      <w:r w:rsidRPr="00CD3BD5">
        <w:rPr>
          <w:rFonts w:ascii="Times New Roman" w:hAnsi="Times New Roman" w:cs="Times New Roman"/>
          <w:sz w:val="20"/>
          <w:szCs w:val="20"/>
        </w:rPr>
        <w:t xml:space="preserve"> that these factors not only predict </w:t>
      </w:r>
      <w:r w:rsidRPr="00CD3BD5">
        <w:rPr>
          <w:rFonts w:ascii="Times New Roman" w:eastAsia="Calibri" w:hAnsi="Times New Roman" w:cs="Times New Roman"/>
          <w:sz w:val="20"/>
          <w:szCs w:val="20"/>
        </w:rPr>
        <w:t>outcomes</w:t>
      </w:r>
      <w:r w:rsidRPr="00CD3BD5">
        <w:rPr>
          <w:rFonts w:ascii="Times New Roman" w:hAnsi="Times New Roman" w:cs="Times New Roman"/>
          <w:sz w:val="20"/>
          <w:szCs w:val="20"/>
        </w:rPr>
        <w:t xml:space="preserve"> directionally but also</w:t>
      </w:r>
      <w:r w:rsidRPr="00CD3BD5">
        <w:rPr>
          <w:rFonts w:ascii="Times New Roman" w:hAnsi="Times New Roman" w:cs="Times New Roman"/>
          <w:sz w:val="20"/>
          <w:szCs w:val="20"/>
        </w:rPr>
        <w:t xml:space="preserve"> demonstrate stable explanatory strength across subpopulations.</w:t>
      </w:r>
    </w:p>
    <w:p w14:paraId="5DF3D305" w14:textId="77777777" w:rsidR="00612B51" w:rsidRPr="00CD3BD5" w:rsidRDefault="00C92CF8" w:rsidP="00612B51">
      <w:pPr>
        <w:jc w:val="both"/>
        <w:rPr>
          <w:rFonts w:ascii="Times New Roman" w:hAnsi="Times New Roman" w:cs="Times New Roman"/>
          <w:sz w:val="20"/>
          <w:szCs w:val="20"/>
        </w:rPr>
      </w:pPr>
      <w:r w:rsidRPr="00CD3BD5">
        <w:rPr>
          <w:rFonts w:ascii="Times New Roman" w:hAnsi="Times New Roman" w:cs="Times New Roman"/>
          <w:sz w:val="20"/>
          <w:szCs w:val="20"/>
        </w:rPr>
        <w:t xml:space="preserve">The SHAP </w:t>
      </w:r>
      <w:proofErr w:type="spellStart"/>
      <w:r w:rsidRPr="00CD3BD5">
        <w:rPr>
          <w:rFonts w:ascii="Times New Roman" w:hAnsi="Times New Roman" w:cs="Times New Roman"/>
          <w:sz w:val="20"/>
          <w:szCs w:val="20"/>
        </w:rPr>
        <w:t>beeswarm</w:t>
      </w:r>
      <w:proofErr w:type="spellEnd"/>
      <w:r w:rsidRPr="00CD3BD5">
        <w:rPr>
          <w:rFonts w:ascii="Times New Roman" w:hAnsi="Times New Roman" w:cs="Times New Roman"/>
          <w:sz w:val="20"/>
          <w:szCs w:val="20"/>
        </w:rPr>
        <w:t xml:space="preserve"> visualization (Figure 8) </w:t>
      </w:r>
      <w:r w:rsidRPr="00CD3BD5">
        <w:rPr>
          <w:rFonts w:ascii="Times New Roman" w:eastAsia="Calibri" w:hAnsi="Times New Roman" w:cs="Times New Roman"/>
          <w:sz w:val="20"/>
          <w:szCs w:val="20"/>
        </w:rPr>
        <w:t>revealed</w:t>
      </w:r>
      <w:r w:rsidRPr="00CD3BD5">
        <w:rPr>
          <w:rFonts w:ascii="Times New Roman" w:hAnsi="Times New Roman" w:cs="Times New Roman"/>
          <w:sz w:val="20"/>
          <w:szCs w:val="20"/>
        </w:rPr>
        <w:t xml:space="preserve"> that higher </w:t>
      </w:r>
      <w:r w:rsidRPr="00CD3BD5">
        <w:rPr>
          <w:rFonts w:ascii="Times New Roman" w:hAnsi="Times New Roman" w:cs="Times New Roman"/>
          <w:i/>
          <w:iCs/>
          <w:sz w:val="20"/>
          <w:szCs w:val="20"/>
        </w:rPr>
        <w:t>tumor size</w:t>
      </w:r>
      <w:r w:rsidRPr="00CD3BD5">
        <w:rPr>
          <w:rFonts w:ascii="Times New Roman" w:hAnsi="Times New Roman" w:cs="Times New Roman"/>
          <w:sz w:val="20"/>
          <w:szCs w:val="20"/>
        </w:rPr>
        <w:t xml:space="preserve"> and </w:t>
      </w:r>
      <w:r w:rsidRPr="00CD3BD5">
        <w:rPr>
          <w:rFonts w:ascii="Times New Roman" w:hAnsi="Times New Roman" w:cs="Times New Roman"/>
          <w:i/>
          <w:iCs/>
          <w:sz w:val="20"/>
          <w:szCs w:val="20"/>
        </w:rPr>
        <w:t>Gleason score</w:t>
      </w:r>
      <w:r w:rsidRPr="00CD3BD5">
        <w:rPr>
          <w:rFonts w:ascii="Times New Roman" w:hAnsi="Times New Roman" w:cs="Times New Roman"/>
          <w:sz w:val="20"/>
          <w:szCs w:val="20"/>
        </w:rPr>
        <w:t xml:space="preserve"> values consistently </w:t>
      </w:r>
      <w:r w:rsidRPr="00CD3BD5">
        <w:rPr>
          <w:rFonts w:ascii="Times New Roman" w:eastAsia="Calibri" w:hAnsi="Times New Roman" w:cs="Times New Roman"/>
          <w:sz w:val="20"/>
          <w:szCs w:val="20"/>
        </w:rPr>
        <w:t>increased the</w:t>
      </w:r>
      <w:r w:rsidRPr="00CD3BD5">
        <w:rPr>
          <w:rFonts w:ascii="Times New Roman" w:hAnsi="Times New Roman" w:cs="Times New Roman"/>
          <w:sz w:val="20"/>
          <w:szCs w:val="20"/>
        </w:rPr>
        <w:t xml:space="preserve"> predicted hazard, with the red hues clustering toward the positiv</w:t>
      </w:r>
      <w:r w:rsidRPr="00CD3BD5">
        <w:rPr>
          <w:rFonts w:ascii="Times New Roman" w:hAnsi="Times New Roman" w:cs="Times New Roman"/>
          <w:sz w:val="20"/>
          <w:szCs w:val="20"/>
        </w:rPr>
        <w:t xml:space="preserve">e end of the SHAP scale. This nonlinear and monotonic trend affirms the spline-based finding that larger tumor diameters confer </w:t>
      </w:r>
      <w:r w:rsidRPr="00CD3BD5">
        <w:rPr>
          <w:rFonts w:ascii="Times New Roman" w:eastAsia="Calibri" w:hAnsi="Times New Roman" w:cs="Times New Roman"/>
          <w:sz w:val="20"/>
          <w:szCs w:val="20"/>
        </w:rPr>
        <w:t>increased</w:t>
      </w:r>
      <w:r w:rsidRPr="00CD3BD5">
        <w:rPr>
          <w:rFonts w:ascii="Times New Roman" w:hAnsi="Times New Roman" w:cs="Times New Roman"/>
          <w:sz w:val="20"/>
          <w:szCs w:val="20"/>
        </w:rPr>
        <w:t xml:space="preserve"> mortality risk beyond a certain threshold, </w:t>
      </w:r>
      <w:r w:rsidRPr="00CD3BD5">
        <w:rPr>
          <w:rFonts w:ascii="Times New Roman" w:eastAsia="Calibri" w:hAnsi="Times New Roman" w:cs="Times New Roman"/>
          <w:sz w:val="20"/>
          <w:szCs w:val="20"/>
        </w:rPr>
        <w:t>whereas</w:t>
      </w:r>
      <w:r w:rsidRPr="00CD3BD5">
        <w:rPr>
          <w:rFonts w:ascii="Times New Roman" w:hAnsi="Times New Roman" w:cs="Times New Roman"/>
          <w:sz w:val="20"/>
          <w:szCs w:val="20"/>
        </w:rPr>
        <w:t xml:space="preserve"> moderate sizes correspond to a survival plateau. Similarly, high </w:t>
      </w:r>
      <w:r w:rsidRPr="00CD3BD5">
        <w:rPr>
          <w:rFonts w:ascii="Times New Roman" w:hAnsi="Times New Roman" w:cs="Times New Roman"/>
          <w:i/>
          <w:iCs/>
          <w:sz w:val="20"/>
          <w:szCs w:val="20"/>
        </w:rPr>
        <w:t>Gl</w:t>
      </w:r>
      <w:r w:rsidRPr="00CD3BD5">
        <w:rPr>
          <w:rFonts w:ascii="Times New Roman" w:hAnsi="Times New Roman" w:cs="Times New Roman"/>
          <w:i/>
          <w:iCs/>
          <w:sz w:val="20"/>
          <w:szCs w:val="20"/>
        </w:rPr>
        <w:t>eason scores</w:t>
      </w:r>
      <w:r w:rsidRPr="00CD3BD5">
        <w:rPr>
          <w:rFonts w:ascii="Times New Roman" w:hAnsi="Times New Roman" w:cs="Times New Roman"/>
          <w:sz w:val="20"/>
          <w:szCs w:val="20"/>
        </w:rPr>
        <w:t xml:space="preserve"> (8–9) produced substantial upward shifts in SHAP values, reinforcing histopathology’s central prognostic role in prostate cancer progression. The moderate yet consistent contributions of </w:t>
      </w:r>
      <w:r w:rsidRPr="00CD3BD5">
        <w:rPr>
          <w:rFonts w:ascii="Times New Roman" w:hAnsi="Times New Roman" w:cs="Times New Roman"/>
          <w:i/>
          <w:iCs/>
          <w:sz w:val="20"/>
          <w:szCs w:val="20"/>
        </w:rPr>
        <w:t>chemotherapy</w:t>
      </w:r>
      <w:r w:rsidRPr="00CD3BD5">
        <w:rPr>
          <w:rFonts w:ascii="Times New Roman" w:hAnsi="Times New Roman" w:cs="Times New Roman"/>
          <w:sz w:val="20"/>
          <w:szCs w:val="20"/>
        </w:rPr>
        <w:t xml:space="preserve"> (|SHAP| = 0.1409) and </w:t>
      </w:r>
      <w:r w:rsidRPr="00CD3BD5">
        <w:rPr>
          <w:rFonts w:ascii="Times New Roman" w:hAnsi="Times New Roman" w:cs="Times New Roman"/>
          <w:i/>
          <w:iCs/>
          <w:sz w:val="20"/>
          <w:szCs w:val="20"/>
        </w:rPr>
        <w:t>PSA levels</w:t>
      </w:r>
      <w:r w:rsidRPr="00CD3BD5">
        <w:rPr>
          <w:rFonts w:ascii="Times New Roman" w:hAnsi="Times New Roman" w:cs="Times New Roman"/>
          <w:sz w:val="20"/>
          <w:szCs w:val="20"/>
        </w:rPr>
        <w:t xml:space="preserve"> (|SHAP| = 0.1385) reflect the multifactorial nature of survival, where therapeutic response and biochemical markers jointly shape risk.</w:t>
      </w:r>
    </w:p>
    <w:p w14:paraId="6DF34466" w14:textId="77777777" w:rsidR="00612B51" w:rsidRPr="00DA4677" w:rsidRDefault="00C92CF8" w:rsidP="00612B51">
      <w:pPr>
        <w:jc w:val="both"/>
        <w:rPr>
          <w:rFonts w:ascii="Times New Roman" w:hAnsi="Times New Roman" w:cs="Times New Roman"/>
          <w:sz w:val="20"/>
          <w:szCs w:val="20"/>
        </w:rPr>
      </w:pPr>
      <w:r w:rsidRPr="00CD3BD5">
        <w:rPr>
          <w:rFonts w:ascii="Times New Roman" w:hAnsi="Times New Roman" w:cs="Times New Roman"/>
          <w:sz w:val="20"/>
          <w:szCs w:val="20"/>
        </w:rPr>
        <w:t xml:space="preserve">The partial-effect curves in Figure 9 </w:t>
      </w:r>
      <w:r w:rsidRPr="00DA4677">
        <w:rPr>
          <w:rFonts w:ascii="Times New Roman" w:hAnsi="Times New Roman" w:cs="Times New Roman"/>
          <w:sz w:val="20"/>
          <w:szCs w:val="20"/>
        </w:rPr>
        <w:t xml:space="preserve">demonstrate that tumor size </w:t>
      </w:r>
      <w:r w:rsidRPr="00DA4677">
        <w:rPr>
          <w:rFonts w:ascii="Times New Roman" w:eastAsia="Calibri" w:hAnsi="Times New Roman" w:cs="Times New Roman"/>
          <w:sz w:val="20"/>
          <w:szCs w:val="20"/>
        </w:rPr>
        <w:t>follows</w:t>
      </w:r>
      <w:r w:rsidRPr="00DA4677">
        <w:rPr>
          <w:rFonts w:ascii="Times New Roman" w:hAnsi="Times New Roman" w:cs="Times New Roman"/>
          <w:sz w:val="20"/>
          <w:szCs w:val="20"/>
        </w:rPr>
        <w:t xml:space="preserve"> a U-shaped pattern, where both very small and</w:t>
      </w:r>
      <w:r w:rsidRPr="00DA4677">
        <w:rPr>
          <w:rFonts w:ascii="Times New Roman" w:hAnsi="Times New Roman" w:cs="Times New Roman"/>
          <w:sz w:val="20"/>
          <w:szCs w:val="20"/>
        </w:rPr>
        <w:t xml:space="preserve"> very large tumors </w:t>
      </w:r>
      <w:r w:rsidRPr="00DA4677">
        <w:rPr>
          <w:rFonts w:ascii="Times New Roman" w:eastAsia="Calibri" w:hAnsi="Times New Roman" w:cs="Times New Roman"/>
          <w:sz w:val="20"/>
          <w:szCs w:val="20"/>
        </w:rPr>
        <w:t>are associated with increased hazard</w:t>
      </w:r>
      <w:r w:rsidRPr="00DA4677">
        <w:rPr>
          <w:rFonts w:ascii="Times New Roman" w:hAnsi="Times New Roman" w:cs="Times New Roman"/>
          <w:sz w:val="20"/>
          <w:szCs w:val="20"/>
        </w:rPr>
        <w:t xml:space="preserve">. This may represent diagnostic uncertainty at the lower end (e.g., </w:t>
      </w:r>
      <w:proofErr w:type="spellStart"/>
      <w:r w:rsidRPr="00DA4677">
        <w:rPr>
          <w:rFonts w:ascii="Times New Roman" w:hAnsi="Times New Roman" w:cs="Times New Roman"/>
          <w:sz w:val="20"/>
          <w:szCs w:val="20"/>
        </w:rPr>
        <w:t>underdetected</w:t>
      </w:r>
      <w:proofErr w:type="spellEnd"/>
      <w:r w:rsidRPr="00DA4677">
        <w:rPr>
          <w:rFonts w:ascii="Times New Roman" w:hAnsi="Times New Roman" w:cs="Times New Roman"/>
          <w:sz w:val="20"/>
          <w:szCs w:val="20"/>
        </w:rPr>
        <w:t xml:space="preserve"> aggressive microfoci) and biological aggressiveness at the upper end (e.g., extensive local invasion). Conversely, </w:t>
      </w:r>
      <w:r w:rsidRPr="00DA4677">
        <w:rPr>
          <w:rFonts w:ascii="Times New Roman" w:eastAsia="Calibri" w:hAnsi="Times New Roman" w:cs="Times New Roman"/>
          <w:sz w:val="20"/>
          <w:szCs w:val="20"/>
        </w:rPr>
        <w:t xml:space="preserve">the </w:t>
      </w:r>
      <w:r w:rsidRPr="00DA4677">
        <w:rPr>
          <w:rFonts w:ascii="Times New Roman" w:hAnsi="Times New Roman" w:cs="Times New Roman"/>
          <w:i/>
          <w:iCs/>
          <w:sz w:val="20"/>
          <w:szCs w:val="20"/>
        </w:rPr>
        <w:t>Gleason score</w:t>
      </w:r>
      <w:r w:rsidRPr="00DA4677">
        <w:rPr>
          <w:rFonts w:ascii="Times New Roman" w:hAnsi="Times New Roman" w:cs="Times New Roman"/>
          <w:sz w:val="20"/>
          <w:szCs w:val="20"/>
        </w:rPr>
        <w:t xml:space="preserve"> displays a near-linear increase in hazard with higher histologic </w:t>
      </w:r>
      <w:r w:rsidRPr="00DA4677">
        <w:rPr>
          <w:rFonts w:ascii="Times New Roman" w:eastAsia="Calibri" w:hAnsi="Times New Roman" w:cs="Times New Roman"/>
          <w:sz w:val="20"/>
          <w:szCs w:val="20"/>
        </w:rPr>
        <w:t>grade, which is</w:t>
      </w:r>
      <w:r w:rsidRPr="00DA4677">
        <w:rPr>
          <w:rFonts w:ascii="Times New Roman" w:hAnsi="Times New Roman" w:cs="Times New Roman"/>
          <w:sz w:val="20"/>
          <w:szCs w:val="20"/>
        </w:rPr>
        <w:t xml:space="preserve"> consistent with prior evidence linking poorly differentiated tumors to reduced survival. These plots collectively reveal that nonlinear modeling through </w:t>
      </w:r>
      <w:r w:rsidRPr="00DA4677">
        <w:rPr>
          <w:rFonts w:ascii="Times New Roman" w:eastAsia="Calibri" w:hAnsi="Times New Roman" w:cs="Times New Roman"/>
          <w:sz w:val="20"/>
          <w:szCs w:val="20"/>
        </w:rPr>
        <w:t xml:space="preserve">the </w:t>
      </w:r>
      <w:r w:rsidRPr="00DA4677">
        <w:rPr>
          <w:rFonts w:ascii="Times New Roman" w:hAnsi="Times New Roman" w:cs="Times New Roman"/>
          <w:sz w:val="20"/>
          <w:szCs w:val="20"/>
        </w:rPr>
        <w:t xml:space="preserve">RCS </w:t>
      </w:r>
      <w:r w:rsidRPr="00DA4677">
        <w:rPr>
          <w:rFonts w:ascii="Times New Roman" w:hAnsi="Times New Roman" w:cs="Times New Roman"/>
          <w:sz w:val="20"/>
          <w:szCs w:val="20"/>
        </w:rPr>
        <w:t>accurately characterizes complex, nonmonotonic relationships that linear models would misestimate.</w:t>
      </w:r>
    </w:p>
    <w:p w14:paraId="2893F83D"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 xml:space="preserve">From a methodological standpoint, the SHAP analysis validates the selection of restricted cubic splines by confirming that risk contributions are continuous </w:t>
      </w:r>
      <w:r w:rsidRPr="00DA4677">
        <w:rPr>
          <w:rFonts w:ascii="Times New Roman" w:hAnsi="Times New Roman" w:cs="Times New Roman"/>
          <w:sz w:val="20"/>
          <w:szCs w:val="20"/>
        </w:rPr>
        <w:t xml:space="preserve">and variable-dependent rather than uniformly linear. The combination of SHAP and RCS strengthens both </w:t>
      </w:r>
      <w:r w:rsidRPr="00DA4677">
        <w:rPr>
          <w:rFonts w:ascii="Times New Roman" w:hAnsi="Times New Roman" w:cs="Times New Roman"/>
          <w:i/>
          <w:iCs/>
          <w:sz w:val="20"/>
          <w:szCs w:val="20"/>
        </w:rPr>
        <w:t>model transparency</w:t>
      </w:r>
      <w:r w:rsidRPr="00DA4677">
        <w:rPr>
          <w:rFonts w:ascii="Times New Roman" w:hAnsi="Times New Roman" w:cs="Times New Roman"/>
          <w:sz w:val="20"/>
          <w:szCs w:val="20"/>
        </w:rPr>
        <w:t xml:space="preserve"> and </w:t>
      </w:r>
      <w:r w:rsidRPr="00DA4677">
        <w:rPr>
          <w:rFonts w:ascii="Times New Roman" w:hAnsi="Times New Roman" w:cs="Times New Roman"/>
          <w:i/>
          <w:iCs/>
          <w:sz w:val="20"/>
          <w:szCs w:val="20"/>
        </w:rPr>
        <w:t>predictive credibility</w:t>
      </w:r>
      <w:r w:rsidRPr="00DA4677">
        <w:rPr>
          <w:rFonts w:ascii="Times New Roman" w:hAnsi="Times New Roman" w:cs="Times New Roman"/>
          <w:sz w:val="20"/>
          <w:szCs w:val="20"/>
        </w:rPr>
        <w:t>, demonstrating that explainable machine learning tools can enhance the interpretability of classical surviva</w:t>
      </w:r>
      <w:r w:rsidRPr="00DA4677">
        <w:rPr>
          <w:rFonts w:ascii="Times New Roman" w:hAnsi="Times New Roman" w:cs="Times New Roman"/>
          <w:sz w:val="20"/>
          <w:szCs w:val="20"/>
        </w:rPr>
        <w:t>l models. By integrating local feature attribution with traditional hazard ratio estimates, the analysis bridges the gap between statistical inference and personalized prognostication.</w:t>
      </w:r>
    </w:p>
    <w:p w14:paraId="4FA70750" w14:textId="77777777" w:rsidR="00612B51" w:rsidRPr="00CD3BD5"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In clinical and policy terms, the combined results suggest that interve</w:t>
      </w:r>
      <w:r w:rsidRPr="00DA4677">
        <w:rPr>
          <w:rFonts w:ascii="Times New Roman" w:hAnsi="Times New Roman" w:cs="Times New Roman"/>
          <w:sz w:val="20"/>
          <w:szCs w:val="20"/>
        </w:rPr>
        <w:t xml:space="preserve">ntions targeting tumor burden reduction and early histopathologic grading remain critical for improving outcomes. The strong importance of </w:t>
      </w:r>
      <w:r w:rsidRPr="00DA4677">
        <w:rPr>
          <w:rFonts w:ascii="Times New Roman" w:hAnsi="Times New Roman" w:cs="Times New Roman"/>
          <w:i/>
          <w:iCs/>
          <w:sz w:val="20"/>
          <w:szCs w:val="20"/>
        </w:rPr>
        <w:t>chemotherapy</w:t>
      </w:r>
      <w:r w:rsidRPr="00DA4677">
        <w:rPr>
          <w:rFonts w:ascii="Times New Roman" w:hAnsi="Times New Roman" w:cs="Times New Roman"/>
          <w:sz w:val="20"/>
          <w:szCs w:val="20"/>
        </w:rPr>
        <w:t xml:space="preserve"> and </w:t>
      </w:r>
      <w:r w:rsidRPr="00DA4677">
        <w:rPr>
          <w:rFonts w:ascii="Times New Roman" w:hAnsi="Times New Roman" w:cs="Times New Roman"/>
          <w:i/>
          <w:iCs/>
          <w:sz w:val="20"/>
          <w:szCs w:val="20"/>
        </w:rPr>
        <w:t>PSA levels</w:t>
      </w:r>
      <w:r w:rsidRPr="00DA4677">
        <w:rPr>
          <w:rFonts w:ascii="Times New Roman" w:hAnsi="Times New Roman" w:cs="Times New Roman"/>
          <w:sz w:val="20"/>
          <w:szCs w:val="20"/>
        </w:rPr>
        <w:t xml:space="preserve"> in the SHAP ranking further highlights the need for treatment monitoring and longitudinal</w:t>
      </w:r>
      <w:r w:rsidRPr="00DA4677">
        <w:rPr>
          <w:rFonts w:ascii="Times New Roman" w:hAnsi="Times New Roman" w:cs="Times New Roman"/>
          <w:sz w:val="20"/>
          <w:szCs w:val="20"/>
        </w:rPr>
        <w:t xml:space="preserve"> biomarker evaluation, particularly in resource-constrained health systems. Together, these findings support the adoption of flexible, explainable survival frameworks in Ghana’s prostate cancer management programs, enabling risk-tailored decision-making al</w:t>
      </w:r>
      <w:r w:rsidRPr="00DA4677">
        <w:rPr>
          <w:rFonts w:ascii="Times New Roman" w:hAnsi="Times New Roman" w:cs="Times New Roman"/>
          <w:sz w:val="20"/>
          <w:szCs w:val="20"/>
        </w:rPr>
        <w:t xml:space="preserve">igned with </w:t>
      </w:r>
      <w:r w:rsidRPr="00CD3BD5">
        <w:rPr>
          <w:rFonts w:ascii="Times New Roman" w:hAnsi="Times New Roman" w:cs="Times New Roman"/>
          <w:sz w:val="20"/>
          <w:szCs w:val="20"/>
        </w:rPr>
        <w:t xml:space="preserve">Sustainable Development Goal (SDG) 3.4 </w:t>
      </w:r>
      <w:r w:rsidRPr="00CD3BD5">
        <w:rPr>
          <w:rFonts w:ascii="Times New Roman" w:eastAsia="Calibri" w:hAnsi="Times New Roman" w:cs="Times New Roman"/>
          <w:sz w:val="20"/>
          <w:szCs w:val="20"/>
        </w:rPr>
        <w:t>for</w:t>
      </w:r>
      <w:r w:rsidRPr="00CD3BD5">
        <w:rPr>
          <w:rFonts w:ascii="Times New Roman" w:hAnsi="Times New Roman" w:cs="Times New Roman"/>
          <w:sz w:val="20"/>
          <w:szCs w:val="20"/>
        </w:rPr>
        <w:t xml:space="preserve"> reducing premature cancer mortality.</w:t>
      </w:r>
    </w:p>
    <w:p w14:paraId="55D06905" w14:textId="35C1BEF8" w:rsidR="00612B51" w:rsidRPr="00DA4677" w:rsidRDefault="00C92CF8" w:rsidP="00612B51">
      <w:pPr>
        <w:jc w:val="both"/>
        <w:rPr>
          <w:rFonts w:ascii="Times New Roman" w:hAnsi="Times New Roman" w:cs="Times New Roman"/>
          <w:sz w:val="20"/>
          <w:szCs w:val="20"/>
        </w:rPr>
      </w:pPr>
      <w:r w:rsidRPr="00CD3BD5">
        <w:rPr>
          <w:rFonts w:ascii="Times New Roman" w:hAnsi="Times New Roman" w:cs="Times New Roman"/>
          <w:sz w:val="20"/>
          <w:szCs w:val="20"/>
        </w:rPr>
        <w:t>Overall, the inclusion of SHAP analysis transformed the study from a purely inferential model into a transparent, explainable prognostic tool. This metho</w:t>
      </w:r>
      <w:r w:rsidRPr="00DA4677">
        <w:rPr>
          <w:rFonts w:ascii="Times New Roman" w:hAnsi="Times New Roman" w:cs="Times New Roman"/>
          <w:sz w:val="20"/>
          <w:szCs w:val="20"/>
        </w:rPr>
        <w:t>dological in</w:t>
      </w:r>
      <w:r w:rsidRPr="00DA4677">
        <w:rPr>
          <w:rFonts w:ascii="Times New Roman" w:hAnsi="Times New Roman" w:cs="Times New Roman"/>
          <w:sz w:val="20"/>
          <w:szCs w:val="20"/>
        </w:rPr>
        <w:t xml:space="preserve">novation not only improves reproducibility but also provides clinicians with interpretable, patient-level insights into how each factor shapes survival </w:t>
      </w:r>
      <w:r w:rsidR="00554553">
        <w:rPr>
          <w:rFonts w:ascii="Times New Roman" w:hAnsi="Times New Roman" w:cs="Times New Roman"/>
          <w:sz w:val="20"/>
          <w:szCs w:val="20"/>
        </w:rPr>
        <w:t>risk,</w:t>
      </w:r>
      <w:r w:rsidR="00CD3BD5">
        <w:rPr>
          <w:rFonts w:ascii="Times New Roman" w:hAnsi="Times New Roman" w:cs="Times New Roman"/>
          <w:sz w:val="20"/>
          <w:szCs w:val="20"/>
        </w:rPr>
        <w:t xml:space="preserve"> </w:t>
      </w:r>
      <w:r w:rsidRPr="00DA4677">
        <w:rPr>
          <w:rFonts w:ascii="Times New Roman" w:hAnsi="Times New Roman" w:cs="Times New Roman"/>
          <w:sz w:val="20"/>
          <w:szCs w:val="20"/>
        </w:rPr>
        <w:t xml:space="preserve">advancing data-driven, precision-oriented oncology </w:t>
      </w:r>
      <w:r w:rsidRPr="00DA4677">
        <w:rPr>
          <w:rFonts w:ascii="Times New Roman" w:eastAsia="Calibri" w:hAnsi="Times New Roman" w:cs="Times New Roman"/>
          <w:sz w:val="20"/>
          <w:szCs w:val="20"/>
        </w:rPr>
        <w:t>practices</w:t>
      </w:r>
      <w:r w:rsidRPr="00DA4677">
        <w:rPr>
          <w:rFonts w:ascii="Times New Roman" w:hAnsi="Times New Roman" w:cs="Times New Roman"/>
          <w:sz w:val="20"/>
          <w:szCs w:val="20"/>
        </w:rPr>
        <w:t xml:space="preserve"> within the Ghanaian context</w:t>
      </w:r>
      <w:r w:rsidRPr="00DA4677">
        <w:rPr>
          <w:rFonts w:ascii="Times New Roman" w:eastAsia="Calibri" w:hAnsi="Times New Roman" w:cs="Times New Roman"/>
          <w:sz w:val="20"/>
          <w:szCs w:val="20"/>
        </w:rPr>
        <w:t>.</w:t>
      </w:r>
    </w:p>
    <w:p w14:paraId="3759C04E" w14:textId="77777777" w:rsidR="00612B51" w:rsidRPr="00DA4677" w:rsidRDefault="00612B51" w:rsidP="00612B51">
      <w:pPr>
        <w:jc w:val="both"/>
        <w:rPr>
          <w:rFonts w:ascii="Times New Roman" w:hAnsi="Times New Roman" w:cs="Times New Roman"/>
          <w:sz w:val="20"/>
          <w:szCs w:val="20"/>
        </w:rPr>
      </w:pPr>
    </w:p>
    <w:p w14:paraId="093341DD" w14:textId="77777777" w:rsidR="00612B51" w:rsidRPr="00DA4677" w:rsidRDefault="00C92CF8" w:rsidP="00612B51">
      <w:pPr>
        <w:jc w:val="both"/>
        <w:rPr>
          <w:rFonts w:ascii="Times New Roman" w:hAnsi="Times New Roman" w:cs="Times New Roman"/>
          <w:b/>
          <w:bCs/>
          <w:sz w:val="20"/>
          <w:szCs w:val="20"/>
        </w:rPr>
      </w:pPr>
      <w:r w:rsidRPr="00DA4677">
        <w:rPr>
          <w:rFonts w:ascii="Times New Roman" w:hAnsi="Times New Roman" w:cs="Times New Roman"/>
          <w:b/>
          <w:bCs/>
          <w:sz w:val="20"/>
          <w:szCs w:val="20"/>
        </w:rPr>
        <w:t>Conclusion</w:t>
      </w:r>
    </w:p>
    <w:p w14:paraId="0E726061" w14:textId="77777777"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lastRenderedPageBreak/>
        <w:t xml:space="preserve">This study developed a nonlinear, explainable survival model for prostate cancer </w:t>
      </w:r>
      <w:r w:rsidRPr="00DA4677">
        <w:rPr>
          <w:rFonts w:ascii="Times New Roman" w:eastAsia="Calibri" w:hAnsi="Times New Roman" w:cs="Times New Roman"/>
          <w:sz w:val="20"/>
          <w:szCs w:val="20"/>
        </w:rPr>
        <w:t>patients via</w:t>
      </w:r>
      <w:r w:rsidRPr="00DA4677">
        <w:rPr>
          <w:rFonts w:ascii="Times New Roman" w:hAnsi="Times New Roman" w:cs="Times New Roman"/>
          <w:sz w:val="20"/>
          <w:szCs w:val="20"/>
        </w:rPr>
        <w:t xml:space="preserve"> the Cox proportional hazards framework integrated with restricted cubic splines and SHAP explainability. The results demonstrated that tumor size and G</w:t>
      </w:r>
      <w:r w:rsidRPr="00DA4677">
        <w:rPr>
          <w:rFonts w:ascii="Times New Roman" w:hAnsi="Times New Roman" w:cs="Times New Roman"/>
          <w:sz w:val="20"/>
          <w:szCs w:val="20"/>
        </w:rPr>
        <w:t>leason score are the most powerful predictors of survival, exerting nonlinear and individualized effects on mortality risk. Treatment-related variables, including chemotherapy and PSA levels, contributed moderately but significantly to outcome variation.</w:t>
      </w:r>
    </w:p>
    <w:p w14:paraId="54E81957" w14:textId="10571713"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T</w:t>
      </w:r>
      <w:r w:rsidRPr="00DA4677">
        <w:rPr>
          <w:rFonts w:ascii="Times New Roman" w:hAnsi="Times New Roman" w:cs="Times New Roman"/>
          <w:sz w:val="20"/>
          <w:szCs w:val="20"/>
        </w:rPr>
        <w:t xml:space="preserve">he RCS specification revealed that hazard risk increases sharply beyond specific tumor size thresholds, </w:t>
      </w:r>
      <w:r w:rsidRPr="00DA4677">
        <w:rPr>
          <w:rFonts w:ascii="Times New Roman" w:eastAsia="Calibri" w:hAnsi="Times New Roman" w:cs="Times New Roman"/>
          <w:sz w:val="20"/>
          <w:szCs w:val="20"/>
        </w:rPr>
        <w:t>whereas</w:t>
      </w:r>
      <w:r w:rsidRPr="00DA4677">
        <w:rPr>
          <w:rFonts w:ascii="Times New Roman" w:hAnsi="Times New Roman" w:cs="Times New Roman"/>
          <w:sz w:val="20"/>
          <w:szCs w:val="20"/>
        </w:rPr>
        <w:t xml:space="preserve"> SHAP visualizations </w:t>
      </w:r>
      <w:r w:rsidRPr="00DA4677">
        <w:rPr>
          <w:rFonts w:ascii="Times New Roman" w:eastAsia="Calibri" w:hAnsi="Times New Roman" w:cs="Times New Roman"/>
          <w:sz w:val="20"/>
          <w:szCs w:val="20"/>
        </w:rPr>
        <w:t>provide</w:t>
      </w:r>
      <w:r w:rsidRPr="00DA4677">
        <w:rPr>
          <w:rFonts w:ascii="Times New Roman" w:hAnsi="Times New Roman" w:cs="Times New Roman"/>
          <w:sz w:val="20"/>
          <w:szCs w:val="20"/>
        </w:rPr>
        <w:t xml:space="preserve"> interpretive transparency by decomposing each predictor’s contribution to the overall hazard. This combined inferent</w:t>
      </w:r>
      <w:r w:rsidRPr="00DA4677">
        <w:rPr>
          <w:rFonts w:ascii="Times New Roman" w:hAnsi="Times New Roman" w:cs="Times New Roman"/>
          <w:sz w:val="20"/>
          <w:szCs w:val="20"/>
        </w:rPr>
        <w:t>ial</w:t>
      </w:r>
      <w:r w:rsidR="00CD3BD5">
        <w:rPr>
          <w:rFonts w:ascii="Times New Roman" w:hAnsi="Times New Roman" w:cs="Times New Roman"/>
          <w:sz w:val="20"/>
          <w:szCs w:val="20"/>
        </w:rPr>
        <w:t>-</w:t>
      </w:r>
      <w:r w:rsidRPr="00DA4677">
        <w:rPr>
          <w:rFonts w:ascii="Times New Roman" w:hAnsi="Times New Roman" w:cs="Times New Roman"/>
          <w:sz w:val="20"/>
          <w:szCs w:val="20"/>
        </w:rPr>
        <w:t>explainable approach bridges statistical modeling and machine learning interpretability, offering clinicians actionable insights into patient-level risk dynamics.</w:t>
      </w:r>
    </w:p>
    <w:p w14:paraId="67210FF8" w14:textId="3189DA85" w:rsidR="00612B51" w:rsidRPr="00DA4677" w:rsidRDefault="00C92CF8" w:rsidP="00612B51">
      <w:pPr>
        <w:jc w:val="both"/>
        <w:rPr>
          <w:rFonts w:ascii="Times New Roman" w:hAnsi="Times New Roman" w:cs="Times New Roman"/>
          <w:sz w:val="20"/>
          <w:szCs w:val="20"/>
        </w:rPr>
      </w:pPr>
      <w:r w:rsidRPr="00DA4677">
        <w:rPr>
          <w:rFonts w:ascii="Times New Roman" w:hAnsi="Times New Roman" w:cs="Times New Roman"/>
          <w:sz w:val="20"/>
          <w:szCs w:val="20"/>
        </w:rPr>
        <w:t>In public health terms, the findings underscore the urgency of implementing early screeni</w:t>
      </w:r>
      <w:r w:rsidRPr="00DA4677">
        <w:rPr>
          <w:rFonts w:ascii="Times New Roman" w:hAnsi="Times New Roman" w:cs="Times New Roman"/>
          <w:sz w:val="20"/>
          <w:szCs w:val="20"/>
        </w:rPr>
        <w:t>ng, histopathologic grading, and treatment monitoring programs to reduce advanced-stage presentations in Ghana. Methodologically, the SHAP-augmented RCS Cox model establishes a reproducible, data-driven template for survival analysis in oncology research a</w:t>
      </w:r>
      <w:r w:rsidRPr="00DA4677">
        <w:rPr>
          <w:rFonts w:ascii="Times New Roman" w:hAnsi="Times New Roman" w:cs="Times New Roman"/>
          <w:sz w:val="20"/>
          <w:szCs w:val="20"/>
        </w:rPr>
        <w:t xml:space="preserve">cross low- and middle-income settings. Its adaptability to other cancers makes it a valuable framework for advancing SDG </w:t>
      </w:r>
      <w:r w:rsidR="00786A5A">
        <w:rPr>
          <w:rFonts w:ascii="Times New Roman" w:hAnsi="Times New Roman" w:cs="Times New Roman"/>
          <w:sz w:val="20"/>
          <w:szCs w:val="20"/>
        </w:rPr>
        <w:t>3.4,</w:t>
      </w:r>
      <w:r w:rsidR="00CD3BD5">
        <w:rPr>
          <w:rFonts w:ascii="Times New Roman" w:hAnsi="Times New Roman" w:cs="Times New Roman"/>
          <w:sz w:val="20"/>
          <w:szCs w:val="20"/>
        </w:rPr>
        <w:t xml:space="preserve"> </w:t>
      </w:r>
      <w:r w:rsidRPr="00DA4677">
        <w:rPr>
          <w:rFonts w:ascii="Times New Roman" w:hAnsi="Times New Roman" w:cs="Times New Roman"/>
          <w:sz w:val="20"/>
          <w:szCs w:val="20"/>
        </w:rPr>
        <w:t>reducing premature mortality through early detection and targeted treatment.</w:t>
      </w:r>
      <w:r w:rsidR="00274234" w:rsidRPr="00DA4677">
        <w:rPr>
          <w:rFonts w:ascii="Times New Roman" w:hAnsi="Times New Roman" w:cs="Times New Roman"/>
          <w:sz w:val="20"/>
          <w:szCs w:val="20"/>
        </w:rPr>
        <w:t xml:space="preserve"> The findings reflect data from a single tertiary center, which may limit generalizability. Future applications of this modeling framework could incorporate multicenter datasets, imaging biomarkers, and longitudinal PSA kinetics to </w:t>
      </w:r>
      <w:r w:rsidRPr="00DA4677">
        <w:rPr>
          <w:rFonts w:ascii="Times New Roman" w:eastAsia="Calibri" w:hAnsi="Times New Roman" w:cs="Times New Roman"/>
          <w:sz w:val="20"/>
          <w:szCs w:val="20"/>
        </w:rPr>
        <w:t>increase</w:t>
      </w:r>
      <w:r w:rsidR="00274234" w:rsidRPr="00DA4677">
        <w:rPr>
          <w:rFonts w:ascii="Times New Roman" w:hAnsi="Times New Roman" w:cs="Times New Roman"/>
          <w:sz w:val="20"/>
          <w:szCs w:val="20"/>
        </w:rPr>
        <w:t xml:space="preserve"> predictive precision.</w:t>
      </w:r>
    </w:p>
    <w:p w14:paraId="165B9D26" w14:textId="77777777" w:rsidR="00D64BE9" w:rsidRPr="009D7058" w:rsidRDefault="00D64BE9" w:rsidP="00D64BE9">
      <w:pPr>
        <w:jc w:val="both"/>
        <w:rPr>
          <w:rFonts w:ascii="Times New Roman" w:hAnsi="Times New Roman" w:cs="Times New Roman"/>
          <w:b/>
          <w:bCs/>
          <w:sz w:val="20"/>
          <w:szCs w:val="20"/>
        </w:rPr>
      </w:pPr>
      <w:r w:rsidRPr="009D7058">
        <w:rPr>
          <w:rFonts w:ascii="Times New Roman" w:hAnsi="Times New Roman" w:cs="Times New Roman"/>
          <w:b/>
          <w:bCs/>
          <w:sz w:val="20"/>
          <w:szCs w:val="20"/>
        </w:rPr>
        <w:t>Declarations</w:t>
      </w:r>
    </w:p>
    <w:p w14:paraId="36E03203" w14:textId="77777777" w:rsidR="002C648A" w:rsidRPr="009D7058" w:rsidRDefault="002C648A"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Data availability</w:t>
      </w:r>
    </w:p>
    <w:p w14:paraId="51EB5F8D" w14:textId="77777777" w:rsidR="002C648A" w:rsidRPr="002C648A" w:rsidRDefault="002C648A" w:rsidP="002C648A">
      <w:pPr>
        <w:jc w:val="both"/>
        <w:rPr>
          <w:rFonts w:ascii="Times New Roman" w:hAnsi="Times New Roman" w:cs="Times New Roman"/>
          <w:sz w:val="20"/>
          <w:szCs w:val="20"/>
        </w:rPr>
      </w:pPr>
      <w:r w:rsidRPr="002C648A">
        <w:rPr>
          <w:rFonts w:ascii="Times New Roman" w:hAnsi="Times New Roman" w:cs="Times New Roman"/>
          <w:sz w:val="20"/>
          <w:szCs w:val="20"/>
        </w:rPr>
        <w:t>The data used to support the findings of this study are available from the corresponding author upon request.</w:t>
      </w:r>
    </w:p>
    <w:p w14:paraId="4DBD827B" w14:textId="77777777" w:rsidR="002C648A" w:rsidRPr="009D7058" w:rsidRDefault="002C648A"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Ethical statement</w:t>
      </w:r>
    </w:p>
    <w:p w14:paraId="4F23ADE0" w14:textId="0E639231" w:rsidR="002C648A" w:rsidRPr="002C648A" w:rsidRDefault="002C648A" w:rsidP="002C648A">
      <w:pPr>
        <w:jc w:val="both"/>
        <w:rPr>
          <w:rFonts w:ascii="Times New Roman" w:hAnsi="Times New Roman" w:cs="Times New Roman"/>
          <w:sz w:val="20"/>
          <w:szCs w:val="20"/>
        </w:rPr>
      </w:pPr>
      <w:r w:rsidRPr="002C648A">
        <w:rPr>
          <w:rFonts w:ascii="Times New Roman" w:hAnsi="Times New Roman" w:cs="Times New Roman"/>
          <w:sz w:val="20"/>
          <w:szCs w:val="20"/>
        </w:rPr>
        <w:t>This study received ethical approval from the University Ethics Review Committee of Takoradi Technical University (Ref. No. TTU/ERC/15/021, dated May 27, 2015). The research used a secondary, de-identified dataset, and all procedures complied with the ethical</w:t>
      </w:r>
      <w:r w:rsidR="009D7058">
        <w:rPr>
          <w:rFonts w:ascii="Times New Roman" w:hAnsi="Times New Roman" w:cs="Times New Roman"/>
          <w:sz w:val="20"/>
          <w:szCs w:val="20"/>
        </w:rPr>
        <w:t xml:space="preserve"> </w:t>
      </w:r>
      <w:r w:rsidRPr="002C648A">
        <w:rPr>
          <w:rFonts w:ascii="Times New Roman" w:hAnsi="Times New Roman" w:cs="Times New Roman"/>
          <w:sz w:val="20"/>
          <w:szCs w:val="20"/>
        </w:rPr>
        <w:t>guidelines of the approving committee.</w:t>
      </w:r>
    </w:p>
    <w:p w14:paraId="26D24C88" w14:textId="77777777" w:rsidR="002C648A" w:rsidRPr="009D7058" w:rsidRDefault="002C648A"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Declaration of competing interest</w:t>
      </w:r>
    </w:p>
    <w:p w14:paraId="43FFE2FD" w14:textId="77777777" w:rsidR="009D7058" w:rsidRDefault="002C648A" w:rsidP="002C648A">
      <w:pPr>
        <w:jc w:val="both"/>
        <w:rPr>
          <w:rFonts w:ascii="Times New Roman" w:hAnsi="Times New Roman" w:cs="Times New Roman"/>
          <w:sz w:val="20"/>
          <w:szCs w:val="20"/>
        </w:rPr>
      </w:pPr>
      <w:r w:rsidRPr="002C648A">
        <w:rPr>
          <w:rFonts w:ascii="Times New Roman" w:hAnsi="Times New Roman" w:cs="Times New Roman"/>
          <w:sz w:val="20"/>
          <w:szCs w:val="20"/>
        </w:rPr>
        <w:t>The authors declare that they have no known competing financial interests or personal relationships that could have appeared to</w:t>
      </w:r>
      <w:r w:rsidR="009D7058">
        <w:rPr>
          <w:rFonts w:ascii="Times New Roman" w:hAnsi="Times New Roman" w:cs="Times New Roman"/>
          <w:sz w:val="20"/>
          <w:szCs w:val="20"/>
        </w:rPr>
        <w:t xml:space="preserve"> </w:t>
      </w:r>
      <w:r w:rsidRPr="002C648A">
        <w:rPr>
          <w:rFonts w:ascii="Times New Roman" w:hAnsi="Times New Roman" w:cs="Times New Roman"/>
          <w:sz w:val="20"/>
          <w:szCs w:val="20"/>
        </w:rPr>
        <w:t>influence the work reported in this pape</w:t>
      </w:r>
      <w:r w:rsidR="009D7058">
        <w:rPr>
          <w:rFonts w:ascii="Times New Roman" w:hAnsi="Times New Roman" w:cs="Times New Roman"/>
          <w:sz w:val="20"/>
          <w:szCs w:val="20"/>
        </w:rPr>
        <w:t>r.</w:t>
      </w:r>
    </w:p>
    <w:p w14:paraId="4A48AE87" w14:textId="6307F99D" w:rsidR="00D64BE9" w:rsidRPr="009D7058" w:rsidRDefault="00D64BE9" w:rsidP="002C648A">
      <w:pPr>
        <w:jc w:val="both"/>
        <w:rPr>
          <w:rFonts w:ascii="Times New Roman" w:hAnsi="Times New Roman" w:cs="Times New Roman"/>
          <w:b/>
          <w:bCs/>
          <w:sz w:val="20"/>
          <w:szCs w:val="20"/>
        </w:rPr>
      </w:pPr>
      <w:r w:rsidRPr="009D7058">
        <w:rPr>
          <w:rFonts w:ascii="Times New Roman" w:hAnsi="Times New Roman" w:cs="Times New Roman"/>
          <w:b/>
          <w:bCs/>
          <w:sz w:val="20"/>
          <w:szCs w:val="20"/>
        </w:rPr>
        <w:t>Trial Number</w:t>
      </w:r>
    </w:p>
    <w:p w14:paraId="615C6089" w14:textId="77777777" w:rsidR="00D64BE9" w:rsidRDefault="00D64BE9" w:rsidP="00D64BE9">
      <w:pPr>
        <w:jc w:val="both"/>
        <w:rPr>
          <w:rFonts w:ascii="Times New Roman" w:hAnsi="Times New Roman" w:cs="Times New Roman"/>
          <w:sz w:val="20"/>
          <w:szCs w:val="20"/>
        </w:rPr>
      </w:pPr>
      <w:r w:rsidRPr="00117CC1">
        <w:rPr>
          <w:rFonts w:ascii="Times New Roman" w:hAnsi="Times New Roman" w:cs="Times New Roman"/>
          <w:sz w:val="20"/>
          <w:szCs w:val="20"/>
        </w:rPr>
        <w:t>Not applicable</w:t>
      </w:r>
    </w:p>
    <w:p w14:paraId="7A6E9679" w14:textId="77777777" w:rsidR="00612B51" w:rsidRPr="00DA4677" w:rsidRDefault="00612B51" w:rsidP="00612B51">
      <w:pPr>
        <w:jc w:val="both"/>
        <w:rPr>
          <w:rFonts w:ascii="Times New Roman" w:hAnsi="Times New Roman" w:cs="Times New Roman"/>
          <w:sz w:val="20"/>
          <w:szCs w:val="20"/>
        </w:rPr>
      </w:pPr>
    </w:p>
    <w:p w14:paraId="7F8FAA0C" w14:textId="77777777" w:rsidR="00612B51" w:rsidRPr="00DA4677" w:rsidRDefault="00C92CF8" w:rsidP="00612B51">
      <w:pPr>
        <w:rPr>
          <w:rFonts w:ascii="Times New Roman" w:hAnsi="Times New Roman" w:cs="Times New Roman"/>
          <w:b/>
          <w:bCs/>
          <w:sz w:val="20"/>
          <w:szCs w:val="20"/>
        </w:rPr>
      </w:pPr>
      <w:r w:rsidRPr="00DA4677">
        <w:rPr>
          <w:rFonts w:ascii="Times New Roman" w:hAnsi="Times New Roman" w:cs="Times New Roman"/>
          <w:b/>
          <w:bCs/>
          <w:sz w:val="20"/>
          <w:szCs w:val="20"/>
        </w:rPr>
        <w:t>References</w:t>
      </w:r>
      <w:bookmarkStart w:id="8" w:name="_Hlk211485127"/>
      <w:r w:rsidRPr="00DA4677">
        <w:rPr>
          <w:rFonts w:ascii="Times New Roman" w:hAnsi="Times New Roman" w:cs="Times New Roman"/>
          <w:b/>
          <w:bCs/>
          <w:vanish/>
          <w:sz w:val="20"/>
          <w:szCs w:val="20"/>
        </w:rPr>
        <w:t>Bottom of Form</w:t>
      </w:r>
    </w:p>
    <w:p w14:paraId="457B8592"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Abu Bonsra, E., Justice, B., &amp; Ananga, M. K. (2025). Suicidal behaviors among adults living with cancer in Ghana: prevalence and associated risk factors. </w:t>
      </w:r>
      <w:r w:rsidRPr="00DA4677">
        <w:rPr>
          <w:rFonts w:ascii="Times New Roman" w:hAnsi="Times New Roman" w:cs="Times New Roman"/>
          <w:i/>
          <w:iCs/>
          <w:sz w:val="20"/>
          <w:szCs w:val="20"/>
        </w:rPr>
        <w:t>BMC psychology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13</w:t>
      </w:r>
      <w:r w:rsidRPr="00DA4677">
        <w:rPr>
          <w:rFonts w:ascii="Times New Roman" w:hAnsi="Times New Roman" w:cs="Times New Roman"/>
          <w:sz w:val="20"/>
          <w:szCs w:val="20"/>
        </w:rPr>
        <w:t>(1), 1-15.</w:t>
      </w:r>
    </w:p>
    <w:p w14:paraId="2EC00B94" w14:textId="77777777" w:rsidR="00612B51" w:rsidRDefault="00C92CF8"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Amaeshi</w:t>
      </w:r>
      <w:proofErr w:type="spellEnd"/>
      <w:r w:rsidRPr="00DA4677">
        <w:rPr>
          <w:rFonts w:ascii="Times New Roman" w:hAnsi="Times New Roman" w:cs="Times New Roman"/>
          <w:sz w:val="20"/>
          <w:szCs w:val="20"/>
        </w:rPr>
        <w:t xml:space="preserve">, L. C., </w:t>
      </w:r>
      <w:proofErr w:type="spellStart"/>
      <w:r w:rsidRPr="00DA4677">
        <w:rPr>
          <w:rFonts w:ascii="Times New Roman" w:hAnsi="Times New Roman" w:cs="Times New Roman"/>
          <w:sz w:val="20"/>
          <w:szCs w:val="20"/>
        </w:rPr>
        <w:t>Okunade</w:t>
      </w:r>
      <w:proofErr w:type="spellEnd"/>
      <w:r w:rsidRPr="00DA4677">
        <w:rPr>
          <w:rFonts w:ascii="Times New Roman" w:hAnsi="Times New Roman" w:cs="Times New Roman"/>
          <w:sz w:val="20"/>
          <w:szCs w:val="20"/>
        </w:rPr>
        <w:t xml:space="preserve">, K. S., &amp; </w:t>
      </w:r>
      <w:proofErr w:type="spellStart"/>
      <w:r w:rsidRPr="00DA4677">
        <w:rPr>
          <w:rFonts w:ascii="Times New Roman" w:hAnsi="Times New Roman" w:cs="Times New Roman"/>
          <w:sz w:val="20"/>
          <w:szCs w:val="20"/>
        </w:rPr>
        <w:t>Anorlu</w:t>
      </w:r>
      <w:proofErr w:type="spellEnd"/>
      <w:r w:rsidRPr="00DA4677">
        <w:rPr>
          <w:rFonts w:ascii="Times New Roman" w:hAnsi="Times New Roman" w:cs="Times New Roman"/>
          <w:sz w:val="20"/>
          <w:szCs w:val="20"/>
        </w:rPr>
        <w:t xml:space="preserve">, R. I. (2025). Current landscape of cancer genomics research in sub-Saharan Africa–a review of literature. </w:t>
      </w:r>
      <w:r w:rsidRPr="00DA4677">
        <w:rPr>
          <w:rFonts w:ascii="Times New Roman" w:hAnsi="Times New Roman" w:cs="Times New Roman"/>
          <w:i/>
          <w:iCs/>
          <w:sz w:val="20"/>
          <w:szCs w:val="20"/>
        </w:rPr>
        <w:t>Frontiers in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 1512005.</w:t>
      </w:r>
    </w:p>
    <w:p w14:paraId="188908EE" w14:textId="77777777" w:rsidR="00612B51" w:rsidRPr="00DA4677" w:rsidRDefault="00C92CF8" w:rsidP="00612B51">
      <w:pPr>
        <w:rPr>
          <w:rFonts w:ascii="Times New Roman" w:hAnsi="Times New Roman" w:cs="Times New Roman"/>
          <w:sz w:val="20"/>
          <w:szCs w:val="20"/>
        </w:rPr>
      </w:pPr>
      <w:r w:rsidRPr="00E643DC">
        <w:rPr>
          <w:rFonts w:ascii="Times New Roman" w:hAnsi="Times New Roman" w:cs="Times New Roman"/>
          <w:sz w:val="20"/>
          <w:szCs w:val="20"/>
        </w:rPr>
        <w:t xml:space="preserve">Aziz, M. K., Molony, D., </w:t>
      </w:r>
      <w:proofErr w:type="spellStart"/>
      <w:r w:rsidRPr="00E643DC">
        <w:rPr>
          <w:rFonts w:ascii="Times New Roman" w:hAnsi="Times New Roman" w:cs="Times New Roman"/>
          <w:sz w:val="20"/>
          <w:szCs w:val="20"/>
        </w:rPr>
        <w:t>Monlezun</w:t>
      </w:r>
      <w:proofErr w:type="spellEnd"/>
      <w:r w:rsidRPr="00E643DC">
        <w:rPr>
          <w:rFonts w:ascii="Times New Roman" w:hAnsi="Times New Roman" w:cs="Times New Roman"/>
          <w:sz w:val="20"/>
          <w:szCs w:val="20"/>
        </w:rPr>
        <w:t>, D., Holder, T., Brunckhorst,</w:t>
      </w:r>
      <w:r w:rsidRPr="00DA4677">
        <w:rPr>
          <w:rFonts w:ascii="Times New Roman" w:hAnsi="Times New Roman" w:cs="Times New Roman"/>
          <w:sz w:val="20"/>
          <w:szCs w:val="20"/>
        </w:rPr>
        <w:t xml:space="preserve"> O., Higg</w:t>
      </w:r>
      <w:r w:rsidRPr="00DA4677">
        <w:rPr>
          <w:rFonts w:ascii="Times New Roman" w:hAnsi="Times New Roman" w:cs="Times New Roman"/>
          <w:sz w:val="20"/>
          <w:szCs w:val="20"/>
        </w:rPr>
        <w:t xml:space="preserve">ason, N., ... &amp; Canfield, S. (2025). Prostate cancer therapy Cardiotoxicity map (PROXMAP) for advanced disease States: </w:t>
      </w:r>
      <w:proofErr w:type="gramStart"/>
      <w:r w:rsidRPr="00DA4677">
        <w:rPr>
          <w:rFonts w:ascii="Times New Roman" w:hAnsi="Times New Roman" w:cs="Times New Roman"/>
          <w:sz w:val="20"/>
          <w:szCs w:val="20"/>
        </w:rPr>
        <w:t>a</w:t>
      </w:r>
      <w:proofErr w:type="gramEnd"/>
      <w:r w:rsidRPr="00DA4677">
        <w:rPr>
          <w:rFonts w:ascii="Times New Roman" w:hAnsi="Times New Roman" w:cs="Times New Roman"/>
          <w:sz w:val="20"/>
          <w:szCs w:val="20"/>
        </w:rPr>
        <w:t xml:space="preserve"> Systematic review and network Meta-analysis with Bayesian modeling of treatment Histories. </w:t>
      </w:r>
      <w:r w:rsidRPr="00DA4677">
        <w:rPr>
          <w:rFonts w:ascii="Times New Roman" w:hAnsi="Times New Roman" w:cs="Times New Roman"/>
          <w:i/>
          <w:iCs/>
          <w:sz w:val="20"/>
          <w:szCs w:val="20"/>
        </w:rPr>
        <w:t>European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87</w:t>
      </w:r>
      <w:r w:rsidRPr="00DA4677">
        <w:rPr>
          <w:rFonts w:ascii="Times New Roman" w:hAnsi="Times New Roman" w:cs="Times New Roman"/>
          <w:sz w:val="20"/>
          <w:szCs w:val="20"/>
        </w:rPr>
        <w:t>(1), 15-26.</w:t>
      </w:r>
    </w:p>
    <w:p w14:paraId="5C2855F8" w14:textId="77777777" w:rsidR="00612B51" w:rsidRPr="00DA4677" w:rsidRDefault="00C92CF8"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Belkahla</w:t>
      </w:r>
      <w:proofErr w:type="spellEnd"/>
      <w:r w:rsidRPr="00DA4677">
        <w:rPr>
          <w:rFonts w:ascii="Times New Roman" w:hAnsi="Times New Roman" w:cs="Times New Roman"/>
          <w:sz w:val="20"/>
          <w:szCs w:val="20"/>
        </w:rPr>
        <w:t>, S.</w:t>
      </w:r>
      <w:r w:rsidRPr="00DA4677">
        <w:rPr>
          <w:rFonts w:ascii="Times New Roman" w:hAnsi="Times New Roman" w:cs="Times New Roman"/>
          <w:sz w:val="20"/>
          <w:szCs w:val="20"/>
        </w:rPr>
        <w:t xml:space="preserve">, </w:t>
      </w:r>
      <w:proofErr w:type="spellStart"/>
      <w:r w:rsidRPr="00DA4677">
        <w:rPr>
          <w:rFonts w:ascii="Times New Roman" w:hAnsi="Times New Roman" w:cs="Times New Roman"/>
          <w:sz w:val="20"/>
          <w:szCs w:val="20"/>
        </w:rPr>
        <w:t>Nahvi</w:t>
      </w:r>
      <w:proofErr w:type="spellEnd"/>
      <w:r w:rsidRPr="00DA4677">
        <w:rPr>
          <w:rFonts w:ascii="Times New Roman" w:hAnsi="Times New Roman" w:cs="Times New Roman"/>
          <w:sz w:val="20"/>
          <w:szCs w:val="20"/>
        </w:rPr>
        <w:t xml:space="preserve">, I., Biswas, S., </w:t>
      </w:r>
      <w:proofErr w:type="spellStart"/>
      <w:r w:rsidRPr="00DA4677">
        <w:rPr>
          <w:rFonts w:ascii="Times New Roman" w:hAnsi="Times New Roman" w:cs="Times New Roman"/>
          <w:sz w:val="20"/>
          <w:szCs w:val="20"/>
        </w:rPr>
        <w:t>Nahvi</w:t>
      </w:r>
      <w:proofErr w:type="spellEnd"/>
      <w:r w:rsidRPr="00DA4677">
        <w:rPr>
          <w:rFonts w:ascii="Times New Roman" w:hAnsi="Times New Roman" w:cs="Times New Roman"/>
          <w:sz w:val="20"/>
          <w:szCs w:val="20"/>
        </w:rPr>
        <w:t xml:space="preserve">, I., &amp; Ben Amor, N. (2022). Advances and development of prostate cancer, treatment, and strategies: A systemic review. </w:t>
      </w:r>
      <w:r w:rsidRPr="00DA4677">
        <w:rPr>
          <w:rFonts w:ascii="Times New Roman" w:hAnsi="Times New Roman" w:cs="Times New Roman"/>
          <w:i/>
          <w:iCs/>
          <w:sz w:val="20"/>
          <w:szCs w:val="20"/>
        </w:rPr>
        <w:t>Frontiers in Cell and Developmental Biology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10</w:t>
      </w:r>
      <w:r w:rsidRPr="00DA4677">
        <w:rPr>
          <w:rFonts w:ascii="Times New Roman" w:hAnsi="Times New Roman" w:cs="Times New Roman"/>
          <w:sz w:val="20"/>
          <w:szCs w:val="20"/>
        </w:rPr>
        <w:t>, 991330.</w:t>
      </w:r>
    </w:p>
    <w:p w14:paraId="1276FE30"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Bhandari, R., Chen, Y., Chow, E. J., Howell, R. M</w:t>
      </w:r>
      <w:r w:rsidRPr="00DA4677">
        <w:rPr>
          <w:rFonts w:ascii="Times New Roman" w:hAnsi="Times New Roman" w:cs="Times New Roman"/>
          <w:sz w:val="20"/>
          <w:szCs w:val="20"/>
        </w:rPr>
        <w:t xml:space="preserve">., Kenney, L. B., Krull, K. R., ... &amp; Armenian, S. H. (2025). Health Outcomes Beyond Age 50 Years in Survivors of Childhood Cancer: A Report </w:t>
      </w:r>
      <w:proofErr w:type="gramStart"/>
      <w:r w:rsidRPr="00DA4677">
        <w:rPr>
          <w:rFonts w:ascii="Times New Roman" w:hAnsi="Times New Roman" w:cs="Times New Roman"/>
          <w:sz w:val="20"/>
          <w:szCs w:val="20"/>
        </w:rPr>
        <w:t>From</w:t>
      </w:r>
      <w:proofErr w:type="gramEnd"/>
      <w:r w:rsidRPr="00DA4677">
        <w:rPr>
          <w:rFonts w:ascii="Times New Roman" w:hAnsi="Times New Roman" w:cs="Times New Roman"/>
          <w:sz w:val="20"/>
          <w:szCs w:val="20"/>
        </w:rPr>
        <w:t xml:space="preserve"> the Childhood Cancer Survivor Study. </w:t>
      </w:r>
      <w:r w:rsidRPr="00DA4677">
        <w:rPr>
          <w:rFonts w:ascii="Times New Roman" w:hAnsi="Times New Roman" w:cs="Times New Roman"/>
          <w:i/>
          <w:iCs/>
          <w:sz w:val="20"/>
          <w:szCs w:val="20"/>
        </w:rPr>
        <w:t>Journal of Clinical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43</w:t>
      </w:r>
      <w:r w:rsidRPr="00DA4677">
        <w:rPr>
          <w:rFonts w:ascii="Times New Roman" w:hAnsi="Times New Roman" w:cs="Times New Roman"/>
          <w:sz w:val="20"/>
          <w:szCs w:val="20"/>
        </w:rPr>
        <w:t>(27), 2998-3010.</w:t>
      </w:r>
    </w:p>
    <w:p w14:paraId="7A022AE9" w14:textId="77777777" w:rsidR="00612B51" w:rsidRPr="00DA4677" w:rsidRDefault="00C92CF8"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Bosson-Amedenu</w:t>
      </w:r>
      <w:proofErr w:type="spellEnd"/>
      <w:r w:rsidRPr="00DA4677">
        <w:rPr>
          <w:rFonts w:ascii="Times New Roman" w:hAnsi="Times New Roman" w:cs="Times New Roman"/>
          <w:sz w:val="20"/>
          <w:szCs w:val="20"/>
        </w:rPr>
        <w:t>, S., Turk</w:t>
      </w:r>
      <w:r w:rsidRPr="00DA4677">
        <w:rPr>
          <w:rFonts w:ascii="Times New Roman" w:hAnsi="Times New Roman" w:cs="Times New Roman"/>
          <w:sz w:val="20"/>
          <w:szCs w:val="20"/>
        </w:rPr>
        <w:t xml:space="preserve">son, A. J., </w:t>
      </w:r>
      <w:proofErr w:type="spellStart"/>
      <w:r w:rsidRPr="00DA4677">
        <w:rPr>
          <w:rFonts w:ascii="Times New Roman" w:hAnsi="Times New Roman" w:cs="Times New Roman"/>
          <w:sz w:val="20"/>
          <w:szCs w:val="20"/>
        </w:rPr>
        <w:t>Ayitey</w:t>
      </w:r>
      <w:proofErr w:type="spellEnd"/>
      <w:r w:rsidRPr="00DA4677">
        <w:rPr>
          <w:rFonts w:ascii="Times New Roman" w:hAnsi="Times New Roman" w:cs="Times New Roman"/>
          <w:sz w:val="20"/>
          <w:szCs w:val="20"/>
        </w:rPr>
        <w:t xml:space="preserve">, E., Baah, E. M., Ayiah-Mensah, F., &amp; </w:t>
      </w:r>
      <w:proofErr w:type="spellStart"/>
      <w:r w:rsidRPr="00DA4677">
        <w:rPr>
          <w:rFonts w:ascii="Times New Roman" w:hAnsi="Times New Roman" w:cs="Times New Roman"/>
          <w:sz w:val="20"/>
          <w:szCs w:val="20"/>
        </w:rPr>
        <w:t>Addor</w:t>
      </w:r>
      <w:proofErr w:type="spellEnd"/>
      <w:r w:rsidRPr="00DA4677">
        <w:rPr>
          <w:rFonts w:ascii="Times New Roman" w:hAnsi="Times New Roman" w:cs="Times New Roman"/>
          <w:sz w:val="20"/>
          <w:szCs w:val="20"/>
        </w:rPr>
        <w:t xml:space="preserve">, J. A. (2025). Covariate-Stratified Analysis of Prostate Cancer and Competing Risk Mortality in Ghana: A Bootstrapped Survival Analysis Approach. </w:t>
      </w:r>
      <w:r w:rsidRPr="00DA4677">
        <w:rPr>
          <w:rFonts w:ascii="Times New Roman" w:hAnsi="Times New Roman" w:cs="Times New Roman"/>
          <w:i/>
          <w:iCs/>
          <w:sz w:val="20"/>
          <w:szCs w:val="20"/>
        </w:rPr>
        <w:t>Scientific African</w:t>
      </w:r>
      <w:r w:rsidRPr="00DA4677">
        <w:rPr>
          <w:rFonts w:ascii="Times New Roman" w:hAnsi="Times New Roman" w:cs="Times New Roman"/>
          <w:sz w:val="20"/>
          <w:szCs w:val="20"/>
        </w:rPr>
        <w:t>, e02882.</w:t>
      </w:r>
    </w:p>
    <w:p w14:paraId="403524AE" w14:textId="77777777" w:rsidR="00612B51" w:rsidRPr="00DA4677" w:rsidRDefault="00C92CF8"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lastRenderedPageBreak/>
        <w:t>Dadee-Seshie</w:t>
      </w:r>
      <w:proofErr w:type="spellEnd"/>
      <w:r w:rsidRPr="00DA4677">
        <w:rPr>
          <w:rFonts w:ascii="Times New Roman" w:hAnsi="Times New Roman" w:cs="Times New Roman"/>
          <w:sz w:val="20"/>
          <w:szCs w:val="20"/>
        </w:rPr>
        <w:t>, D. S.</w:t>
      </w:r>
      <w:r w:rsidRPr="00DA4677">
        <w:rPr>
          <w:rFonts w:ascii="Times New Roman" w:hAnsi="Times New Roman" w:cs="Times New Roman"/>
          <w:sz w:val="20"/>
          <w:szCs w:val="20"/>
        </w:rPr>
        <w:t xml:space="preserve">, </w:t>
      </w:r>
      <w:proofErr w:type="spellStart"/>
      <w:r w:rsidRPr="00DA4677">
        <w:rPr>
          <w:rFonts w:ascii="Times New Roman" w:hAnsi="Times New Roman" w:cs="Times New Roman"/>
          <w:sz w:val="20"/>
          <w:szCs w:val="20"/>
        </w:rPr>
        <w:t>Agbeteti</w:t>
      </w:r>
      <w:proofErr w:type="spellEnd"/>
      <w:r w:rsidRPr="00DA4677">
        <w:rPr>
          <w:rFonts w:ascii="Times New Roman" w:hAnsi="Times New Roman" w:cs="Times New Roman"/>
          <w:sz w:val="20"/>
          <w:szCs w:val="20"/>
        </w:rPr>
        <w:t xml:space="preserve">, S. G., </w:t>
      </w:r>
      <w:proofErr w:type="spellStart"/>
      <w:r w:rsidRPr="00DA4677">
        <w:rPr>
          <w:rFonts w:ascii="Times New Roman" w:hAnsi="Times New Roman" w:cs="Times New Roman"/>
          <w:sz w:val="20"/>
          <w:szCs w:val="20"/>
        </w:rPr>
        <w:t>Kpankyaano</w:t>
      </w:r>
      <w:proofErr w:type="spellEnd"/>
      <w:r w:rsidRPr="00DA4677">
        <w:rPr>
          <w:rFonts w:ascii="Times New Roman" w:hAnsi="Times New Roman" w:cs="Times New Roman"/>
          <w:sz w:val="20"/>
          <w:szCs w:val="20"/>
        </w:rPr>
        <w:t xml:space="preserve">, B., Adamu, A. F., Adanu, S. K., Alhassan, Y., &amp; Adanu, K. K. (2025). Productivity losses and treatment cost of Benign Prostatic Hyperplasia in Ghana. </w:t>
      </w:r>
      <w:proofErr w:type="spellStart"/>
      <w:r w:rsidRPr="00DA4677">
        <w:rPr>
          <w:rFonts w:ascii="Times New Roman" w:hAnsi="Times New Roman" w:cs="Times New Roman"/>
          <w:i/>
          <w:iCs/>
          <w:sz w:val="20"/>
          <w:szCs w:val="20"/>
        </w:rPr>
        <w:t>medRxiv</w:t>
      </w:r>
      <w:proofErr w:type="spellEnd"/>
      <w:r w:rsidRPr="00DA4677">
        <w:rPr>
          <w:rFonts w:ascii="Times New Roman" w:hAnsi="Times New Roman" w:cs="Times New Roman"/>
          <w:sz w:val="20"/>
          <w:szCs w:val="20"/>
        </w:rPr>
        <w:t>, 2025-03.</w:t>
      </w:r>
    </w:p>
    <w:p w14:paraId="51CD00C0"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Daniels, J., Kyei, K. A., Frimpong-Boateng, P. D., &amp; Nyan</w:t>
      </w:r>
      <w:r w:rsidRPr="00DA4677">
        <w:rPr>
          <w:rFonts w:ascii="Times New Roman" w:hAnsi="Times New Roman" w:cs="Times New Roman"/>
          <w:sz w:val="20"/>
          <w:szCs w:val="20"/>
        </w:rPr>
        <w:t xml:space="preserve">takyi, A. Y. (2025). Sexual function outcomes in prostate and cervical cancer patients treated with radiotherapy in sub-Saharan Africa: A cross-sectional study. </w:t>
      </w:r>
      <w:proofErr w:type="spellStart"/>
      <w:r w:rsidRPr="00DA4677">
        <w:rPr>
          <w:rFonts w:ascii="Times New Roman" w:hAnsi="Times New Roman" w:cs="Times New Roman"/>
          <w:i/>
          <w:iCs/>
          <w:sz w:val="20"/>
          <w:szCs w:val="20"/>
        </w:rPr>
        <w:t>PLoS</w:t>
      </w:r>
      <w:proofErr w:type="spellEnd"/>
      <w:r w:rsidRPr="00DA4677">
        <w:rPr>
          <w:rFonts w:ascii="Times New Roman" w:hAnsi="Times New Roman" w:cs="Times New Roman"/>
          <w:i/>
          <w:iCs/>
          <w:sz w:val="20"/>
          <w:szCs w:val="20"/>
        </w:rPr>
        <w:t xml:space="preserve"> One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20</w:t>
      </w:r>
      <w:r w:rsidRPr="00DA4677">
        <w:rPr>
          <w:rFonts w:ascii="Times New Roman" w:hAnsi="Times New Roman" w:cs="Times New Roman"/>
          <w:sz w:val="20"/>
          <w:szCs w:val="20"/>
        </w:rPr>
        <w:t>(5), e0324662.</w:t>
      </w:r>
    </w:p>
    <w:p w14:paraId="40A2A1E9"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Dee, E. C., Iyengar, R., Narayan, A., Feliciano, E. J. G., Wu, J. F.</w:t>
      </w:r>
      <w:r w:rsidRPr="00DA4677">
        <w:rPr>
          <w:rFonts w:ascii="Times New Roman" w:hAnsi="Times New Roman" w:cs="Times New Roman"/>
          <w:sz w:val="20"/>
          <w:szCs w:val="20"/>
        </w:rPr>
        <w:t xml:space="preserve">, Ho, F. D. V., ... &amp; Nguyen, P. L. (2025). National cancer system characteristics and prostate cancer outcomes: an analysis of global data. </w:t>
      </w:r>
      <w:r w:rsidRPr="00DA4677">
        <w:rPr>
          <w:rFonts w:ascii="Times New Roman" w:hAnsi="Times New Roman" w:cs="Times New Roman"/>
          <w:i/>
          <w:iCs/>
          <w:sz w:val="20"/>
          <w:szCs w:val="20"/>
        </w:rPr>
        <w:t>The Prostate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85</w:t>
      </w:r>
      <w:r w:rsidRPr="00DA4677">
        <w:rPr>
          <w:rFonts w:ascii="Times New Roman" w:hAnsi="Times New Roman" w:cs="Times New Roman"/>
          <w:sz w:val="20"/>
          <w:szCs w:val="20"/>
        </w:rPr>
        <w:t>(10), 947-953.</w:t>
      </w:r>
    </w:p>
    <w:p w14:paraId="3A2A5185"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Der, E. M., </w:t>
      </w:r>
      <w:proofErr w:type="spellStart"/>
      <w:r w:rsidRPr="00DA4677">
        <w:rPr>
          <w:rFonts w:ascii="Times New Roman" w:hAnsi="Times New Roman" w:cs="Times New Roman"/>
          <w:sz w:val="20"/>
          <w:szCs w:val="20"/>
        </w:rPr>
        <w:t>Muntaka</w:t>
      </w:r>
      <w:proofErr w:type="spellEnd"/>
      <w:r w:rsidRPr="00DA4677">
        <w:rPr>
          <w:rFonts w:ascii="Times New Roman" w:hAnsi="Times New Roman" w:cs="Times New Roman"/>
          <w:sz w:val="20"/>
          <w:szCs w:val="20"/>
        </w:rPr>
        <w:t xml:space="preserve">, A. J. M., &amp; </w:t>
      </w:r>
      <w:proofErr w:type="spellStart"/>
      <w:r w:rsidRPr="00DA4677">
        <w:rPr>
          <w:rFonts w:ascii="Times New Roman" w:hAnsi="Times New Roman" w:cs="Times New Roman"/>
          <w:sz w:val="20"/>
          <w:szCs w:val="20"/>
        </w:rPr>
        <w:t>Yenli</w:t>
      </w:r>
      <w:proofErr w:type="spellEnd"/>
      <w:r w:rsidRPr="00DA4677">
        <w:rPr>
          <w:rFonts w:ascii="Times New Roman" w:hAnsi="Times New Roman" w:cs="Times New Roman"/>
          <w:sz w:val="20"/>
          <w:szCs w:val="20"/>
        </w:rPr>
        <w:t>, E. M. T. (2025). The patterns of primary mal</w:t>
      </w:r>
      <w:r w:rsidRPr="00DA4677">
        <w:rPr>
          <w:rFonts w:ascii="Times New Roman" w:hAnsi="Times New Roman" w:cs="Times New Roman"/>
          <w:sz w:val="20"/>
          <w:szCs w:val="20"/>
        </w:rPr>
        <w:t xml:space="preserve">e genitourinary cancers in a tertiary referral hospital in northern Ghana. </w:t>
      </w:r>
      <w:r w:rsidRPr="00DA4677">
        <w:rPr>
          <w:rFonts w:ascii="Times New Roman" w:hAnsi="Times New Roman" w:cs="Times New Roman"/>
          <w:i/>
          <w:iCs/>
          <w:sz w:val="20"/>
          <w:szCs w:val="20"/>
        </w:rPr>
        <w:t>African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5</w:t>
      </w:r>
      <w:r w:rsidRPr="00DA4677">
        <w:rPr>
          <w:rFonts w:ascii="Times New Roman" w:hAnsi="Times New Roman" w:cs="Times New Roman"/>
          <w:sz w:val="20"/>
          <w:szCs w:val="20"/>
        </w:rPr>
        <w:t>(1), 47-52.</w:t>
      </w:r>
    </w:p>
    <w:p w14:paraId="0486280C"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Dlamini, Z., </w:t>
      </w:r>
      <w:proofErr w:type="spellStart"/>
      <w:r w:rsidRPr="00DA4677">
        <w:rPr>
          <w:rFonts w:ascii="Times New Roman" w:hAnsi="Times New Roman" w:cs="Times New Roman"/>
          <w:sz w:val="20"/>
          <w:szCs w:val="20"/>
        </w:rPr>
        <w:t>Alaouna</w:t>
      </w:r>
      <w:proofErr w:type="spellEnd"/>
      <w:r w:rsidRPr="00DA4677">
        <w:rPr>
          <w:rFonts w:ascii="Times New Roman" w:hAnsi="Times New Roman" w:cs="Times New Roman"/>
          <w:sz w:val="20"/>
          <w:szCs w:val="20"/>
        </w:rPr>
        <w:t>, M., Marutha, T., Mkhize-</w:t>
      </w:r>
      <w:proofErr w:type="spellStart"/>
      <w:r w:rsidRPr="00DA4677">
        <w:rPr>
          <w:rFonts w:ascii="Times New Roman" w:hAnsi="Times New Roman" w:cs="Times New Roman"/>
          <w:sz w:val="20"/>
          <w:szCs w:val="20"/>
        </w:rPr>
        <w:t>Kwitshana</w:t>
      </w:r>
      <w:proofErr w:type="spellEnd"/>
      <w:r w:rsidRPr="00DA4677">
        <w:rPr>
          <w:rFonts w:ascii="Times New Roman" w:hAnsi="Times New Roman" w:cs="Times New Roman"/>
          <w:sz w:val="20"/>
          <w:szCs w:val="20"/>
        </w:rPr>
        <w:t>, Z., Mbodi, L., Chauke-Malinga, N., ... &amp; Molefi, T. (2025). The Exposome Perspective: Environm</w:t>
      </w:r>
      <w:r w:rsidRPr="00DA4677">
        <w:rPr>
          <w:rFonts w:ascii="Times New Roman" w:hAnsi="Times New Roman" w:cs="Times New Roman"/>
          <w:sz w:val="20"/>
          <w:szCs w:val="20"/>
        </w:rPr>
        <w:t xml:space="preserve">ental and Infectious Agents as Drivers of Cancer Disparities in Low-and Middle-Income Countries. </w:t>
      </w:r>
      <w:r w:rsidRPr="00DA4677">
        <w:rPr>
          <w:rFonts w:ascii="Times New Roman" w:hAnsi="Times New Roman" w:cs="Times New Roman"/>
          <w:i/>
          <w:iCs/>
          <w:sz w:val="20"/>
          <w:szCs w:val="20"/>
        </w:rPr>
        <w:t>Cancers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17</w:t>
      </w:r>
      <w:r w:rsidRPr="00DA4677">
        <w:rPr>
          <w:rFonts w:ascii="Times New Roman" w:hAnsi="Times New Roman" w:cs="Times New Roman"/>
          <w:sz w:val="20"/>
          <w:szCs w:val="20"/>
        </w:rPr>
        <w:t>(15), 2537.</w:t>
      </w:r>
    </w:p>
    <w:p w14:paraId="29BB07D6"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Esteban, L. M., Borque-Fernando, Á., </w:t>
      </w:r>
      <w:proofErr w:type="spellStart"/>
      <w:r w:rsidRPr="00DA4677">
        <w:rPr>
          <w:rFonts w:ascii="Times New Roman" w:hAnsi="Times New Roman" w:cs="Times New Roman"/>
          <w:sz w:val="20"/>
          <w:szCs w:val="20"/>
        </w:rPr>
        <w:t>Escorihuela</w:t>
      </w:r>
      <w:proofErr w:type="spellEnd"/>
      <w:r w:rsidRPr="00DA4677">
        <w:rPr>
          <w:rFonts w:ascii="Times New Roman" w:hAnsi="Times New Roman" w:cs="Times New Roman"/>
          <w:sz w:val="20"/>
          <w:szCs w:val="20"/>
        </w:rPr>
        <w:t>, M. E., Esteban-</w:t>
      </w:r>
      <w:proofErr w:type="spellStart"/>
      <w:r w:rsidRPr="00DA4677">
        <w:rPr>
          <w:rFonts w:ascii="Times New Roman" w:hAnsi="Times New Roman" w:cs="Times New Roman"/>
          <w:sz w:val="20"/>
          <w:szCs w:val="20"/>
        </w:rPr>
        <w:t>Escaño</w:t>
      </w:r>
      <w:proofErr w:type="spellEnd"/>
      <w:r w:rsidRPr="00DA4677">
        <w:rPr>
          <w:rFonts w:ascii="Times New Roman" w:hAnsi="Times New Roman" w:cs="Times New Roman"/>
          <w:sz w:val="20"/>
          <w:szCs w:val="20"/>
        </w:rPr>
        <w:t xml:space="preserve">, J., Abascal, J. M., Servian, P., &amp; </w:t>
      </w:r>
      <w:proofErr w:type="spellStart"/>
      <w:r w:rsidRPr="00DA4677">
        <w:rPr>
          <w:rFonts w:ascii="Times New Roman" w:hAnsi="Times New Roman" w:cs="Times New Roman"/>
          <w:sz w:val="20"/>
          <w:szCs w:val="20"/>
        </w:rPr>
        <w:t>Morote</w:t>
      </w:r>
      <w:proofErr w:type="spellEnd"/>
      <w:r w:rsidRPr="00DA4677">
        <w:rPr>
          <w:rFonts w:ascii="Times New Roman" w:hAnsi="Times New Roman" w:cs="Times New Roman"/>
          <w:sz w:val="20"/>
          <w:szCs w:val="20"/>
        </w:rPr>
        <w:t xml:space="preserve">, J. (2025). Integrating radiological and clinical data for clinically significant prostate cancer detection with machine learning techniques. </w:t>
      </w:r>
      <w:r w:rsidRPr="00DA4677">
        <w:rPr>
          <w:rFonts w:ascii="Times New Roman" w:hAnsi="Times New Roman" w:cs="Times New Roman"/>
          <w:i/>
          <w:iCs/>
          <w:sz w:val="20"/>
          <w:szCs w:val="20"/>
        </w:rPr>
        <w:t>Scientific reports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(1), 4261.</w:t>
      </w:r>
    </w:p>
    <w:p w14:paraId="07286E6B"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Flannery, B. T., Sandler, H. M., Lal, P., Feldman, M. D., Santa‐Rosario, J. C., </w:t>
      </w:r>
      <w:r w:rsidRPr="00DA4677">
        <w:rPr>
          <w:rFonts w:ascii="Times New Roman" w:hAnsi="Times New Roman" w:cs="Times New Roman"/>
          <w:sz w:val="20"/>
          <w:szCs w:val="20"/>
        </w:rPr>
        <w:t xml:space="preserve">Pathak, T., ... &amp; </w:t>
      </w:r>
      <w:proofErr w:type="spellStart"/>
      <w:r w:rsidRPr="00DA4677">
        <w:rPr>
          <w:rFonts w:ascii="Times New Roman" w:hAnsi="Times New Roman" w:cs="Times New Roman"/>
          <w:sz w:val="20"/>
          <w:szCs w:val="20"/>
        </w:rPr>
        <w:t>Madabhushi</w:t>
      </w:r>
      <w:proofErr w:type="spellEnd"/>
      <w:r w:rsidRPr="00DA4677">
        <w:rPr>
          <w:rFonts w:ascii="Times New Roman" w:hAnsi="Times New Roman" w:cs="Times New Roman"/>
          <w:sz w:val="20"/>
          <w:szCs w:val="20"/>
        </w:rPr>
        <w:t xml:space="preserve">, A. (2025). Stress testing deep learning models for prostate cancer detection on biopsies and surgical specimens. </w:t>
      </w:r>
      <w:r w:rsidRPr="00DA4677">
        <w:rPr>
          <w:rFonts w:ascii="Times New Roman" w:hAnsi="Times New Roman" w:cs="Times New Roman"/>
          <w:i/>
          <w:iCs/>
          <w:sz w:val="20"/>
          <w:szCs w:val="20"/>
        </w:rPr>
        <w:t>The Journal of Pathology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265</w:t>
      </w:r>
      <w:r w:rsidRPr="00DA4677">
        <w:rPr>
          <w:rFonts w:ascii="Times New Roman" w:hAnsi="Times New Roman" w:cs="Times New Roman"/>
          <w:sz w:val="20"/>
          <w:szCs w:val="20"/>
        </w:rPr>
        <w:t>(2), 146-157.</w:t>
      </w:r>
    </w:p>
    <w:p w14:paraId="3520B1E6"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Freedland, S. J., Hong, A., El-Chaar, N., De Hoedt, A. M., Kim, J., Ev</w:t>
      </w:r>
      <w:r w:rsidRPr="00DA4677">
        <w:rPr>
          <w:rFonts w:ascii="Times New Roman" w:hAnsi="Times New Roman" w:cs="Times New Roman"/>
          <w:sz w:val="20"/>
          <w:szCs w:val="20"/>
        </w:rPr>
        <w:t xml:space="preserve">ans, C., ... &amp; </w:t>
      </w:r>
      <w:proofErr w:type="spellStart"/>
      <w:r w:rsidRPr="00DA4677">
        <w:rPr>
          <w:rFonts w:ascii="Times New Roman" w:hAnsi="Times New Roman" w:cs="Times New Roman"/>
          <w:sz w:val="20"/>
          <w:szCs w:val="20"/>
        </w:rPr>
        <w:t>Polascik</w:t>
      </w:r>
      <w:proofErr w:type="spellEnd"/>
      <w:r w:rsidRPr="00DA4677">
        <w:rPr>
          <w:rFonts w:ascii="Times New Roman" w:hAnsi="Times New Roman" w:cs="Times New Roman"/>
          <w:sz w:val="20"/>
          <w:szCs w:val="20"/>
        </w:rPr>
        <w:t xml:space="preserve">, T. J. (2025). Survival benefit associated with first-line androgen receptor pathway inhibitors for de novo metastatic castration-sensitive prostate cancer. </w:t>
      </w:r>
      <w:r w:rsidRPr="00DA4677">
        <w:rPr>
          <w:rFonts w:ascii="Times New Roman" w:hAnsi="Times New Roman" w:cs="Times New Roman"/>
          <w:i/>
          <w:iCs/>
          <w:sz w:val="20"/>
          <w:szCs w:val="20"/>
        </w:rPr>
        <w:t>Prostate Cancer and Prostatic Diseases</w:t>
      </w:r>
      <w:r w:rsidRPr="00DA4677">
        <w:rPr>
          <w:rFonts w:ascii="Times New Roman" w:hAnsi="Times New Roman" w:cs="Times New Roman"/>
          <w:sz w:val="20"/>
          <w:szCs w:val="20"/>
        </w:rPr>
        <w:t>, 1-8.</w:t>
      </w:r>
    </w:p>
    <w:p w14:paraId="425592C8"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Ghanem, A. S., Faludi, E. V., Bata, R., Mezei, E., Hadar, V., </w:t>
      </w:r>
      <w:proofErr w:type="spellStart"/>
      <w:r w:rsidRPr="00DA4677">
        <w:rPr>
          <w:rFonts w:ascii="Times New Roman" w:hAnsi="Times New Roman" w:cs="Times New Roman"/>
          <w:sz w:val="20"/>
          <w:szCs w:val="20"/>
        </w:rPr>
        <w:t>Móré</w:t>
      </w:r>
      <w:proofErr w:type="spellEnd"/>
      <w:r w:rsidRPr="00DA4677">
        <w:rPr>
          <w:rFonts w:ascii="Times New Roman" w:hAnsi="Times New Roman" w:cs="Times New Roman"/>
          <w:sz w:val="20"/>
          <w:szCs w:val="20"/>
        </w:rPr>
        <w:t xml:space="preserve">, M., ... &amp; Nagy, A. C. (2025). Cancer prevalence and its determinants in Hungary: Analyzing data from the 2009, 2014, and 2019 European Health Interview Surveys. </w:t>
      </w:r>
      <w:proofErr w:type="spellStart"/>
      <w:r w:rsidRPr="00DA4677">
        <w:rPr>
          <w:rFonts w:ascii="Times New Roman" w:hAnsi="Times New Roman" w:cs="Times New Roman"/>
          <w:i/>
          <w:iCs/>
          <w:sz w:val="20"/>
          <w:szCs w:val="20"/>
        </w:rPr>
        <w:t>PloS</w:t>
      </w:r>
      <w:proofErr w:type="spellEnd"/>
      <w:r w:rsidRPr="00DA4677">
        <w:rPr>
          <w:rFonts w:ascii="Times New Roman" w:hAnsi="Times New Roman" w:cs="Times New Roman"/>
          <w:i/>
          <w:iCs/>
          <w:sz w:val="20"/>
          <w:szCs w:val="20"/>
        </w:rPr>
        <w:t xml:space="preserve"> one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20</w:t>
      </w:r>
      <w:r w:rsidRPr="00DA4677">
        <w:rPr>
          <w:rFonts w:ascii="Times New Roman" w:hAnsi="Times New Roman" w:cs="Times New Roman"/>
          <w:sz w:val="20"/>
          <w:szCs w:val="20"/>
        </w:rPr>
        <w:t>(2), e0315689.</w:t>
      </w:r>
    </w:p>
    <w:p w14:paraId="67ECCE68"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Guo, F., </w:t>
      </w:r>
      <w:proofErr w:type="spellStart"/>
      <w:r w:rsidRPr="00DA4677">
        <w:rPr>
          <w:rFonts w:ascii="Times New Roman" w:hAnsi="Times New Roman" w:cs="Times New Roman"/>
          <w:sz w:val="20"/>
          <w:szCs w:val="20"/>
        </w:rPr>
        <w:t>Maolake</w:t>
      </w:r>
      <w:proofErr w:type="spellEnd"/>
      <w:r w:rsidRPr="00DA4677">
        <w:rPr>
          <w:rFonts w:ascii="Times New Roman" w:hAnsi="Times New Roman" w:cs="Times New Roman"/>
          <w:sz w:val="20"/>
          <w:szCs w:val="20"/>
        </w:rPr>
        <w:t xml:space="preserve">, A., Ni, Z., Li, X., Liu, B., Tang, Z., ... &amp; Li, J. (2025). Combination of PSA density and MLR improves the diagnostic accuracy of prostate cancer. </w:t>
      </w:r>
      <w:r w:rsidRPr="00DA4677">
        <w:rPr>
          <w:rFonts w:ascii="Times New Roman" w:hAnsi="Times New Roman" w:cs="Times New Roman"/>
          <w:i/>
          <w:iCs/>
          <w:sz w:val="20"/>
          <w:szCs w:val="20"/>
        </w:rPr>
        <w:t>Frontiers in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 1570584.</w:t>
      </w:r>
    </w:p>
    <w:p w14:paraId="02B75E20" w14:textId="77777777" w:rsidR="00612B51" w:rsidRPr="00DA4677" w:rsidRDefault="00C92CF8" w:rsidP="00612B51">
      <w:pPr>
        <w:rPr>
          <w:rFonts w:ascii="Times New Roman" w:hAnsi="Times New Roman" w:cs="Times New Roman"/>
          <w:sz w:val="20"/>
          <w:szCs w:val="20"/>
        </w:rPr>
      </w:pPr>
      <w:bookmarkStart w:id="9" w:name="_Hlk211483840"/>
      <w:r w:rsidRPr="00DA4677">
        <w:rPr>
          <w:rFonts w:ascii="Times New Roman" w:hAnsi="Times New Roman" w:cs="Times New Roman"/>
          <w:sz w:val="20"/>
          <w:szCs w:val="20"/>
        </w:rPr>
        <w:t>James</w:t>
      </w:r>
      <w:bookmarkEnd w:id="9"/>
      <w:r w:rsidRPr="00DA4677">
        <w:rPr>
          <w:rFonts w:ascii="Times New Roman" w:hAnsi="Times New Roman" w:cs="Times New Roman"/>
          <w:sz w:val="20"/>
          <w:szCs w:val="20"/>
        </w:rPr>
        <w:t xml:space="preserve">, N. D., Tannock, I., </w:t>
      </w:r>
      <w:proofErr w:type="spellStart"/>
      <w:r w:rsidRPr="00DA4677">
        <w:rPr>
          <w:rFonts w:ascii="Times New Roman" w:hAnsi="Times New Roman" w:cs="Times New Roman"/>
          <w:sz w:val="20"/>
          <w:szCs w:val="20"/>
        </w:rPr>
        <w:t>N'Dow</w:t>
      </w:r>
      <w:proofErr w:type="spellEnd"/>
      <w:r w:rsidRPr="00DA4677">
        <w:rPr>
          <w:rFonts w:ascii="Times New Roman" w:hAnsi="Times New Roman" w:cs="Times New Roman"/>
          <w:sz w:val="20"/>
          <w:szCs w:val="20"/>
        </w:rPr>
        <w:t>, J., Feng, F., Gilles</w:t>
      </w:r>
      <w:r w:rsidRPr="00DA4677">
        <w:rPr>
          <w:rFonts w:ascii="Times New Roman" w:hAnsi="Times New Roman" w:cs="Times New Roman"/>
          <w:sz w:val="20"/>
          <w:szCs w:val="20"/>
        </w:rPr>
        <w:t xml:space="preserve">sen, S., Ali, S. A., ... &amp; Xie, L. P. (2024). The Lancet Commission on prostate cancer: planning for the surge in cases. </w:t>
      </w:r>
      <w:r w:rsidRPr="00DA4677">
        <w:rPr>
          <w:rFonts w:ascii="Times New Roman" w:hAnsi="Times New Roman" w:cs="Times New Roman"/>
          <w:i/>
          <w:iCs/>
          <w:sz w:val="20"/>
          <w:szCs w:val="20"/>
        </w:rPr>
        <w:t>The Lancet</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403</w:t>
      </w:r>
      <w:r w:rsidRPr="00DA4677">
        <w:rPr>
          <w:rFonts w:ascii="Times New Roman" w:hAnsi="Times New Roman" w:cs="Times New Roman"/>
          <w:sz w:val="20"/>
          <w:szCs w:val="20"/>
        </w:rPr>
        <w:t>(10437), 1683-1722.</w:t>
      </w:r>
    </w:p>
    <w:p w14:paraId="4FA2AC25"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Kavak, E. E., &amp; Dilli, İ. (2025). Progression‐Free Survival Prediction Performance of ChatGPT: Analy</w:t>
      </w:r>
      <w:r w:rsidRPr="00DA4677">
        <w:rPr>
          <w:rFonts w:ascii="Times New Roman" w:hAnsi="Times New Roman" w:cs="Times New Roman"/>
          <w:sz w:val="20"/>
          <w:szCs w:val="20"/>
        </w:rPr>
        <w:t xml:space="preserve">sis </w:t>
      </w:r>
      <w:proofErr w:type="gramStart"/>
      <w:r w:rsidRPr="00DA4677">
        <w:rPr>
          <w:rFonts w:ascii="Times New Roman" w:hAnsi="Times New Roman" w:cs="Times New Roman"/>
          <w:sz w:val="20"/>
          <w:szCs w:val="20"/>
        </w:rPr>
        <w:t>With</w:t>
      </w:r>
      <w:proofErr w:type="gramEnd"/>
      <w:r w:rsidRPr="00DA4677">
        <w:rPr>
          <w:rFonts w:ascii="Times New Roman" w:hAnsi="Times New Roman" w:cs="Times New Roman"/>
          <w:sz w:val="20"/>
          <w:szCs w:val="20"/>
        </w:rPr>
        <w:t xml:space="preserve"> Real Life Data in Early and Locally Advanced Prostate Cancer. </w:t>
      </w:r>
      <w:r w:rsidRPr="00DA4677">
        <w:rPr>
          <w:rFonts w:ascii="Times New Roman" w:hAnsi="Times New Roman" w:cs="Times New Roman"/>
          <w:i/>
          <w:iCs/>
          <w:sz w:val="20"/>
          <w:szCs w:val="20"/>
        </w:rPr>
        <w:t>The Prostate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85</w:t>
      </w:r>
      <w:r w:rsidRPr="00DA4677">
        <w:rPr>
          <w:rFonts w:ascii="Times New Roman" w:hAnsi="Times New Roman" w:cs="Times New Roman"/>
          <w:sz w:val="20"/>
          <w:szCs w:val="20"/>
        </w:rPr>
        <w:t>(7), 677-683.</w:t>
      </w:r>
    </w:p>
    <w:p w14:paraId="2EB2DBF7"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Kitson-Mills, D., Donkor, A., Amoako, Y. A., Kyei, K. A., Bonsu, E. B. O., Vanderpuye, V., &amp; Wiafe, Y. A. (2025). Outcomes and Toxicities After Treatment f</w:t>
      </w:r>
      <w:r w:rsidRPr="00DA4677">
        <w:rPr>
          <w:rFonts w:ascii="Times New Roman" w:hAnsi="Times New Roman" w:cs="Times New Roman"/>
          <w:sz w:val="20"/>
          <w:szCs w:val="20"/>
        </w:rPr>
        <w:t xml:space="preserve">or Men Diagnosed </w:t>
      </w:r>
      <w:proofErr w:type="gramStart"/>
      <w:r w:rsidRPr="00DA4677">
        <w:rPr>
          <w:rFonts w:ascii="Times New Roman" w:hAnsi="Times New Roman" w:cs="Times New Roman"/>
          <w:sz w:val="20"/>
          <w:szCs w:val="20"/>
        </w:rPr>
        <w:t>With</w:t>
      </w:r>
      <w:proofErr w:type="gramEnd"/>
      <w:r w:rsidRPr="00DA4677">
        <w:rPr>
          <w:rFonts w:ascii="Times New Roman" w:hAnsi="Times New Roman" w:cs="Times New Roman"/>
          <w:sz w:val="20"/>
          <w:szCs w:val="20"/>
        </w:rPr>
        <w:t xml:space="preserve"> Localized Prostate Cancer in Low-and Middle-Income Countries: A Systematic Review and Meta-Analysis. </w:t>
      </w:r>
      <w:r w:rsidRPr="00DA4677">
        <w:rPr>
          <w:rFonts w:ascii="Times New Roman" w:hAnsi="Times New Roman" w:cs="Times New Roman"/>
          <w:i/>
          <w:iCs/>
          <w:sz w:val="20"/>
          <w:szCs w:val="20"/>
        </w:rPr>
        <w:t>Advances in Radiation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10</w:t>
      </w:r>
      <w:r w:rsidRPr="00DA4677">
        <w:rPr>
          <w:rFonts w:ascii="Times New Roman" w:hAnsi="Times New Roman" w:cs="Times New Roman"/>
          <w:sz w:val="20"/>
          <w:szCs w:val="20"/>
        </w:rPr>
        <w:t>(1), 101670.</w:t>
      </w:r>
    </w:p>
    <w:p w14:paraId="1EAD5904"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Kratzer, T. B., Mazzitelli, N., Star, J., </w:t>
      </w:r>
      <w:proofErr w:type="spellStart"/>
      <w:r w:rsidRPr="00DA4677">
        <w:rPr>
          <w:rFonts w:ascii="Times New Roman" w:hAnsi="Times New Roman" w:cs="Times New Roman"/>
          <w:sz w:val="20"/>
          <w:szCs w:val="20"/>
        </w:rPr>
        <w:t>Dahut</w:t>
      </w:r>
      <w:proofErr w:type="spellEnd"/>
      <w:r w:rsidRPr="00DA4677">
        <w:rPr>
          <w:rFonts w:ascii="Times New Roman" w:hAnsi="Times New Roman" w:cs="Times New Roman"/>
          <w:sz w:val="20"/>
          <w:szCs w:val="20"/>
        </w:rPr>
        <w:t>, W. L., Jemal, A., &amp; Siegel, R. L. (20</w:t>
      </w:r>
      <w:r w:rsidRPr="00DA4677">
        <w:rPr>
          <w:rFonts w:ascii="Times New Roman" w:hAnsi="Times New Roman" w:cs="Times New Roman"/>
          <w:sz w:val="20"/>
          <w:szCs w:val="20"/>
        </w:rPr>
        <w:t xml:space="preserve">25). Prostate cancer statistics, 2025. </w:t>
      </w:r>
      <w:r w:rsidRPr="00DA4677">
        <w:rPr>
          <w:rFonts w:ascii="Times New Roman" w:hAnsi="Times New Roman" w:cs="Times New Roman"/>
          <w:i/>
          <w:iCs/>
          <w:sz w:val="20"/>
          <w:szCs w:val="20"/>
        </w:rPr>
        <w:t>CA: A Cancer Journal for Clinicians</w:t>
      </w:r>
      <w:r w:rsidRPr="00DA4677">
        <w:rPr>
          <w:rFonts w:ascii="Times New Roman" w:hAnsi="Times New Roman" w:cs="Times New Roman"/>
          <w:sz w:val="20"/>
          <w:szCs w:val="20"/>
        </w:rPr>
        <w:t>.</w:t>
      </w:r>
    </w:p>
    <w:p w14:paraId="7B3CB076"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Liu, X., &amp; Jiang, H. (2025). The global, regional, and national prostate cancer burden and trends from 1990 to 2021, results from the global burden of disease study 2021. </w:t>
      </w:r>
      <w:r w:rsidRPr="00DA4677">
        <w:rPr>
          <w:rFonts w:ascii="Times New Roman" w:hAnsi="Times New Roman" w:cs="Times New Roman"/>
          <w:i/>
          <w:iCs/>
          <w:sz w:val="20"/>
          <w:szCs w:val="20"/>
        </w:rPr>
        <w:t>Frontiers</w:t>
      </w:r>
      <w:r w:rsidRPr="00DA4677">
        <w:rPr>
          <w:rFonts w:ascii="Times New Roman" w:hAnsi="Times New Roman" w:cs="Times New Roman"/>
          <w:i/>
          <w:iCs/>
          <w:sz w:val="20"/>
          <w:szCs w:val="20"/>
        </w:rPr>
        <w:t xml:space="preserve"> in Public Health</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13</w:t>
      </w:r>
      <w:r w:rsidRPr="00DA4677">
        <w:rPr>
          <w:rFonts w:ascii="Times New Roman" w:hAnsi="Times New Roman" w:cs="Times New Roman"/>
          <w:sz w:val="20"/>
          <w:szCs w:val="20"/>
        </w:rPr>
        <w:t>, 1553747.</w:t>
      </w:r>
    </w:p>
    <w:p w14:paraId="624AA00B" w14:textId="77777777" w:rsidR="00612B51" w:rsidRPr="00DA4677" w:rsidRDefault="00C92CF8"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Marvaso</w:t>
      </w:r>
      <w:proofErr w:type="spellEnd"/>
      <w:r w:rsidRPr="00DA4677">
        <w:rPr>
          <w:rFonts w:ascii="Times New Roman" w:hAnsi="Times New Roman" w:cs="Times New Roman"/>
          <w:sz w:val="20"/>
          <w:szCs w:val="20"/>
        </w:rPr>
        <w:t xml:space="preserve">, G., Corrao, G., Zaffaroni, M., Vincini, M. G., </w:t>
      </w:r>
      <w:proofErr w:type="spellStart"/>
      <w:r w:rsidRPr="00DA4677">
        <w:rPr>
          <w:rFonts w:ascii="Times New Roman" w:hAnsi="Times New Roman" w:cs="Times New Roman"/>
          <w:sz w:val="20"/>
          <w:szCs w:val="20"/>
        </w:rPr>
        <w:t>Lorubbio</w:t>
      </w:r>
      <w:proofErr w:type="spellEnd"/>
      <w:r w:rsidRPr="00DA4677">
        <w:rPr>
          <w:rFonts w:ascii="Times New Roman" w:hAnsi="Times New Roman" w:cs="Times New Roman"/>
          <w:sz w:val="20"/>
          <w:szCs w:val="20"/>
        </w:rPr>
        <w:t xml:space="preserve">, C., Gandini, S., ... &amp; Jereczek-Fossa, B. A. (2025). ADT with SBRT versus SBRT alone for hormone-sensitive </w:t>
      </w:r>
      <w:proofErr w:type="spellStart"/>
      <w:r w:rsidRPr="00DA4677">
        <w:rPr>
          <w:rFonts w:ascii="Times New Roman" w:hAnsi="Times New Roman" w:cs="Times New Roman"/>
          <w:sz w:val="20"/>
          <w:szCs w:val="20"/>
        </w:rPr>
        <w:t>oligorecurrent</w:t>
      </w:r>
      <w:proofErr w:type="spellEnd"/>
      <w:r w:rsidRPr="00DA4677">
        <w:rPr>
          <w:rFonts w:ascii="Times New Roman" w:hAnsi="Times New Roman" w:cs="Times New Roman"/>
          <w:sz w:val="20"/>
          <w:szCs w:val="20"/>
        </w:rPr>
        <w:t xml:space="preserve"> prostate cancer (RADIOSA): a randomi</w:t>
      </w:r>
      <w:r w:rsidRPr="00DA4677">
        <w:rPr>
          <w:rFonts w:ascii="Times New Roman" w:hAnsi="Times New Roman" w:cs="Times New Roman"/>
          <w:sz w:val="20"/>
          <w:szCs w:val="20"/>
        </w:rPr>
        <w:t xml:space="preserve">zed, open-label, phase 2 clinical trial. </w:t>
      </w:r>
      <w:r w:rsidRPr="00DA4677">
        <w:rPr>
          <w:rFonts w:ascii="Times New Roman" w:hAnsi="Times New Roman" w:cs="Times New Roman"/>
          <w:i/>
          <w:iCs/>
          <w:sz w:val="20"/>
          <w:szCs w:val="20"/>
        </w:rPr>
        <w:t>The Lancet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26</w:t>
      </w:r>
      <w:r w:rsidRPr="00DA4677">
        <w:rPr>
          <w:rFonts w:ascii="Times New Roman" w:hAnsi="Times New Roman" w:cs="Times New Roman"/>
          <w:sz w:val="20"/>
          <w:szCs w:val="20"/>
        </w:rPr>
        <w:t>(3), 300-311.</w:t>
      </w:r>
    </w:p>
    <w:p w14:paraId="63EAA587"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Obeng, F., Adamu, A. F., </w:t>
      </w:r>
      <w:proofErr w:type="spellStart"/>
      <w:r w:rsidRPr="00DA4677">
        <w:rPr>
          <w:rFonts w:ascii="Times New Roman" w:hAnsi="Times New Roman" w:cs="Times New Roman"/>
          <w:sz w:val="20"/>
          <w:szCs w:val="20"/>
        </w:rPr>
        <w:t>Gavor</w:t>
      </w:r>
      <w:proofErr w:type="spellEnd"/>
      <w:r w:rsidRPr="00DA4677">
        <w:rPr>
          <w:rFonts w:ascii="Times New Roman" w:hAnsi="Times New Roman" w:cs="Times New Roman"/>
          <w:sz w:val="20"/>
          <w:szCs w:val="20"/>
        </w:rPr>
        <w:t xml:space="preserve">, S. E., </w:t>
      </w:r>
      <w:proofErr w:type="spellStart"/>
      <w:r w:rsidRPr="00DA4677">
        <w:rPr>
          <w:rFonts w:ascii="Times New Roman" w:hAnsi="Times New Roman" w:cs="Times New Roman"/>
          <w:sz w:val="20"/>
          <w:szCs w:val="20"/>
        </w:rPr>
        <w:t>Setsoafia</w:t>
      </w:r>
      <w:proofErr w:type="spellEnd"/>
      <w:r w:rsidRPr="00DA4677">
        <w:rPr>
          <w:rFonts w:ascii="Times New Roman" w:hAnsi="Times New Roman" w:cs="Times New Roman"/>
          <w:sz w:val="20"/>
          <w:szCs w:val="20"/>
        </w:rPr>
        <w:t xml:space="preserve">, B. Y., Antwi, E. K., </w:t>
      </w:r>
      <w:proofErr w:type="spellStart"/>
      <w:r w:rsidRPr="00DA4677">
        <w:rPr>
          <w:rFonts w:ascii="Times New Roman" w:hAnsi="Times New Roman" w:cs="Times New Roman"/>
          <w:sz w:val="20"/>
          <w:szCs w:val="20"/>
        </w:rPr>
        <w:t>Affram</w:t>
      </w:r>
      <w:proofErr w:type="spellEnd"/>
      <w:r w:rsidRPr="00DA4677">
        <w:rPr>
          <w:rFonts w:ascii="Times New Roman" w:hAnsi="Times New Roman" w:cs="Times New Roman"/>
          <w:sz w:val="20"/>
          <w:szCs w:val="20"/>
        </w:rPr>
        <w:t>, N., &amp; Ali, A. M. (2025). Case Report: Atypical prostate cancer presentation: rectal bleeding, pain,</w:t>
      </w:r>
      <w:r w:rsidRPr="00DA4677">
        <w:rPr>
          <w:rFonts w:ascii="Times New Roman" w:hAnsi="Times New Roman" w:cs="Times New Roman"/>
          <w:sz w:val="20"/>
          <w:szCs w:val="20"/>
        </w:rPr>
        <w:t xml:space="preserve"> and psoriasiform dermatitis. </w:t>
      </w:r>
      <w:r w:rsidRPr="00DA4677">
        <w:rPr>
          <w:rFonts w:ascii="Times New Roman" w:hAnsi="Times New Roman" w:cs="Times New Roman"/>
          <w:i/>
          <w:iCs/>
          <w:sz w:val="20"/>
          <w:szCs w:val="20"/>
        </w:rPr>
        <w:t>Frontiers in Oncology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 1476988.</w:t>
      </w:r>
    </w:p>
    <w:p w14:paraId="3BDD1C96"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Ofori, B., Fosu, K., Aikins, A. R., &amp; Sarpong, K. A. N. (2025). The intersection of culture and prostate cancer care in Sub-Saharan Africa: a systematic review. </w:t>
      </w:r>
      <w:r w:rsidRPr="00DA4677">
        <w:rPr>
          <w:rFonts w:ascii="Times New Roman" w:hAnsi="Times New Roman" w:cs="Times New Roman"/>
          <w:i/>
          <w:iCs/>
          <w:sz w:val="20"/>
          <w:szCs w:val="20"/>
        </w:rPr>
        <w:t>African Journal of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3</w:t>
      </w:r>
      <w:r w:rsidRPr="00DA4677">
        <w:rPr>
          <w:rFonts w:ascii="Times New Roman" w:hAnsi="Times New Roman" w:cs="Times New Roman"/>
          <w:i/>
          <w:iCs/>
          <w:sz w:val="20"/>
          <w:szCs w:val="20"/>
        </w:rPr>
        <w:t>1</w:t>
      </w:r>
      <w:r w:rsidRPr="00DA4677">
        <w:rPr>
          <w:rFonts w:ascii="Times New Roman" w:hAnsi="Times New Roman" w:cs="Times New Roman"/>
          <w:sz w:val="20"/>
          <w:szCs w:val="20"/>
        </w:rPr>
        <w:t>(1), 41.</w:t>
      </w:r>
    </w:p>
    <w:p w14:paraId="2C9E7997"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lastRenderedPageBreak/>
        <w:t xml:space="preserve">Preisser, F., Tilki, D., &amp; Benson, M. C. (2025). Prostate Cancer: Epidemiology. In </w:t>
      </w:r>
      <w:r w:rsidRPr="00DA4677">
        <w:rPr>
          <w:rFonts w:ascii="Times New Roman" w:hAnsi="Times New Roman" w:cs="Times New Roman"/>
          <w:i/>
          <w:iCs/>
          <w:sz w:val="20"/>
          <w:szCs w:val="20"/>
        </w:rPr>
        <w:t>Primer on Urology</w:t>
      </w:r>
      <w:r w:rsidRPr="00DA4677">
        <w:rPr>
          <w:rFonts w:ascii="Times New Roman" w:hAnsi="Times New Roman" w:cs="Times New Roman"/>
          <w:sz w:val="20"/>
          <w:szCs w:val="20"/>
        </w:rPr>
        <w:t xml:space="preserve"> (pp. 53-67). Cham: Springer Nature Switzerland.</w:t>
      </w:r>
    </w:p>
    <w:bookmarkEnd w:id="8"/>
    <w:p w14:paraId="56AB5A30"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Sarpong, L. M., Acheampong, A., Badu, M., Adjei, S., Yakubu, J., Baah, K. A., ... &amp; Amponsah, I. </w:t>
      </w:r>
      <w:r w:rsidRPr="00DA4677">
        <w:rPr>
          <w:rFonts w:ascii="Times New Roman" w:hAnsi="Times New Roman" w:cs="Times New Roman"/>
          <w:sz w:val="20"/>
          <w:szCs w:val="20"/>
        </w:rPr>
        <w:t xml:space="preserve">K. (2025). Anti-Prostatic Carcinoma Activity of </w:t>
      </w:r>
      <w:proofErr w:type="spellStart"/>
      <w:r w:rsidRPr="00DA4677">
        <w:rPr>
          <w:rFonts w:ascii="Times New Roman" w:hAnsi="Times New Roman" w:cs="Times New Roman"/>
          <w:sz w:val="20"/>
          <w:szCs w:val="20"/>
        </w:rPr>
        <w:t>Entandrophragma</w:t>
      </w:r>
      <w:proofErr w:type="spellEnd"/>
      <w:r w:rsidRPr="00DA4677">
        <w:rPr>
          <w:rFonts w:ascii="Times New Roman" w:hAnsi="Times New Roman" w:cs="Times New Roman"/>
          <w:sz w:val="20"/>
          <w:szCs w:val="20"/>
        </w:rPr>
        <w:t xml:space="preserve"> </w:t>
      </w:r>
      <w:proofErr w:type="spellStart"/>
      <w:r w:rsidRPr="00DA4677">
        <w:rPr>
          <w:rFonts w:ascii="Times New Roman" w:hAnsi="Times New Roman" w:cs="Times New Roman"/>
          <w:sz w:val="20"/>
          <w:szCs w:val="20"/>
        </w:rPr>
        <w:t>angolense</w:t>
      </w:r>
      <w:proofErr w:type="spellEnd"/>
      <w:r w:rsidRPr="00DA4677">
        <w:rPr>
          <w:rFonts w:ascii="Times New Roman" w:hAnsi="Times New Roman" w:cs="Times New Roman"/>
          <w:sz w:val="20"/>
          <w:szCs w:val="20"/>
        </w:rPr>
        <w:t xml:space="preserve"> and Methyl </w:t>
      </w:r>
      <w:proofErr w:type="spellStart"/>
      <w:r w:rsidRPr="00DA4677">
        <w:rPr>
          <w:rFonts w:ascii="Times New Roman" w:hAnsi="Times New Roman" w:cs="Times New Roman"/>
          <w:sz w:val="20"/>
          <w:szCs w:val="20"/>
        </w:rPr>
        <w:t>Angolensate</w:t>
      </w:r>
      <w:proofErr w:type="spellEnd"/>
      <w:r w:rsidRPr="00DA4677">
        <w:rPr>
          <w:rFonts w:ascii="Times New Roman" w:hAnsi="Times New Roman" w:cs="Times New Roman"/>
          <w:sz w:val="20"/>
          <w:szCs w:val="20"/>
        </w:rPr>
        <w:t xml:space="preserve">: In Vitro and In Silico Analyses. </w:t>
      </w:r>
      <w:r w:rsidRPr="00DA4677">
        <w:rPr>
          <w:rFonts w:ascii="Times New Roman" w:hAnsi="Times New Roman" w:cs="Times New Roman"/>
          <w:i/>
          <w:iCs/>
          <w:sz w:val="20"/>
          <w:szCs w:val="20"/>
        </w:rPr>
        <w:t>Natural Product Communications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20</w:t>
      </w:r>
      <w:r w:rsidRPr="00DA4677">
        <w:rPr>
          <w:rFonts w:ascii="Times New Roman" w:hAnsi="Times New Roman" w:cs="Times New Roman"/>
          <w:sz w:val="20"/>
          <w:szCs w:val="20"/>
        </w:rPr>
        <w:t>(10), 1934578X251384534.</w:t>
      </w:r>
    </w:p>
    <w:p w14:paraId="06AFD675"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Wu, Y. C., Wang, S. I., Lu, L. Y., Wu, M. Y., Wu, P. L., Hsieh, T.</w:t>
      </w:r>
      <w:r w:rsidRPr="00DA4677">
        <w:rPr>
          <w:rFonts w:ascii="Times New Roman" w:hAnsi="Times New Roman" w:cs="Times New Roman"/>
          <w:sz w:val="20"/>
          <w:szCs w:val="20"/>
        </w:rPr>
        <w:t xml:space="preserve"> Y., &amp; Sung, W. W. (2025). The Predictive Role of the Gleason Score in Determining Prognosis to Systematic Treatment in Metastatic Castration-Sensitive Prostate Cancer: A Systematic Review and Network Meta-Analysis. </w:t>
      </w:r>
      <w:r w:rsidRPr="00DA4677">
        <w:rPr>
          <w:rFonts w:ascii="Times New Roman" w:hAnsi="Times New Roman" w:cs="Times New Roman"/>
          <w:i/>
          <w:iCs/>
          <w:sz w:val="20"/>
          <w:szCs w:val="20"/>
        </w:rPr>
        <w:t>Journal of Clinical Medicine</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14</w:t>
      </w:r>
      <w:r w:rsidRPr="00DA4677">
        <w:rPr>
          <w:rFonts w:ascii="Times New Roman" w:hAnsi="Times New Roman" w:cs="Times New Roman"/>
          <w:sz w:val="20"/>
          <w:szCs w:val="20"/>
        </w:rPr>
        <w:t>(4), 132</w:t>
      </w:r>
      <w:r w:rsidRPr="00DA4677">
        <w:rPr>
          <w:rFonts w:ascii="Times New Roman" w:hAnsi="Times New Roman" w:cs="Times New Roman"/>
          <w:sz w:val="20"/>
          <w:szCs w:val="20"/>
        </w:rPr>
        <w:t>6.</w:t>
      </w:r>
    </w:p>
    <w:p w14:paraId="22C2F303"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Xiong, J., Liu, Y., Qiao, X., Ai, G., Ma, J., &amp; He, X. (2025). A novel composite index of PSA and periprostatic adipose tissue quantification for enhancing high-grade prostate cancer prediction. </w:t>
      </w:r>
      <w:r w:rsidRPr="00DA4677">
        <w:rPr>
          <w:rFonts w:ascii="Times New Roman" w:hAnsi="Times New Roman" w:cs="Times New Roman"/>
          <w:i/>
          <w:iCs/>
          <w:sz w:val="20"/>
          <w:szCs w:val="20"/>
        </w:rPr>
        <w:t>BMC urology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25</w:t>
      </w:r>
      <w:r w:rsidRPr="00DA4677">
        <w:rPr>
          <w:rFonts w:ascii="Times New Roman" w:hAnsi="Times New Roman" w:cs="Times New Roman"/>
          <w:sz w:val="20"/>
          <w:szCs w:val="20"/>
        </w:rPr>
        <w:t>(1), 199.</w:t>
      </w:r>
    </w:p>
    <w:p w14:paraId="2BF18FE2" w14:textId="77777777" w:rsidR="00612B51" w:rsidRPr="00DA4677" w:rsidRDefault="00C92CF8" w:rsidP="00612B51">
      <w:pPr>
        <w:rPr>
          <w:rFonts w:ascii="Times New Roman" w:hAnsi="Times New Roman" w:cs="Times New Roman"/>
          <w:sz w:val="20"/>
          <w:szCs w:val="20"/>
        </w:rPr>
      </w:pPr>
      <w:proofErr w:type="spellStart"/>
      <w:r w:rsidRPr="00DA4677">
        <w:rPr>
          <w:rFonts w:ascii="Times New Roman" w:hAnsi="Times New Roman" w:cs="Times New Roman"/>
          <w:sz w:val="20"/>
          <w:szCs w:val="20"/>
        </w:rPr>
        <w:t>Yeasin</w:t>
      </w:r>
      <w:proofErr w:type="spellEnd"/>
      <w:r w:rsidRPr="00DA4677">
        <w:rPr>
          <w:rFonts w:ascii="Times New Roman" w:hAnsi="Times New Roman" w:cs="Times New Roman"/>
          <w:sz w:val="20"/>
          <w:szCs w:val="20"/>
        </w:rPr>
        <w:t xml:space="preserve">, A., Hossain, M., Baral, S., Chen, J., &amp; Sun, W. (2025). The diagnostic value of prostate health index combined with soluble e-cadherin for prostate cancer. </w:t>
      </w:r>
      <w:r w:rsidRPr="00DA4677">
        <w:rPr>
          <w:rFonts w:ascii="Times New Roman" w:hAnsi="Times New Roman" w:cs="Times New Roman"/>
          <w:i/>
          <w:iCs/>
          <w:sz w:val="20"/>
          <w:szCs w:val="20"/>
        </w:rPr>
        <w:t>Frontiers in Endocrinology</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16</w:t>
      </w:r>
      <w:r w:rsidRPr="00DA4677">
        <w:rPr>
          <w:rFonts w:ascii="Times New Roman" w:hAnsi="Times New Roman" w:cs="Times New Roman"/>
          <w:sz w:val="20"/>
          <w:szCs w:val="20"/>
        </w:rPr>
        <w:t>, 1531866.</w:t>
      </w:r>
    </w:p>
    <w:p w14:paraId="6D29AA1D"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Zhang, X., Li, Y., Yan, C., Ma, L., Yu, M., Yang, Y., ...</w:t>
      </w:r>
      <w:r w:rsidRPr="00DA4677">
        <w:rPr>
          <w:rFonts w:ascii="Times New Roman" w:hAnsi="Times New Roman" w:cs="Times New Roman"/>
          <w:sz w:val="20"/>
          <w:szCs w:val="20"/>
        </w:rPr>
        <w:t xml:space="preserve"> &amp; Peng, L. (2025). Global trends in testicular and prostate cancer among adolescents and young adult males aged 15–49 years, 1990–2021: insights from the GBD study. </w:t>
      </w:r>
      <w:r w:rsidRPr="00DA4677">
        <w:rPr>
          <w:rFonts w:ascii="Times New Roman" w:hAnsi="Times New Roman" w:cs="Times New Roman"/>
          <w:i/>
          <w:iCs/>
          <w:sz w:val="20"/>
          <w:szCs w:val="20"/>
        </w:rPr>
        <w:t>Scientific Reports</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15</w:t>
      </w:r>
      <w:r w:rsidRPr="00DA4677">
        <w:rPr>
          <w:rFonts w:ascii="Times New Roman" w:hAnsi="Times New Roman" w:cs="Times New Roman"/>
          <w:sz w:val="20"/>
          <w:szCs w:val="20"/>
        </w:rPr>
        <w:t>(1), 23388.</w:t>
      </w:r>
    </w:p>
    <w:p w14:paraId="727012A4"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Zhao, X., Liu, S., Zou, Z., &amp; Liang, C. (2025). Global, </w:t>
      </w:r>
      <w:r w:rsidRPr="00DA4677">
        <w:rPr>
          <w:rFonts w:ascii="Times New Roman" w:hAnsi="Times New Roman" w:cs="Times New Roman"/>
          <w:sz w:val="20"/>
          <w:szCs w:val="20"/>
        </w:rPr>
        <w:t xml:space="preserve">regional, and national prevalence of prostate cancer from 1990 to 2021: a trend and health inequality analyses. </w:t>
      </w:r>
      <w:r w:rsidRPr="00DA4677">
        <w:rPr>
          <w:rFonts w:ascii="Times New Roman" w:hAnsi="Times New Roman" w:cs="Times New Roman"/>
          <w:i/>
          <w:iCs/>
          <w:sz w:val="20"/>
          <w:szCs w:val="20"/>
        </w:rPr>
        <w:t>Frontiers in Public Health</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13</w:t>
      </w:r>
      <w:r w:rsidRPr="00DA4677">
        <w:rPr>
          <w:rFonts w:ascii="Times New Roman" w:hAnsi="Times New Roman" w:cs="Times New Roman"/>
          <w:sz w:val="20"/>
          <w:szCs w:val="20"/>
        </w:rPr>
        <w:t>, 1595159.</w:t>
      </w:r>
    </w:p>
    <w:p w14:paraId="50882460"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Zhu, X., Che, X., Yang, R., Bao, B., &amp; Chu, G. (2025). Global, Regional, and National Burden of Cancer </w:t>
      </w:r>
      <w:r w:rsidRPr="00DA4677">
        <w:rPr>
          <w:rFonts w:ascii="Times New Roman" w:hAnsi="Times New Roman" w:cs="Times New Roman"/>
          <w:sz w:val="20"/>
          <w:szCs w:val="20"/>
        </w:rPr>
        <w:t xml:space="preserve">in the Elderly Population, 1990–2021: Analysis of Data </w:t>
      </w:r>
      <w:proofErr w:type="gramStart"/>
      <w:r w:rsidRPr="00DA4677">
        <w:rPr>
          <w:rFonts w:ascii="Times New Roman" w:hAnsi="Times New Roman" w:cs="Times New Roman"/>
          <w:sz w:val="20"/>
          <w:szCs w:val="20"/>
        </w:rPr>
        <w:t>From</w:t>
      </w:r>
      <w:proofErr w:type="gramEnd"/>
      <w:r w:rsidRPr="00DA4677">
        <w:rPr>
          <w:rFonts w:ascii="Times New Roman" w:hAnsi="Times New Roman" w:cs="Times New Roman"/>
          <w:sz w:val="20"/>
          <w:szCs w:val="20"/>
        </w:rPr>
        <w:t xml:space="preserve"> the Global Burden of Disease Study 2021. </w:t>
      </w:r>
      <w:r w:rsidRPr="00DA4677">
        <w:rPr>
          <w:rFonts w:ascii="Times New Roman" w:hAnsi="Times New Roman" w:cs="Times New Roman"/>
          <w:i/>
          <w:iCs/>
          <w:sz w:val="20"/>
          <w:szCs w:val="20"/>
        </w:rPr>
        <w:t>Med Research</w:t>
      </w:r>
      <w:r w:rsidRPr="00DA4677">
        <w:rPr>
          <w:rFonts w:ascii="Times New Roman" w:hAnsi="Times New Roman" w:cs="Times New Roman"/>
          <w:sz w:val="20"/>
          <w:szCs w:val="20"/>
        </w:rPr>
        <w:t>.</w:t>
      </w:r>
    </w:p>
    <w:p w14:paraId="11E84807" w14:textId="77777777" w:rsidR="00612B51" w:rsidRPr="00DA4677" w:rsidRDefault="00C92CF8" w:rsidP="00612B51">
      <w:pPr>
        <w:rPr>
          <w:rFonts w:ascii="Times New Roman" w:hAnsi="Times New Roman" w:cs="Times New Roman"/>
          <w:sz w:val="20"/>
          <w:szCs w:val="20"/>
        </w:rPr>
      </w:pPr>
      <w:r w:rsidRPr="00DA4677">
        <w:rPr>
          <w:rFonts w:ascii="Times New Roman" w:hAnsi="Times New Roman" w:cs="Times New Roman"/>
          <w:sz w:val="20"/>
          <w:szCs w:val="20"/>
        </w:rPr>
        <w:t xml:space="preserve">Zi, H., Liu, M. Y., Luo, L. S., Huang, Q., Luo, P. C., Luan, H. H., ... &amp; Zeng, X. T. (2024). Global burden of benign prostatic hyperplasia, </w:t>
      </w:r>
      <w:r w:rsidRPr="00DA4677">
        <w:rPr>
          <w:rFonts w:ascii="Times New Roman" w:hAnsi="Times New Roman" w:cs="Times New Roman"/>
          <w:sz w:val="20"/>
          <w:szCs w:val="20"/>
        </w:rPr>
        <w:t xml:space="preserve">urinary tract infections, urolithiasis, bladder cancer, kidney cancer, and prostate cancer from 1990 to 2021. </w:t>
      </w:r>
      <w:r w:rsidRPr="00DA4677">
        <w:rPr>
          <w:rFonts w:ascii="Times New Roman" w:hAnsi="Times New Roman" w:cs="Times New Roman"/>
          <w:i/>
          <w:iCs/>
          <w:sz w:val="20"/>
          <w:szCs w:val="20"/>
        </w:rPr>
        <w:t>Military Medical Research</w:t>
      </w:r>
      <w:r w:rsidRPr="00DA4677">
        <w:rPr>
          <w:rFonts w:ascii="Times New Roman" w:hAnsi="Times New Roman" w:cs="Times New Roman"/>
          <w:sz w:val="20"/>
          <w:szCs w:val="20"/>
        </w:rPr>
        <w:t xml:space="preserve">, </w:t>
      </w:r>
      <w:r w:rsidRPr="00DA4677">
        <w:rPr>
          <w:rFonts w:ascii="Times New Roman" w:hAnsi="Times New Roman" w:cs="Times New Roman"/>
          <w:i/>
          <w:iCs/>
          <w:sz w:val="20"/>
          <w:szCs w:val="20"/>
        </w:rPr>
        <w:t>11</w:t>
      </w:r>
      <w:r w:rsidRPr="00DA4677">
        <w:rPr>
          <w:rFonts w:ascii="Times New Roman" w:hAnsi="Times New Roman" w:cs="Times New Roman"/>
          <w:sz w:val="20"/>
          <w:szCs w:val="20"/>
        </w:rPr>
        <w:t>(1), 64.</w:t>
      </w:r>
    </w:p>
    <w:p w14:paraId="171FDD28" w14:textId="77777777" w:rsidR="004A1DEA" w:rsidRPr="00571986" w:rsidRDefault="004A1DEA" w:rsidP="00571986">
      <w:pPr>
        <w:jc w:val="center"/>
        <w:rPr>
          <w:rFonts w:ascii="Times New Roman" w:hAnsi="Times New Roman" w:cs="Times New Roman"/>
          <w:b/>
          <w:bCs/>
          <w:sz w:val="20"/>
          <w:szCs w:val="20"/>
        </w:rPr>
      </w:pPr>
    </w:p>
    <w:p w14:paraId="458C6F60" w14:textId="25FD8E34" w:rsidR="00AF5B97" w:rsidRDefault="00571986" w:rsidP="00571986">
      <w:pPr>
        <w:jc w:val="center"/>
        <w:rPr>
          <w:rFonts w:ascii="Times New Roman" w:hAnsi="Times New Roman" w:cs="Times New Roman"/>
          <w:b/>
          <w:bCs/>
          <w:sz w:val="20"/>
          <w:szCs w:val="20"/>
        </w:rPr>
      </w:pPr>
      <w:r w:rsidRPr="00571986">
        <w:rPr>
          <w:rFonts w:ascii="Times New Roman" w:hAnsi="Times New Roman" w:cs="Times New Roman"/>
          <w:b/>
          <w:bCs/>
          <w:sz w:val="20"/>
          <w:szCs w:val="20"/>
        </w:rPr>
        <w:t>SUPPLEMENTARY MATERIALS</w:t>
      </w:r>
    </w:p>
    <w:p w14:paraId="78417CBE" w14:textId="6F4C9FBE" w:rsidR="00571986" w:rsidRPr="00571986" w:rsidRDefault="00571986" w:rsidP="00571986">
      <w:pPr>
        <w:jc w:val="center"/>
        <w:rPr>
          <w:rFonts w:ascii="Times New Roman" w:hAnsi="Times New Roman" w:cs="Times New Roman"/>
          <w:b/>
          <w:bCs/>
          <w:sz w:val="20"/>
          <w:szCs w:val="20"/>
        </w:rPr>
      </w:pPr>
      <w:r>
        <w:rPr>
          <w:rFonts w:ascii="Times New Roman" w:hAnsi="Times New Roman" w:cs="Times New Roman"/>
          <w:b/>
          <w:bCs/>
          <w:sz w:val="20"/>
          <w:szCs w:val="20"/>
        </w:rPr>
        <w:t xml:space="preserve">Appendices </w:t>
      </w:r>
    </w:p>
    <w:p w14:paraId="5E9A1828" w14:textId="5077B279" w:rsidR="00AF5B97" w:rsidRDefault="00AF5B97" w:rsidP="00612B51">
      <w:pPr>
        <w:rPr>
          <w:rFonts w:ascii="Times New Roman" w:hAnsi="Times New Roman" w:cs="Times New Roman"/>
          <w:sz w:val="20"/>
          <w:szCs w:val="20"/>
        </w:rPr>
      </w:pPr>
      <w:r w:rsidRPr="00AF5B97">
        <w:rPr>
          <w:rFonts w:ascii="Cambria" w:eastAsia="Times New Roman" w:hAnsi="Cambria" w:cs="Times New Roman"/>
          <w:noProof/>
          <w:kern w:val="0"/>
          <w:sz w:val="24"/>
          <w:szCs w:val="24"/>
          <w14:ligatures w14:val="none"/>
        </w:rPr>
        <w:drawing>
          <wp:inline distT="0" distB="0" distL="0" distR="0" wp14:anchorId="1B0699F6" wp14:editId="36821032">
            <wp:extent cx="5730240" cy="2457192"/>
            <wp:effectExtent l="0" t="0" r="3810" b="635"/>
            <wp:docPr id="982852314" name="Picture 9828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6"/>
                    <a:srcRect t="6068"/>
                    <a:stretch>
                      <a:fillRect/>
                    </a:stretch>
                  </pic:blipFill>
                  <pic:spPr bwMode="auto">
                    <a:xfrm>
                      <a:off x="0" y="0"/>
                      <a:ext cx="5741691" cy="2462102"/>
                    </a:xfrm>
                    <a:prstGeom prst="rect">
                      <a:avLst/>
                    </a:prstGeom>
                    <a:noFill/>
                    <a:ln>
                      <a:noFill/>
                    </a:ln>
                    <a:extLst>
                      <a:ext uri="{53640926-AAD7-44D8-BBD7-CCE9431645EC}">
                        <a14:shadowObscured xmlns:a14="http://schemas.microsoft.com/office/drawing/2010/main"/>
                      </a:ext>
                    </a:extLst>
                  </pic:spPr>
                </pic:pic>
              </a:graphicData>
            </a:graphic>
          </wp:inline>
        </w:drawing>
      </w:r>
    </w:p>
    <w:p w14:paraId="0E7DF790" w14:textId="2ADF44D4" w:rsidR="00AF5B97" w:rsidRDefault="00AF5B97" w:rsidP="00612B51">
      <w:pPr>
        <w:rPr>
          <w:rFonts w:ascii="Times New Roman" w:hAnsi="Times New Roman" w:cs="Times New Roman"/>
          <w:sz w:val="20"/>
          <w:szCs w:val="20"/>
        </w:rPr>
      </w:pPr>
      <w:r w:rsidRPr="00AF5B97">
        <w:rPr>
          <w:rFonts w:ascii="Times New Roman" w:hAnsi="Times New Roman" w:cs="Times New Roman"/>
          <w:sz w:val="20"/>
          <w:szCs w:val="20"/>
        </w:rPr>
        <w:t>Figure S1. Complementary Log–Log Survival Plot by Age Quartiles</w:t>
      </w:r>
    </w:p>
    <w:p w14:paraId="52605015" w14:textId="53ED1204" w:rsidR="002044D1" w:rsidRDefault="002044D1" w:rsidP="00612B51">
      <w:pPr>
        <w:rPr>
          <w:rFonts w:ascii="Times New Roman" w:hAnsi="Times New Roman" w:cs="Times New Roman"/>
          <w:sz w:val="20"/>
          <w:szCs w:val="20"/>
        </w:rPr>
      </w:pPr>
    </w:p>
    <w:p w14:paraId="48D8FBDE" w14:textId="47435A60" w:rsidR="002044D1" w:rsidRDefault="002044D1" w:rsidP="00612B51">
      <w:pPr>
        <w:rPr>
          <w:rFonts w:ascii="Times New Roman" w:hAnsi="Times New Roman" w:cs="Times New Roman"/>
          <w:sz w:val="20"/>
          <w:szCs w:val="20"/>
        </w:rPr>
      </w:pPr>
    </w:p>
    <w:p w14:paraId="7DEEEFD6" w14:textId="5273D236" w:rsidR="002044D1" w:rsidRDefault="002044D1" w:rsidP="00612B51">
      <w:pPr>
        <w:rPr>
          <w:rFonts w:ascii="Times New Roman" w:hAnsi="Times New Roman" w:cs="Times New Roman"/>
          <w:sz w:val="20"/>
          <w:szCs w:val="20"/>
        </w:rPr>
      </w:pPr>
    </w:p>
    <w:p w14:paraId="405449FE" w14:textId="7CA77015" w:rsidR="002044D1" w:rsidRDefault="002044D1" w:rsidP="00612B51">
      <w:pPr>
        <w:rPr>
          <w:rFonts w:ascii="Times New Roman" w:hAnsi="Times New Roman" w:cs="Times New Roman"/>
          <w:sz w:val="20"/>
          <w:szCs w:val="20"/>
        </w:rPr>
      </w:pPr>
    </w:p>
    <w:p w14:paraId="3E83DB87" w14:textId="6389944C" w:rsidR="002044D1" w:rsidRDefault="002044D1" w:rsidP="00612B51">
      <w:pPr>
        <w:rPr>
          <w:rFonts w:ascii="Times New Roman" w:hAnsi="Times New Roman" w:cs="Times New Roman"/>
          <w:sz w:val="20"/>
          <w:szCs w:val="20"/>
        </w:rPr>
      </w:pPr>
    </w:p>
    <w:p w14:paraId="300B01AD" w14:textId="314C0A10" w:rsidR="002044D1" w:rsidRDefault="002044D1" w:rsidP="00612B51">
      <w:pPr>
        <w:rPr>
          <w:rFonts w:ascii="Times New Roman" w:hAnsi="Times New Roman" w:cs="Times New Roman"/>
          <w:sz w:val="20"/>
          <w:szCs w:val="20"/>
        </w:rPr>
      </w:pPr>
    </w:p>
    <w:p w14:paraId="4D2AD4D7" w14:textId="7F340B73" w:rsidR="002044D1" w:rsidRDefault="002044D1" w:rsidP="00612B51">
      <w:pPr>
        <w:rPr>
          <w:rFonts w:ascii="Times New Roman" w:hAnsi="Times New Roman" w:cs="Times New Roman"/>
          <w:sz w:val="20"/>
          <w:szCs w:val="20"/>
        </w:rPr>
      </w:pPr>
    </w:p>
    <w:p w14:paraId="0AA848B2" w14:textId="74F98956" w:rsidR="002044D1" w:rsidRDefault="002044D1" w:rsidP="00612B51">
      <w:pPr>
        <w:rPr>
          <w:rFonts w:ascii="Times New Roman" w:hAnsi="Times New Roman" w:cs="Times New Roman"/>
          <w:sz w:val="20"/>
          <w:szCs w:val="20"/>
        </w:rPr>
      </w:pPr>
    </w:p>
    <w:p w14:paraId="24169CAF" w14:textId="1285A38B" w:rsidR="002044D1" w:rsidRDefault="002044D1" w:rsidP="00612B51">
      <w:pPr>
        <w:rPr>
          <w:rFonts w:ascii="Times New Roman" w:hAnsi="Times New Roman" w:cs="Times New Roman"/>
          <w:sz w:val="20"/>
          <w:szCs w:val="20"/>
        </w:rPr>
      </w:pPr>
    </w:p>
    <w:p w14:paraId="2BDFC74A" w14:textId="42ED39C6" w:rsidR="002044D1" w:rsidRDefault="002044D1" w:rsidP="00612B51">
      <w:pPr>
        <w:rPr>
          <w:rFonts w:ascii="Times New Roman" w:hAnsi="Times New Roman" w:cs="Times New Roman"/>
          <w:sz w:val="20"/>
          <w:szCs w:val="20"/>
        </w:rPr>
      </w:pPr>
    </w:p>
    <w:p w14:paraId="21CE3D3E" w14:textId="77777777" w:rsidR="002044D1" w:rsidRDefault="002044D1" w:rsidP="00612B51">
      <w:pPr>
        <w:rPr>
          <w:rFonts w:ascii="Times New Roman" w:hAnsi="Times New Roman" w:cs="Times New Roman"/>
          <w:sz w:val="20"/>
          <w:szCs w:val="20"/>
        </w:rPr>
      </w:pPr>
      <w:bookmarkStart w:id="10" w:name="_GoBack"/>
      <w:bookmarkEnd w:id="10"/>
    </w:p>
    <w:p w14:paraId="16260DFC" w14:textId="61C94323" w:rsidR="00AF5B97" w:rsidRDefault="00AF5B97" w:rsidP="00612B51">
      <w:pPr>
        <w:rPr>
          <w:rFonts w:ascii="Times New Roman" w:hAnsi="Times New Roman" w:cs="Times New Roman"/>
          <w:sz w:val="20"/>
          <w:szCs w:val="20"/>
        </w:rPr>
      </w:pPr>
      <w:r w:rsidRPr="00AF5B97">
        <w:rPr>
          <w:rFonts w:ascii="Cambria" w:eastAsia="Times New Roman" w:hAnsi="Cambria" w:cs="Times New Roman"/>
          <w:noProof/>
          <w:kern w:val="0"/>
          <w:sz w:val="24"/>
          <w:szCs w:val="24"/>
          <w14:ligatures w14:val="none"/>
        </w:rPr>
        <w:drawing>
          <wp:inline distT="0" distB="0" distL="0" distR="0" wp14:anchorId="01217DDF" wp14:editId="0365C2B4">
            <wp:extent cx="5729605" cy="2552055"/>
            <wp:effectExtent l="0" t="0" r="4445" b="1270"/>
            <wp:docPr id="201734407" name="Picture 20173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rotWithShape="1">
                    <a:blip r:embed="rId17"/>
                    <a:srcRect t="7161"/>
                    <a:stretch>
                      <a:fillRect/>
                    </a:stretch>
                  </pic:blipFill>
                  <pic:spPr bwMode="auto">
                    <a:xfrm>
                      <a:off x="0" y="0"/>
                      <a:ext cx="5746766" cy="2559699"/>
                    </a:xfrm>
                    <a:prstGeom prst="rect">
                      <a:avLst/>
                    </a:prstGeom>
                    <a:noFill/>
                    <a:ln>
                      <a:noFill/>
                    </a:ln>
                    <a:extLst>
                      <a:ext uri="{53640926-AAD7-44D8-BBD7-CCE9431645EC}">
                        <a14:shadowObscured xmlns:a14="http://schemas.microsoft.com/office/drawing/2010/main"/>
                      </a:ext>
                    </a:extLst>
                  </pic:spPr>
                </pic:pic>
              </a:graphicData>
            </a:graphic>
          </wp:inline>
        </w:drawing>
      </w:r>
    </w:p>
    <w:p w14:paraId="2C2C5DD2" w14:textId="162CEE1E" w:rsidR="00AF5B97" w:rsidRPr="00DA4677" w:rsidRDefault="00AF5B97" w:rsidP="00612B51">
      <w:pPr>
        <w:rPr>
          <w:rFonts w:ascii="Times New Roman" w:hAnsi="Times New Roman" w:cs="Times New Roman"/>
          <w:sz w:val="20"/>
          <w:szCs w:val="20"/>
        </w:rPr>
      </w:pPr>
      <w:r>
        <w:t>Figure S2. Complementary Log–Log Survival Plot by Tumor Size Quartiles</w:t>
      </w:r>
    </w:p>
    <w:sectPr w:rsidR="00AF5B97" w:rsidRPr="00DA4677" w:rsidSect="0054579B">
      <w:headerReference w:type="even" r:id="rId18"/>
      <w:headerReference w:type="default" r:id="rId19"/>
      <w:footerReference w:type="even" r:id="rId20"/>
      <w:footerReference w:type="default" r:id="rId21"/>
      <w:headerReference w:type="first" r:id="rId22"/>
      <w:footerReference w:type="first" r:id="rId23"/>
      <w:pgSz w:w="11906" w:h="16838"/>
      <w:pgMar w:top="42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2B142" w14:textId="77777777" w:rsidR="00C92CF8" w:rsidRDefault="00C92CF8" w:rsidP="002044D1">
      <w:pPr>
        <w:spacing w:after="0" w:line="240" w:lineRule="auto"/>
      </w:pPr>
      <w:r>
        <w:separator/>
      </w:r>
    </w:p>
  </w:endnote>
  <w:endnote w:type="continuationSeparator" w:id="0">
    <w:p w14:paraId="18DEE495" w14:textId="77777777" w:rsidR="00C92CF8" w:rsidRDefault="00C92CF8" w:rsidP="00204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C4C49" w14:textId="77777777" w:rsidR="002044D1" w:rsidRDefault="00204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7013" w14:textId="77777777" w:rsidR="002044D1" w:rsidRDefault="00204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2B3B" w14:textId="77777777" w:rsidR="002044D1" w:rsidRDefault="00204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4277A" w14:textId="77777777" w:rsidR="00C92CF8" w:rsidRDefault="00C92CF8" w:rsidP="002044D1">
      <w:pPr>
        <w:spacing w:after="0" w:line="240" w:lineRule="auto"/>
      </w:pPr>
      <w:r>
        <w:separator/>
      </w:r>
    </w:p>
  </w:footnote>
  <w:footnote w:type="continuationSeparator" w:id="0">
    <w:p w14:paraId="294214FC" w14:textId="77777777" w:rsidR="00C92CF8" w:rsidRDefault="00C92CF8" w:rsidP="00204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58FC" w14:textId="1029C283" w:rsidR="002044D1" w:rsidRDefault="002044D1">
    <w:pPr>
      <w:pStyle w:val="Header"/>
    </w:pPr>
    <w:r>
      <w:rPr>
        <w:noProof/>
      </w:rPr>
      <w:pict w14:anchorId="0943F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87103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F1448" w14:textId="45F23D44" w:rsidR="002044D1" w:rsidRDefault="002044D1">
    <w:pPr>
      <w:pStyle w:val="Header"/>
    </w:pPr>
    <w:r>
      <w:rPr>
        <w:noProof/>
      </w:rPr>
      <w:pict w14:anchorId="603E0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87103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53073" w14:textId="1C0BBFF8" w:rsidR="002044D1" w:rsidRDefault="002044D1">
    <w:pPr>
      <w:pStyle w:val="Header"/>
    </w:pPr>
    <w:r>
      <w:rPr>
        <w:noProof/>
      </w:rPr>
      <w:pict w14:anchorId="7C6725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87103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1"/>
    <w:multiLevelType w:val="multilevel"/>
    <w:tmpl w:val="F43C4C3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279E0F59"/>
    <w:multiLevelType w:val="multilevel"/>
    <w:tmpl w:val="1BDA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AD1CA5"/>
    <w:multiLevelType w:val="multilevel"/>
    <w:tmpl w:val="4ED8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091F79"/>
    <w:multiLevelType w:val="multilevel"/>
    <w:tmpl w:val="175E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B51"/>
    <w:rsid w:val="00010AF6"/>
    <w:rsid w:val="00074DFF"/>
    <w:rsid w:val="000F4926"/>
    <w:rsid w:val="001655C8"/>
    <w:rsid w:val="001C5159"/>
    <w:rsid w:val="001E7574"/>
    <w:rsid w:val="002044D1"/>
    <w:rsid w:val="00221ADC"/>
    <w:rsid w:val="00274234"/>
    <w:rsid w:val="0029581E"/>
    <w:rsid w:val="002C648A"/>
    <w:rsid w:val="002E4BDD"/>
    <w:rsid w:val="00321D3E"/>
    <w:rsid w:val="00347080"/>
    <w:rsid w:val="00357E4A"/>
    <w:rsid w:val="003757C8"/>
    <w:rsid w:val="003E109A"/>
    <w:rsid w:val="004A1DEA"/>
    <w:rsid w:val="004F11CD"/>
    <w:rsid w:val="0054579B"/>
    <w:rsid w:val="005469AE"/>
    <w:rsid w:val="00554553"/>
    <w:rsid w:val="00571986"/>
    <w:rsid w:val="00612B51"/>
    <w:rsid w:val="00636F42"/>
    <w:rsid w:val="00651F7E"/>
    <w:rsid w:val="00695527"/>
    <w:rsid w:val="006B7505"/>
    <w:rsid w:val="006C527F"/>
    <w:rsid w:val="006E6872"/>
    <w:rsid w:val="00774E50"/>
    <w:rsid w:val="00786A5A"/>
    <w:rsid w:val="00797704"/>
    <w:rsid w:val="007B413A"/>
    <w:rsid w:val="007C013F"/>
    <w:rsid w:val="00816922"/>
    <w:rsid w:val="00864223"/>
    <w:rsid w:val="00931E4C"/>
    <w:rsid w:val="00946186"/>
    <w:rsid w:val="009960F9"/>
    <w:rsid w:val="00997531"/>
    <w:rsid w:val="009D7058"/>
    <w:rsid w:val="009F731F"/>
    <w:rsid w:val="00A62B9C"/>
    <w:rsid w:val="00AF5B97"/>
    <w:rsid w:val="00B34A34"/>
    <w:rsid w:val="00B428EB"/>
    <w:rsid w:val="00B6513F"/>
    <w:rsid w:val="00C653E8"/>
    <w:rsid w:val="00C92CF8"/>
    <w:rsid w:val="00CD3BD5"/>
    <w:rsid w:val="00D64BE9"/>
    <w:rsid w:val="00D8269F"/>
    <w:rsid w:val="00D91915"/>
    <w:rsid w:val="00DA4677"/>
    <w:rsid w:val="00DD7901"/>
    <w:rsid w:val="00E24908"/>
    <w:rsid w:val="00E3366F"/>
    <w:rsid w:val="00E365ED"/>
    <w:rsid w:val="00E4583C"/>
    <w:rsid w:val="00E643DC"/>
    <w:rsid w:val="00E76BDD"/>
    <w:rsid w:val="00F97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06F937"/>
  <w15:chartTrackingRefBased/>
  <w15:docId w15:val="{DFFC6EE5-B90D-488A-B482-983A2BB2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B51"/>
    <w:rPr>
      <w:lang w:val="en-US"/>
    </w:rPr>
  </w:style>
  <w:style w:type="paragraph" w:styleId="Heading1">
    <w:name w:val="heading 1"/>
    <w:basedOn w:val="Normal"/>
    <w:next w:val="Normal"/>
    <w:link w:val="Heading1Char"/>
    <w:uiPriority w:val="9"/>
    <w:qFormat/>
    <w:rsid w:val="00612B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12B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12B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2B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2B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2B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2B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2B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2B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B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12B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12B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2B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2B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2B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B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B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B51"/>
    <w:rPr>
      <w:rFonts w:eastAsiaTheme="majorEastAsia" w:cstheme="majorBidi"/>
      <w:color w:val="272727" w:themeColor="text1" w:themeTint="D8"/>
    </w:rPr>
  </w:style>
  <w:style w:type="paragraph" w:styleId="Title">
    <w:name w:val="Title"/>
    <w:basedOn w:val="Normal"/>
    <w:next w:val="Normal"/>
    <w:link w:val="TitleChar"/>
    <w:uiPriority w:val="10"/>
    <w:qFormat/>
    <w:rsid w:val="00612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B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B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B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B51"/>
    <w:pPr>
      <w:spacing w:before="160"/>
      <w:jc w:val="center"/>
    </w:pPr>
    <w:rPr>
      <w:i/>
      <w:iCs/>
      <w:color w:val="404040" w:themeColor="text1" w:themeTint="BF"/>
    </w:rPr>
  </w:style>
  <w:style w:type="character" w:customStyle="1" w:styleId="QuoteChar">
    <w:name w:val="Quote Char"/>
    <w:basedOn w:val="DefaultParagraphFont"/>
    <w:link w:val="Quote"/>
    <w:uiPriority w:val="29"/>
    <w:rsid w:val="00612B51"/>
    <w:rPr>
      <w:i/>
      <w:iCs/>
      <w:color w:val="404040" w:themeColor="text1" w:themeTint="BF"/>
    </w:rPr>
  </w:style>
  <w:style w:type="paragraph" w:styleId="ListParagraph">
    <w:name w:val="List Paragraph"/>
    <w:basedOn w:val="Normal"/>
    <w:uiPriority w:val="34"/>
    <w:qFormat/>
    <w:rsid w:val="00612B51"/>
    <w:pPr>
      <w:ind w:left="720"/>
      <w:contextualSpacing/>
    </w:pPr>
  </w:style>
  <w:style w:type="character" w:styleId="IntenseEmphasis">
    <w:name w:val="Intense Emphasis"/>
    <w:basedOn w:val="DefaultParagraphFont"/>
    <w:uiPriority w:val="21"/>
    <w:qFormat/>
    <w:rsid w:val="00612B51"/>
    <w:rPr>
      <w:i/>
      <w:iCs/>
      <w:color w:val="2F5496" w:themeColor="accent1" w:themeShade="BF"/>
    </w:rPr>
  </w:style>
  <w:style w:type="paragraph" w:styleId="IntenseQuote">
    <w:name w:val="Intense Quote"/>
    <w:basedOn w:val="Normal"/>
    <w:next w:val="Normal"/>
    <w:link w:val="IntenseQuoteChar"/>
    <w:uiPriority w:val="30"/>
    <w:qFormat/>
    <w:rsid w:val="00612B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2B51"/>
    <w:rPr>
      <w:i/>
      <w:iCs/>
      <w:color w:val="2F5496" w:themeColor="accent1" w:themeShade="BF"/>
    </w:rPr>
  </w:style>
  <w:style w:type="character" w:styleId="IntenseReference">
    <w:name w:val="Intense Reference"/>
    <w:basedOn w:val="DefaultParagraphFont"/>
    <w:uiPriority w:val="32"/>
    <w:qFormat/>
    <w:rsid w:val="00612B51"/>
    <w:rPr>
      <w:b/>
      <w:bCs/>
      <w:smallCaps/>
      <w:color w:val="2F5496" w:themeColor="accent1" w:themeShade="BF"/>
      <w:spacing w:val="5"/>
    </w:rPr>
  </w:style>
  <w:style w:type="character" w:styleId="Hyperlink">
    <w:name w:val="Hyperlink"/>
    <w:basedOn w:val="DefaultParagraphFont"/>
    <w:uiPriority w:val="99"/>
    <w:unhideWhenUsed/>
    <w:rsid w:val="00612B51"/>
    <w:rPr>
      <w:color w:val="0563C1" w:themeColor="hyperlink"/>
      <w:u w:val="single"/>
    </w:rPr>
  </w:style>
  <w:style w:type="paragraph" w:styleId="BodyText">
    <w:name w:val="Body Text"/>
    <w:basedOn w:val="Normal"/>
    <w:link w:val="BodyTextChar"/>
    <w:qFormat/>
    <w:rsid w:val="00612B51"/>
    <w:pPr>
      <w:spacing w:before="180" w:after="180" w:line="240" w:lineRule="auto"/>
    </w:pPr>
    <w:rPr>
      <w:rFonts w:ascii="Times New Roman" w:hAnsi="Times New Roman"/>
      <w:kern w:val="0"/>
      <w:sz w:val="24"/>
      <w:szCs w:val="24"/>
      <w14:ligatures w14:val="none"/>
    </w:rPr>
  </w:style>
  <w:style w:type="character" w:customStyle="1" w:styleId="BodyTextChar">
    <w:name w:val="Body Text Char"/>
    <w:basedOn w:val="DefaultParagraphFont"/>
    <w:link w:val="BodyText"/>
    <w:rsid w:val="00612B51"/>
    <w:rPr>
      <w:rFonts w:ascii="Times New Roman" w:hAnsi="Times New Roman"/>
      <w:kern w:val="0"/>
      <w:sz w:val="24"/>
      <w:szCs w:val="24"/>
      <w:lang w:val="en-US"/>
      <w14:ligatures w14:val="none"/>
    </w:rPr>
  </w:style>
  <w:style w:type="paragraph" w:customStyle="1" w:styleId="FirstParagraph">
    <w:name w:val="First Paragraph"/>
    <w:basedOn w:val="BodyText"/>
    <w:next w:val="BodyText"/>
    <w:qFormat/>
    <w:rsid w:val="00612B51"/>
  </w:style>
  <w:style w:type="paragraph" w:customStyle="1" w:styleId="Compact">
    <w:name w:val="Compact"/>
    <w:basedOn w:val="BodyText"/>
    <w:qFormat/>
    <w:rsid w:val="00612B51"/>
    <w:pPr>
      <w:spacing w:before="36" w:after="36"/>
    </w:pPr>
  </w:style>
  <w:style w:type="character" w:styleId="PlaceholderText">
    <w:name w:val="Placeholder Text"/>
    <w:basedOn w:val="DefaultParagraphFont"/>
    <w:uiPriority w:val="99"/>
    <w:semiHidden/>
    <w:rsid w:val="00612B51"/>
    <w:rPr>
      <w:color w:val="666666"/>
    </w:rPr>
  </w:style>
  <w:style w:type="paragraph" w:styleId="NormalWeb">
    <w:name w:val="Normal (Web)"/>
    <w:basedOn w:val="Normal"/>
    <w:uiPriority w:val="99"/>
    <w:unhideWhenUsed/>
    <w:rsid w:val="00612B51"/>
    <w:pPr>
      <w:spacing w:before="100" w:beforeAutospacing="1" w:after="100" w:afterAutospacing="1" w:line="240" w:lineRule="auto"/>
    </w:pPr>
    <w:rPr>
      <w:rFonts w:ascii="Times New Roman" w:eastAsia="Times New Roman" w:hAnsi="Times New Roman" w:cs="Times New Roman"/>
      <w:kern w:val="0"/>
      <w:sz w:val="24"/>
      <w:szCs w:val="24"/>
      <w:lang w:eastAsia=""/>
      <w14:ligatures w14:val="none"/>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paragraph" w:styleId="CommentSubject">
    <w:name w:val="annotation subject"/>
    <w:basedOn w:val="CommentText"/>
    <w:next w:val="CommentText"/>
    <w:link w:val="CommentSubjectChar"/>
    <w:uiPriority w:val="99"/>
    <w:semiHidden/>
    <w:unhideWhenUsed/>
    <w:rsid w:val="004F11CD"/>
    <w:rPr>
      <w:b/>
      <w:bCs/>
    </w:rPr>
  </w:style>
  <w:style w:type="character" w:customStyle="1" w:styleId="CommentSubjectChar">
    <w:name w:val="Comment Subject Char"/>
    <w:basedOn w:val="CommentTextChar"/>
    <w:link w:val="CommentSubject"/>
    <w:uiPriority w:val="99"/>
    <w:semiHidden/>
    <w:rsid w:val="004F11CD"/>
    <w:rPr>
      <w:b/>
      <w:bCs/>
      <w:sz w:val="20"/>
      <w:szCs w:val="20"/>
      <w:lang w:val="en-US"/>
    </w:rPr>
  </w:style>
  <w:style w:type="paragraph" w:styleId="Header">
    <w:name w:val="header"/>
    <w:basedOn w:val="Normal"/>
    <w:link w:val="HeaderChar"/>
    <w:uiPriority w:val="99"/>
    <w:unhideWhenUsed/>
    <w:rsid w:val="00204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4D1"/>
    <w:rPr>
      <w:lang w:val="en-US"/>
    </w:rPr>
  </w:style>
  <w:style w:type="paragraph" w:styleId="Footer">
    <w:name w:val="footer"/>
    <w:basedOn w:val="Normal"/>
    <w:link w:val="FooterChar"/>
    <w:uiPriority w:val="99"/>
    <w:unhideWhenUsed/>
    <w:rsid w:val="00204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4D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16</Pages>
  <Words>7251</Words>
  <Characters>41336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Ayiah-Mensah</dc:creator>
  <cp:lastModifiedBy>SDI 1084</cp:lastModifiedBy>
  <cp:revision>43</cp:revision>
  <cp:lastPrinted>2025-11-13T14:59:00Z</cp:lastPrinted>
  <dcterms:created xsi:type="dcterms:W3CDTF">2025-11-13T11:14:00Z</dcterms:created>
  <dcterms:modified xsi:type="dcterms:W3CDTF">2025-11-22T11:40:00Z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2025-11-13T12:31:29Z</vt:filetime>
  </property>
</Properties>
</file>