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ECCB" w14:textId="77777777" w:rsidR="00A342D8" w:rsidRPr="00A342D8" w:rsidRDefault="00A342D8" w:rsidP="00A342D8">
      <w:pPr>
        <w:spacing w:after="20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A342D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Short communication</w:t>
      </w:r>
    </w:p>
    <w:p w14:paraId="78898BD0" w14:textId="77777777" w:rsidR="00A342D8" w:rsidRDefault="00A342D8" w:rsidP="003907F3">
      <w:pPr>
        <w:spacing w:after="20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54D56A" w14:textId="23BBD93C" w:rsidR="00DD2A45" w:rsidRDefault="00DE2C7F" w:rsidP="003907F3">
      <w:pPr>
        <w:spacing w:after="20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Derivation of a Pricing Model for European Calls with Transaction Costs under the Heston Stochastic Volatility </w:t>
      </w:r>
    </w:p>
    <w:p w14:paraId="3380748A" w14:textId="77777777" w:rsidR="00796F05" w:rsidRDefault="00796F05" w:rsidP="00392078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DDD98B" w14:textId="3D5CFDC6" w:rsidR="00392078" w:rsidRDefault="00392078" w:rsidP="00392078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10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</w:p>
    <w:p w14:paraId="17EF9CF7" w14:textId="77777777" w:rsidR="0049697B" w:rsidRDefault="0049697B" w:rsidP="00392078">
      <w:p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work deals with the derivation of the pricing PDEs for European calls with transaction costs under the Heston stochastic volatility. The Heston stochastic volatility is chosen because it follows a mean reverting process, which is more adaptable to the market. We derive our formulation by utilizing a known option </w:t>
      </w:r>
      <w:r w:rsidR="00AD0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whose price does not include transaction costs and using </w:t>
      </w:r>
      <w:r w:rsidR="00DB4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dynamic hedging strategy. Our final pricing PDE does not involve the known option and it reduces to </w:t>
      </w:r>
      <w:r w:rsidR="003A6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original Heston PDE when transaction costs are eliminated.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655FAF" w14:textId="77777777" w:rsidR="003F4A7C" w:rsidRDefault="00EE7936" w:rsidP="00392078">
      <w:p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</w:t>
      </w:r>
      <w:r w:rsidRPr="00A63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words</w:t>
      </w:r>
      <w:r w:rsidR="006F0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E0A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1275">
        <w:rPr>
          <w:rFonts w:ascii="Times New Roman" w:hAnsi="Times New Roman" w:cs="Times New Roman"/>
          <w:color w:val="000000" w:themeColor="text1"/>
          <w:sz w:val="24"/>
          <w:szCs w:val="24"/>
        </w:rPr>
        <w:t>European c</w:t>
      </w:r>
      <w:r w:rsidR="00984535" w:rsidRPr="00984535">
        <w:rPr>
          <w:rFonts w:ascii="Times New Roman" w:hAnsi="Times New Roman" w:cs="Times New Roman"/>
          <w:color w:val="000000" w:themeColor="text1"/>
          <w:sz w:val="24"/>
          <w:szCs w:val="24"/>
        </w:rPr>
        <w:t>alls</w:t>
      </w:r>
      <w:r w:rsidR="00984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D1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Transaction costs, Heston stochastic volatility, </w:t>
      </w:r>
      <w:r w:rsidR="006F7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Dynamic hedging </w:t>
      </w:r>
      <w:r w:rsidR="00D02DCB">
        <w:rPr>
          <w:rFonts w:ascii="Times New Roman" w:hAnsi="Times New Roman" w:cs="Times New Roman"/>
          <w:color w:val="000000" w:themeColor="text1"/>
          <w:sz w:val="24"/>
          <w:szCs w:val="24"/>
        </w:rPr>
        <w:t>strategy</w:t>
      </w:r>
      <w:r w:rsidR="00096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Options pricing. </w:t>
      </w:r>
      <w:r w:rsidR="00D02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5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214A000" w14:textId="77777777" w:rsidR="003F4A7C" w:rsidRDefault="003F4A7C" w:rsidP="003F4A7C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Introduction</w:t>
      </w:r>
    </w:p>
    <w:p w14:paraId="1C4B21A1" w14:textId="77777777" w:rsidR="005B55ED" w:rsidRDefault="002E38DA" w:rsidP="002E38DA">
      <w:p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Options </w:t>
      </w:r>
      <w:r w:rsidR="005C32F0">
        <w:rPr>
          <w:rFonts w:ascii="Times New Roman" w:hAnsi="Times New Roman" w:cs="Times New Roman"/>
          <w:color w:val="000000" w:themeColor="text1"/>
          <w:sz w:val="24"/>
          <w:szCs w:val="24"/>
        </w:rPr>
        <w:t>are vital form of financial instrument that invo</w:t>
      </w:r>
      <w:r w:rsidR="001240A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C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two parties that agree to buy (call) or sell (put) </w:t>
      </w:r>
      <w:r w:rsidR="00A2355E">
        <w:rPr>
          <w:rFonts w:ascii="Times New Roman" w:hAnsi="Times New Roman" w:cs="Times New Roman"/>
          <w:color w:val="000000" w:themeColor="text1"/>
          <w:sz w:val="24"/>
          <w:szCs w:val="24"/>
        </w:rPr>
        <w:t>an asset at a specified price on or before a future date.</w:t>
      </w:r>
      <w:r w:rsidR="00124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option contract gives the holder right, but not obligation, to buy or sell an underlying asset at a predetermined price called the strike or exercise price on a specified date. Options can be classified in two ways depending on when an </w:t>
      </w:r>
      <w:r w:rsidR="00B57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investor could exercise it. Hence, we have European-style options which can only be exercised on the expiry date and American-style options which can be exercised on any trading day before the expiry date. </w:t>
      </w:r>
    </w:p>
    <w:p w14:paraId="0955DA42" w14:textId="77777777" w:rsidR="00940E79" w:rsidRDefault="005B55ED" w:rsidP="002E38DA">
      <w:p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Black-Scholes model</w:t>
      </w:r>
      <w:r w:rsidR="00751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 has been widely used since its introduction in 1973 for pricing options. However, market data have shown some limitations of the model. The assumption of constant volatility of the Black-Scholes model is not realistic in practice. Various pricing models </w:t>
      </w:r>
      <w:r w:rsidR="00672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non-constant volatility have been developed to overcome this challenge. Pricing models like </w:t>
      </w:r>
      <w:r w:rsidR="00921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local volatility model [2], regime-switching in volatility [3, 4, 5] and the stochastic volatility </w:t>
      </w:r>
      <w:r w:rsidR="009213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models [6, 7]. In the financial market, the Heston model [6] which assumes the stochastic volatility has been widely adopted. Another assumption of the Black-Scholes model </w:t>
      </w:r>
      <w:r w:rsidR="00FC66A8">
        <w:rPr>
          <w:rFonts w:ascii="Times New Roman" w:hAnsi="Times New Roman" w:cs="Times New Roman"/>
          <w:color w:val="000000" w:themeColor="text1"/>
          <w:sz w:val="24"/>
          <w:szCs w:val="24"/>
        </w:rPr>
        <w:t>which is not practical in real market is the abs</w:t>
      </w:r>
      <w:r w:rsidR="001A0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ence of transaction cost. </w:t>
      </w:r>
      <w:r w:rsidR="00363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considering the transaction costs, based on the market incompleteness, the option price for the holder and writer </w:t>
      </w:r>
      <w:r w:rsidR="0041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option is no longer unique. </w:t>
      </w:r>
      <w:r w:rsidR="0014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Leland [8] under the Black-Scholes framework considered transaction costs in pricing </w:t>
      </w:r>
      <w:r w:rsidR="0099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options. He derived the Black-Scholes PDE with an adjusted volatility by the transaction cost rate </w:t>
      </w:r>
      <w:r w:rsidR="00E41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the hedging interval. </w:t>
      </w:r>
      <w:r w:rsidR="00954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 </w:t>
      </w:r>
      <w:r w:rsidR="00C77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variations of the Leland model </w:t>
      </w:r>
      <w:r w:rsidR="003C2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be seen in [9, 10, 11, 12, 13]. </w:t>
      </w:r>
      <w:proofErr w:type="spellStart"/>
      <w:r w:rsidR="002641D6">
        <w:rPr>
          <w:rFonts w:ascii="Times New Roman" w:hAnsi="Times New Roman" w:cs="Times New Roman"/>
          <w:color w:val="000000" w:themeColor="text1"/>
          <w:sz w:val="24"/>
          <w:szCs w:val="24"/>
        </w:rPr>
        <w:t>Mariani</w:t>
      </w:r>
      <w:proofErr w:type="spellEnd"/>
      <w:r w:rsidR="00264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2641D6">
        <w:rPr>
          <w:rFonts w:ascii="Times New Roman" w:hAnsi="Times New Roman" w:cs="Times New Roman"/>
          <w:color w:val="000000" w:themeColor="text1"/>
          <w:sz w:val="24"/>
          <w:szCs w:val="24"/>
        </w:rPr>
        <w:t>SenGupta</w:t>
      </w:r>
      <w:proofErr w:type="spellEnd"/>
      <w:r w:rsidR="00264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[14] derived a pricing model with transaction costs, </w:t>
      </w:r>
      <w:r w:rsidR="006042FA">
        <w:rPr>
          <w:rFonts w:ascii="Times New Roman" w:hAnsi="Times New Roman" w:cs="Times New Roman"/>
          <w:color w:val="000000" w:themeColor="text1"/>
          <w:sz w:val="24"/>
          <w:szCs w:val="24"/>
        </w:rPr>
        <w:t>where the stochastic volatility follows a mo</w:t>
      </w:r>
      <w:r w:rsidR="003D2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dified Hull and White model [7]. </w:t>
      </w:r>
    </w:p>
    <w:p w14:paraId="3DA2D55E" w14:textId="77777777" w:rsidR="002E38DA" w:rsidRDefault="00940E79" w:rsidP="002E38DA">
      <w:p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work deals with the derivation of the pricing PDEs for European calls with transaction costs under the Heston stochastic volatility. The Heston stochastic volatility </w:t>
      </w:r>
      <w:r w:rsidR="00B94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chosen because it follows a mean reverting process, which is more adaptable </w:t>
      </w:r>
      <w:r w:rsidR="00DE3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 market. We derive our formulation by utilizing a known option whose price does not include transaction costs </w:t>
      </w:r>
      <w:r w:rsidR="00294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using a dynamic hedging strategy. Our final pricing PDE does not involve the known option and it reduces to the original Heston PDE when transaction costs is reduced to zero.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3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E04440" w14:textId="77777777" w:rsidR="0068250A" w:rsidRPr="0068250A" w:rsidRDefault="005638EE" w:rsidP="0068250A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2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Basic Tools and </w:t>
      </w:r>
      <w:r w:rsidR="00EB2853" w:rsidRPr="00682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Preliminaries </w:t>
      </w:r>
    </w:p>
    <w:p w14:paraId="78A72190" w14:textId="77777777" w:rsidR="00571794" w:rsidRDefault="0068250A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Ω</m:t>
            </m:r>
            <m:r>
              <m:rPr>
                <m:scr m:val="script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, F, </m:t>
            </m:r>
            <m:r>
              <m:rPr>
                <m:scr m:val="double-struck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</m:t>
            </m:r>
          </m:e>
        </m:d>
      </m:oMath>
      <w:r w:rsidR="00B16D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be a probability space where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Ω</m:t>
        </m:r>
      </m:oMath>
      <w:r w:rsidR="00B16D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sample space, contains all possible outcomes, </w:t>
      </w:r>
      <m:oMath>
        <m:r>
          <m:rPr>
            <m:scr m:val="script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F</m:t>
        </m:r>
      </m:oMath>
      <w:r w:rsidR="00B16D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filtration that contains the information of the underlying price before time,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t</m:t>
        </m:r>
      </m:oMath>
      <w:r w:rsidR="00B16D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and </w:t>
      </w:r>
      <m:oMath>
        <m:r>
          <m:rPr>
            <m:scr m:val="double-struck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P</m:t>
        </m:r>
      </m:oMath>
      <w:r w:rsidR="00B16D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probability measure. </w:t>
      </w:r>
      <w:r w:rsidR="003C15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Under a risk-neutral measure, the stock price at time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t</m:t>
        </m:r>
      </m:oMath>
      <w:r w:rsidR="003C15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denoted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  <w:r w:rsidR="003C15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equals the discounted expectation of the stock price with risk-free interest rate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r</m:t>
        </m:r>
      </m:oMath>
      <w:r w:rsidR="003C15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Stochastic processes are vital in pricing options as the stock price is </w:t>
      </w:r>
      <w:r w:rsidR="00DB683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always assumed to follow different types of stochastic </w:t>
      </w:r>
      <w:r w:rsidR="00CF38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process. Geometric Brownian motion is one of the most commonly used stochastic process</w:t>
      </w:r>
      <w:r w:rsidR="002A4F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A stochastic process can be defined thus: Given a probability space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Ω</m:t>
            </m:r>
            <m:r>
              <m:rPr>
                <m:scr m:val="script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, F, </m:t>
            </m:r>
            <m:r>
              <m:rPr>
                <m:scr m:val="double-struck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</m:t>
            </m:r>
          </m:e>
        </m:d>
      </m:oMath>
      <w:r w:rsidR="002A4F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 stochastic process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:t∈I</m:t>
            </m:r>
          </m:e>
        </m:d>
      </m:oMath>
      <w:r w:rsidR="002A4F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a collection of random variables</w:t>
      </w:r>
      <w:r w:rsidR="005717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: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Ω→</m:t>
        </m:r>
        <m:r>
          <m:rPr>
            <m:scr m:val="double-struck"/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R</m:t>
        </m:r>
      </m:oMath>
      <w:r w:rsidR="005717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where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I∈</m:t>
        </m:r>
        <m:r>
          <m:rPr>
            <m:scr m:val="double-struck"/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R</m:t>
        </m:r>
      </m:oMath>
      <w:r w:rsidR="005717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the index set. </w:t>
      </w:r>
    </w:p>
    <w:p w14:paraId="3EBF9B1B" w14:textId="77777777" w:rsidR="008A7C2B" w:rsidRDefault="008A7C2B" w:rsidP="0068250A">
      <w:pPr>
        <w:spacing w:after="200" w:line="3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B361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2.1      </w:t>
      </w:r>
      <w:r w:rsidR="00B3616C" w:rsidRPr="00B361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Dynamic Hedging Strategy</w:t>
      </w:r>
    </w:p>
    <w:p w14:paraId="57AE3625" w14:textId="77777777" w:rsidR="00B3616C" w:rsidRDefault="00B35361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finance, hedging simply refers to the act of strategically trading financial instruments with the aim of offsetting as much as possible, the risks that go with an investor’s initial position </w:t>
      </w:r>
      <w:r w:rsidR="00CC1E6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assets </w:t>
      </w:r>
      <w:r w:rsidR="00CC1E6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already owned. Dynamic hedging </w:t>
      </w:r>
      <w:r w:rsidR="00DF74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refers to the act when the hedging portfolio is rebalanced through time. It can be split into two </w:t>
      </w:r>
      <w:r w:rsidR="008C38E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main categories namely local and global hedging. Dynamic local hedging strategy targets the risk in each small </w:t>
      </w:r>
      <w:r w:rsidR="005B4FA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time period independently while dynamic global hedging strategy considers the aggregate risk jointly from one period to another.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1601364" w14:textId="77777777" w:rsidR="00047AC1" w:rsidRPr="00E70A7A" w:rsidRDefault="008A7C2B" w:rsidP="0068250A">
      <w:pPr>
        <w:spacing w:after="200" w:line="3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2.2</w:t>
      </w:r>
      <w:r w:rsidR="00571794" w:rsidRPr="00E70A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       Ito’s Lemma</w:t>
      </w:r>
    </w:p>
    <w:p w14:paraId="6DD4B705" w14:textId="77777777" w:rsidR="0015721D" w:rsidRDefault="00E70A7A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Ito’s lemma is a useful tool in financial mathematics. It is used in finding the differential of a deterministic function of a stochastic process. Ito’s lemma </w:t>
      </w:r>
      <w:r w:rsidR="0015721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serves as the stochastic calculus counterpart of the chain rule. It is provided thus: Consider a stochastic differential equation </w:t>
      </w:r>
    </w:p>
    <w:p w14:paraId="147E36E7" w14:textId="77777777" w:rsidR="0015721D" w:rsidRDefault="0015721D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=μ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dt+σ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                                                </w:t>
      </w:r>
      <w:r w:rsidR="008154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(1)</w:t>
      </w:r>
    </w:p>
    <w:p w14:paraId="490CE79A" w14:textId="77777777" w:rsidR="00BB4D05" w:rsidRDefault="00BB4D05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μ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σ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constants representing the drift and volatility terms of the geometric Brownian motion respectively,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a Weiner process. If a stochastic process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follows equation (1), then for any twice differentiable function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f(P)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differential of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f(P)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can be derived as </w:t>
      </w:r>
    </w:p>
    <w:p w14:paraId="0F1DD4D1" w14:textId="77777777" w:rsidR="00E70A7A" w:rsidRDefault="00BB4D05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df=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+μP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df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dP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dt+σP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df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</w:t>
      </w:r>
      <w:r w:rsidR="00E70A7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</w:t>
      </w:r>
      <w:r w:rsidR="008154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(2)</w:t>
      </w:r>
    </w:p>
    <w:p w14:paraId="067A0F8D" w14:textId="77777777" w:rsidR="000E63AF" w:rsidRDefault="008A7C2B" w:rsidP="0068250A">
      <w:pPr>
        <w:spacing w:after="200" w:line="3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2.3</w:t>
      </w:r>
      <w:r w:rsidR="00907062" w:rsidRPr="009070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   Heston Stochastic Probability</w:t>
      </w:r>
      <w:r w:rsidR="009070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Model</w:t>
      </w:r>
    </w:p>
    <w:p w14:paraId="13B33B7D" w14:textId="77777777" w:rsidR="00907062" w:rsidRDefault="00CD0FD6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Heston model, developed by Steven Heston in 1993 [6] is an option pricing model </w:t>
      </w:r>
      <w:r w:rsidR="00C5403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which can be used for options pricing on different securities. It uses statistical methods to calculate and forecast option pricing. This is achieved with the assumpti</w:t>
      </w:r>
      <w:r w:rsidR="001550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on that volatility is arbitrary. Some of the characteristics of the Heston model are listed below. Heston model factors in a possible correlation between a</w:t>
      </w:r>
      <w:r w:rsidR="009B45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stock price and its volatility. It conveys volatility as reverting to the mean. Heston model gives a closed-form solution. It </w:t>
      </w:r>
      <w:r w:rsidR="00A716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does not require that stock prices follow a lognormal probability distribution. </w:t>
      </w:r>
    </w:p>
    <w:p w14:paraId="5DFDE4C7" w14:textId="77777777" w:rsidR="00D13FD0" w:rsidRDefault="00D13FD0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Consider the following stochastic volatility model:</w:t>
      </w:r>
    </w:p>
    <w:p w14:paraId="703E933C" w14:textId="77777777" w:rsidR="00DB5874" w:rsidRDefault="000041C6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2AD86" wp14:editId="6827E3B1">
                <wp:simplePos x="0" y="0"/>
                <wp:positionH relativeFrom="column">
                  <wp:posOffset>1238250</wp:posOffset>
                </wp:positionH>
                <wp:positionV relativeFrom="paragraph">
                  <wp:posOffset>46355</wp:posOffset>
                </wp:positionV>
                <wp:extent cx="95250" cy="571500"/>
                <wp:effectExtent l="38100" t="0" r="19050" b="1905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71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A8FDC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97.5pt;margin-top:3.65pt;width: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RpWQIAAA4FAAAOAAAAZHJzL2Uyb0RvYy54bWysVN9r2zAQfh/sfxB6X52EZF1DnZK1dAxC&#10;G9qOPiuylJhJOu2kxMn++p1kOw1dGWPsRdb5fn/3nS6v9tawncJQgyv58GzAmXISqtqtS/7t6fbD&#10;J85CFK4SBpwq+UEFfjV7/+6y8VM1gg2YSiGjIC5MG1/yTYx+WhRBbpQV4Qy8cqTUgFZEEnFdVCga&#10;im5NMRoMPhYNYOURpAqB/t60Sj7L8bVWMt5rHVRkpuRUW8wn5nOVzmJ2KaZrFH5Ty64M8Q9VWFE7&#10;SnoMdSOiYFusfwtla4kQQMczCbYArWupcg/UzXDwqpvHjfAq90LgBH+EKfy/sPJut0RWVzQ7zpyw&#10;NKKF0pF9RiEVGyZ8Gh+mZPbol9hJga6p2b1Gm77UBttnTA9HTNU+Mkk/LyajCQEvSTM5H04GGfLi&#10;xddjiF8UWJYuJTeUPOfOaIrdIkRKSva9HQmpoLaEfIsHo1IVxj0oTa1Q0mH2ziRS1wbZTtD4q++5&#10;HYqVLZOLro05Og3+7NTZJjeVifW3jkfrnBFcPDra2gG+lTXu+1J1a9933faa2l5BdaDJIbSUDl7e&#10;1oTgQoS4FEgcJtBpL+M9HdpAU3LobpxtAH++9T/ZE7VIy1lDO1Hy8GMrUHFmvjoi3cVwPE5LlIXx&#10;5HxEAp5qVqcat7XXQLgTsai6fE320fRXjWCfaX3nKSuphJOUu+QyYi9cx3ZX6QGQaj7PZrQ4XsSF&#10;e/Syn3Qix9P+WaDvaBSJfnfQ74+YviJSa5vm4WC+jaDrzLIXXDu8aeky+boHIm31qZytXp6x2S8A&#10;AAD//wMAUEsDBBQABgAIAAAAIQCZxFNp3AAAAAgBAAAPAAAAZHJzL2Rvd25yZXYueG1sTI9BT4NA&#10;EIXvJv6HzZh4s0sxWoosTW3iTQ/WXrxNYQq07CyyW6D/3vFUj9+8lzfvZavJtmqg3jeODcxnESji&#10;wpUNVwZ2X28PCSgfkEtsHZOBC3lY5bc3GaalG/mThm2olISwT9FAHUKXau2Lmiz6meuIRTu43mIQ&#10;7Ctd9jhKuG11HEXP2mLD8qHGjjY1Faft2Rp4xd378LO2xxEvzeEjTpLF5jsx5v5uWr+ACjSFqxn+&#10;6kt1yKXT3p259KoVXj7JlmBg8QhK9HgeCe8NLOWg80z/H5D/AgAA//8DAFBLAQItABQABgAIAAAA&#10;IQC2gziS/gAAAOEBAAATAAAAAAAAAAAAAAAAAAAAAABbQ29udGVudF9UeXBlc10ueG1sUEsBAi0A&#10;FAAGAAgAAAAhADj9If/WAAAAlAEAAAsAAAAAAAAAAAAAAAAALwEAAF9yZWxzLy5yZWxzUEsBAi0A&#10;FAAGAAgAAAAhAGLQ5GlZAgAADgUAAA4AAAAAAAAAAAAAAAAALgIAAGRycy9lMm9Eb2MueG1sUEsB&#10;Ai0AFAAGAAgAAAAhAJnEU2ncAAAACAEAAA8AAAAAAAAAAAAAAAAAswQAAGRycy9kb3ducmV2Lnht&#10;bFBLBQYAAAAABAAEAPMAAAC8BQAAAAA=&#10;" adj="300" strokecolor="black [3200]" strokeweight=".5pt">
                <v:stroke joinstyle="miter"/>
              </v:shape>
            </w:pict>
          </mc:Fallback>
        </mc:AlternateContent>
      </w:r>
      <w:r w:rsidR="00DB58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=μ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dt+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(t)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2BA3690C" w14:textId="77777777" w:rsidR="00DB5874" w:rsidRDefault="00DB5874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θ-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dt+σ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(t)</m:t>
        </m:r>
      </m:oMath>
      <w:r w:rsidR="000041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                                   </w:t>
      </w:r>
      <w:r w:rsidR="008154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 w:rsidR="000041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(3)</w:t>
      </w:r>
    </w:p>
    <w:p w14:paraId="3701BBC4" w14:textId="77777777" w:rsidR="00D1365F" w:rsidRDefault="00D1365F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the correlation between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β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14:paraId="588D0FD7" w14:textId="77777777" w:rsidR="00322B7B" w:rsidRDefault="00D1365F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Cov 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, 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=βdt</m:t>
        </m:r>
      </m:oMath>
      <w:r w:rsidR="008154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                                 (4)</w:t>
      </w:r>
    </w:p>
    <w:p w14:paraId="36A58971" w14:textId="77777777" w:rsidR="00A60D50" w:rsidRDefault="00322B7B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parameters of the model are</w:t>
      </w:r>
    </w:p>
    <w:p w14:paraId="079681D5" w14:textId="77777777" w:rsidR="00907062" w:rsidRPr="00907062" w:rsidRDefault="00A60D50" w:rsidP="0068250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μ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drift of the process for the stock;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&gt;0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mean reversion speed for the variance;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θ&gt;0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mean reversion level for the variance;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σ&gt;0</m:t>
        </m:r>
      </m:oMath>
      <w:r w:rsidR="00365A3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volatility of the variance; </w:t>
      </w:r>
      <w:r w:rsidR="003146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β∈[-1,1]</m:t>
        </m:r>
      </m:oMath>
      <w:r w:rsidR="003146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correlation between the two Brownian motions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and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3146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C800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stochastic volatility in the Heston model </w:t>
      </w:r>
      <w:r w:rsidR="00DA2D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[6] is mean reverting towards the long term mean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θ</m:t>
        </m:r>
      </m:oMath>
      <w:r w:rsidR="007B41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with a speed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</m:oMath>
      <w:r w:rsidR="007B41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The higher the value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</m:oMath>
      <w:r w:rsidR="00FE1B6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quicker the model reaches the long term mean of the variance. </w:t>
      </w:r>
      <w:r w:rsidR="0084093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Volatility of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</m:oMath>
      <w:r w:rsidR="0084093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denoted by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σ</m:t>
        </m:r>
      </m:oMath>
      <w:r w:rsidR="0084093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 constant. </w:t>
      </w:r>
      <w:r w:rsidR="00FE1B6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33FF6A53" w14:textId="77777777" w:rsidR="00454F01" w:rsidRDefault="005F189A" w:rsidP="00B10E99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B10E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The Model</w:t>
      </w:r>
    </w:p>
    <w:p w14:paraId="689EB07E" w14:textId="77777777" w:rsidR="00484888" w:rsidRDefault="00D31060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Consider a portfolio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Π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that contains one option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P,u,t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, -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of the underlying asset, 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5D1A7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of a known option</w:t>
      </w:r>
      <w:r w:rsidR="004848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5D1A7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P,u,t</m:t>
            </m:r>
          </m:e>
        </m:d>
      </m:oMath>
      <w:r w:rsidR="005D1A7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The value of this portfolio is</w:t>
      </w:r>
      <w:r w:rsidR="004848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AE5B069" w14:textId="77777777" w:rsidR="00D137BD" w:rsidRDefault="00484888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Π=W-ΔP-</m:t>
        </m:r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                                                                    (5) </w:t>
      </w:r>
    </w:p>
    <w:p w14:paraId="48AD6F6E" w14:textId="77777777" w:rsidR="00B73D55" w:rsidRDefault="00D137BD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the price of the underlying asset. </w:t>
      </w:r>
      <w:r w:rsidR="00B73D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variance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</m:oMath>
      <w:r w:rsidR="00B73D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together with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</m:oMath>
      <w:r w:rsidR="00B73D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satisfy the following stochastic differential equations</w:t>
      </w:r>
    </w:p>
    <w:p w14:paraId="4098AD25" w14:textId="77777777" w:rsidR="00CB34F5" w:rsidRDefault="00B73D55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dP=μPdt+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2406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(6a)                                      </w:t>
      </w:r>
    </w:p>
    <w:p w14:paraId="3C374AA5" w14:textId="77777777" w:rsidR="002F4807" w:rsidRDefault="00CB34F5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du=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θ-u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dt+σ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2406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D137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848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 w:rsidR="005D1A7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406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(6b)</w:t>
      </w:r>
    </w:p>
    <w:p w14:paraId="30376C7E" w14:textId="77777777" w:rsidR="006C39A3" w:rsidRDefault="002F4807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μ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the drift,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long-term mean of the variance,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</m:oMath>
      <w:r w:rsidR="00DA506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mean reversion </w:t>
      </w:r>
      <w:r w:rsidR="0023634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rate, 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σ</m:t>
        </m:r>
      </m:oMath>
      <w:r w:rsidR="009844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the volatility of the variance</w:t>
      </w:r>
      <w:r w:rsidR="00D159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The Wiener process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and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D159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A21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correlated with a coefficient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β</m:t>
        </m:r>
      </m:oMath>
    </w:p>
    <w:p w14:paraId="5949DB5D" w14:textId="77777777" w:rsidR="00B27CA9" w:rsidRDefault="006C39A3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Cov 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, 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=βdt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                                  (7)</w:t>
      </w:r>
    </w:p>
    <w:p w14:paraId="01716478" w14:textId="77777777" w:rsidR="00772C83" w:rsidRDefault="009266BC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5139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B27CA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which is used to hedge the volatility risk in equation (5) is chosen to be a Heston-type European option without transaction costs.</w:t>
      </w:r>
      <w:r w:rsidR="00C039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For the holder of the option, in a non-infinitesimal fixed time-step, the change in the value of the portfolio in equation </w:t>
      </w:r>
      <w:r w:rsidR="0068674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(5) is </w:t>
      </w:r>
    </w:p>
    <w:p w14:paraId="7627EF5C" w14:textId="77777777" w:rsidR="00203B90" w:rsidRDefault="00203B90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=δW-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δP-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</m:d>
      </m:oMath>
      <w:r w:rsidR="007C4E1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                                         (8)</w:t>
      </w:r>
    </w:p>
    <w:p w14:paraId="75169D39" w14:textId="77777777" w:rsidR="00CB2ECC" w:rsidRDefault="00C52773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</m:d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E5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is the transaction cost which is proportional </w:t>
      </w:r>
      <w:r w:rsidR="000E6EE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to the asset price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</m:oMath>
      <w:r w:rsidR="000E6EE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the absolute value </w:t>
      </w:r>
      <w:r w:rsidR="00BD3B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of number of traded stocks,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</m:t>
        </m:r>
      </m:oMath>
      <w:r w:rsidR="00EE2DF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together with the rate of transaction cost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</m:oMath>
      <w:r w:rsidR="00EE2DF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C40B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Applying Ito’s lemma to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W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and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C40B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C663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equation (8) gives </w:t>
      </w:r>
    </w:p>
    <w:p w14:paraId="7F9A825F" w14:textId="77777777" w:rsidR="007D1505" w:rsidRDefault="007D1505" w:rsidP="008E1265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CB2E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+βσuP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</w:p>
    <w:p w14:paraId="658881A7" w14:textId="77777777" w:rsidR="007C4E18" w:rsidRDefault="007D1505" w:rsidP="008E1265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+βσuP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  <w:r w:rsidR="00C40B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C527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</w:p>
    <w:p w14:paraId="40E2C959" w14:textId="77777777" w:rsidR="00730E86" w:rsidRDefault="00730E86" w:rsidP="008E126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-∆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δP+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∂u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δu-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</m:d>
      </m:oMath>
      <w:r w:rsidR="00257D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(9)</w:t>
      </w:r>
    </w:p>
    <w:p w14:paraId="57532177" w14:textId="77777777" w:rsidR="00B3290F" w:rsidRDefault="00423A19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Due to volatility and asset price </w:t>
      </w:r>
      <w:r w:rsidR="008B714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fluctuation, we hedge against the risk by choosing</w:t>
      </w:r>
    </w:p>
    <w:p w14:paraId="2B37ACAC" w14:textId="77777777" w:rsidR="00B3290F" w:rsidRDefault="00B3290F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-∆=0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11E7FF2E" w14:textId="77777777" w:rsidR="0023777E" w:rsidRDefault="00B3290F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Hence, </w:t>
      </w:r>
    </w:p>
    <w:p w14:paraId="0C354023" w14:textId="77777777" w:rsidR="0033458E" w:rsidRDefault="0023777E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∆=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</m:oMath>
      <w:r w:rsidR="00046C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and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∂u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-1</m:t>
            </m:r>
          </m:sup>
        </m:sSup>
      </m:oMath>
      <w:r w:rsidR="003345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           (10)</w:t>
      </w:r>
    </w:p>
    <w:p w14:paraId="71EA2992" w14:textId="77777777" w:rsidR="00407022" w:rsidRDefault="00407022" w:rsidP="00772C8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Equation (9) becomes </w:t>
      </w:r>
    </w:p>
    <w:p w14:paraId="3F49C258" w14:textId="77777777" w:rsidR="00407022" w:rsidRDefault="00E238F1" w:rsidP="008E1265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</w:t>
      </w:r>
      <w:r w:rsidR="0040702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+βσuP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</w:p>
    <w:p w14:paraId="0BB19100" w14:textId="77777777" w:rsidR="00407022" w:rsidRDefault="00407022" w:rsidP="008E126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E238F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+βσuP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</m:d>
      </m:oMath>
      <w:r w:rsidR="00E238F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E238F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(11)</w:t>
      </w:r>
    </w:p>
    <w:p w14:paraId="3614571C" w14:textId="77777777" w:rsidR="004A319C" w:rsidRDefault="001A2C1F" w:rsidP="00407022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Suppose the investor choses to put the monetary value of the portfolio in a risk-free bank with interest rate</w:t>
      </w:r>
      <w:r w:rsidR="007C6B0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This means</w:t>
      </w:r>
      <w:r w:rsidR="007C6B0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that the change in portfolio va</w:t>
      </w:r>
      <w:r w:rsidR="00B268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</w:t>
      </w:r>
      <w:r w:rsidR="007C6B0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ue is</w:t>
      </w:r>
      <w:r w:rsidR="00B268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δΠ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=r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Πδt</m:t>
        </m:r>
      </m:oMath>
      <w:r w:rsidR="004A31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Equation (5) becomes</w:t>
      </w:r>
    </w:p>
    <w:p w14:paraId="455EAA28" w14:textId="77777777" w:rsidR="00F84800" w:rsidRDefault="004A319C" w:rsidP="00407022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δΠ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=r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Πδt=r</m:t>
        </m:r>
        <m:d>
          <m:d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W-∆P-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  <w:r w:rsidR="00201F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                                                       (12)</w:t>
      </w:r>
    </w:p>
    <w:p w14:paraId="5BB2AA54" w14:textId="77777777" w:rsidR="00254ED5" w:rsidRDefault="00F84800" w:rsidP="00407022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where</w:t>
      </w:r>
      <w:r w:rsidR="00B40A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∆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and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B40A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as defined in equation (10)</w:t>
      </w:r>
      <w:r w:rsidR="00B5163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Hence,</w:t>
      </w:r>
    </w:p>
    <w:p w14:paraId="703D44A2" w14:textId="77777777" w:rsidR="00E238F1" w:rsidRDefault="00254ED5" w:rsidP="00407022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B75C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5163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W-∆P-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δt=r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∂W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∂P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  <w:r w:rsidR="00B40A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8480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4A31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C6B0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A2C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797EFF2C" w14:textId="77777777" w:rsidR="00B75C2C" w:rsidRDefault="00B75C2C" w:rsidP="00407022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rW-r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P-r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  <w:r w:rsidR="00552B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(13)</w:t>
      </w:r>
    </w:p>
    <w:p w14:paraId="181032CC" w14:textId="77777777" w:rsidR="003F1655" w:rsidRDefault="00DD3C6A" w:rsidP="00075F98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Substituting equation</w:t>
      </w:r>
      <w:r w:rsidR="008C29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(13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 int</w:t>
      </w:r>
      <w:r w:rsidR="008C29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 the expectation of equation (11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 gives</w:t>
      </w:r>
    </w:p>
    <w:p w14:paraId="407980AB" w14:textId="77777777" w:rsidR="00075F98" w:rsidRDefault="00075F98" w:rsidP="00B24F0E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+βσuP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+rP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-rW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</w:p>
    <w:p w14:paraId="104A01AE" w14:textId="77777777" w:rsidR="00DD3C6A" w:rsidRDefault="003F1655" w:rsidP="00B24F0E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075F9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+βσuP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+rP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-r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δt-</m:t>
        </m:r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TC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 w:rsidR="00B24F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022F36B9" w14:textId="77777777" w:rsidR="00B24F0E" w:rsidRDefault="00B24F0E" w:rsidP="00B24F0E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(14)</w:t>
      </w:r>
    </w:p>
    <w:p w14:paraId="685307C2" w14:textId="77777777" w:rsidR="003F7290" w:rsidRDefault="001B290C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a known Heston-type option</w:t>
      </w:r>
      <w:r w:rsidR="00E95E0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equation (14) becomes</w:t>
      </w:r>
    </w:p>
    <w:p w14:paraId="545D924B" w14:textId="77777777" w:rsidR="00735C09" w:rsidRDefault="003F7290" w:rsidP="003F7290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+βσuP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θ-u</m:t>
                </m:r>
              </m:e>
            </m:d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+rP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-rW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4C2188C" w14:textId="77777777" w:rsidR="007C0602" w:rsidRDefault="00735C09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TC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 w:rsidR="003F72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                                                                         (15)</w:t>
      </w:r>
    </w:p>
    <w:p w14:paraId="45346968" w14:textId="77777777" w:rsidR="00B24F0E" w:rsidRDefault="007C0602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order to calculate the transaction costs when hedging the portfolio from the time,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t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to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t+δt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we determine the number of transactions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The number of stocks traded at the time</w:t>
      </w:r>
      <w:r w:rsidR="00E7570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t</m:t>
        </m:r>
      </m:oMath>
      <w:r w:rsidR="00B53D9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t+δt</m:t>
        </m:r>
      </m:oMath>
      <w:r w:rsidR="00B53D9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given below. </w:t>
      </w:r>
    </w:p>
    <w:p w14:paraId="06BC9D9E" w14:textId="77777777" w:rsidR="00AE5F0B" w:rsidRDefault="00AE5F0B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P, u, t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P, u, t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P, u, t</m:t>
            </m:r>
          </m:e>
        </m:d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0525F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(16a)</w:t>
      </w:r>
    </w:p>
    <w:p w14:paraId="0CF759EB" w14:textId="77777777" w:rsidR="00713EB8" w:rsidRDefault="00713EB8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and</w:t>
      </w:r>
    </w:p>
    <w:p w14:paraId="08414399" w14:textId="77777777" w:rsidR="00713EB8" w:rsidRDefault="00273970" w:rsidP="00D65B4D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</w:t>
      </w:r>
      <w:r w:rsidR="00713EB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t+δt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P+δP, u+δu, t+δt</m:t>
            </m:r>
          </m:e>
        </m:d>
      </m:oMath>
    </w:p>
    <w:p w14:paraId="4ACAF30A" w14:textId="77777777" w:rsidR="00273970" w:rsidRDefault="00273970" w:rsidP="00D65B4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P+δP, u+δu, t+δt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P+δP, u+δu, t+δt</m:t>
            </m:r>
          </m:e>
        </m:d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(16b)</w:t>
      </w:r>
    </w:p>
    <w:p w14:paraId="66DA91C9" w14:textId="77777777" w:rsidR="004052ED" w:rsidRDefault="00273970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changes in assets and the volatility are small since we assumed</w:t>
      </w:r>
      <w:r w:rsidR="00D65B4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  <w:r w:rsidR="00EA782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the time step to be small. </w:t>
      </w:r>
      <w:r w:rsidR="002215B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Therefore, we can apply Taylor’s expansion for the components of</w:t>
      </w:r>
      <w:r w:rsidR="00454FA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t+δt</m:t>
            </m:r>
          </m:sub>
        </m:sSub>
      </m:oMath>
      <w:r w:rsidR="00F017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But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δP=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+O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δt</m:t>
            </m:r>
          </m:e>
        </m:d>
      </m:oMath>
      <w:r w:rsidR="00F017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δu=σ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+O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δt</m:t>
            </m:r>
          </m:e>
        </m:d>
      </m:oMath>
      <w:r w:rsidR="00F017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hence, </w:t>
      </w:r>
      <w:r w:rsidR="00035E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dominant term in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t+δt</m:t>
            </m:r>
          </m:sub>
        </m:sSub>
      </m:oMath>
      <w:r w:rsidR="00035E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O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δt</m:t>
                </m:r>
              </m:e>
            </m:rad>
          </m:e>
        </m:d>
      </m:oMath>
      <w:r w:rsidR="00035E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whereas the other terms are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O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δt</m:t>
            </m:r>
          </m:e>
        </m:d>
      </m:oMath>
      <w:r w:rsidR="00035E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We therefore have </w:t>
      </w:r>
    </w:p>
    <w:p w14:paraId="6A17ACF9" w14:textId="77777777" w:rsidR="004052ED" w:rsidRDefault="004052ED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t+δt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=(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σ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σ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</w:p>
    <w:p w14:paraId="2953CE4F" w14:textId="77777777" w:rsidR="00812E79" w:rsidRDefault="00812E79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σ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)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P, u, t</m:t>
                </m:r>
              </m:e>
            </m:d>
          </m:sub>
        </m:sSub>
      </m:oMath>
      <w:r w:rsidR="00827D8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(17)</w:t>
      </w:r>
    </w:p>
    <w:p w14:paraId="0F1E7E39" w14:textId="77777777" w:rsidR="00627515" w:rsidRDefault="00627515" w:rsidP="003F72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From equations (16a) and (17), we have the number of traded stocks from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t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to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t+δt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as </w:t>
      </w:r>
    </w:p>
    <w:p w14:paraId="1FDD1C2A" w14:textId="77777777" w:rsidR="00627515" w:rsidRDefault="00B33F20" w:rsidP="00B33F20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80371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t+δt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</w:p>
    <w:p w14:paraId="008E275E" w14:textId="77777777" w:rsidR="00E638FD" w:rsidRDefault="00B33F20" w:rsidP="00B33F20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E638F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</m:oMath>
    </w:p>
    <w:p w14:paraId="6888E5C9" w14:textId="77777777" w:rsidR="00C06B1B" w:rsidRDefault="00C06B1B" w:rsidP="000B49B2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                     </w:t>
      </w:r>
      <w:r w:rsidR="00B33F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-σ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∂u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AC32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8C5B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33F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</w:t>
      </w:r>
      <w:r w:rsidR="00AC32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(18)</w:t>
      </w:r>
    </w:p>
    <w:p w14:paraId="66E44967" w14:textId="77777777" w:rsidR="000C6BB6" w:rsidRDefault="000B49B2" w:rsidP="00B33F20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Since the transaction cost term is independent of the additional option,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that is</w:t>
      </w:r>
    </w:p>
    <w:p w14:paraId="5EE0E39C" w14:textId="77777777" w:rsidR="000C6BB6" w:rsidRDefault="000C6BB6" w:rsidP="00B33F20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F2014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(19a)</w:t>
      </w:r>
    </w:p>
    <w:p w14:paraId="7488C6CA" w14:textId="77777777" w:rsidR="000B49B2" w:rsidRDefault="000C6BB6" w:rsidP="00B33F20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and </w:t>
      </w:r>
      <w:r w:rsidR="000B49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3E3F1B89" w14:textId="77777777" w:rsidR="000C6BB6" w:rsidRDefault="000C6BB6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 w:rsidR="00F2014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2014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(19b)</w:t>
      </w:r>
    </w:p>
    <w:p w14:paraId="16101CD5" w14:textId="77777777" w:rsidR="005D4C04" w:rsidRDefault="005D4C04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Integrating the two PDEs in equations (19a) and (19b) will lead to </w:t>
      </w:r>
    </w:p>
    <w:p w14:paraId="032EC47D" w14:textId="77777777" w:rsidR="00323670" w:rsidRDefault="00382A17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=g(t)</m:t>
        </m:r>
      </m:oMath>
      <w:r w:rsidR="000F64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32367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(20)</w:t>
      </w:r>
    </w:p>
    <w:p w14:paraId="3434B039" w14:textId="77777777" w:rsidR="00BD499D" w:rsidRDefault="00323670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g(t)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a function of time only.  Equation (20) shows that during </w:t>
      </w:r>
      <w:r w:rsidR="0010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hedging process, the number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10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options to be traded, that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10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is independent of the option price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</m:t>
        </m:r>
      </m:oMath>
      <w:r w:rsidR="0010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the number of traded underlying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∆</m:t>
        </m:r>
      </m:oMath>
      <w:r w:rsidR="00C10F7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6B64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Hence, equation (20) is justified because the transaction costs </w:t>
      </w:r>
      <w:r w:rsidR="001710A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paid only for stocks trading, the corresponding trading amount should be independent of any other options </w:t>
      </w:r>
      <w:r w:rsidR="00F065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involved by the additional risk. </w:t>
      </w:r>
      <w:r w:rsidR="00466B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Therefore, when calculating the transaction costs term,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∆</m:t>
        </m:r>
      </m:oMath>
      <w:r w:rsidR="00466B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should not be a function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66B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6459591E" w14:textId="77777777" w:rsidR="00EE04AD" w:rsidRDefault="00BD499D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Using equation (19) on (18), we have total number of traded stocks during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δt</m:t>
        </m:r>
      </m:oMath>
      <w:r w:rsidR="002934B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to be </w:t>
      </w:r>
    </w:p>
    <w:p w14:paraId="52BCBFA5" w14:textId="77777777" w:rsidR="0023353B" w:rsidRDefault="00EE04AD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3847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2335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                             </w:t>
      </w:r>
      <w:r w:rsidR="003847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2335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(21)</w:t>
      </w:r>
    </w:p>
    <w:p w14:paraId="2E10FE6D" w14:textId="77777777" w:rsidR="00361DE6" w:rsidRDefault="00361DE6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Let </w:t>
      </w:r>
    </w:p>
    <w:p w14:paraId="5CFD5B23" w14:textId="77777777" w:rsidR="003847F8" w:rsidRDefault="00361DE6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847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ϕδ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+φδ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3847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                                                             (22)</w:t>
      </w:r>
    </w:p>
    <w:p w14:paraId="7E9E28C0" w14:textId="77777777" w:rsidR="003847F8" w:rsidRDefault="003847F8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where </w:t>
      </w:r>
    </w:p>
    <w:p w14:paraId="148E4231" w14:textId="77777777" w:rsidR="001D4A64" w:rsidRDefault="003847F8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ϕ=P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61DE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10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D4A6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and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φ=σ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∂P∂u</m:t>
            </m:r>
          </m:den>
        </m:f>
      </m:oMath>
      <w:r w:rsidR="001D4A6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           (23)</w:t>
      </w:r>
    </w:p>
    <w:p w14:paraId="308E0FC5" w14:textId="77777777" w:rsidR="00330591" w:rsidRDefault="001D4A64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Since,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and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10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Brownian </w:t>
      </w:r>
      <w:r w:rsidR="009938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motions with correlation,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β</m:t>
        </m:r>
      </m:oMath>
      <w:r w:rsidR="009938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33059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we have </w:t>
      </w:r>
    </w:p>
    <w:p w14:paraId="54FFB45C" w14:textId="77777777" w:rsidR="00330591" w:rsidRDefault="00330591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δt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and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=β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δt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ra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δt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                                 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24)</w:t>
      </w:r>
    </w:p>
    <w:p w14:paraId="70B7054F" w14:textId="77777777" w:rsidR="00CF792A" w:rsidRDefault="00330591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~ N(0,1)</m:t>
        </m:r>
      </m:oMath>
      <w:r w:rsidR="007D5BF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</w:t>
      </w:r>
      <w:r w:rsidR="00E8769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independent normal random </w:t>
      </w:r>
      <w:r w:rsidR="008E6E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variables. </w:t>
      </w:r>
      <w:r w:rsidR="003879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order to calculate the expected value of the transaction costs in a </w:t>
      </w:r>
      <w:r w:rsidR="00217C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time-step, we substitute equations </w:t>
      </w:r>
      <w:r w:rsidR="004614A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(23</w:t>
      </w:r>
      <w:r w:rsidR="00217C1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 and (</w:t>
      </w:r>
      <w:r w:rsidR="004614A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24)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614A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equation (22) </w:t>
      </w:r>
      <w:r w:rsidR="00187B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to have </w:t>
      </w:r>
    </w:p>
    <w:p w14:paraId="3853AA60" w14:textId="77777777" w:rsidR="00FA3C4D" w:rsidRDefault="00CF792A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540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TC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ϕ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δt</m:t>
                    </m:r>
                  </m:e>
                </m:rad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+φβ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δt</m:t>
                    </m:r>
                  </m:e>
                </m:rad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β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φ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δt</m:t>
                    </m:r>
                  </m:e>
                </m:rad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</m:oMath>
      <w:r w:rsidR="00C540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33059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9938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D4A6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540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(25)</w:t>
      </w:r>
      <w:r w:rsidR="0032367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82A1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</w:p>
    <w:p w14:paraId="7CBBF652" w14:textId="77777777" w:rsidR="00FA3C4D" w:rsidRDefault="00FA3C4D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But</w:t>
      </w:r>
    </w:p>
    <w:p w14:paraId="51E592A3" w14:textId="77777777" w:rsidR="00FA3C4D" w:rsidRDefault="00FA3C4D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020DA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ϕ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2π</m:t>
                </m:r>
              </m:e>
            </m:rad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-∞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ϕ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-0.5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ϕ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dϕ</m:t>
            </m:r>
          </m:e>
        </m:nary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2π</m:t>
                </m:r>
              </m:den>
            </m:f>
          </m:e>
        </m:rad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ϕ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-0.5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ϕ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dϕ</m:t>
            </m:r>
          </m:e>
        </m:nary>
      </m:oMath>
      <w:r w:rsidR="004E254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6F3751F3" w14:textId="77777777" w:rsidR="004E254D" w:rsidRDefault="004E254D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π</m:t>
                </m:r>
              </m:den>
            </m:f>
          </m:e>
        </m:rad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ϕ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-0.5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ϕ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dϕ</m:t>
            </m:r>
          </m:e>
        </m:nary>
      </m:oMath>
      <w:r w:rsidR="004B0B4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                                        (26)</w:t>
      </w:r>
    </w:p>
    <w:p w14:paraId="384FD635" w14:textId="77777777" w:rsidR="0051398B" w:rsidRDefault="0051398B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Hence, </w:t>
      </w:r>
    </w:p>
    <w:p w14:paraId="69D97DB4" w14:textId="77777777" w:rsidR="002B3FB3" w:rsidRDefault="002B3FB3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TC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2δt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π</m:t>
                </m:r>
              </m:den>
            </m:f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ϕ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+2βϕφ+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                                      (27)</w:t>
      </w:r>
    </w:p>
    <w:p w14:paraId="57B8430C" w14:textId="77777777" w:rsidR="00CD4323" w:rsidRDefault="00CD4323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Substituting equation (23) in equation (25) gives </w:t>
      </w:r>
    </w:p>
    <w:p w14:paraId="52F10956" w14:textId="77777777" w:rsidR="003905AB" w:rsidRDefault="00493D3D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TC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2δt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π</m:t>
                </m:r>
              </m:den>
            </m:f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+2βσP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σ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∂P∂u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3905A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(28)</w:t>
      </w:r>
    </w:p>
    <w:p w14:paraId="04000A41" w14:textId="77777777" w:rsidR="000F7357" w:rsidRDefault="00996D7A" w:rsidP="005D4C0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Putting </w:t>
      </w:r>
      <w:r w:rsidR="00386F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expectation of</w:t>
      </w:r>
      <w:r w:rsidR="006077A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equation (28) in equation (15), we have</w:t>
      </w:r>
    </w:p>
    <w:p w14:paraId="10960335" w14:textId="77777777" w:rsidR="00AD634E" w:rsidRDefault="000F7357" w:rsidP="00397524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∂t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+βσuP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θ-u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+rP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-rW </m:t>
        </m:r>
      </m:oMath>
    </w:p>
    <w:p w14:paraId="6605C671" w14:textId="77777777" w:rsidR="00AD634E" w:rsidRDefault="00AD634E" w:rsidP="0039752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2δt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π</m:t>
                    </m:r>
                  </m:den>
                </m:f>
              </m:e>
            </m:ra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TC</m:t>
                </m:r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</m:ra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P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W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+2βσP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W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∂P∂u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σ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∂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W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∂P∂u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(29)</w:t>
      </w:r>
    </w:p>
    <w:p w14:paraId="069AD41E" w14:textId="77777777" w:rsidR="00397524" w:rsidRDefault="00EC4CF0" w:rsidP="00397524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Equation (29) gives the option price for the holder and writer of the option,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3306E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That is, the PDE for the holding value of the </w:t>
      </w:r>
      <w:r w:rsidR="00C613E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option,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</m:t>
        </m:r>
      </m:oMath>
      <w:r w:rsidR="00C613E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</w:t>
      </w:r>
    </w:p>
    <w:p w14:paraId="7CC8280F" w14:textId="77777777" w:rsidR="00C613ED" w:rsidRDefault="00C613ED" w:rsidP="00994890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∂t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+βσuP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θ-u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+rP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-rW</m:t>
        </m:r>
      </m:oMath>
    </w:p>
    <w:p w14:paraId="25B5CB40" w14:textId="77777777" w:rsidR="00C613ED" w:rsidRDefault="00C613ED" w:rsidP="009948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2δt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π</m:t>
                </m:r>
              </m:den>
            </m:f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+2βσP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σ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∂P∂u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 w:rsidR="009948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(30)</w:t>
      </w:r>
    </w:p>
    <w:p w14:paraId="4A431D35" w14:textId="77777777" w:rsidR="00E73C1D" w:rsidRDefault="00DA7536" w:rsidP="009948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Similarly,</w:t>
      </w:r>
      <w:r w:rsidR="009948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the option price for the writer is given by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0BC4549F" w14:textId="77777777" w:rsidR="00E73C1D" w:rsidRDefault="00E73C1D" w:rsidP="00E73C1D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∂t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u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+βσuP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θ-u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∂u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+rP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∂W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-rW</m:t>
        </m:r>
      </m:oMath>
    </w:p>
    <w:p w14:paraId="05EF0D7D" w14:textId="77777777" w:rsidR="00B10E99" w:rsidRPr="005E0197" w:rsidRDefault="00E73C1D" w:rsidP="005E0197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2δt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π</m:t>
                </m:r>
              </m:den>
            </m:f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TC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u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P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+2βσP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∂P∂u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σ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∂P∂u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                                (31)</w:t>
      </w:r>
    </w:p>
    <w:p w14:paraId="3EE530F4" w14:textId="77777777" w:rsidR="00577EB1" w:rsidRPr="003B1D49" w:rsidRDefault="00577EB1" w:rsidP="003B1D4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3B1D4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Conclusion</w:t>
      </w:r>
      <w:r w:rsidR="001C696A" w:rsidRPr="003B1D4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993D17C" w14:textId="77777777" w:rsidR="003B1D49" w:rsidRPr="003B1D49" w:rsidRDefault="0043187C" w:rsidP="003B1D49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Based on the incorporation of the transaction costs and the market incompleteness, the option price for the holder and writer of the option is no longer unique. </w:t>
      </w:r>
      <w:r w:rsidR="00DE685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Equations (30) and (31) give the option price for the holder and writer of the option,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W</m:t>
        </m:r>
      </m:oMath>
      <w:r w:rsidR="00DE685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respectively.</w:t>
      </w:r>
      <w:r w:rsidR="00335B5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Their solutions, together with appropriate conditions give the holding and writing price of an option with transaction costs. </w:t>
      </w:r>
      <w:r w:rsidR="003F36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Equation (29) reduces to Heston PDE when the transaction cost rate is equal to zero. </w:t>
      </w:r>
    </w:p>
    <w:p w14:paraId="36D881E0" w14:textId="77777777" w:rsidR="008B045D" w:rsidRPr="008B045D" w:rsidRDefault="009A436E" w:rsidP="008B045D">
      <w:pPr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5</w:t>
      </w:r>
      <w:r w:rsidR="00CF77C3" w:rsidRPr="00CF77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.0    References </w:t>
      </w:r>
    </w:p>
    <w:p w14:paraId="2AFB43B8" w14:textId="77777777" w:rsidR="008B045D" w:rsidRDefault="00220DB5" w:rsidP="008B045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[1]   </w:t>
      </w:r>
      <w:r w:rsidR="00317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Black, F. &amp; Scholes M. </w:t>
      </w:r>
      <w:r w:rsidR="003177A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(1973</w:t>
      </w:r>
      <w:r w:rsidR="008B045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). </w:t>
      </w:r>
      <w:r w:rsidR="003177A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Pricing of Options and </w:t>
      </w:r>
      <w:r w:rsidR="003237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Corporate Liabilities. </w:t>
      </w:r>
      <w:r w:rsidR="00C6329F" w:rsidRPr="00B9384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Journal of </w:t>
      </w:r>
      <w:r w:rsidR="00323744" w:rsidRPr="00B9384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Political Economy</w:t>
      </w:r>
      <w:r w:rsidR="003237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81(3):</w:t>
      </w:r>
      <w:r w:rsidR="008B045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237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637-654.</w:t>
      </w:r>
      <w:r w:rsidR="008B045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0461BF6A" w14:textId="77777777" w:rsidR="005E274C" w:rsidRDefault="005E274C" w:rsidP="008B045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[2]   Derman, E. &amp; Kani, I. (1994). Riding on a Smile. </w:t>
      </w:r>
      <w:r w:rsidRPr="00B9384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Risk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7(2): 32-39</w:t>
      </w:r>
      <w:r w:rsidR="00FD764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4F9099E" w14:textId="77777777" w:rsidR="00547A1F" w:rsidRDefault="00FD7642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[3]   Dimasi, G.B.,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Kabanov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Y.M., &amp;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Runggaldier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W.J. (1995). Mean-Variance Hedging of Options on Stocks with Markov Volatilities. </w:t>
      </w:r>
      <w:r w:rsidRPr="00B9384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Theory of Probability and its Applications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39(1): 172-182. </w:t>
      </w:r>
    </w:p>
    <w:p w14:paraId="50F2D082" w14:textId="77777777" w:rsidR="00FF096C" w:rsidRDefault="00547A1F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[4]    Lu, X. &amp; Putri, E.R.M. (2020). A semi</w:t>
      </w:r>
      <w:r w:rsidR="00776EF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-A</w:t>
      </w:r>
      <w:r w:rsidR="002E1ED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</w:t>
      </w:r>
      <w:r w:rsidR="00A202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alytic Valuation of American Options under a Two-State Regime-Switching Economy. </w:t>
      </w:r>
      <w:r w:rsidR="00A20205" w:rsidRPr="00B9384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Physica A: Statistical Mechanics and its Applications</w:t>
      </w:r>
      <w:r w:rsidR="00A202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538: 122968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0E35EA77" w14:textId="77777777" w:rsidR="002E1ED1" w:rsidRDefault="002E1ED1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[5]   Zhu, S.P. Badran, A., &amp; Lu, X. (2012). A New Exact Solution for Pricing European Options in a Two-state Regime-Switching Economy. </w:t>
      </w:r>
      <w:r w:rsidRPr="00B9384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Computers and Mathematics with Applications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64(8): 2744-2755.</w:t>
      </w:r>
    </w:p>
    <w:p w14:paraId="45708589" w14:textId="77777777" w:rsidR="002E1ED1" w:rsidRDefault="002E1ED1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[6]   </w:t>
      </w:r>
      <w:r w:rsidR="00D051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Heston, S.L. (1993). A Closed-Form Solution for Options with Stochastic Volatility with Applications to Bond and Currency Options. </w:t>
      </w:r>
      <w:r w:rsidR="00D051B1" w:rsidRPr="00B9384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The Review of Financial Studies</w:t>
      </w:r>
      <w:r w:rsidR="00D051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6(2): 327-343. </w:t>
      </w:r>
    </w:p>
    <w:p w14:paraId="08BFBC5A" w14:textId="77777777" w:rsidR="00C4298C" w:rsidRDefault="00061AF4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[7]   Hull, J., &amp; White, A. (1987). The </w:t>
      </w:r>
      <w:r w:rsidR="00967A8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ricing of Options on Assets with Stochastic Volatilities.</w:t>
      </w:r>
      <w:r w:rsidR="00967A8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4298C" w:rsidRPr="00C4298C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The Journal of Finance</w:t>
      </w:r>
      <w:r w:rsidR="00C4298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42(2): 281-300.</w:t>
      </w:r>
    </w:p>
    <w:p w14:paraId="3EA98B88" w14:textId="77777777" w:rsidR="00C4298C" w:rsidRDefault="00C4298C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[8]    </w:t>
      </w:r>
      <w:r w:rsidR="0069402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Leland, H.E. (1985). Option Pricing and Replication with Transactions Costs. </w:t>
      </w:r>
      <w:r w:rsidR="00694022" w:rsidRPr="00A3699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The Journal of Finance</w:t>
      </w:r>
      <w:r w:rsidR="0069402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40(5): 1283-1301. </w:t>
      </w:r>
    </w:p>
    <w:p w14:paraId="095ABB26" w14:textId="77777777" w:rsidR="00A36995" w:rsidRDefault="00A36995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[9]   </w:t>
      </w:r>
      <w:r w:rsidR="00DC11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Amster, P., </w:t>
      </w:r>
      <w:proofErr w:type="spellStart"/>
      <w:r w:rsidR="00DC11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Averbuj</w:t>
      </w:r>
      <w:proofErr w:type="spellEnd"/>
      <w:r w:rsidR="00DC11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C.G., </w:t>
      </w:r>
      <w:proofErr w:type="spellStart"/>
      <w:r w:rsidR="00DC11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Mariani</w:t>
      </w:r>
      <w:proofErr w:type="spellEnd"/>
      <w:r w:rsidR="00DC11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M.C., &amp; Rial, D. (2005). </w:t>
      </w:r>
      <w:r w:rsidR="00063A9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Black-Scholes Option Pricing Model with Transaction Costs. </w:t>
      </w:r>
      <w:r w:rsidR="00063A92" w:rsidRPr="00063A92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Journal of Mathematical Analysis and Applications</w:t>
      </w:r>
      <w:r w:rsidR="00063A9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303(2): 688-695. </w:t>
      </w:r>
    </w:p>
    <w:p w14:paraId="78CA5301" w14:textId="77777777" w:rsidR="00063A92" w:rsidRDefault="00063A92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[10]   </w:t>
      </w:r>
      <w:r w:rsidR="0015700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Hodges, S., &amp; Neuberger, A. (1989). Optimal Replication of Contingent Claims under Transaction Costs. </w:t>
      </w:r>
      <w:r w:rsidR="0015700F" w:rsidRPr="0015700F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Review Futures Market</w:t>
      </w:r>
      <w:r w:rsidR="0015700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8:</w:t>
      </w:r>
      <w:r w:rsidR="009B79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5700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222-239.  </w:t>
      </w:r>
    </w:p>
    <w:p w14:paraId="04DF4208" w14:textId="77777777" w:rsidR="0015700F" w:rsidRDefault="0015700F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[11]   Kwok, Y.K. (2008). </w:t>
      </w:r>
      <w:r w:rsidRPr="0084645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Mathematical Models of Financial Derivatives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Springer.  </w:t>
      </w:r>
    </w:p>
    <w:p w14:paraId="03F4D958" w14:textId="77777777" w:rsidR="00C73711" w:rsidRDefault="00C73711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[12]  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Sevcovic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D., &amp;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Zitnanska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M. (2016). Analysis of the Nonlinear Option Pricing Model under Variable Transaction Costs. </w:t>
      </w:r>
      <w:r w:rsidR="0021398E" w:rsidRPr="009B794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Asian-Pacific Financial Markets</w:t>
      </w:r>
      <w:r w:rsidR="002139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23(2): 153-174. </w:t>
      </w:r>
    </w:p>
    <w:p w14:paraId="6342AD6E" w14:textId="77777777" w:rsidR="009B7949" w:rsidRDefault="009B7949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[13]   Wilmott, P., Hoggard, T., &amp; Whalley, A. (1994). Hedging Option Portfolios in the Presence of Transaction Costs. </w:t>
      </w:r>
      <w:r w:rsidRPr="009B794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Advances in Futures and Options Research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7: 21-35.  </w:t>
      </w:r>
    </w:p>
    <w:p w14:paraId="1004321A" w14:textId="77777777" w:rsidR="009B7949" w:rsidRDefault="009B7949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[14]   </w:t>
      </w:r>
      <w:proofErr w:type="spellStart"/>
      <w:r w:rsidR="00912D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Mariani</w:t>
      </w:r>
      <w:proofErr w:type="spellEnd"/>
      <w:r w:rsidR="00912D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E3560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M.C., &amp; </w:t>
      </w:r>
      <w:proofErr w:type="spellStart"/>
      <w:r w:rsidR="00E3560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SenGupta</w:t>
      </w:r>
      <w:proofErr w:type="spellEnd"/>
      <w:r w:rsidR="00E3560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I. (2012). Nonlinear Problems Modeling Stochastic Volatility </w:t>
      </w:r>
      <w:r w:rsidR="00F00FB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and Transaction Costs. </w:t>
      </w:r>
      <w:r w:rsidR="00F00FB6" w:rsidRPr="009C1DA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Quantitative Finance</w:t>
      </w:r>
      <w:r w:rsidR="00F00FB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12(4): </w:t>
      </w:r>
      <w:r w:rsidR="00B45A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663-670.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0C02BA75" w14:textId="77777777" w:rsidR="00061AF4" w:rsidRDefault="00061AF4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FB7D805" w14:textId="77777777" w:rsidR="00547A1F" w:rsidRDefault="00547A1F" w:rsidP="00A20205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AE71687" w14:textId="77777777" w:rsidR="00CF77C3" w:rsidRPr="00CF77C3" w:rsidRDefault="00CF77C3" w:rsidP="004015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E58034B" w14:textId="77777777" w:rsidR="00577EB1" w:rsidRDefault="00577EB1" w:rsidP="00401590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18354AD" w14:textId="77777777" w:rsidR="000022C8" w:rsidRDefault="000022C8" w:rsidP="000022C8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6543135" w14:textId="77777777" w:rsidR="002063C7" w:rsidRDefault="002063C7" w:rsidP="002063C7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16F0BF95" w14:textId="77777777" w:rsidR="00693FDE" w:rsidRDefault="00957798" w:rsidP="000E092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CF27E63" w14:textId="77777777" w:rsidR="002063C7" w:rsidRDefault="002063C7" w:rsidP="000E092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DE76BD6" w14:textId="77777777" w:rsidR="0030055B" w:rsidRPr="00380CAB" w:rsidRDefault="000063C6" w:rsidP="000E092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CC4C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</w:t>
      </w:r>
    </w:p>
    <w:p w14:paraId="6220E2B5" w14:textId="77777777" w:rsidR="00611072" w:rsidRPr="004866E6" w:rsidRDefault="00611072" w:rsidP="004866E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22A61E3C" w14:textId="77777777" w:rsidR="003907F3" w:rsidRPr="00294FF3" w:rsidRDefault="0069208E" w:rsidP="00294FF3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sectPr w:rsidR="003907F3" w:rsidRPr="00294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4F457" w14:textId="77777777" w:rsidR="009266BC" w:rsidRDefault="009266BC" w:rsidP="00FC595C">
      <w:pPr>
        <w:spacing w:after="0" w:line="240" w:lineRule="auto"/>
      </w:pPr>
      <w:r>
        <w:separator/>
      </w:r>
    </w:p>
  </w:endnote>
  <w:endnote w:type="continuationSeparator" w:id="0">
    <w:p w14:paraId="5F1B174A" w14:textId="77777777" w:rsidR="009266BC" w:rsidRDefault="009266BC" w:rsidP="00FC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B561" w14:textId="77777777" w:rsidR="00796F05" w:rsidRDefault="00796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27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05C9B" w14:textId="77777777" w:rsidR="001D4A64" w:rsidRDefault="001D4A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AE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D8D6806" w14:textId="77777777" w:rsidR="001D4A64" w:rsidRDefault="001D4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81E84" w14:textId="77777777" w:rsidR="00796F05" w:rsidRDefault="00796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C500C" w14:textId="77777777" w:rsidR="009266BC" w:rsidRDefault="009266BC" w:rsidP="00FC595C">
      <w:pPr>
        <w:spacing w:after="0" w:line="240" w:lineRule="auto"/>
      </w:pPr>
      <w:r>
        <w:separator/>
      </w:r>
    </w:p>
  </w:footnote>
  <w:footnote w:type="continuationSeparator" w:id="0">
    <w:p w14:paraId="194B7DA1" w14:textId="77777777" w:rsidR="009266BC" w:rsidRDefault="009266BC" w:rsidP="00FC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BD022" w14:textId="1B82BD63" w:rsidR="00796F05" w:rsidRDefault="00796F05">
    <w:pPr>
      <w:pStyle w:val="Header"/>
    </w:pPr>
    <w:r>
      <w:rPr>
        <w:noProof/>
      </w:rPr>
      <w:pict w14:anchorId="7F2DCF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145001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C7F2" w14:textId="2CB2B843" w:rsidR="00796F05" w:rsidRDefault="00796F05">
    <w:pPr>
      <w:pStyle w:val="Header"/>
    </w:pPr>
    <w:r>
      <w:rPr>
        <w:noProof/>
      </w:rPr>
      <w:pict w14:anchorId="25684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145002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A847E" w14:textId="774E2202" w:rsidR="00796F05" w:rsidRDefault="00796F05">
    <w:pPr>
      <w:pStyle w:val="Header"/>
    </w:pPr>
    <w:r>
      <w:rPr>
        <w:noProof/>
      </w:rPr>
      <w:pict w14:anchorId="6AE53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145000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86A98"/>
    <w:multiLevelType w:val="multilevel"/>
    <w:tmpl w:val="911C897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C6"/>
    <w:rsid w:val="00000845"/>
    <w:rsid w:val="000022C8"/>
    <w:rsid w:val="000028D4"/>
    <w:rsid w:val="00002C43"/>
    <w:rsid w:val="000041C6"/>
    <w:rsid w:val="000063C6"/>
    <w:rsid w:val="00007C55"/>
    <w:rsid w:val="0001128C"/>
    <w:rsid w:val="00012A36"/>
    <w:rsid w:val="0001589A"/>
    <w:rsid w:val="0001761F"/>
    <w:rsid w:val="0001763D"/>
    <w:rsid w:val="00020DAD"/>
    <w:rsid w:val="00021D27"/>
    <w:rsid w:val="000226B9"/>
    <w:rsid w:val="000239E4"/>
    <w:rsid w:val="00023C9A"/>
    <w:rsid w:val="00025943"/>
    <w:rsid w:val="00026D82"/>
    <w:rsid w:val="00030766"/>
    <w:rsid w:val="0003131B"/>
    <w:rsid w:val="0003147E"/>
    <w:rsid w:val="00032A85"/>
    <w:rsid w:val="00033368"/>
    <w:rsid w:val="00035E7D"/>
    <w:rsid w:val="00036341"/>
    <w:rsid w:val="00036BD6"/>
    <w:rsid w:val="000378B4"/>
    <w:rsid w:val="00041F31"/>
    <w:rsid w:val="00042158"/>
    <w:rsid w:val="0004588A"/>
    <w:rsid w:val="00046C44"/>
    <w:rsid w:val="00047AC1"/>
    <w:rsid w:val="0005068F"/>
    <w:rsid w:val="000525FD"/>
    <w:rsid w:val="0005293E"/>
    <w:rsid w:val="00054C54"/>
    <w:rsid w:val="000573D6"/>
    <w:rsid w:val="00057EB0"/>
    <w:rsid w:val="000608A0"/>
    <w:rsid w:val="0006091C"/>
    <w:rsid w:val="00060C61"/>
    <w:rsid w:val="00061AF4"/>
    <w:rsid w:val="00061E65"/>
    <w:rsid w:val="00062154"/>
    <w:rsid w:val="00063A92"/>
    <w:rsid w:val="000642B3"/>
    <w:rsid w:val="0006540C"/>
    <w:rsid w:val="000654D3"/>
    <w:rsid w:val="00067C09"/>
    <w:rsid w:val="00070982"/>
    <w:rsid w:val="00075958"/>
    <w:rsid w:val="00075F98"/>
    <w:rsid w:val="00076A04"/>
    <w:rsid w:val="00077AD8"/>
    <w:rsid w:val="00081CEE"/>
    <w:rsid w:val="00084C74"/>
    <w:rsid w:val="00086039"/>
    <w:rsid w:val="000864A4"/>
    <w:rsid w:val="000866A1"/>
    <w:rsid w:val="0008751C"/>
    <w:rsid w:val="00087CC2"/>
    <w:rsid w:val="00092B3E"/>
    <w:rsid w:val="0009586D"/>
    <w:rsid w:val="00096664"/>
    <w:rsid w:val="00096AF0"/>
    <w:rsid w:val="000A0C21"/>
    <w:rsid w:val="000A1858"/>
    <w:rsid w:val="000A1D2E"/>
    <w:rsid w:val="000A21A1"/>
    <w:rsid w:val="000A43BB"/>
    <w:rsid w:val="000A4EBA"/>
    <w:rsid w:val="000A4F5D"/>
    <w:rsid w:val="000A52CC"/>
    <w:rsid w:val="000B0D59"/>
    <w:rsid w:val="000B0F24"/>
    <w:rsid w:val="000B11D8"/>
    <w:rsid w:val="000B4254"/>
    <w:rsid w:val="000B49B2"/>
    <w:rsid w:val="000B66A8"/>
    <w:rsid w:val="000C09A1"/>
    <w:rsid w:val="000C45F1"/>
    <w:rsid w:val="000C5C02"/>
    <w:rsid w:val="000C5E12"/>
    <w:rsid w:val="000C6A94"/>
    <w:rsid w:val="000C6BB6"/>
    <w:rsid w:val="000D04BA"/>
    <w:rsid w:val="000D0C32"/>
    <w:rsid w:val="000D5496"/>
    <w:rsid w:val="000D6F06"/>
    <w:rsid w:val="000E07CB"/>
    <w:rsid w:val="000E092D"/>
    <w:rsid w:val="000E2528"/>
    <w:rsid w:val="000E4565"/>
    <w:rsid w:val="000E512C"/>
    <w:rsid w:val="000E5416"/>
    <w:rsid w:val="000E63AF"/>
    <w:rsid w:val="000E6EEE"/>
    <w:rsid w:val="000E74AF"/>
    <w:rsid w:val="000E7E27"/>
    <w:rsid w:val="000F0B76"/>
    <w:rsid w:val="000F0DCA"/>
    <w:rsid w:val="000F25AD"/>
    <w:rsid w:val="000F3B7B"/>
    <w:rsid w:val="000F4557"/>
    <w:rsid w:val="000F643A"/>
    <w:rsid w:val="000F672C"/>
    <w:rsid w:val="000F7357"/>
    <w:rsid w:val="000F7983"/>
    <w:rsid w:val="001004E6"/>
    <w:rsid w:val="0010147E"/>
    <w:rsid w:val="00107584"/>
    <w:rsid w:val="00112C9C"/>
    <w:rsid w:val="001134AA"/>
    <w:rsid w:val="00113E7A"/>
    <w:rsid w:val="00121F16"/>
    <w:rsid w:val="001240A1"/>
    <w:rsid w:val="00133F5E"/>
    <w:rsid w:val="00134148"/>
    <w:rsid w:val="00137ABF"/>
    <w:rsid w:val="00140FE9"/>
    <w:rsid w:val="0014103C"/>
    <w:rsid w:val="0014151D"/>
    <w:rsid w:val="00142C62"/>
    <w:rsid w:val="00143C34"/>
    <w:rsid w:val="0014571E"/>
    <w:rsid w:val="001467FA"/>
    <w:rsid w:val="001509E8"/>
    <w:rsid w:val="00150A12"/>
    <w:rsid w:val="00151335"/>
    <w:rsid w:val="0015506F"/>
    <w:rsid w:val="00156927"/>
    <w:rsid w:val="0015700F"/>
    <w:rsid w:val="0015721D"/>
    <w:rsid w:val="0015788E"/>
    <w:rsid w:val="001606E8"/>
    <w:rsid w:val="0016185F"/>
    <w:rsid w:val="00161ED3"/>
    <w:rsid w:val="00164515"/>
    <w:rsid w:val="00165E81"/>
    <w:rsid w:val="00165F0F"/>
    <w:rsid w:val="001710A1"/>
    <w:rsid w:val="0017135E"/>
    <w:rsid w:val="001716E9"/>
    <w:rsid w:val="00177CD4"/>
    <w:rsid w:val="00177D23"/>
    <w:rsid w:val="00182E8B"/>
    <w:rsid w:val="0018494B"/>
    <w:rsid w:val="00185C76"/>
    <w:rsid w:val="001864F4"/>
    <w:rsid w:val="001869D4"/>
    <w:rsid w:val="00187B6F"/>
    <w:rsid w:val="001929C8"/>
    <w:rsid w:val="001930EE"/>
    <w:rsid w:val="00194C40"/>
    <w:rsid w:val="001954B0"/>
    <w:rsid w:val="00195FAE"/>
    <w:rsid w:val="001A0A63"/>
    <w:rsid w:val="001A0E4E"/>
    <w:rsid w:val="001A2C1F"/>
    <w:rsid w:val="001A4F9C"/>
    <w:rsid w:val="001A5867"/>
    <w:rsid w:val="001A6943"/>
    <w:rsid w:val="001A70ED"/>
    <w:rsid w:val="001A7F87"/>
    <w:rsid w:val="001B0CA6"/>
    <w:rsid w:val="001B290C"/>
    <w:rsid w:val="001B480D"/>
    <w:rsid w:val="001B4FE1"/>
    <w:rsid w:val="001B6D61"/>
    <w:rsid w:val="001C0476"/>
    <w:rsid w:val="001C1613"/>
    <w:rsid w:val="001C39BD"/>
    <w:rsid w:val="001C696A"/>
    <w:rsid w:val="001C6FC2"/>
    <w:rsid w:val="001C74A4"/>
    <w:rsid w:val="001C7F40"/>
    <w:rsid w:val="001D065C"/>
    <w:rsid w:val="001D131B"/>
    <w:rsid w:val="001D3324"/>
    <w:rsid w:val="001D4A64"/>
    <w:rsid w:val="001D68B3"/>
    <w:rsid w:val="001D6E28"/>
    <w:rsid w:val="001E3BDA"/>
    <w:rsid w:val="001E47C2"/>
    <w:rsid w:val="001E4ADA"/>
    <w:rsid w:val="001E7073"/>
    <w:rsid w:val="001E75DE"/>
    <w:rsid w:val="001E7775"/>
    <w:rsid w:val="001E7BF3"/>
    <w:rsid w:val="001F5F0A"/>
    <w:rsid w:val="001F636B"/>
    <w:rsid w:val="001F74E1"/>
    <w:rsid w:val="00201FC4"/>
    <w:rsid w:val="00203B90"/>
    <w:rsid w:val="002047BF"/>
    <w:rsid w:val="00205C65"/>
    <w:rsid w:val="002063C7"/>
    <w:rsid w:val="00207A77"/>
    <w:rsid w:val="002102B5"/>
    <w:rsid w:val="00211D4D"/>
    <w:rsid w:val="002138D6"/>
    <w:rsid w:val="0021398E"/>
    <w:rsid w:val="00214046"/>
    <w:rsid w:val="00216307"/>
    <w:rsid w:val="002175DA"/>
    <w:rsid w:val="00217C1A"/>
    <w:rsid w:val="00220CB3"/>
    <w:rsid w:val="00220DB5"/>
    <w:rsid w:val="002215BE"/>
    <w:rsid w:val="00222773"/>
    <w:rsid w:val="002229BD"/>
    <w:rsid w:val="00222AF9"/>
    <w:rsid w:val="00223C81"/>
    <w:rsid w:val="002258D6"/>
    <w:rsid w:val="0023353B"/>
    <w:rsid w:val="002338C8"/>
    <w:rsid w:val="002340ED"/>
    <w:rsid w:val="00236342"/>
    <w:rsid w:val="002371E0"/>
    <w:rsid w:val="0023777E"/>
    <w:rsid w:val="002406AA"/>
    <w:rsid w:val="002419B5"/>
    <w:rsid w:val="00245739"/>
    <w:rsid w:val="002472AF"/>
    <w:rsid w:val="0025413B"/>
    <w:rsid w:val="00254ED5"/>
    <w:rsid w:val="0025759E"/>
    <w:rsid w:val="00257DCD"/>
    <w:rsid w:val="0026058F"/>
    <w:rsid w:val="002611B3"/>
    <w:rsid w:val="00262399"/>
    <w:rsid w:val="00264153"/>
    <w:rsid w:val="002641D6"/>
    <w:rsid w:val="00264CE1"/>
    <w:rsid w:val="00266551"/>
    <w:rsid w:val="00271917"/>
    <w:rsid w:val="002720E8"/>
    <w:rsid w:val="0027260C"/>
    <w:rsid w:val="00273970"/>
    <w:rsid w:val="002739B6"/>
    <w:rsid w:val="00274754"/>
    <w:rsid w:val="0027773F"/>
    <w:rsid w:val="00277DCC"/>
    <w:rsid w:val="002829C3"/>
    <w:rsid w:val="00283D3D"/>
    <w:rsid w:val="002867E6"/>
    <w:rsid w:val="00290108"/>
    <w:rsid w:val="0029081A"/>
    <w:rsid w:val="002934B7"/>
    <w:rsid w:val="00293686"/>
    <w:rsid w:val="0029492B"/>
    <w:rsid w:val="00294FF3"/>
    <w:rsid w:val="002A48E6"/>
    <w:rsid w:val="002A4F19"/>
    <w:rsid w:val="002A5696"/>
    <w:rsid w:val="002A5A27"/>
    <w:rsid w:val="002A648C"/>
    <w:rsid w:val="002B1312"/>
    <w:rsid w:val="002B36B8"/>
    <w:rsid w:val="002B3E04"/>
    <w:rsid w:val="002B3F77"/>
    <w:rsid w:val="002B3FB3"/>
    <w:rsid w:val="002B4ED7"/>
    <w:rsid w:val="002B6C1D"/>
    <w:rsid w:val="002C51D8"/>
    <w:rsid w:val="002C55E6"/>
    <w:rsid w:val="002C6A99"/>
    <w:rsid w:val="002D4F81"/>
    <w:rsid w:val="002D6585"/>
    <w:rsid w:val="002D7A5D"/>
    <w:rsid w:val="002E0615"/>
    <w:rsid w:val="002E1DFC"/>
    <w:rsid w:val="002E1ED1"/>
    <w:rsid w:val="002E2747"/>
    <w:rsid w:val="002E38DA"/>
    <w:rsid w:val="002F0C6F"/>
    <w:rsid w:val="002F421A"/>
    <w:rsid w:val="002F4807"/>
    <w:rsid w:val="002F5154"/>
    <w:rsid w:val="002F6358"/>
    <w:rsid w:val="002F7ACC"/>
    <w:rsid w:val="0030055B"/>
    <w:rsid w:val="00301D24"/>
    <w:rsid w:val="0030437E"/>
    <w:rsid w:val="0030665A"/>
    <w:rsid w:val="003073FA"/>
    <w:rsid w:val="003079D0"/>
    <w:rsid w:val="0031092D"/>
    <w:rsid w:val="00310964"/>
    <w:rsid w:val="00313D0F"/>
    <w:rsid w:val="0031460C"/>
    <w:rsid w:val="003167DA"/>
    <w:rsid w:val="00316835"/>
    <w:rsid w:val="003177A3"/>
    <w:rsid w:val="00320928"/>
    <w:rsid w:val="00322B7B"/>
    <w:rsid w:val="0032318D"/>
    <w:rsid w:val="00323670"/>
    <w:rsid w:val="00323744"/>
    <w:rsid w:val="003249B0"/>
    <w:rsid w:val="00324CAE"/>
    <w:rsid w:val="00325A3B"/>
    <w:rsid w:val="00325B99"/>
    <w:rsid w:val="00330591"/>
    <w:rsid w:val="003306EA"/>
    <w:rsid w:val="0033458E"/>
    <w:rsid w:val="00335B5E"/>
    <w:rsid w:val="00335CA4"/>
    <w:rsid w:val="003400F0"/>
    <w:rsid w:val="00340D07"/>
    <w:rsid w:val="0034113F"/>
    <w:rsid w:val="00341281"/>
    <w:rsid w:val="00347F42"/>
    <w:rsid w:val="00352B86"/>
    <w:rsid w:val="00353E84"/>
    <w:rsid w:val="00353F6B"/>
    <w:rsid w:val="00357B06"/>
    <w:rsid w:val="00361DE6"/>
    <w:rsid w:val="00362CF8"/>
    <w:rsid w:val="003630A7"/>
    <w:rsid w:val="00365A34"/>
    <w:rsid w:val="00366065"/>
    <w:rsid w:val="003679AD"/>
    <w:rsid w:val="0037228A"/>
    <w:rsid w:val="0037286C"/>
    <w:rsid w:val="003728E7"/>
    <w:rsid w:val="00373F61"/>
    <w:rsid w:val="00375390"/>
    <w:rsid w:val="003773FC"/>
    <w:rsid w:val="00377463"/>
    <w:rsid w:val="00377F13"/>
    <w:rsid w:val="00380621"/>
    <w:rsid w:val="003809A7"/>
    <w:rsid w:val="00380CAB"/>
    <w:rsid w:val="00382A17"/>
    <w:rsid w:val="003847F8"/>
    <w:rsid w:val="0038493A"/>
    <w:rsid w:val="003861BF"/>
    <w:rsid w:val="00386BB5"/>
    <w:rsid w:val="00386F4E"/>
    <w:rsid w:val="00387599"/>
    <w:rsid w:val="003879CE"/>
    <w:rsid w:val="003905AB"/>
    <w:rsid w:val="003907F3"/>
    <w:rsid w:val="00390B62"/>
    <w:rsid w:val="00392078"/>
    <w:rsid w:val="003924AB"/>
    <w:rsid w:val="003941CC"/>
    <w:rsid w:val="00395B85"/>
    <w:rsid w:val="00396D54"/>
    <w:rsid w:val="00397515"/>
    <w:rsid w:val="00397524"/>
    <w:rsid w:val="00397A0E"/>
    <w:rsid w:val="003A0ABE"/>
    <w:rsid w:val="003A1EAA"/>
    <w:rsid w:val="003A21DB"/>
    <w:rsid w:val="003A2837"/>
    <w:rsid w:val="003A291C"/>
    <w:rsid w:val="003A32DA"/>
    <w:rsid w:val="003A4530"/>
    <w:rsid w:val="003A5E1A"/>
    <w:rsid w:val="003A60EE"/>
    <w:rsid w:val="003A7D87"/>
    <w:rsid w:val="003B0FBE"/>
    <w:rsid w:val="003B11B9"/>
    <w:rsid w:val="003B1D49"/>
    <w:rsid w:val="003B20A0"/>
    <w:rsid w:val="003B2401"/>
    <w:rsid w:val="003B3EF8"/>
    <w:rsid w:val="003C1545"/>
    <w:rsid w:val="003C1E52"/>
    <w:rsid w:val="003C2D22"/>
    <w:rsid w:val="003C3346"/>
    <w:rsid w:val="003C3CD6"/>
    <w:rsid w:val="003C4037"/>
    <w:rsid w:val="003C4F80"/>
    <w:rsid w:val="003C562B"/>
    <w:rsid w:val="003C5BDB"/>
    <w:rsid w:val="003C61E9"/>
    <w:rsid w:val="003C6576"/>
    <w:rsid w:val="003D2028"/>
    <w:rsid w:val="003D57E6"/>
    <w:rsid w:val="003D7130"/>
    <w:rsid w:val="003E2C79"/>
    <w:rsid w:val="003E3762"/>
    <w:rsid w:val="003E4A5D"/>
    <w:rsid w:val="003F084B"/>
    <w:rsid w:val="003F1655"/>
    <w:rsid w:val="003F2507"/>
    <w:rsid w:val="003F360B"/>
    <w:rsid w:val="003F42FF"/>
    <w:rsid w:val="003F4922"/>
    <w:rsid w:val="003F4A7C"/>
    <w:rsid w:val="003F5B6C"/>
    <w:rsid w:val="003F6C27"/>
    <w:rsid w:val="003F7290"/>
    <w:rsid w:val="003F7F93"/>
    <w:rsid w:val="004013F4"/>
    <w:rsid w:val="00401590"/>
    <w:rsid w:val="00401824"/>
    <w:rsid w:val="00402D0E"/>
    <w:rsid w:val="0040418A"/>
    <w:rsid w:val="00404510"/>
    <w:rsid w:val="004052ED"/>
    <w:rsid w:val="00406387"/>
    <w:rsid w:val="00407022"/>
    <w:rsid w:val="00407073"/>
    <w:rsid w:val="00407720"/>
    <w:rsid w:val="0041024B"/>
    <w:rsid w:val="0041159D"/>
    <w:rsid w:val="00413079"/>
    <w:rsid w:val="00415187"/>
    <w:rsid w:val="0041541F"/>
    <w:rsid w:val="004165B6"/>
    <w:rsid w:val="00423228"/>
    <w:rsid w:val="00423A19"/>
    <w:rsid w:val="0043187C"/>
    <w:rsid w:val="00431D5B"/>
    <w:rsid w:val="0043595B"/>
    <w:rsid w:val="00435DBF"/>
    <w:rsid w:val="004411D1"/>
    <w:rsid w:val="004414D4"/>
    <w:rsid w:val="004443B2"/>
    <w:rsid w:val="004445CA"/>
    <w:rsid w:val="004446AF"/>
    <w:rsid w:val="00444AE3"/>
    <w:rsid w:val="00444C55"/>
    <w:rsid w:val="00446CFB"/>
    <w:rsid w:val="004473F9"/>
    <w:rsid w:val="00453690"/>
    <w:rsid w:val="00454EE2"/>
    <w:rsid w:val="00454F01"/>
    <w:rsid w:val="00454FA9"/>
    <w:rsid w:val="00455682"/>
    <w:rsid w:val="00456933"/>
    <w:rsid w:val="004614A5"/>
    <w:rsid w:val="00462567"/>
    <w:rsid w:val="0046564C"/>
    <w:rsid w:val="00465EF8"/>
    <w:rsid w:val="00466B9C"/>
    <w:rsid w:val="00467739"/>
    <w:rsid w:val="00467967"/>
    <w:rsid w:val="00467B9D"/>
    <w:rsid w:val="00470566"/>
    <w:rsid w:val="00470EB7"/>
    <w:rsid w:val="004720D6"/>
    <w:rsid w:val="00473996"/>
    <w:rsid w:val="00474E6D"/>
    <w:rsid w:val="00476126"/>
    <w:rsid w:val="00477902"/>
    <w:rsid w:val="00480616"/>
    <w:rsid w:val="004806C8"/>
    <w:rsid w:val="004817DD"/>
    <w:rsid w:val="00483199"/>
    <w:rsid w:val="00484888"/>
    <w:rsid w:val="00484989"/>
    <w:rsid w:val="00486195"/>
    <w:rsid w:val="004866E6"/>
    <w:rsid w:val="00490654"/>
    <w:rsid w:val="00492044"/>
    <w:rsid w:val="00492B77"/>
    <w:rsid w:val="00493D3D"/>
    <w:rsid w:val="00493D7D"/>
    <w:rsid w:val="00495632"/>
    <w:rsid w:val="00496813"/>
    <w:rsid w:val="0049697B"/>
    <w:rsid w:val="004A193C"/>
    <w:rsid w:val="004A319C"/>
    <w:rsid w:val="004A3376"/>
    <w:rsid w:val="004A39B2"/>
    <w:rsid w:val="004A56AF"/>
    <w:rsid w:val="004A5A68"/>
    <w:rsid w:val="004A6114"/>
    <w:rsid w:val="004B0B4C"/>
    <w:rsid w:val="004B2785"/>
    <w:rsid w:val="004B2917"/>
    <w:rsid w:val="004B3B88"/>
    <w:rsid w:val="004B440D"/>
    <w:rsid w:val="004B7890"/>
    <w:rsid w:val="004C10DD"/>
    <w:rsid w:val="004C31A4"/>
    <w:rsid w:val="004C3484"/>
    <w:rsid w:val="004C57D3"/>
    <w:rsid w:val="004D12AC"/>
    <w:rsid w:val="004D206C"/>
    <w:rsid w:val="004D6F14"/>
    <w:rsid w:val="004E0A50"/>
    <w:rsid w:val="004E254D"/>
    <w:rsid w:val="004E4F13"/>
    <w:rsid w:val="004E7E02"/>
    <w:rsid w:val="004F4B97"/>
    <w:rsid w:val="004F4FBB"/>
    <w:rsid w:val="004F637A"/>
    <w:rsid w:val="004F6B3C"/>
    <w:rsid w:val="004F71F3"/>
    <w:rsid w:val="005012A2"/>
    <w:rsid w:val="00501AAB"/>
    <w:rsid w:val="00502F4C"/>
    <w:rsid w:val="0050321D"/>
    <w:rsid w:val="00504731"/>
    <w:rsid w:val="0050690F"/>
    <w:rsid w:val="005100E1"/>
    <w:rsid w:val="00510783"/>
    <w:rsid w:val="0051341C"/>
    <w:rsid w:val="0051395E"/>
    <w:rsid w:val="0051398B"/>
    <w:rsid w:val="00513D9E"/>
    <w:rsid w:val="00514E47"/>
    <w:rsid w:val="00517B00"/>
    <w:rsid w:val="00517BB0"/>
    <w:rsid w:val="00517FC6"/>
    <w:rsid w:val="005206A2"/>
    <w:rsid w:val="00530B55"/>
    <w:rsid w:val="00531D88"/>
    <w:rsid w:val="00532B39"/>
    <w:rsid w:val="005355C4"/>
    <w:rsid w:val="00536546"/>
    <w:rsid w:val="005372CC"/>
    <w:rsid w:val="0053787E"/>
    <w:rsid w:val="00540D70"/>
    <w:rsid w:val="00542366"/>
    <w:rsid w:val="00542539"/>
    <w:rsid w:val="00544B52"/>
    <w:rsid w:val="00545DE4"/>
    <w:rsid w:val="00546823"/>
    <w:rsid w:val="00547A1F"/>
    <w:rsid w:val="00550E17"/>
    <w:rsid w:val="0055197D"/>
    <w:rsid w:val="0055209A"/>
    <w:rsid w:val="00552BAC"/>
    <w:rsid w:val="00555190"/>
    <w:rsid w:val="00556EE8"/>
    <w:rsid w:val="00557CE1"/>
    <w:rsid w:val="00560261"/>
    <w:rsid w:val="00561D3F"/>
    <w:rsid w:val="005624EE"/>
    <w:rsid w:val="00563221"/>
    <w:rsid w:val="005638EE"/>
    <w:rsid w:val="0056705A"/>
    <w:rsid w:val="005677C1"/>
    <w:rsid w:val="00567868"/>
    <w:rsid w:val="00567C3E"/>
    <w:rsid w:val="00571794"/>
    <w:rsid w:val="0057310B"/>
    <w:rsid w:val="0057406A"/>
    <w:rsid w:val="00574421"/>
    <w:rsid w:val="005749F5"/>
    <w:rsid w:val="00575223"/>
    <w:rsid w:val="00576F75"/>
    <w:rsid w:val="00577575"/>
    <w:rsid w:val="00577EB1"/>
    <w:rsid w:val="00583D47"/>
    <w:rsid w:val="00590350"/>
    <w:rsid w:val="0059181E"/>
    <w:rsid w:val="00593830"/>
    <w:rsid w:val="00596D6B"/>
    <w:rsid w:val="005975F7"/>
    <w:rsid w:val="005A1E5A"/>
    <w:rsid w:val="005A5F36"/>
    <w:rsid w:val="005B01FA"/>
    <w:rsid w:val="005B1CC6"/>
    <w:rsid w:val="005B2AE4"/>
    <w:rsid w:val="005B4CAD"/>
    <w:rsid w:val="005B4CEF"/>
    <w:rsid w:val="005B4FA1"/>
    <w:rsid w:val="005B55ED"/>
    <w:rsid w:val="005B5E44"/>
    <w:rsid w:val="005B5EB9"/>
    <w:rsid w:val="005B65BF"/>
    <w:rsid w:val="005B6997"/>
    <w:rsid w:val="005B740B"/>
    <w:rsid w:val="005C143C"/>
    <w:rsid w:val="005C176A"/>
    <w:rsid w:val="005C1CBC"/>
    <w:rsid w:val="005C32F0"/>
    <w:rsid w:val="005C6DA0"/>
    <w:rsid w:val="005D1A7F"/>
    <w:rsid w:val="005D2B53"/>
    <w:rsid w:val="005D4C04"/>
    <w:rsid w:val="005D4F80"/>
    <w:rsid w:val="005E0197"/>
    <w:rsid w:val="005E274C"/>
    <w:rsid w:val="005E2CAE"/>
    <w:rsid w:val="005E3478"/>
    <w:rsid w:val="005E57C3"/>
    <w:rsid w:val="005E5C82"/>
    <w:rsid w:val="005E5FDB"/>
    <w:rsid w:val="005E7217"/>
    <w:rsid w:val="005E7361"/>
    <w:rsid w:val="005E7AB4"/>
    <w:rsid w:val="005E7B22"/>
    <w:rsid w:val="005F0656"/>
    <w:rsid w:val="005F1494"/>
    <w:rsid w:val="005F189A"/>
    <w:rsid w:val="005F1AD9"/>
    <w:rsid w:val="005F715B"/>
    <w:rsid w:val="005F71D0"/>
    <w:rsid w:val="005F78F4"/>
    <w:rsid w:val="005F79A2"/>
    <w:rsid w:val="006007BC"/>
    <w:rsid w:val="0060230D"/>
    <w:rsid w:val="00602E59"/>
    <w:rsid w:val="006042FA"/>
    <w:rsid w:val="00604762"/>
    <w:rsid w:val="00607532"/>
    <w:rsid w:val="006077A8"/>
    <w:rsid w:val="00610AEB"/>
    <w:rsid w:val="00611072"/>
    <w:rsid w:val="00613C2C"/>
    <w:rsid w:val="00614A39"/>
    <w:rsid w:val="006155F2"/>
    <w:rsid w:val="006159FE"/>
    <w:rsid w:val="00624E09"/>
    <w:rsid w:val="006255FB"/>
    <w:rsid w:val="00626CDF"/>
    <w:rsid w:val="00627515"/>
    <w:rsid w:val="00631838"/>
    <w:rsid w:val="00631E24"/>
    <w:rsid w:val="006331A2"/>
    <w:rsid w:val="00634070"/>
    <w:rsid w:val="00634DB1"/>
    <w:rsid w:val="0063703A"/>
    <w:rsid w:val="00640C41"/>
    <w:rsid w:val="00643845"/>
    <w:rsid w:val="00650588"/>
    <w:rsid w:val="00651BAC"/>
    <w:rsid w:val="00651EC7"/>
    <w:rsid w:val="0065210B"/>
    <w:rsid w:val="006540CC"/>
    <w:rsid w:val="00654254"/>
    <w:rsid w:val="006550A6"/>
    <w:rsid w:val="00656091"/>
    <w:rsid w:val="00661129"/>
    <w:rsid w:val="006659ED"/>
    <w:rsid w:val="00665B2E"/>
    <w:rsid w:val="006673B6"/>
    <w:rsid w:val="00667E25"/>
    <w:rsid w:val="0067026E"/>
    <w:rsid w:val="00672FBF"/>
    <w:rsid w:val="006802E2"/>
    <w:rsid w:val="0068250A"/>
    <w:rsid w:val="006840F9"/>
    <w:rsid w:val="00685E85"/>
    <w:rsid w:val="0068674F"/>
    <w:rsid w:val="006868CB"/>
    <w:rsid w:val="006872A9"/>
    <w:rsid w:val="00690C94"/>
    <w:rsid w:val="0069208E"/>
    <w:rsid w:val="00693798"/>
    <w:rsid w:val="00693FDE"/>
    <w:rsid w:val="00694022"/>
    <w:rsid w:val="0069500C"/>
    <w:rsid w:val="006A5749"/>
    <w:rsid w:val="006A6943"/>
    <w:rsid w:val="006B0D82"/>
    <w:rsid w:val="006B1BD7"/>
    <w:rsid w:val="006B2179"/>
    <w:rsid w:val="006B26A8"/>
    <w:rsid w:val="006B2F50"/>
    <w:rsid w:val="006B5F72"/>
    <w:rsid w:val="006B649A"/>
    <w:rsid w:val="006C39A3"/>
    <w:rsid w:val="006C4F67"/>
    <w:rsid w:val="006C5324"/>
    <w:rsid w:val="006C55A5"/>
    <w:rsid w:val="006C753E"/>
    <w:rsid w:val="006D0EFA"/>
    <w:rsid w:val="006D1275"/>
    <w:rsid w:val="006D13A9"/>
    <w:rsid w:val="006D143A"/>
    <w:rsid w:val="006D1A02"/>
    <w:rsid w:val="006D3186"/>
    <w:rsid w:val="006D5321"/>
    <w:rsid w:val="006D6329"/>
    <w:rsid w:val="006D682B"/>
    <w:rsid w:val="006D6FE4"/>
    <w:rsid w:val="006D7556"/>
    <w:rsid w:val="006E2A38"/>
    <w:rsid w:val="006E4686"/>
    <w:rsid w:val="006E58BB"/>
    <w:rsid w:val="006F0455"/>
    <w:rsid w:val="006F08E3"/>
    <w:rsid w:val="006F2E07"/>
    <w:rsid w:val="006F581E"/>
    <w:rsid w:val="006F7AE3"/>
    <w:rsid w:val="007001B0"/>
    <w:rsid w:val="00702281"/>
    <w:rsid w:val="0070463C"/>
    <w:rsid w:val="00704CB0"/>
    <w:rsid w:val="00705558"/>
    <w:rsid w:val="007066B2"/>
    <w:rsid w:val="007076E8"/>
    <w:rsid w:val="0071015D"/>
    <w:rsid w:val="00713EB8"/>
    <w:rsid w:val="00714679"/>
    <w:rsid w:val="0072067E"/>
    <w:rsid w:val="00721C22"/>
    <w:rsid w:val="0072440F"/>
    <w:rsid w:val="00724709"/>
    <w:rsid w:val="00727D10"/>
    <w:rsid w:val="00730E86"/>
    <w:rsid w:val="0073233A"/>
    <w:rsid w:val="00734992"/>
    <w:rsid w:val="00735C09"/>
    <w:rsid w:val="00736A76"/>
    <w:rsid w:val="00737789"/>
    <w:rsid w:val="00740490"/>
    <w:rsid w:val="00741754"/>
    <w:rsid w:val="00741BB8"/>
    <w:rsid w:val="0074349B"/>
    <w:rsid w:val="007469CD"/>
    <w:rsid w:val="00746D35"/>
    <w:rsid w:val="00747073"/>
    <w:rsid w:val="00750A11"/>
    <w:rsid w:val="007519C8"/>
    <w:rsid w:val="00751B64"/>
    <w:rsid w:val="00756D01"/>
    <w:rsid w:val="00761556"/>
    <w:rsid w:val="00763230"/>
    <w:rsid w:val="0077010D"/>
    <w:rsid w:val="00770CFB"/>
    <w:rsid w:val="00772014"/>
    <w:rsid w:val="00772C83"/>
    <w:rsid w:val="00773033"/>
    <w:rsid w:val="0077365F"/>
    <w:rsid w:val="0077556B"/>
    <w:rsid w:val="00776EF0"/>
    <w:rsid w:val="00777DA6"/>
    <w:rsid w:val="00790327"/>
    <w:rsid w:val="0079168D"/>
    <w:rsid w:val="007944D7"/>
    <w:rsid w:val="007963D4"/>
    <w:rsid w:val="00796F05"/>
    <w:rsid w:val="00797475"/>
    <w:rsid w:val="00797892"/>
    <w:rsid w:val="007A1900"/>
    <w:rsid w:val="007A190A"/>
    <w:rsid w:val="007A1C70"/>
    <w:rsid w:val="007A2D35"/>
    <w:rsid w:val="007A36FD"/>
    <w:rsid w:val="007A41B4"/>
    <w:rsid w:val="007A463B"/>
    <w:rsid w:val="007A5B77"/>
    <w:rsid w:val="007A6544"/>
    <w:rsid w:val="007A77E0"/>
    <w:rsid w:val="007B1503"/>
    <w:rsid w:val="007B261B"/>
    <w:rsid w:val="007B2FE8"/>
    <w:rsid w:val="007B3143"/>
    <w:rsid w:val="007B34D3"/>
    <w:rsid w:val="007B419C"/>
    <w:rsid w:val="007B4896"/>
    <w:rsid w:val="007B7760"/>
    <w:rsid w:val="007B798F"/>
    <w:rsid w:val="007C0602"/>
    <w:rsid w:val="007C0D4C"/>
    <w:rsid w:val="007C4E18"/>
    <w:rsid w:val="007C578D"/>
    <w:rsid w:val="007C58C9"/>
    <w:rsid w:val="007C5EED"/>
    <w:rsid w:val="007C6630"/>
    <w:rsid w:val="007C6B06"/>
    <w:rsid w:val="007D00A5"/>
    <w:rsid w:val="007D1505"/>
    <w:rsid w:val="007D2F97"/>
    <w:rsid w:val="007D3E73"/>
    <w:rsid w:val="007D44A3"/>
    <w:rsid w:val="007D46DE"/>
    <w:rsid w:val="007D5410"/>
    <w:rsid w:val="007D5BF1"/>
    <w:rsid w:val="007D6150"/>
    <w:rsid w:val="007D7E10"/>
    <w:rsid w:val="007D7F0E"/>
    <w:rsid w:val="007E0C6E"/>
    <w:rsid w:val="007E49AF"/>
    <w:rsid w:val="007E61C9"/>
    <w:rsid w:val="007F1C49"/>
    <w:rsid w:val="007F3E0B"/>
    <w:rsid w:val="007F4409"/>
    <w:rsid w:val="007F4918"/>
    <w:rsid w:val="007F5FBA"/>
    <w:rsid w:val="007F5FEB"/>
    <w:rsid w:val="00802533"/>
    <w:rsid w:val="00803717"/>
    <w:rsid w:val="00803C25"/>
    <w:rsid w:val="00811744"/>
    <w:rsid w:val="00812694"/>
    <w:rsid w:val="00812E79"/>
    <w:rsid w:val="00813E59"/>
    <w:rsid w:val="00815420"/>
    <w:rsid w:val="00815E84"/>
    <w:rsid w:val="00816F86"/>
    <w:rsid w:val="00817CF0"/>
    <w:rsid w:val="00821AE2"/>
    <w:rsid w:val="00823929"/>
    <w:rsid w:val="00824217"/>
    <w:rsid w:val="00826285"/>
    <w:rsid w:val="00827D8F"/>
    <w:rsid w:val="00833786"/>
    <w:rsid w:val="00835721"/>
    <w:rsid w:val="008361B8"/>
    <w:rsid w:val="008364C7"/>
    <w:rsid w:val="00836C5A"/>
    <w:rsid w:val="00840935"/>
    <w:rsid w:val="00840CC1"/>
    <w:rsid w:val="00843AFB"/>
    <w:rsid w:val="00844C86"/>
    <w:rsid w:val="0084645D"/>
    <w:rsid w:val="008466F8"/>
    <w:rsid w:val="00846B9A"/>
    <w:rsid w:val="0085202E"/>
    <w:rsid w:val="008532F4"/>
    <w:rsid w:val="00853F7B"/>
    <w:rsid w:val="00861AAB"/>
    <w:rsid w:val="00862BB5"/>
    <w:rsid w:val="008748A5"/>
    <w:rsid w:val="00874C55"/>
    <w:rsid w:val="00876C35"/>
    <w:rsid w:val="008774DE"/>
    <w:rsid w:val="00877D72"/>
    <w:rsid w:val="00880095"/>
    <w:rsid w:val="00880150"/>
    <w:rsid w:val="0088032D"/>
    <w:rsid w:val="0088046C"/>
    <w:rsid w:val="00885AA9"/>
    <w:rsid w:val="00885BD0"/>
    <w:rsid w:val="00886FFE"/>
    <w:rsid w:val="008918C9"/>
    <w:rsid w:val="0089253A"/>
    <w:rsid w:val="008955C1"/>
    <w:rsid w:val="00895B5F"/>
    <w:rsid w:val="008A0530"/>
    <w:rsid w:val="008A0676"/>
    <w:rsid w:val="008A6E8E"/>
    <w:rsid w:val="008A7C2B"/>
    <w:rsid w:val="008B045D"/>
    <w:rsid w:val="008B0B79"/>
    <w:rsid w:val="008B1319"/>
    <w:rsid w:val="008B3452"/>
    <w:rsid w:val="008B3742"/>
    <w:rsid w:val="008B382C"/>
    <w:rsid w:val="008B3D37"/>
    <w:rsid w:val="008B4183"/>
    <w:rsid w:val="008B7147"/>
    <w:rsid w:val="008C1B68"/>
    <w:rsid w:val="008C292A"/>
    <w:rsid w:val="008C38E8"/>
    <w:rsid w:val="008C5B57"/>
    <w:rsid w:val="008C6734"/>
    <w:rsid w:val="008C7051"/>
    <w:rsid w:val="008C7499"/>
    <w:rsid w:val="008D100D"/>
    <w:rsid w:val="008D3F3B"/>
    <w:rsid w:val="008D4422"/>
    <w:rsid w:val="008D4A51"/>
    <w:rsid w:val="008D68A9"/>
    <w:rsid w:val="008D7EC5"/>
    <w:rsid w:val="008E1265"/>
    <w:rsid w:val="008E35A4"/>
    <w:rsid w:val="008E5A20"/>
    <w:rsid w:val="008E5ED8"/>
    <w:rsid w:val="008E6C88"/>
    <w:rsid w:val="008E6EBD"/>
    <w:rsid w:val="008E74F9"/>
    <w:rsid w:val="008F1729"/>
    <w:rsid w:val="008F22DF"/>
    <w:rsid w:val="008F38C3"/>
    <w:rsid w:val="008F3964"/>
    <w:rsid w:val="008F61B8"/>
    <w:rsid w:val="008F6A6F"/>
    <w:rsid w:val="008F75FA"/>
    <w:rsid w:val="008F76AC"/>
    <w:rsid w:val="00903BEE"/>
    <w:rsid w:val="00903F2C"/>
    <w:rsid w:val="00907062"/>
    <w:rsid w:val="00912DB2"/>
    <w:rsid w:val="009148C5"/>
    <w:rsid w:val="00915BE9"/>
    <w:rsid w:val="00916707"/>
    <w:rsid w:val="0091741F"/>
    <w:rsid w:val="0091774A"/>
    <w:rsid w:val="009213B9"/>
    <w:rsid w:val="0092386B"/>
    <w:rsid w:val="00924E88"/>
    <w:rsid w:val="009255E6"/>
    <w:rsid w:val="009266BC"/>
    <w:rsid w:val="00930592"/>
    <w:rsid w:val="00930DD3"/>
    <w:rsid w:val="00935FB0"/>
    <w:rsid w:val="009403A7"/>
    <w:rsid w:val="00940E79"/>
    <w:rsid w:val="00941BEE"/>
    <w:rsid w:val="009432EE"/>
    <w:rsid w:val="00944817"/>
    <w:rsid w:val="0094540D"/>
    <w:rsid w:val="009460ED"/>
    <w:rsid w:val="00946F1C"/>
    <w:rsid w:val="00953EBD"/>
    <w:rsid w:val="009544BC"/>
    <w:rsid w:val="00954C0C"/>
    <w:rsid w:val="009553AD"/>
    <w:rsid w:val="00956FD0"/>
    <w:rsid w:val="00957798"/>
    <w:rsid w:val="009643B7"/>
    <w:rsid w:val="00967A82"/>
    <w:rsid w:val="009702F6"/>
    <w:rsid w:val="00970F71"/>
    <w:rsid w:val="00972780"/>
    <w:rsid w:val="009747A2"/>
    <w:rsid w:val="00974D0D"/>
    <w:rsid w:val="00974E43"/>
    <w:rsid w:val="009769ED"/>
    <w:rsid w:val="00976CF6"/>
    <w:rsid w:val="00977D1C"/>
    <w:rsid w:val="00981E36"/>
    <w:rsid w:val="009827A8"/>
    <w:rsid w:val="0098445E"/>
    <w:rsid w:val="00984535"/>
    <w:rsid w:val="00990BF2"/>
    <w:rsid w:val="009934F5"/>
    <w:rsid w:val="00993844"/>
    <w:rsid w:val="00994890"/>
    <w:rsid w:val="00996D7A"/>
    <w:rsid w:val="009A0C68"/>
    <w:rsid w:val="009A0E33"/>
    <w:rsid w:val="009A18ED"/>
    <w:rsid w:val="009A24E4"/>
    <w:rsid w:val="009A436E"/>
    <w:rsid w:val="009A442A"/>
    <w:rsid w:val="009A4E53"/>
    <w:rsid w:val="009B2522"/>
    <w:rsid w:val="009B2F89"/>
    <w:rsid w:val="009B43FE"/>
    <w:rsid w:val="009B45B1"/>
    <w:rsid w:val="009B7351"/>
    <w:rsid w:val="009B7949"/>
    <w:rsid w:val="009B79DF"/>
    <w:rsid w:val="009C0EC0"/>
    <w:rsid w:val="009C1DA7"/>
    <w:rsid w:val="009C22B8"/>
    <w:rsid w:val="009C22E3"/>
    <w:rsid w:val="009C2838"/>
    <w:rsid w:val="009C7949"/>
    <w:rsid w:val="009D6377"/>
    <w:rsid w:val="009E396B"/>
    <w:rsid w:val="009E793A"/>
    <w:rsid w:val="009E7B7C"/>
    <w:rsid w:val="009E7E73"/>
    <w:rsid w:val="009F1EA2"/>
    <w:rsid w:val="009F1FC6"/>
    <w:rsid w:val="009F28F5"/>
    <w:rsid w:val="009F3BF8"/>
    <w:rsid w:val="009F4968"/>
    <w:rsid w:val="009F4D37"/>
    <w:rsid w:val="00A002AE"/>
    <w:rsid w:val="00A012E5"/>
    <w:rsid w:val="00A0182C"/>
    <w:rsid w:val="00A0267D"/>
    <w:rsid w:val="00A02905"/>
    <w:rsid w:val="00A02E16"/>
    <w:rsid w:val="00A05BEE"/>
    <w:rsid w:val="00A10218"/>
    <w:rsid w:val="00A13C47"/>
    <w:rsid w:val="00A169E0"/>
    <w:rsid w:val="00A17CAA"/>
    <w:rsid w:val="00A20205"/>
    <w:rsid w:val="00A212D1"/>
    <w:rsid w:val="00A22D08"/>
    <w:rsid w:val="00A2354B"/>
    <w:rsid w:val="00A2355E"/>
    <w:rsid w:val="00A247C5"/>
    <w:rsid w:val="00A24F0F"/>
    <w:rsid w:val="00A2554D"/>
    <w:rsid w:val="00A31B83"/>
    <w:rsid w:val="00A31F9C"/>
    <w:rsid w:val="00A32460"/>
    <w:rsid w:val="00A342D8"/>
    <w:rsid w:val="00A36995"/>
    <w:rsid w:val="00A36C2F"/>
    <w:rsid w:val="00A409E4"/>
    <w:rsid w:val="00A4357D"/>
    <w:rsid w:val="00A473C6"/>
    <w:rsid w:val="00A53A04"/>
    <w:rsid w:val="00A53B2C"/>
    <w:rsid w:val="00A54F0F"/>
    <w:rsid w:val="00A5631D"/>
    <w:rsid w:val="00A57692"/>
    <w:rsid w:val="00A57D3C"/>
    <w:rsid w:val="00A60D50"/>
    <w:rsid w:val="00A66AAB"/>
    <w:rsid w:val="00A67231"/>
    <w:rsid w:val="00A677B7"/>
    <w:rsid w:val="00A7005E"/>
    <w:rsid w:val="00A71673"/>
    <w:rsid w:val="00A72271"/>
    <w:rsid w:val="00A73375"/>
    <w:rsid w:val="00A73E79"/>
    <w:rsid w:val="00A76271"/>
    <w:rsid w:val="00A76879"/>
    <w:rsid w:val="00A80F67"/>
    <w:rsid w:val="00A85CD0"/>
    <w:rsid w:val="00A85F20"/>
    <w:rsid w:val="00A86148"/>
    <w:rsid w:val="00A90BC0"/>
    <w:rsid w:val="00A91126"/>
    <w:rsid w:val="00A91662"/>
    <w:rsid w:val="00A94401"/>
    <w:rsid w:val="00A94D33"/>
    <w:rsid w:val="00A959A9"/>
    <w:rsid w:val="00A96410"/>
    <w:rsid w:val="00A97E89"/>
    <w:rsid w:val="00AA13A2"/>
    <w:rsid w:val="00AA356C"/>
    <w:rsid w:val="00AA41F5"/>
    <w:rsid w:val="00AA63B1"/>
    <w:rsid w:val="00AA6C62"/>
    <w:rsid w:val="00AA7425"/>
    <w:rsid w:val="00AB112E"/>
    <w:rsid w:val="00AB475E"/>
    <w:rsid w:val="00AB5DD7"/>
    <w:rsid w:val="00AB6FED"/>
    <w:rsid w:val="00AC1ACD"/>
    <w:rsid w:val="00AC321A"/>
    <w:rsid w:val="00AC5C2F"/>
    <w:rsid w:val="00AC61C2"/>
    <w:rsid w:val="00AD09B2"/>
    <w:rsid w:val="00AD2088"/>
    <w:rsid w:val="00AD2A91"/>
    <w:rsid w:val="00AD3116"/>
    <w:rsid w:val="00AD634E"/>
    <w:rsid w:val="00AD742A"/>
    <w:rsid w:val="00AE2761"/>
    <w:rsid w:val="00AE5F0B"/>
    <w:rsid w:val="00AE690F"/>
    <w:rsid w:val="00AE7498"/>
    <w:rsid w:val="00AF29D0"/>
    <w:rsid w:val="00AF37A6"/>
    <w:rsid w:val="00AF37B5"/>
    <w:rsid w:val="00AF4452"/>
    <w:rsid w:val="00AF5325"/>
    <w:rsid w:val="00B010A1"/>
    <w:rsid w:val="00B04D35"/>
    <w:rsid w:val="00B06A8E"/>
    <w:rsid w:val="00B076E6"/>
    <w:rsid w:val="00B07B80"/>
    <w:rsid w:val="00B1019A"/>
    <w:rsid w:val="00B10E99"/>
    <w:rsid w:val="00B15610"/>
    <w:rsid w:val="00B167A3"/>
    <w:rsid w:val="00B16D7C"/>
    <w:rsid w:val="00B16DD7"/>
    <w:rsid w:val="00B20BA5"/>
    <w:rsid w:val="00B23E6D"/>
    <w:rsid w:val="00B24F0E"/>
    <w:rsid w:val="00B26838"/>
    <w:rsid w:val="00B27CA9"/>
    <w:rsid w:val="00B3290F"/>
    <w:rsid w:val="00B32D73"/>
    <w:rsid w:val="00B33F0C"/>
    <w:rsid w:val="00B33F20"/>
    <w:rsid w:val="00B34818"/>
    <w:rsid w:val="00B34DA4"/>
    <w:rsid w:val="00B34F47"/>
    <w:rsid w:val="00B35361"/>
    <w:rsid w:val="00B3616C"/>
    <w:rsid w:val="00B40A93"/>
    <w:rsid w:val="00B41C9B"/>
    <w:rsid w:val="00B433FE"/>
    <w:rsid w:val="00B434A9"/>
    <w:rsid w:val="00B442F5"/>
    <w:rsid w:val="00B45A5F"/>
    <w:rsid w:val="00B51193"/>
    <w:rsid w:val="00B5132A"/>
    <w:rsid w:val="00B5163F"/>
    <w:rsid w:val="00B53C38"/>
    <w:rsid w:val="00B53D91"/>
    <w:rsid w:val="00B54F01"/>
    <w:rsid w:val="00B579A8"/>
    <w:rsid w:val="00B60AB0"/>
    <w:rsid w:val="00B60F80"/>
    <w:rsid w:val="00B61D1F"/>
    <w:rsid w:val="00B63085"/>
    <w:rsid w:val="00B63543"/>
    <w:rsid w:val="00B6369E"/>
    <w:rsid w:val="00B676D7"/>
    <w:rsid w:val="00B7090E"/>
    <w:rsid w:val="00B7286D"/>
    <w:rsid w:val="00B73CDA"/>
    <w:rsid w:val="00B73D55"/>
    <w:rsid w:val="00B75C2C"/>
    <w:rsid w:val="00B765FF"/>
    <w:rsid w:val="00B779C3"/>
    <w:rsid w:val="00B803D5"/>
    <w:rsid w:val="00B8075D"/>
    <w:rsid w:val="00B8109F"/>
    <w:rsid w:val="00B813BF"/>
    <w:rsid w:val="00B820BF"/>
    <w:rsid w:val="00B83C81"/>
    <w:rsid w:val="00B86A1C"/>
    <w:rsid w:val="00B86E53"/>
    <w:rsid w:val="00B87E22"/>
    <w:rsid w:val="00B903A5"/>
    <w:rsid w:val="00B914AE"/>
    <w:rsid w:val="00B92396"/>
    <w:rsid w:val="00B93848"/>
    <w:rsid w:val="00B943EB"/>
    <w:rsid w:val="00B95263"/>
    <w:rsid w:val="00B966B6"/>
    <w:rsid w:val="00B96B6A"/>
    <w:rsid w:val="00BA081D"/>
    <w:rsid w:val="00BA0E93"/>
    <w:rsid w:val="00BA444D"/>
    <w:rsid w:val="00BA5807"/>
    <w:rsid w:val="00BA62E2"/>
    <w:rsid w:val="00BB2B49"/>
    <w:rsid w:val="00BB3BB1"/>
    <w:rsid w:val="00BB4D05"/>
    <w:rsid w:val="00BB52C7"/>
    <w:rsid w:val="00BB754A"/>
    <w:rsid w:val="00BC0A32"/>
    <w:rsid w:val="00BC0FA7"/>
    <w:rsid w:val="00BC10D1"/>
    <w:rsid w:val="00BC1DBE"/>
    <w:rsid w:val="00BC2B41"/>
    <w:rsid w:val="00BD134C"/>
    <w:rsid w:val="00BD2462"/>
    <w:rsid w:val="00BD281A"/>
    <w:rsid w:val="00BD3BB2"/>
    <w:rsid w:val="00BD499D"/>
    <w:rsid w:val="00BD5D46"/>
    <w:rsid w:val="00BD6C6E"/>
    <w:rsid w:val="00BE41CD"/>
    <w:rsid w:val="00BE5822"/>
    <w:rsid w:val="00BE585F"/>
    <w:rsid w:val="00BE6B92"/>
    <w:rsid w:val="00BE7C80"/>
    <w:rsid w:val="00BF46D8"/>
    <w:rsid w:val="00BF471E"/>
    <w:rsid w:val="00BF49B1"/>
    <w:rsid w:val="00C020E4"/>
    <w:rsid w:val="00C029D5"/>
    <w:rsid w:val="00C02AC5"/>
    <w:rsid w:val="00C03091"/>
    <w:rsid w:val="00C03851"/>
    <w:rsid w:val="00C03949"/>
    <w:rsid w:val="00C03D1E"/>
    <w:rsid w:val="00C04061"/>
    <w:rsid w:val="00C06B1B"/>
    <w:rsid w:val="00C07B5E"/>
    <w:rsid w:val="00C10F72"/>
    <w:rsid w:val="00C11174"/>
    <w:rsid w:val="00C115B8"/>
    <w:rsid w:val="00C13849"/>
    <w:rsid w:val="00C179E0"/>
    <w:rsid w:val="00C24004"/>
    <w:rsid w:val="00C242A5"/>
    <w:rsid w:val="00C25177"/>
    <w:rsid w:val="00C26EF9"/>
    <w:rsid w:val="00C3057B"/>
    <w:rsid w:val="00C324B2"/>
    <w:rsid w:val="00C32DC5"/>
    <w:rsid w:val="00C33CC1"/>
    <w:rsid w:val="00C351D0"/>
    <w:rsid w:val="00C4067C"/>
    <w:rsid w:val="00C40BC3"/>
    <w:rsid w:val="00C410A7"/>
    <w:rsid w:val="00C4298C"/>
    <w:rsid w:val="00C42F87"/>
    <w:rsid w:val="00C452C3"/>
    <w:rsid w:val="00C45ADE"/>
    <w:rsid w:val="00C46529"/>
    <w:rsid w:val="00C4694F"/>
    <w:rsid w:val="00C515C5"/>
    <w:rsid w:val="00C515D8"/>
    <w:rsid w:val="00C51DA4"/>
    <w:rsid w:val="00C52773"/>
    <w:rsid w:val="00C52DEB"/>
    <w:rsid w:val="00C5403E"/>
    <w:rsid w:val="00C5407B"/>
    <w:rsid w:val="00C54BD5"/>
    <w:rsid w:val="00C54ED4"/>
    <w:rsid w:val="00C55CA4"/>
    <w:rsid w:val="00C56641"/>
    <w:rsid w:val="00C56C50"/>
    <w:rsid w:val="00C56CD5"/>
    <w:rsid w:val="00C613ED"/>
    <w:rsid w:val="00C61701"/>
    <w:rsid w:val="00C62F7C"/>
    <w:rsid w:val="00C630DA"/>
    <w:rsid w:val="00C6329F"/>
    <w:rsid w:val="00C63429"/>
    <w:rsid w:val="00C637E6"/>
    <w:rsid w:val="00C63F64"/>
    <w:rsid w:val="00C64207"/>
    <w:rsid w:val="00C66DCA"/>
    <w:rsid w:val="00C72168"/>
    <w:rsid w:val="00C72B21"/>
    <w:rsid w:val="00C73711"/>
    <w:rsid w:val="00C73C07"/>
    <w:rsid w:val="00C76C3A"/>
    <w:rsid w:val="00C773D6"/>
    <w:rsid w:val="00C77498"/>
    <w:rsid w:val="00C80040"/>
    <w:rsid w:val="00C800D6"/>
    <w:rsid w:val="00C8384B"/>
    <w:rsid w:val="00C87BF4"/>
    <w:rsid w:val="00C90B28"/>
    <w:rsid w:val="00C90BB3"/>
    <w:rsid w:val="00C95757"/>
    <w:rsid w:val="00C95D42"/>
    <w:rsid w:val="00C97838"/>
    <w:rsid w:val="00CA04B1"/>
    <w:rsid w:val="00CA0B4B"/>
    <w:rsid w:val="00CA3304"/>
    <w:rsid w:val="00CA3861"/>
    <w:rsid w:val="00CA74DF"/>
    <w:rsid w:val="00CA7A28"/>
    <w:rsid w:val="00CB0538"/>
    <w:rsid w:val="00CB0BB7"/>
    <w:rsid w:val="00CB1C25"/>
    <w:rsid w:val="00CB1E84"/>
    <w:rsid w:val="00CB2ECC"/>
    <w:rsid w:val="00CB3119"/>
    <w:rsid w:val="00CB34F5"/>
    <w:rsid w:val="00CB3659"/>
    <w:rsid w:val="00CB38E3"/>
    <w:rsid w:val="00CB4081"/>
    <w:rsid w:val="00CC0657"/>
    <w:rsid w:val="00CC17B8"/>
    <w:rsid w:val="00CC1E68"/>
    <w:rsid w:val="00CC38F5"/>
    <w:rsid w:val="00CC4C2B"/>
    <w:rsid w:val="00CC6963"/>
    <w:rsid w:val="00CC6DE1"/>
    <w:rsid w:val="00CC7F9C"/>
    <w:rsid w:val="00CD0CC0"/>
    <w:rsid w:val="00CD0FD6"/>
    <w:rsid w:val="00CD2311"/>
    <w:rsid w:val="00CD3412"/>
    <w:rsid w:val="00CD4323"/>
    <w:rsid w:val="00CD45DE"/>
    <w:rsid w:val="00CD610C"/>
    <w:rsid w:val="00CD6CD0"/>
    <w:rsid w:val="00CD6E26"/>
    <w:rsid w:val="00CE0388"/>
    <w:rsid w:val="00CE28AB"/>
    <w:rsid w:val="00CE5737"/>
    <w:rsid w:val="00CE6368"/>
    <w:rsid w:val="00CE7155"/>
    <w:rsid w:val="00CF205D"/>
    <w:rsid w:val="00CF2384"/>
    <w:rsid w:val="00CF356C"/>
    <w:rsid w:val="00CF38CC"/>
    <w:rsid w:val="00CF392B"/>
    <w:rsid w:val="00CF4A25"/>
    <w:rsid w:val="00CF77C3"/>
    <w:rsid w:val="00CF792A"/>
    <w:rsid w:val="00D01690"/>
    <w:rsid w:val="00D02C70"/>
    <w:rsid w:val="00D02DCB"/>
    <w:rsid w:val="00D03569"/>
    <w:rsid w:val="00D0518E"/>
    <w:rsid w:val="00D051B1"/>
    <w:rsid w:val="00D062AA"/>
    <w:rsid w:val="00D129B0"/>
    <w:rsid w:val="00D13516"/>
    <w:rsid w:val="00D1365F"/>
    <w:rsid w:val="00D137BD"/>
    <w:rsid w:val="00D13FD0"/>
    <w:rsid w:val="00D1597E"/>
    <w:rsid w:val="00D162FD"/>
    <w:rsid w:val="00D1642B"/>
    <w:rsid w:val="00D21243"/>
    <w:rsid w:val="00D2197E"/>
    <w:rsid w:val="00D23B9E"/>
    <w:rsid w:val="00D24DFB"/>
    <w:rsid w:val="00D2556D"/>
    <w:rsid w:val="00D26FE0"/>
    <w:rsid w:val="00D27751"/>
    <w:rsid w:val="00D3034F"/>
    <w:rsid w:val="00D308E3"/>
    <w:rsid w:val="00D30E58"/>
    <w:rsid w:val="00D30EF7"/>
    <w:rsid w:val="00D31060"/>
    <w:rsid w:val="00D34899"/>
    <w:rsid w:val="00D35441"/>
    <w:rsid w:val="00D355D2"/>
    <w:rsid w:val="00D3604C"/>
    <w:rsid w:val="00D4248B"/>
    <w:rsid w:val="00D42CAB"/>
    <w:rsid w:val="00D44CE6"/>
    <w:rsid w:val="00D45865"/>
    <w:rsid w:val="00D462A0"/>
    <w:rsid w:val="00D513AC"/>
    <w:rsid w:val="00D521E0"/>
    <w:rsid w:val="00D53C81"/>
    <w:rsid w:val="00D54795"/>
    <w:rsid w:val="00D553A3"/>
    <w:rsid w:val="00D55752"/>
    <w:rsid w:val="00D55BC7"/>
    <w:rsid w:val="00D5665E"/>
    <w:rsid w:val="00D56ED9"/>
    <w:rsid w:val="00D61981"/>
    <w:rsid w:val="00D6526F"/>
    <w:rsid w:val="00D65B4D"/>
    <w:rsid w:val="00D71D0C"/>
    <w:rsid w:val="00D71F08"/>
    <w:rsid w:val="00D72C7A"/>
    <w:rsid w:val="00D73EEE"/>
    <w:rsid w:val="00D750FF"/>
    <w:rsid w:val="00D764C1"/>
    <w:rsid w:val="00D7763A"/>
    <w:rsid w:val="00D84F7D"/>
    <w:rsid w:val="00D855C1"/>
    <w:rsid w:val="00D9103D"/>
    <w:rsid w:val="00D912AE"/>
    <w:rsid w:val="00D91FA4"/>
    <w:rsid w:val="00D92187"/>
    <w:rsid w:val="00D92841"/>
    <w:rsid w:val="00D9336F"/>
    <w:rsid w:val="00D94334"/>
    <w:rsid w:val="00D94FD8"/>
    <w:rsid w:val="00D95A85"/>
    <w:rsid w:val="00D95B6E"/>
    <w:rsid w:val="00D976D9"/>
    <w:rsid w:val="00D97F43"/>
    <w:rsid w:val="00DA0DB3"/>
    <w:rsid w:val="00DA1CCF"/>
    <w:rsid w:val="00DA2D19"/>
    <w:rsid w:val="00DA38B1"/>
    <w:rsid w:val="00DA506C"/>
    <w:rsid w:val="00DA65CE"/>
    <w:rsid w:val="00DA6E3F"/>
    <w:rsid w:val="00DA6EB4"/>
    <w:rsid w:val="00DA7536"/>
    <w:rsid w:val="00DA7F48"/>
    <w:rsid w:val="00DB05C6"/>
    <w:rsid w:val="00DB077A"/>
    <w:rsid w:val="00DB4902"/>
    <w:rsid w:val="00DB54E4"/>
    <w:rsid w:val="00DB5874"/>
    <w:rsid w:val="00DB5C9A"/>
    <w:rsid w:val="00DB63DA"/>
    <w:rsid w:val="00DB6837"/>
    <w:rsid w:val="00DB6FEA"/>
    <w:rsid w:val="00DC1167"/>
    <w:rsid w:val="00DC2DB6"/>
    <w:rsid w:val="00DC51E6"/>
    <w:rsid w:val="00DC5F5B"/>
    <w:rsid w:val="00DC7BDC"/>
    <w:rsid w:val="00DD1509"/>
    <w:rsid w:val="00DD19B5"/>
    <w:rsid w:val="00DD2A45"/>
    <w:rsid w:val="00DD3076"/>
    <w:rsid w:val="00DD36BB"/>
    <w:rsid w:val="00DD3C6A"/>
    <w:rsid w:val="00DD54A1"/>
    <w:rsid w:val="00DD58BF"/>
    <w:rsid w:val="00DD6331"/>
    <w:rsid w:val="00DD6A31"/>
    <w:rsid w:val="00DD72F4"/>
    <w:rsid w:val="00DE0314"/>
    <w:rsid w:val="00DE1CFB"/>
    <w:rsid w:val="00DE2C7F"/>
    <w:rsid w:val="00DE3227"/>
    <w:rsid w:val="00DE596E"/>
    <w:rsid w:val="00DE6856"/>
    <w:rsid w:val="00DE71AC"/>
    <w:rsid w:val="00DE71E8"/>
    <w:rsid w:val="00DF1490"/>
    <w:rsid w:val="00DF2EA7"/>
    <w:rsid w:val="00DF34D2"/>
    <w:rsid w:val="00DF3C5F"/>
    <w:rsid w:val="00DF4D62"/>
    <w:rsid w:val="00DF4F0A"/>
    <w:rsid w:val="00DF59E1"/>
    <w:rsid w:val="00DF64A7"/>
    <w:rsid w:val="00DF6A2B"/>
    <w:rsid w:val="00DF7465"/>
    <w:rsid w:val="00DF7F85"/>
    <w:rsid w:val="00E0053A"/>
    <w:rsid w:val="00E020F8"/>
    <w:rsid w:val="00E02466"/>
    <w:rsid w:val="00E04891"/>
    <w:rsid w:val="00E06904"/>
    <w:rsid w:val="00E0735F"/>
    <w:rsid w:val="00E07E37"/>
    <w:rsid w:val="00E126FD"/>
    <w:rsid w:val="00E134E7"/>
    <w:rsid w:val="00E13D5D"/>
    <w:rsid w:val="00E1474A"/>
    <w:rsid w:val="00E14937"/>
    <w:rsid w:val="00E203A7"/>
    <w:rsid w:val="00E2163E"/>
    <w:rsid w:val="00E22076"/>
    <w:rsid w:val="00E22904"/>
    <w:rsid w:val="00E238F1"/>
    <w:rsid w:val="00E24359"/>
    <w:rsid w:val="00E2664F"/>
    <w:rsid w:val="00E30AF2"/>
    <w:rsid w:val="00E31107"/>
    <w:rsid w:val="00E3560A"/>
    <w:rsid w:val="00E362C4"/>
    <w:rsid w:val="00E37169"/>
    <w:rsid w:val="00E4165E"/>
    <w:rsid w:val="00E4250C"/>
    <w:rsid w:val="00E437B7"/>
    <w:rsid w:val="00E43816"/>
    <w:rsid w:val="00E448CD"/>
    <w:rsid w:val="00E44D9B"/>
    <w:rsid w:val="00E47665"/>
    <w:rsid w:val="00E50EB3"/>
    <w:rsid w:val="00E518BE"/>
    <w:rsid w:val="00E5437E"/>
    <w:rsid w:val="00E578DF"/>
    <w:rsid w:val="00E638FD"/>
    <w:rsid w:val="00E6442B"/>
    <w:rsid w:val="00E65230"/>
    <w:rsid w:val="00E67232"/>
    <w:rsid w:val="00E70A7A"/>
    <w:rsid w:val="00E73C1D"/>
    <w:rsid w:val="00E754B0"/>
    <w:rsid w:val="00E75706"/>
    <w:rsid w:val="00E7588A"/>
    <w:rsid w:val="00E80D0C"/>
    <w:rsid w:val="00E82CB0"/>
    <w:rsid w:val="00E82DA0"/>
    <w:rsid w:val="00E8327D"/>
    <w:rsid w:val="00E837F4"/>
    <w:rsid w:val="00E839CF"/>
    <w:rsid w:val="00E844E1"/>
    <w:rsid w:val="00E846F4"/>
    <w:rsid w:val="00E856E6"/>
    <w:rsid w:val="00E87695"/>
    <w:rsid w:val="00E91F5B"/>
    <w:rsid w:val="00E92F25"/>
    <w:rsid w:val="00E95E00"/>
    <w:rsid w:val="00E96A1E"/>
    <w:rsid w:val="00E97CCD"/>
    <w:rsid w:val="00EA25DA"/>
    <w:rsid w:val="00EA26AE"/>
    <w:rsid w:val="00EA5BD1"/>
    <w:rsid w:val="00EA76DD"/>
    <w:rsid w:val="00EA7822"/>
    <w:rsid w:val="00EB2157"/>
    <w:rsid w:val="00EB2853"/>
    <w:rsid w:val="00EB3474"/>
    <w:rsid w:val="00EB3DE6"/>
    <w:rsid w:val="00EB4323"/>
    <w:rsid w:val="00EB530A"/>
    <w:rsid w:val="00EB772E"/>
    <w:rsid w:val="00EC34D8"/>
    <w:rsid w:val="00EC4CF0"/>
    <w:rsid w:val="00EC4F61"/>
    <w:rsid w:val="00EC5198"/>
    <w:rsid w:val="00EC53F4"/>
    <w:rsid w:val="00EC6BBE"/>
    <w:rsid w:val="00EC729C"/>
    <w:rsid w:val="00EC7F0E"/>
    <w:rsid w:val="00ED0CCD"/>
    <w:rsid w:val="00ED45EB"/>
    <w:rsid w:val="00ED4AD4"/>
    <w:rsid w:val="00ED7794"/>
    <w:rsid w:val="00EE006B"/>
    <w:rsid w:val="00EE04AD"/>
    <w:rsid w:val="00EE2AE1"/>
    <w:rsid w:val="00EE2C8B"/>
    <w:rsid w:val="00EE2DF9"/>
    <w:rsid w:val="00EE306F"/>
    <w:rsid w:val="00EE4A8E"/>
    <w:rsid w:val="00EE7936"/>
    <w:rsid w:val="00EE7EA4"/>
    <w:rsid w:val="00EF0FD5"/>
    <w:rsid w:val="00EF4CCD"/>
    <w:rsid w:val="00EF4CE5"/>
    <w:rsid w:val="00EF4D0A"/>
    <w:rsid w:val="00F00FB6"/>
    <w:rsid w:val="00F017F5"/>
    <w:rsid w:val="00F020A8"/>
    <w:rsid w:val="00F02AAF"/>
    <w:rsid w:val="00F054A2"/>
    <w:rsid w:val="00F0657C"/>
    <w:rsid w:val="00F07D91"/>
    <w:rsid w:val="00F11FED"/>
    <w:rsid w:val="00F139D2"/>
    <w:rsid w:val="00F13B7C"/>
    <w:rsid w:val="00F165A9"/>
    <w:rsid w:val="00F2014C"/>
    <w:rsid w:val="00F2150D"/>
    <w:rsid w:val="00F227C3"/>
    <w:rsid w:val="00F24376"/>
    <w:rsid w:val="00F24EA1"/>
    <w:rsid w:val="00F266F0"/>
    <w:rsid w:val="00F30FEF"/>
    <w:rsid w:val="00F319B2"/>
    <w:rsid w:val="00F31C81"/>
    <w:rsid w:val="00F337E6"/>
    <w:rsid w:val="00F33EDA"/>
    <w:rsid w:val="00F416A6"/>
    <w:rsid w:val="00F436D7"/>
    <w:rsid w:val="00F4427E"/>
    <w:rsid w:val="00F44DA5"/>
    <w:rsid w:val="00F468CE"/>
    <w:rsid w:val="00F505F5"/>
    <w:rsid w:val="00F509EC"/>
    <w:rsid w:val="00F5119C"/>
    <w:rsid w:val="00F516E6"/>
    <w:rsid w:val="00F5658A"/>
    <w:rsid w:val="00F62172"/>
    <w:rsid w:val="00F62C5D"/>
    <w:rsid w:val="00F64906"/>
    <w:rsid w:val="00F6540C"/>
    <w:rsid w:val="00F66DCE"/>
    <w:rsid w:val="00F70152"/>
    <w:rsid w:val="00F72FAE"/>
    <w:rsid w:val="00F7594E"/>
    <w:rsid w:val="00F75E22"/>
    <w:rsid w:val="00F81CAF"/>
    <w:rsid w:val="00F82ECF"/>
    <w:rsid w:val="00F84800"/>
    <w:rsid w:val="00F864B7"/>
    <w:rsid w:val="00F901A4"/>
    <w:rsid w:val="00F92C58"/>
    <w:rsid w:val="00F93AE3"/>
    <w:rsid w:val="00F94EC0"/>
    <w:rsid w:val="00F96B2D"/>
    <w:rsid w:val="00F96B90"/>
    <w:rsid w:val="00FA0C75"/>
    <w:rsid w:val="00FA0EA1"/>
    <w:rsid w:val="00FA2175"/>
    <w:rsid w:val="00FA3AA9"/>
    <w:rsid w:val="00FA3C4D"/>
    <w:rsid w:val="00FA3CFC"/>
    <w:rsid w:val="00FA4387"/>
    <w:rsid w:val="00FA62C2"/>
    <w:rsid w:val="00FB3351"/>
    <w:rsid w:val="00FB3473"/>
    <w:rsid w:val="00FB58D9"/>
    <w:rsid w:val="00FC091C"/>
    <w:rsid w:val="00FC377D"/>
    <w:rsid w:val="00FC39DC"/>
    <w:rsid w:val="00FC5330"/>
    <w:rsid w:val="00FC595C"/>
    <w:rsid w:val="00FC66A8"/>
    <w:rsid w:val="00FD17DE"/>
    <w:rsid w:val="00FD7642"/>
    <w:rsid w:val="00FD7EFE"/>
    <w:rsid w:val="00FE038D"/>
    <w:rsid w:val="00FE03CD"/>
    <w:rsid w:val="00FE0C91"/>
    <w:rsid w:val="00FE102D"/>
    <w:rsid w:val="00FE18A1"/>
    <w:rsid w:val="00FE1B68"/>
    <w:rsid w:val="00FE3050"/>
    <w:rsid w:val="00FE68DF"/>
    <w:rsid w:val="00FE7B67"/>
    <w:rsid w:val="00FE7F73"/>
    <w:rsid w:val="00FF096C"/>
    <w:rsid w:val="00FF1460"/>
    <w:rsid w:val="00FF3BD8"/>
    <w:rsid w:val="00FF3DE7"/>
    <w:rsid w:val="00FF725B"/>
    <w:rsid w:val="00FF78D3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DA52E9"/>
  <w15:chartTrackingRefBased/>
  <w15:docId w15:val="{5F541DCC-E009-49DF-A4C1-1D81EBE5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95C"/>
  </w:style>
  <w:style w:type="paragraph" w:styleId="Footer">
    <w:name w:val="footer"/>
    <w:basedOn w:val="Normal"/>
    <w:link w:val="FooterChar"/>
    <w:uiPriority w:val="99"/>
    <w:unhideWhenUsed/>
    <w:rsid w:val="00FC5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95C"/>
  </w:style>
  <w:style w:type="character" w:styleId="PlaceholderText">
    <w:name w:val="Placeholder Text"/>
    <w:basedOn w:val="DefaultParagraphFont"/>
    <w:uiPriority w:val="99"/>
    <w:semiHidden/>
    <w:rsid w:val="00FE68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635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10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ADINDU</dc:creator>
  <cp:keywords/>
  <dc:description/>
  <cp:lastModifiedBy>SDI 1084</cp:lastModifiedBy>
  <cp:revision>283</cp:revision>
  <dcterms:created xsi:type="dcterms:W3CDTF">2024-10-24T09:08:00Z</dcterms:created>
  <dcterms:modified xsi:type="dcterms:W3CDTF">2025-10-30T11:12:00Z</dcterms:modified>
</cp:coreProperties>
</file>