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6BE1" w14:textId="2480C0E3" w:rsidR="00EF400D" w:rsidRPr="004B50E3" w:rsidRDefault="008C1C9B" w:rsidP="00441B6F">
      <w:pPr>
        <w:pStyle w:val="Author"/>
        <w:spacing w:line="240" w:lineRule="auto"/>
        <w:rPr>
          <w:rFonts w:ascii="Arial" w:hAnsi="Arial" w:cs="Arial"/>
          <w:lang w:val="en"/>
        </w:rPr>
      </w:pPr>
      <w:r w:rsidRPr="004B50E3">
        <w:rPr>
          <w:rFonts w:ascii="Arial" w:hAnsi="Arial" w:cs="Arial"/>
          <w:bCs/>
          <w:sz w:val="36"/>
          <w:szCs w:val="28"/>
          <w:lang w:val="en"/>
        </w:rPr>
        <w:t>Comparative Analysis of Antimicrobial Resistance Patterns in ICU and Non-ICU Isolates from a Gujarat Surveillance Network: A Semi-Annual Antibiogram Study</w:t>
      </w:r>
    </w:p>
    <w:p w14:paraId="19328059" w14:textId="77777777" w:rsidR="004B50E3" w:rsidRPr="00380EE5" w:rsidRDefault="004B50E3" w:rsidP="00EF400D">
      <w:pPr>
        <w:pStyle w:val="Author"/>
        <w:spacing w:line="240" w:lineRule="auto"/>
        <w:rPr>
          <w:rFonts w:ascii="Arial" w:hAnsi="Arial" w:cs="Arial"/>
          <w:bCs/>
          <w:sz w:val="22"/>
          <w:szCs w:val="18"/>
          <w:lang w:val="en-IN"/>
        </w:rPr>
      </w:pPr>
      <w:bookmarkStart w:id="0" w:name="_Hlk217065671"/>
    </w:p>
    <w:bookmarkEnd w:id="0"/>
    <w:p w14:paraId="56526945" w14:textId="77777777" w:rsidR="002C57D2" w:rsidRPr="00DA3FB0" w:rsidRDefault="002C57D2" w:rsidP="00441B6F">
      <w:pPr>
        <w:pStyle w:val="Affiliation"/>
        <w:spacing w:after="0" w:line="240" w:lineRule="auto"/>
        <w:jc w:val="both"/>
        <w:rPr>
          <w:rFonts w:ascii="Arial" w:hAnsi="Arial" w:cs="Arial"/>
        </w:rPr>
      </w:pPr>
    </w:p>
    <w:p w14:paraId="329D54DC" w14:textId="77777777" w:rsidR="00B01FCD" w:rsidRPr="00DA3FB0" w:rsidRDefault="00F95B1B" w:rsidP="00441B6F">
      <w:pPr>
        <w:pStyle w:val="Copyright"/>
        <w:spacing w:after="0" w:line="240" w:lineRule="auto"/>
        <w:jc w:val="both"/>
        <w:rPr>
          <w:rFonts w:ascii="Arial" w:hAnsi="Arial" w:cs="Arial"/>
        </w:rPr>
        <w:sectPr w:rsidR="00B01FCD" w:rsidRPr="00DA3FB0" w:rsidSect="007442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C7ED7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A3FB0">
        <w:rPr>
          <w:rFonts w:ascii="Arial" w:hAnsi="Arial" w:cs="Arial"/>
        </w:rPr>
        <w:t>.</w:t>
      </w:r>
    </w:p>
    <w:p w14:paraId="58CD38C3" w14:textId="276F4303" w:rsidR="00B01FCD" w:rsidRPr="00DA3FB0" w:rsidRDefault="00B01FCD" w:rsidP="00441B6F">
      <w:pPr>
        <w:pStyle w:val="AbstHead"/>
        <w:spacing w:after="0"/>
        <w:jc w:val="both"/>
        <w:rPr>
          <w:rFonts w:ascii="Arial" w:hAnsi="Arial" w:cs="Arial"/>
        </w:rPr>
      </w:pPr>
      <w:r w:rsidRPr="00DA3FB0">
        <w:rPr>
          <w:rFonts w:ascii="Arial" w:hAnsi="Arial" w:cs="Arial"/>
        </w:rPr>
        <w:t>ABSTRACT</w:t>
      </w:r>
      <w:r w:rsidR="0066510A" w:rsidRPr="00DA3FB0">
        <w:rPr>
          <w:rFonts w:ascii="Arial" w:hAnsi="Arial" w:cs="Arial"/>
        </w:rPr>
        <w:t xml:space="preserve"> </w:t>
      </w:r>
    </w:p>
    <w:p w14:paraId="54077D8F" w14:textId="77777777" w:rsidR="00790ADA" w:rsidRPr="00DA3FB0"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DA3FB0" w14:paraId="6CB8FA34" w14:textId="77777777" w:rsidTr="007D30BA">
        <w:tc>
          <w:tcPr>
            <w:tcW w:w="8316" w:type="dxa"/>
            <w:shd w:val="clear" w:color="auto" w:fill="F2F2F2"/>
          </w:tcPr>
          <w:p w14:paraId="7B4F0EDD" w14:textId="0C9C8887" w:rsidR="00F9065F"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Aims:</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To compare antimicrobial resistance patterns between intensive care unit (ICU) and non-intensive care unit (non-ICU) isolates in hospitals participating in the Gujarat State surveillance network.</w:t>
            </w:r>
          </w:p>
          <w:p w14:paraId="62138587" w14:textId="3B9AA416" w:rsidR="00F9065F" w:rsidRPr="004B50E3" w:rsidRDefault="00EF400D" w:rsidP="00EF400D">
            <w:pPr>
              <w:pStyle w:val="Body"/>
              <w:spacing w:after="0"/>
              <w:rPr>
                <w:rFonts w:ascii="Arial" w:eastAsia="Calibri" w:hAnsi="Arial" w:cs="Arial"/>
                <w:b/>
                <w:bCs/>
                <w:szCs w:val="22"/>
                <w:lang w:val="en-IN"/>
              </w:rPr>
            </w:pPr>
            <w:r w:rsidRPr="00DA3FB0">
              <w:rPr>
                <w:rFonts w:ascii="Arial" w:eastAsia="Calibri" w:hAnsi="Arial" w:cs="Arial"/>
                <w:b/>
                <w:bCs/>
                <w:szCs w:val="22"/>
                <w:lang w:val="en-IN"/>
              </w:rPr>
              <w:t>Study</w:t>
            </w:r>
            <w:r w:rsidR="00F9065F" w:rsidRPr="00DA3FB0">
              <w:rPr>
                <w:rFonts w:ascii="Arial" w:eastAsia="Calibri" w:hAnsi="Arial" w:cs="Arial"/>
                <w:b/>
                <w:bCs/>
                <w:szCs w:val="22"/>
                <w:lang w:val="en-IN"/>
              </w:rPr>
              <w:t xml:space="preserve"> </w:t>
            </w:r>
            <w:r w:rsidRPr="00DA3FB0">
              <w:rPr>
                <w:rFonts w:ascii="Arial" w:eastAsia="Calibri" w:hAnsi="Arial" w:cs="Arial"/>
                <w:b/>
                <w:bCs/>
                <w:szCs w:val="22"/>
                <w:lang w:val="en-IN"/>
              </w:rPr>
              <w:t>Design:</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Retrospective analytical surveillance study.</w:t>
            </w:r>
          </w:p>
          <w:p w14:paraId="798BFDAB" w14:textId="1B63B3B0" w:rsidR="00F9065F" w:rsidRPr="004B50E3" w:rsidRDefault="00EF400D" w:rsidP="00EF400D">
            <w:pPr>
              <w:pStyle w:val="Body"/>
              <w:spacing w:after="0"/>
              <w:rPr>
                <w:rFonts w:ascii="Arial" w:eastAsia="Calibri" w:hAnsi="Arial" w:cs="Arial"/>
                <w:b/>
                <w:bCs/>
                <w:szCs w:val="22"/>
                <w:lang w:val="en-IN"/>
              </w:rPr>
            </w:pPr>
            <w:r w:rsidRPr="00DA3FB0">
              <w:rPr>
                <w:rFonts w:ascii="Arial" w:eastAsia="Calibri" w:hAnsi="Arial" w:cs="Arial"/>
                <w:b/>
                <w:bCs/>
                <w:szCs w:val="22"/>
                <w:lang w:val="en-IN"/>
              </w:rPr>
              <w:t>Place and Duration of Study:</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Hospitals enrolled in the Gujarat State Antimicrobial Resistance Surveillance Network, India, using semi-annual antibiogram data from July to December 2024.</w:t>
            </w:r>
          </w:p>
          <w:p w14:paraId="23D41F95" w14:textId="39890DAE" w:rsidR="00EF400D"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Methodology:</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 xml:space="preserve">Aggregate antibiogram data were obtained from the Gujarat State Antimicrobial Resistance Surveillance Network. Three bacterial pathogens- </w:t>
            </w:r>
            <w:r w:rsidR="00A5268A" w:rsidRPr="00A5268A">
              <w:rPr>
                <w:rFonts w:ascii="Arial" w:eastAsia="Calibri" w:hAnsi="Arial" w:cs="Arial"/>
                <w:i/>
                <w:iCs/>
                <w:szCs w:val="22"/>
                <w:lang w:val="en-IN"/>
              </w:rPr>
              <w:t>Escherichia coli</w:t>
            </w:r>
            <w:r w:rsidR="00F9065F" w:rsidRPr="00DA3FB0">
              <w:rPr>
                <w:rFonts w:ascii="Arial" w:eastAsia="Calibri" w:hAnsi="Arial" w:cs="Arial"/>
                <w:i/>
                <w:iCs/>
                <w:szCs w:val="22"/>
                <w:lang w:val="en-IN"/>
              </w:rPr>
              <w:t xml:space="preserve">, </w:t>
            </w:r>
            <w:r w:rsidR="00A5268A" w:rsidRPr="00A5268A">
              <w:rPr>
                <w:rFonts w:ascii="Arial" w:eastAsia="Calibri" w:hAnsi="Arial" w:cs="Arial"/>
                <w:i/>
                <w:iCs/>
                <w:szCs w:val="22"/>
                <w:lang w:val="en-IN"/>
              </w:rPr>
              <w:t>Klebsiella pneumoniae</w:t>
            </w:r>
            <w:r w:rsidR="004D7614">
              <w:rPr>
                <w:rFonts w:ascii="Arial" w:eastAsia="Calibri" w:hAnsi="Arial" w:cs="Arial"/>
                <w:szCs w:val="22"/>
                <w:lang w:val="en-IN"/>
              </w:rPr>
              <w:t xml:space="preserve"> and</w:t>
            </w:r>
            <w:r w:rsidR="00F9065F" w:rsidRPr="00DA3FB0">
              <w:rPr>
                <w:rFonts w:ascii="Arial" w:eastAsia="Calibri" w:hAnsi="Arial" w:cs="Arial"/>
                <w:szCs w:val="22"/>
                <w:lang w:val="en-IN"/>
              </w:rPr>
              <w:t xml:space="preserve"> </w:t>
            </w:r>
            <w:r w:rsidR="00A5268A" w:rsidRPr="00A5268A">
              <w:rPr>
                <w:rFonts w:ascii="Arial" w:eastAsia="Calibri" w:hAnsi="Arial" w:cs="Arial"/>
                <w:i/>
                <w:iCs/>
                <w:szCs w:val="22"/>
                <w:lang w:val="en-IN"/>
              </w:rPr>
              <w:t>Staphylococcus aureus</w:t>
            </w:r>
            <w:r w:rsidR="00F9065F" w:rsidRPr="00DA3FB0">
              <w:rPr>
                <w:rFonts w:ascii="Arial" w:eastAsia="Calibri" w:hAnsi="Arial" w:cs="Arial"/>
                <w:i/>
                <w:iCs/>
                <w:szCs w:val="22"/>
                <w:lang w:val="en-IN"/>
              </w:rPr>
              <w:t xml:space="preserve"> </w:t>
            </w:r>
            <w:r w:rsidR="00F9065F" w:rsidRPr="00DA3FB0">
              <w:rPr>
                <w:rFonts w:ascii="Arial" w:eastAsia="Calibri" w:hAnsi="Arial" w:cs="Arial"/>
                <w:szCs w:val="22"/>
                <w:lang w:val="en-IN"/>
              </w:rPr>
              <w:t>were included. Resistance proportions for clinically relevant antibiotics were compared between intensive care unit and non-intensive care unit inpatient isolates. Statistical analysis was performed using chi-square test. Odds ratios</w:t>
            </w:r>
            <w:r w:rsidR="003047E6" w:rsidRPr="00DA3FB0">
              <w:rPr>
                <w:rFonts w:ascii="Arial" w:eastAsia="Calibri" w:hAnsi="Arial" w:cs="Arial"/>
                <w:szCs w:val="22"/>
                <w:lang w:val="en-IN"/>
              </w:rPr>
              <w:t xml:space="preserve"> (OR)</w:t>
            </w:r>
            <w:r w:rsidR="00F9065F" w:rsidRPr="00DA3FB0">
              <w:rPr>
                <w:rFonts w:ascii="Arial" w:eastAsia="Calibri" w:hAnsi="Arial" w:cs="Arial"/>
                <w:szCs w:val="22"/>
                <w:lang w:val="en-IN"/>
              </w:rPr>
              <w:t xml:space="preserve"> with 95% confidence intervals were calculated to assess the association between intensive care unit admission and antimicrobial resistance.</w:t>
            </w:r>
          </w:p>
          <w:p w14:paraId="1BCC5B9E" w14:textId="4B14263D" w:rsidR="00EF400D"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Results:</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 xml:space="preserve">A total of 837 isolates were </w:t>
            </w:r>
            <w:proofErr w:type="spellStart"/>
            <w:r w:rsidR="00F9065F" w:rsidRPr="00DA3FB0">
              <w:rPr>
                <w:rFonts w:ascii="Arial" w:eastAsia="Calibri" w:hAnsi="Arial" w:cs="Arial"/>
                <w:szCs w:val="22"/>
                <w:lang w:val="en-IN"/>
              </w:rPr>
              <w:t>analyzed</w:t>
            </w:r>
            <w:proofErr w:type="spellEnd"/>
            <w:r w:rsidR="00F9065F" w:rsidRPr="00DA3FB0">
              <w:rPr>
                <w:rFonts w:ascii="Arial" w:eastAsia="Calibri" w:hAnsi="Arial" w:cs="Arial"/>
                <w:szCs w:val="22"/>
                <w:lang w:val="en-IN"/>
              </w:rPr>
              <w:t xml:space="preserve">, including 300 intensive care unit and 537 non-intensive care unit isolates. </w:t>
            </w:r>
            <w:r w:rsidR="00A5268A" w:rsidRPr="00A5268A">
              <w:rPr>
                <w:rFonts w:ascii="Arial" w:eastAsia="Calibri" w:hAnsi="Arial" w:cs="Arial"/>
                <w:i/>
                <w:iCs/>
                <w:szCs w:val="22"/>
                <w:lang w:val="en-IN"/>
              </w:rPr>
              <w:t>Escherichia coli</w:t>
            </w:r>
            <w:r w:rsidR="00F9065F" w:rsidRPr="00DA3FB0">
              <w:rPr>
                <w:rFonts w:ascii="Arial" w:eastAsia="Calibri" w:hAnsi="Arial" w:cs="Arial"/>
                <w:szCs w:val="22"/>
                <w:lang w:val="en-IN"/>
              </w:rPr>
              <w:t xml:space="preserve"> from intensive care units showed higher carbapenem resistance (41.0% vs 27.9%;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1.79; P = 0.026). </w:t>
            </w:r>
            <w:r w:rsidR="00A5268A" w:rsidRPr="00A5268A">
              <w:rPr>
                <w:rFonts w:ascii="Arial" w:eastAsia="Calibri" w:hAnsi="Arial" w:cs="Arial"/>
                <w:i/>
                <w:iCs/>
                <w:szCs w:val="22"/>
                <w:lang w:val="en-IN"/>
              </w:rPr>
              <w:t>Klebsiella pneumoniae</w:t>
            </w:r>
            <w:r w:rsidR="00F9065F" w:rsidRPr="00DA3FB0">
              <w:rPr>
                <w:rFonts w:ascii="Arial" w:eastAsia="Calibri" w:hAnsi="Arial" w:cs="Arial"/>
                <w:szCs w:val="22"/>
                <w:lang w:val="en-IN"/>
              </w:rPr>
              <w:t xml:space="preserve"> exhibited significantly greater resistance in ICU to piperacillin-tazobactam (69.0% vs 52.0%;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2.06; P = 0.006) and carbapenems (imipenem: 48.0% vs 23.5%,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3.01; P &lt; 0.001). Methicillin resistance in </w:t>
            </w:r>
            <w:r w:rsidR="00A5268A" w:rsidRPr="00A5268A">
              <w:rPr>
                <w:rFonts w:ascii="Arial" w:eastAsia="Calibri" w:hAnsi="Arial" w:cs="Arial"/>
                <w:i/>
                <w:iCs/>
                <w:szCs w:val="22"/>
                <w:lang w:val="en-IN"/>
              </w:rPr>
              <w:t>Staphylococcus aureus</w:t>
            </w:r>
            <w:r w:rsidR="00F9065F" w:rsidRPr="00DA3FB0">
              <w:rPr>
                <w:rFonts w:ascii="Arial" w:eastAsia="Calibri" w:hAnsi="Arial" w:cs="Arial"/>
                <w:szCs w:val="22"/>
                <w:lang w:val="en-IN"/>
              </w:rPr>
              <w:t xml:space="preserve"> was higher in </w:t>
            </w:r>
            <w:r w:rsidR="003047E6" w:rsidRPr="00DA3FB0">
              <w:rPr>
                <w:rFonts w:ascii="Arial" w:eastAsia="Calibri" w:hAnsi="Arial" w:cs="Arial"/>
                <w:szCs w:val="22"/>
                <w:lang w:val="en-IN"/>
              </w:rPr>
              <w:t>ICU</w:t>
            </w:r>
            <w:r w:rsidR="00F9065F" w:rsidRPr="00DA3FB0">
              <w:rPr>
                <w:rFonts w:ascii="Arial" w:eastAsia="Calibri" w:hAnsi="Arial" w:cs="Arial"/>
                <w:szCs w:val="22"/>
                <w:lang w:val="en-IN"/>
              </w:rPr>
              <w:t xml:space="preserve"> isolates (48.0% vs 34.6%;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1.74; P = 0.029).</w:t>
            </w:r>
          </w:p>
          <w:p w14:paraId="4388A89A" w14:textId="2D80CD01" w:rsidR="00505F06"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Conclusion:</w:t>
            </w:r>
            <w:r w:rsidR="004B50E3">
              <w:rPr>
                <w:rFonts w:ascii="Arial" w:eastAsia="Calibri" w:hAnsi="Arial" w:cs="Arial"/>
                <w:b/>
                <w:bCs/>
                <w:szCs w:val="22"/>
                <w:lang w:val="en-IN"/>
              </w:rPr>
              <w:t xml:space="preserve"> </w:t>
            </w:r>
            <w:r w:rsidR="003047E6" w:rsidRPr="00DA3FB0">
              <w:rPr>
                <w:rFonts w:ascii="Arial" w:eastAsia="Calibri" w:hAnsi="Arial" w:cs="Arial"/>
                <w:szCs w:val="22"/>
                <w:lang w:val="en-IN"/>
              </w:rPr>
              <w:t>ICU isolates demonstrated significantly higher resistance to key antibiotics compared with non-ICU isolates, highlighting intensive care units as focal points for antimicrobial resistance and priority targets for stewardship and infection control interventions.</w:t>
            </w:r>
          </w:p>
        </w:tc>
      </w:tr>
    </w:tbl>
    <w:p w14:paraId="0F638A10" w14:textId="77777777" w:rsidR="00636EB2" w:rsidRPr="00DA3FB0" w:rsidRDefault="00636EB2" w:rsidP="00441B6F">
      <w:pPr>
        <w:pStyle w:val="Body"/>
        <w:spacing w:after="0"/>
        <w:rPr>
          <w:rFonts w:ascii="Arial" w:hAnsi="Arial" w:cs="Arial"/>
          <w:i/>
        </w:rPr>
      </w:pPr>
    </w:p>
    <w:p w14:paraId="4E78F25A" w14:textId="60EEC112" w:rsidR="00161B76" w:rsidRPr="00161B76" w:rsidRDefault="00A24E7E" w:rsidP="00161B76">
      <w:pPr>
        <w:pStyle w:val="Body"/>
        <w:rPr>
          <w:rFonts w:ascii="Arial" w:hAnsi="Arial" w:cs="Arial"/>
          <w:i/>
          <w:iCs/>
          <w:lang w:val="en"/>
        </w:rPr>
      </w:pPr>
      <w:r w:rsidRPr="00DA3FB0">
        <w:rPr>
          <w:rFonts w:ascii="Arial" w:hAnsi="Arial" w:cs="Arial"/>
          <w:i/>
        </w:rPr>
        <w:t>Keywords:</w:t>
      </w:r>
      <w:r w:rsidR="00EF400D" w:rsidRPr="00DA3FB0">
        <w:rPr>
          <w:rFonts w:ascii="Arial" w:hAnsi="Arial" w:cs="Arial"/>
          <w:i/>
        </w:rPr>
        <w:t xml:space="preserve"> </w:t>
      </w:r>
      <w:r w:rsidR="00161B76" w:rsidRPr="00161B76">
        <w:rPr>
          <w:rFonts w:ascii="Arial" w:hAnsi="Arial" w:cs="Arial"/>
          <w:i/>
          <w:iCs/>
          <w:lang w:val="en"/>
        </w:rPr>
        <w:t xml:space="preserve">Antimicrobial resistance; Intensive care units; Hospital surveillance; Antibiogram; </w:t>
      </w:r>
      <w:r w:rsidR="00A5268A" w:rsidRPr="00A5268A">
        <w:rPr>
          <w:rFonts w:ascii="Arial" w:hAnsi="Arial" w:cs="Arial"/>
          <w:i/>
          <w:iCs/>
          <w:lang w:val="en"/>
        </w:rPr>
        <w:t>Escherichia coli</w:t>
      </w:r>
      <w:r w:rsidR="00161B76" w:rsidRPr="00161B76">
        <w:rPr>
          <w:rFonts w:ascii="Arial" w:hAnsi="Arial" w:cs="Arial"/>
          <w:i/>
          <w:iCs/>
          <w:lang w:val="en"/>
        </w:rPr>
        <w:t xml:space="preserve">; </w:t>
      </w:r>
      <w:r w:rsidR="00A5268A" w:rsidRPr="00A5268A">
        <w:rPr>
          <w:rFonts w:ascii="Arial" w:hAnsi="Arial" w:cs="Arial"/>
          <w:i/>
          <w:iCs/>
          <w:lang w:val="en"/>
        </w:rPr>
        <w:t>Klebsiella pneumoniae</w:t>
      </w:r>
      <w:r w:rsidR="00161B76" w:rsidRPr="00161B76">
        <w:rPr>
          <w:rFonts w:ascii="Arial" w:hAnsi="Arial" w:cs="Arial"/>
          <w:i/>
          <w:iCs/>
          <w:lang w:val="en"/>
        </w:rPr>
        <w:t xml:space="preserve">; </w:t>
      </w:r>
      <w:r w:rsidR="00A5268A" w:rsidRPr="00A5268A">
        <w:rPr>
          <w:rFonts w:ascii="Arial" w:hAnsi="Arial" w:cs="Arial"/>
          <w:i/>
          <w:iCs/>
          <w:lang w:val="en"/>
        </w:rPr>
        <w:t>Staphylococcus aureus</w:t>
      </w:r>
    </w:p>
    <w:p w14:paraId="4C787CCB" w14:textId="644645C4" w:rsidR="007F7B32" w:rsidRPr="00DA3FB0" w:rsidRDefault="00902823" w:rsidP="00441B6F">
      <w:pPr>
        <w:pStyle w:val="AbstHead"/>
        <w:spacing w:after="0"/>
        <w:jc w:val="both"/>
        <w:rPr>
          <w:rFonts w:ascii="Arial" w:hAnsi="Arial" w:cs="Arial"/>
        </w:rPr>
      </w:pPr>
      <w:r w:rsidRPr="00DA3FB0">
        <w:rPr>
          <w:rFonts w:ascii="Arial" w:hAnsi="Arial" w:cs="Arial"/>
        </w:rPr>
        <w:t xml:space="preserve">1. </w:t>
      </w:r>
      <w:r w:rsidR="00B01FCD" w:rsidRPr="00DA3FB0">
        <w:rPr>
          <w:rFonts w:ascii="Arial" w:hAnsi="Arial" w:cs="Arial"/>
        </w:rPr>
        <w:t>INTRODUCTION</w:t>
      </w:r>
    </w:p>
    <w:p w14:paraId="45584E70" w14:textId="77777777" w:rsidR="00790ADA" w:rsidRPr="00DA3FB0" w:rsidRDefault="00790ADA" w:rsidP="00441B6F">
      <w:pPr>
        <w:pStyle w:val="AbstHead"/>
        <w:spacing w:after="0"/>
        <w:jc w:val="both"/>
        <w:rPr>
          <w:rFonts w:ascii="Arial" w:hAnsi="Arial" w:cs="Arial"/>
        </w:rPr>
      </w:pPr>
    </w:p>
    <w:p w14:paraId="5E936711" w14:textId="3C0A4E46" w:rsidR="00861642" w:rsidRPr="00A5268A" w:rsidRDefault="00861642" w:rsidP="00861642">
      <w:pPr>
        <w:pStyle w:val="Body"/>
        <w:spacing w:after="0"/>
        <w:rPr>
          <w:rFonts w:ascii="Arial" w:hAnsi="Arial" w:cs="Arial"/>
          <w:lang w:val="en-IN"/>
        </w:rPr>
      </w:pPr>
      <w:r w:rsidRPr="00861642">
        <w:rPr>
          <w:rFonts w:ascii="Arial" w:hAnsi="Arial" w:cs="Arial"/>
          <w:lang w:val="en-IN"/>
        </w:rPr>
        <w:t>Antimicrobial resistance (AMR) has emerged as one of the most serious global public health challenges of the twenty-first century, undermining the effective treatment of infectious diseases and threatening advances in modern medicine</w:t>
      </w:r>
      <w:r w:rsidR="00F42444" w:rsidRPr="00DA3FB0">
        <w:rPr>
          <w:rFonts w:ascii="Arial" w:hAnsi="Arial" w:cs="Arial"/>
          <w:lang w:val="en-IN"/>
        </w:rPr>
        <w:t xml:space="preserve"> (Salvia </w:t>
      </w:r>
      <w:r w:rsidR="00A5268A" w:rsidRPr="00A5268A">
        <w:rPr>
          <w:rFonts w:ascii="Arial" w:hAnsi="Arial" w:cs="Arial"/>
          <w:i/>
          <w:iCs/>
          <w:lang w:val="en-IN"/>
        </w:rPr>
        <w:t>et al</w:t>
      </w:r>
      <w:r w:rsidR="00F42444" w:rsidRPr="00DA3FB0">
        <w:rPr>
          <w:rFonts w:ascii="Arial" w:hAnsi="Arial" w:cs="Arial"/>
          <w:lang w:val="en-IN"/>
        </w:rPr>
        <w:t>., 2023)</w:t>
      </w:r>
      <w:r w:rsidRPr="00861642">
        <w:rPr>
          <w:rFonts w:ascii="Arial" w:hAnsi="Arial" w:cs="Arial"/>
          <w:lang w:val="en-IN"/>
        </w:rPr>
        <w:t xml:space="preserve">. In 2019 alone, AMR was directly responsible for an estimated 1.27 million deaths worldwide and </w:t>
      </w:r>
      <w:r w:rsidRPr="00A5268A">
        <w:rPr>
          <w:rFonts w:ascii="Arial" w:hAnsi="Arial" w:cs="Arial"/>
          <w:lang w:val="en-IN"/>
        </w:rPr>
        <w:t xml:space="preserve">contributed to nearly 5 million deaths overall, placing it among the leading causes of global mortality (Antimicrobial Resistance Collaborators, 2022). Projections suggest that without coordinated and sustained interventions, annual deaths attributable to drug-resistant infections could rise to 10 million by 2050, with substantial economic and health system consequences (Walsh </w:t>
      </w:r>
      <w:r w:rsidR="00A5268A" w:rsidRPr="00A5268A">
        <w:rPr>
          <w:rFonts w:ascii="Arial" w:hAnsi="Arial" w:cs="Arial"/>
          <w:i/>
          <w:iCs/>
          <w:lang w:val="en-IN"/>
        </w:rPr>
        <w:t>et al</w:t>
      </w:r>
      <w:r w:rsidRPr="00A5268A">
        <w:rPr>
          <w:rFonts w:ascii="Arial" w:hAnsi="Arial" w:cs="Arial"/>
          <w:lang w:val="en-IN"/>
        </w:rPr>
        <w:t xml:space="preserve">., 2023). Surveillance-driven evidence is therefore essential to </w:t>
      </w:r>
      <w:r w:rsidRPr="00A5268A">
        <w:rPr>
          <w:rFonts w:ascii="Arial" w:hAnsi="Arial" w:cs="Arial"/>
          <w:lang w:val="en-IN"/>
        </w:rPr>
        <w:lastRenderedPageBreak/>
        <w:t>understand resistance trends, guide empiric therapy and inform antimicrobial stewardship and infection control strategies.</w:t>
      </w:r>
    </w:p>
    <w:p w14:paraId="630CB342" w14:textId="01519F3B" w:rsidR="00965429" w:rsidRPr="00A5268A" w:rsidRDefault="00861642" w:rsidP="00965429">
      <w:pPr>
        <w:pStyle w:val="Body"/>
        <w:rPr>
          <w:rFonts w:ascii="Arial" w:hAnsi="Arial" w:cs="Arial"/>
          <w:lang w:val="en-IN"/>
        </w:rPr>
      </w:pPr>
      <w:r w:rsidRPr="00A5268A">
        <w:rPr>
          <w:rFonts w:ascii="Arial" w:hAnsi="Arial" w:cs="Arial"/>
          <w:lang w:val="en-IN"/>
        </w:rPr>
        <w:t xml:space="preserve">The burden of AMR is disproportionately concentrated in low </w:t>
      </w:r>
      <w:r w:rsidR="00D87469" w:rsidRPr="00A5268A">
        <w:rPr>
          <w:rFonts w:ascii="Arial" w:hAnsi="Arial" w:cs="Arial"/>
          <w:lang w:val="en-IN"/>
        </w:rPr>
        <w:t xml:space="preserve">income </w:t>
      </w:r>
      <w:r w:rsidRPr="00A5268A">
        <w:rPr>
          <w:rFonts w:ascii="Arial" w:hAnsi="Arial" w:cs="Arial"/>
          <w:lang w:val="en-IN"/>
        </w:rPr>
        <w:t xml:space="preserve">and </w:t>
      </w:r>
      <w:r w:rsidR="00FF1497" w:rsidRPr="00A5268A">
        <w:rPr>
          <w:rFonts w:ascii="Arial" w:hAnsi="Arial" w:cs="Arial"/>
          <w:lang w:val="en-IN"/>
        </w:rPr>
        <w:t>middle-income</w:t>
      </w:r>
      <w:r w:rsidRPr="00A5268A">
        <w:rPr>
          <w:rFonts w:ascii="Arial" w:hAnsi="Arial" w:cs="Arial"/>
          <w:lang w:val="en-IN"/>
        </w:rPr>
        <w:t xml:space="preserve"> countries, where high infectious disease prevalence, variable access to diagnostics</w:t>
      </w:r>
      <w:r w:rsidR="004D7614" w:rsidRPr="00A5268A">
        <w:rPr>
          <w:rFonts w:ascii="Arial" w:hAnsi="Arial" w:cs="Arial"/>
          <w:lang w:val="en-IN"/>
        </w:rPr>
        <w:t xml:space="preserve"> and</w:t>
      </w:r>
      <w:r w:rsidRPr="00A5268A">
        <w:rPr>
          <w:rFonts w:ascii="Arial" w:hAnsi="Arial" w:cs="Arial"/>
          <w:lang w:val="en-IN"/>
        </w:rPr>
        <w:t xml:space="preserve"> widespread antimicrobial use accelerate the emergence and spread of resistant organisms. India, in particular, is recognized as a major hotspot for antimicrobial resistance, reporting high resistance rates among common bacterial pathogens in both community and hospital settings </w:t>
      </w:r>
      <w:r w:rsidR="00EE399A" w:rsidRPr="00A5268A">
        <w:rPr>
          <w:rFonts w:ascii="Arial" w:hAnsi="Arial" w:cs="Arial"/>
          <w:lang w:val="en-IN"/>
        </w:rPr>
        <w:t xml:space="preserve">(Pokharel </w:t>
      </w:r>
      <w:r w:rsidR="00A5268A" w:rsidRPr="00A5268A">
        <w:rPr>
          <w:rFonts w:ascii="Arial" w:hAnsi="Arial" w:cs="Arial"/>
          <w:i/>
          <w:iCs/>
          <w:lang w:val="en-IN"/>
        </w:rPr>
        <w:t>et al</w:t>
      </w:r>
      <w:r w:rsidR="00EE399A" w:rsidRPr="00A5268A">
        <w:rPr>
          <w:rFonts w:ascii="Arial" w:hAnsi="Arial" w:cs="Arial"/>
          <w:lang w:val="en-IN"/>
        </w:rPr>
        <w:t>., 2019)</w:t>
      </w:r>
      <w:r w:rsidRPr="00A5268A">
        <w:rPr>
          <w:rFonts w:ascii="Arial" w:hAnsi="Arial" w:cs="Arial"/>
          <w:lang w:val="en-IN"/>
        </w:rPr>
        <w:t>. In response, India has strengthened its national surveillance framework through the National Programme on Antimicrobial Resistance Containment coordinated by the National Centre for Disease Control, contributing standardized data to the World Health Organization’s Global Antimicrobial Resistance Surveillance System. State-level surveillance networks now play a critical role in capturing regional resistance patterns, which are necessary because AMR epidemiology varies substantially across geographic and healthcare contexts</w:t>
      </w:r>
      <w:r w:rsidR="00965429" w:rsidRPr="00A5268A">
        <w:rPr>
          <w:rFonts w:ascii="Arial" w:hAnsi="Arial" w:cs="Arial"/>
          <w:lang w:val="en-IN"/>
        </w:rPr>
        <w:t xml:space="preserve"> (Singh </w:t>
      </w:r>
      <w:r w:rsidR="00A5268A" w:rsidRPr="00A5268A">
        <w:rPr>
          <w:rFonts w:ascii="Arial" w:hAnsi="Arial" w:cs="Arial"/>
          <w:i/>
          <w:iCs/>
          <w:lang w:val="en-IN"/>
        </w:rPr>
        <w:t>et al</w:t>
      </w:r>
      <w:r w:rsidR="00965429" w:rsidRPr="00A5268A">
        <w:rPr>
          <w:rFonts w:ascii="Arial" w:hAnsi="Arial" w:cs="Arial"/>
          <w:lang w:val="en-IN"/>
        </w:rPr>
        <w:t>., 2024).</w:t>
      </w:r>
    </w:p>
    <w:p w14:paraId="2AB7F3BD" w14:textId="57AF5650" w:rsidR="00861642" w:rsidRPr="00861642" w:rsidRDefault="00861642" w:rsidP="00965429">
      <w:pPr>
        <w:pStyle w:val="Body"/>
        <w:rPr>
          <w:rFonts w:ascii="Arial" w:hAnsi="Arial" w:cs="Arial"/>
          <w:lang w:val="en-IN"/>
        </w:rPr>
      </w:pPr>
      <w:r w:rsidRPr="00A5268A">
        <w:rPr>
          <w:rFonts w:ascii="Arial" w:hAnsi="Arial" w:cs="Arial"/>
          <w:lang w:val="en-IN"/>
        </w:rPr>
        <w:t>Within hospitals, antimicrobial resistance is not uniformly distributed</w:t>
      </w:r>
      <w:r w:rsidR="004D7614" w:rsidRPr="00A5268A">
        <w:rPr>
          <w:rFonts w:ascii="Arial" w:hAnsi="Arial" w:cs="Arial"/>
          <w:lang w:val="en-IN"/>
        </w:rPr>
        <w:t xml:space="preserve"> and</w:t>
      </w:r>
      <w:r w:rsidRPr="00A5268A">
        <w:rPr>
          <w:rFonts w:ascii="Arial" w:hAnsi="Arial" w:cs="Arial"/>
          <w:lang w:val="en-IN"/>
        </w:rPr>
        <w:t xml:space="preserve"> marked differences are often observed between </w:t>
      </w:r>
      <w:r w:rsidR="00965429" w:rsidRPr="00A5268A">
        <w:rPr>
          <w:rFonts w:ascii="Arial" w:hAnsi="Arial" w:cs="Arial"/>
          <w:lang w:val="en-IN"/>
        </w:rPr>
        <w:t>ICU</w:t>
      </w:r>
      <w:r w:rsidRPr="00A5268A">
        <w:rPr>
          <w:rFonts w:ascii="Arial" w:hAnsi="Arial" w:cs="Arial"/>
          <w:lang w:val="en-IN"/>
        </w:rPr>
        <w:t xml:space="preserve"> and general inpatient wards. </w:t>
      </w:r>
      <w:r w:rsidR="00965429" w:rsidRPr="00A5268A">
        <w:rPr>
          <w:rFonts w:ascii="Arial" w:hAnsi="Arial" w:cs="Arial"/>
          <w:lang w:val="en-IN"/>
        </w:rPr>
        <w:t xml:space="preserve">ICUs </w:t>
      </w:r>
      <w:r w:rsidRPr="00A5268A">
        <w:rPr>
          <w:rFonts w:ascii="Arial" w:hAnsi="Arial" w:cs="Arial"/>
          <w:lang w:val="en-IN"/>
        </w:rPr>
        <w:t>represent high-risk environments for the emergence and transmission of multidrug-resistant organisms due to frequent use of invasive devices, prolonged hospitalization, severity of illness and extensive exposure to broad-spectrum antimicrobials</w:t>
      </w:r>
      <w:r w:rsidR="009C31EF">
        <w:rPr>
          <w:rFonts w:ascii="Arial" w:hAnsi="Arial" w:cs="Arial"/>
          <w:lang w:val="en-IN"/>
        </w:rPr>
        <w:t xml:space="preserve">. </w:t>
      </w:r>
      <w:r w:rsidR="006B46D1" w:rsidRPr="00A5268A">
        <w:rPr>
          <w:rFonts w:ascii="Arial" w:hAnsi="Arial" w:cs="Arial"/>
        </w:rPr>
        <w:t xml:space="preserve">Multiple studies from India and other settings have consistently shown higher resistance rates among intensive care unit isolates compared with non-intensive care unit isolates, particularly for Gram-negative organisms such as </w:t>
      </w:r>
      <w:r w:rsidR="00A5268A" w:rsidRPr="00A5268A">
        <w:rPr>
          <w:rFonts w:ascii="Arial" w:hAnsi="Arial" w:cs="Arial"/>
          <w:i/>
          <w:iCs/>
        </w:rPr>
        <w:t>Klebsiella pneumoniae</w:t>
      </w:r>
      <w:r w:rsidR="006B46D1" w:rsidRPr="00A5268A">
        <w:rPr>
          <w:rFonts w:ascii="Arial" w:hAnsi="Arial" w:cs="Arial"/>
        </w:rPr>
        <w:t xml:space="preserve"> and </w:t>
      </w:r>
      <w:r w:rsidR="00A5268A" w:rsidRPr="00A5268A">
        <w:rPr>
          <w:rFonts w:ascii="Arial" w:hAnsi="Arial" w:cs="Arial"/>
          <w:i/>
          <w:iCs/>
        </w:rPr>
        <w:t>Escherichia coli</w:t>
      </w:r>
      <w:r w:rsidR="006B46D1" w:rsidRPr="00A5268A">
        <w:rPr>
          <w:rFonts w:ascii="Arial" w:hAnsi="Arial" w:cs="Arial"/>
        </w:rPr>
        <w:t xml:space="preserve">, as well as methicillin-resistant </w:t>
      </w:r>
      <w:r w:rsidR="00A5268A" w:rsidRPr="00A5268A">
        <w:rPr>
          <w:rFonts w:ascii="Arial" w:hAnsi="Arial" w:cs="Arial"/>
          <w:i/>
          <w:iCs/>
        </w:rPr>
        <w:t>Staphylococcus aureus</w:t>
      </w:r>
      <w:r w:rsidR="006B46D1" w:rsidRPr="00A5268A">
        <w:rPr>
          <w:rFonts w:ascii="Arial" w:hAnsi="Arial" w:cs="Arial"/>
        </w:rPr>
        <w:t xml:space="preserve"> (National Centre for Disease Control [NCDC], NARS-Net Annual Report, 2023). </w:t>
      </w:r>
      <w:r w:rsidRPr="00A5268A">
        <w:rPr>
          <w:rFonts w:ascii="Arial" w:hAnsi="Arial" w:cs="Arial"/>
          <w:lang w:val="en-IN"/>
        </w:rPr>
        <w:t>These differences have important clinical implications, as pooled hospital antibiograms may obscure unit-specific resistance profiles and lead to inappropriate empiric antibiotic selection, especially in critically ill patients</w:t>
      </w:r>
      <w:r w:rsidRPr="00861642">
        <w:rPr>
          <w:rFonts w:ascii="Arial" w:hAnsi="Arial" w:cs="Arial"/>
          <w:lang w:val="en-IN"/>
        </w:rPr>
        <w:t>.</w:t>
      </w:r>
    </w:p>
    <w:p w14:paraId="6E0E74C5" w14:textId="71992C91" w:rsidR="00861642" w:rsidRPr="00861642" w:rsidRDefault="00861642" w:rsidP="00861642">
      <w:pPr>
        <w:pStyle w:val="Body"/>
        <w:spacing w:after="0"/>
        <w:rPr>
          <w:rFonts w:ascii="Arial" w:hAnsi="Arial" w:cs="Arial"/>
          <w:lang w:val="en-IN"/>
        </w:rPr>
      </w:pPr>
      <w:r w:rsidRPr="00861642">
        <w:rPr>
          <w:rFonts w:ascii="Arial" w:hAnsi="Arial" w:cs="Arial"/>
          <w:lang w:val="en-IN"/>
        </w:rPr>
        <w:t>Despite the expansion of antimicrobial resistance surveillance in India, publicly available, state-level analyses comparing intensive care unit and non-intensive care unit resistance patterns remain limited. Gujarat, one of India’s major states with a large tertiary-care hospital network, established the Gujarat State Antimicrobial Resistance Surveillance Network to generate standardized antibiogram data across participating institutions. However, to date, these aggregated surveillance outputs have largely been used descriptively</w:t>
      </w:r>
      <w:r w:rsidR="004D7614">
        <w:rPr>
          <w:rFonts w:ascii="Arial" w:hAnsi="Arial" w:cs="Arial"/>
          <w:lang w:val="en-IN"/>
        </w:rPr>
        <w:t xml:space="preserve"> and</w:t>
      </w:r>
      <w:r w:rsidRPr="00861642">
        <w:rPr>
          <w:rFonts w:ascii="Arial" w:hAnsi="Arial" w:cs="Arial"/>
          <w:lang w:val="en-IN"/>
        </w:rPr>
        <w:t xml:space="preserve"> comparative analyses stratified by hospital location of care are scarce. The absence of such analyses limits the ability of clinicians and policymakers to identify high-risk settings within hospitals and to tailor antimicrobial stewardship and infection control interventions accordingly.</w:t>
      </w:r>
    </w:p>
    <w:p w14:paraId="3BA2A4F9" w14:textId="412C9D0A" w:rsidR="00861642" w:rsidRPr="00861642" w:rsidRDefault="00861642" w:rsidP="00861642">
      <w:pPr>
        <w:pStyle w:val="Body"/>
        <w:spacing w:after="0"/>
        <w:rPr>
          <w:rFonts w:ascii="Arial" w:hAnsi="Arial" w:cs="Arial"/>
          <w:lang w:val="en-IN"/>
        </w:rPr>
      </w:pPr>
      <w:r w:rsidRPr="00861642">
        <w:rPr>
          <w:rFonts w:ascii="Arial" w:hAnsi="Arial" w:cs="Arial"/>
          <w:lang w:val="en-IN"/>
        </w:rPr>
        <w:t xml:space="preserve">Addressing this gap is particularly relevant for priority bacterial pathogens that contribute substantially to hospital-acquired infections and antimicrobial consumption. </w:t>
      </w:r>
      <w:r w:rsidR="00A5268A" w:rsidRPr="00A5268A">
        <w:rPr>
          <w:rFonts w:ascii="Arial" w:hAnsi="Arial" w:cs="Arial"/>
          <w:i/>
          <w:iCs/>
          <w:lang w:val="en-IN"/>
        </w:rPr>
        <w:t>Escherichia coli</w:t>
      </w:r>
      <w:r w:rsidRPr="00861642">
        <w:rPr>
          <w:rFonts w:ascii="Arial" w:hAnsi="Arial" w:cs="Arial"/>
          <w:lang w:val="en-IN"/>
        </w:rPr>
        <w:t xml:space="preserve">, </w:t>
      </w:r>
      <w:r w:rsidR="00A5268A" w:rsidRPr="00A5268A">
        <w:rPr>
          <w:rFonts w:ascii="Arial" w:hAnsi="Arial" w:cs="Arial"/>
          <w:i/>
          <w:iCs/>
          <w:lang w:val="en-IN"/>
        </w:rPr>
        <w:t>Klebsiella pneumoniae</w:t>
      </w:r>
      <w:r w:rsidR="004D7614">
        <w:rPr>
          <w:rFonts w:ascii="Arial" w:hAnsi="Arial" w:cs="Arial"/>
          <w:lang w:val="en-IN"/>
        </w:rPr>
        <w:t xml:space="preserve"> and</w:t>
      </w:r>
      <w:r w:rsidRPr="00861642">
        <w:rPr>
          <w:rFonts w:ascii="Arial" w:hAnsi="Arial" w:cs="Arial"/>
          <w:lang w:val="en-IN"/>
        </w:rPr>
        <w:t xml:space="preserve"> </w:t>
      </w:r>
      <w:r w:rsidR="00A5268A" w:rsidRPr="00A5268A">
        <w:rPr>
          <w:rFonts w:ascii="Arial" w:hAnsi="Arial" w:cs="Arial"/>
          <w:i/>
          <w:iCs/>
          <w:lang w:val="en-IN"/>
        </w:rPr>
        <w:t>Staphylococcus aureus</w:t>
      </w:r>
      <w:r w:rsidRPr="00861642">
        <w:rPr>
          <w:rFonts w:ascii="Arial" w:hAnsi="Arial" w:cs="Arial"/>
          <w:lang w:val="en-IN"/>
        </w:rPr>
        <w:t xml:space="preserve"> are among the most frequently isolated organisms in Indian hospitals and are associated with severe infections in both intensive care and non-intensive care settings. Understanding how resistance patterns for these organisms differ between intensive care units and general wards using routinely collected surveillance data can provide actionable insights while avoiding the resource demands of patient-level studies.</w:t>
      </w:r>
    </w:p>
    <w:p w14:paraId="699FC496" w14:textId="77777777" w:rsidR="00861642" w:rsidRDefault="00861642" w:rsidP="00861642">
      <w:pPr>
        <w:pStyle w:val="Body"/>
        <w:spacing w:after="0"/>
        <w:rPr>
          <w:rFonts w:ascii="Arial" w:hAnsi="Arial" w:cs="Arial"/>
          <w:lang w:val="en-IN"/>
        </w:rPr>
      </w:pPr>
      <w:r w:rsidRPr="00861642">
        <w:rPr>
          <w:rFonts w:ascii="Arial" w:hAnsi="Arial" w:cs="Arial"/>
          <w:lang w:val="en-IN"/>
        </w:rPr>
        <w:t>This study aimed to compare antimicrobial resistance patterns between ICU and non-ICU isolates using semi-annual surveillance data from Gujarat.</w:t>
      </w:r>
    </w:p>
    <w:p w14:paraId="0C9E5102" w14:textId="77777777" w:rsidR="00661FC5" w:rsidRPr="00DA3FB0" w:rsidRDefault="00661FC5" w:rsidP="00861642">
      <w:pPr>
        <w:pStyle w:val="Body"/>
        <w:spacing w:after="0"/>
        <w:rPr>
          <w:rFonts w:ascii="Arial" w:hAnsi="Arial" w:cs="Arial"/>
          <w:lang w:val="en-IN"/>
        </w:rPr>
      </w:pPr>
    </w:p>
    <w:p w14:paraId="7C5D6C6F" w14:textId="0880AF82" w:rsidR="00790ADA" w:rsidRPr="00DA3FB0" w:rsidRDefault="00902823" w:rsidP="00E34ABB">
      <w:pPr>
        <w:pStyle w:val="AbstHead"/>
        <w:spacing w:after="0"/>
        <w:jc w:val="both"/>
        <w:rPr>
          <w:rFonts w:ascii="Arial" w:hAnsi="Arial" w:cs="Arial"/>
        </w:rPr>
      </w:pPr>
      <w:r w:rsidRPr="00DA3FB0">
        <w:rPr>
          <w:rFonts w:ascii="Arial" w:hAnsi="Arial" w:cs="Arial"/>
        </w:rPr>
        <w:t>2. material and method</w:t>
      </w:r>
      <w:r w:rsidR="00000F8F" w:rsidRPr="00DA3FB0">
        <w:rPr>
          <w:rFonts w:ascii="Arial" w:hAnsi="Arial" w:cs="Arial"/>
        </w:rPr>
        <w:t xml:space="preserve">s </w:t>
      </w:r>
    </w:p>
    <w:p w14:paraId="60DEF6DE" w14:textId="77777777" w:rsidR="00E34ABB" w:rsidRPr="00DA3FB0" w:rsidRDefault="00E34ABB" w:rsidP="00E34ABB">
      <w:pPr>
        <w:pStyle w:val="AbstHead"/>
        <w:spacing w:after="0"/>
        <w:jc w:val="both"/>
        <w:rPr>
          <w:rFonts w:ascii="Arial" w:hAnsi="Arial" w:cs="Arial"/>
        </w:rPr>
      </w:pPr>
    </w:p>
    <w:p w14:paraId="0E49E2E5" w14:textId="77777777" w:rsidR="00E34ABB" w:rsidRPr="00DA3FB0" w:rsidRDefault="00AA74E0" w:rsidP="00441B6F">
      <w:pPr>
        <w:pStyle w:val="Body"/>
        <w:spacing w:after="0"/>
        <w:rPr>
          <w:rFonts w:ascii="Arial" w:hAnsi="Arial" w:cs="Arial"/>
          <w:b/>
          <w:sz w:val="22"/>
        </w:rPr>
      </w:pPr>
      <w:r w:rsidRPr="00DA3FB0">
        <w:rPr>
          <w:rFonts w:ascii="Arial" w:hAnsi="Arial" w:cs="Arial"/>
          <w:b/>
          <w:caps/>
          <w:sz w:val="22"/>
        </w:rPr>
        <w:t xml:space="preserve">2.1 </w:t>
      </w:r>
      <w:r w:rsidR="00E34ABB" w:rsidRPr="00DA3FB0">
        <w:rPr>
          <w:rFonts w:ascii="Arial" w:hAnsi="Arial" w:cs="Arial"/>
          <w:b/>
          <w:sz w:val="22"/>
        </w:rPr>
        <w:t>Study Design and Data Source</w:t>
      </w:r>
    </w:p>
    <w:p w14:paraId="6F01232D" w14:textId="77777777" w:rsidR="00E34ABB" w:rsidRPr="00DA3FB0" w:rsidRDefault="00E34ABB" w:rsidP="00441B6F">
      <w:pPr>
        <w:pStyle w:val="Body"/>
        <w:spacing w:after="0"/>
        <w:rPr>
          <w:rFonts w:ascii="Arial" w:hAnsi="Arial" w:cs="Arial"/>
          <w:b/>
          <w:sz w:val="22"/>
        </w:rPr>
      </w:pPr>
    </w:p>
    <w:p w14:paraId="4DCCE466" w14:textId="77777777" w:rsidR="00C37EAD" w:rsidRPr="00DA3FB0" w:rsidRDefault="00C37EAD" w:rsidP="00C37EAD">
      <w:pPr>
        <w:pStyle w:val="Body"/>
        <w:spacing w:after="0"/>
        <w:rPr>
          <w:rFonts w:ascii="Arial" w:hAnsi="Arial" w:cs="Arial"/>
          <w:lang w:val="en-IN"/>
        </w:rPr>
      </w:pPr>
      <w:r w:rsidRPr="00DA3FB0">
        <w:rPr>
          <w:rFonts w:ascii="Arial" w:hAnsi="Arial" w:cs="Arial"/>
          <w:lang w:val="en-IN"/>
        </w:rPr>
        <w:lastRenderedPageBreak/>
        <w:t xml:space="preserve">This was a retrospective analytical surveillance study using aggregate antibiogram data generated by the Gujarat State Antimicrobial Resistance Surveillance Network (GUJSAR). Semi-annual surveillance data covering the period from 1 July to 31 December 2024 were </w:t>
      </w:r>
      <w:proofErr w:type="spellStart"/>
      <w:r w:rsidRPr="00DA3FB0">
        <w:rPr>
          <w:rFonts w:ascii="Arial" w:hAnsi="Arial" w:cs="Arial"/>
          <w:lang w:val="en-IN"/>
        </w:rPr>
        <w:t>analyzed</w:t>
      </w:r>
      <w:proofErr w:type="spellEnd"/>
      <w:r w:rsidRPr="00DA3FB0">
        <w:rPr>
          <w:rFonts w:ascii="Arial" w:hAnsi="Arial" w:cs="Arial"/>
          <w:lang w:val="en-IN"/>
        </w:rPr>
        <w:t>.</w:t>
      </w:r>
    </w:p>
    <w:p w14:paraId="48630D39" w14:textId="1305D807" w:rsidR="00C37EAD" w:rsidRPr="00DA3FB0" w:rsidRDefault="00C37EAD" w:rsidP="00C37EAD">
      <w:pPr>
        <w:pStyle w:val="Body"/>
        <w:spacing w:after="0"/>
        <w:rPr>
          <w:rFonts w:ascii="Arial" w:hAnsi="Arial" w:cs="Arial"/>
          <w:lang w:val="en-IN"/>
        </w:rPr>
      </w:pPr>
      <w:r w:rsidRPr="00DA3FB0">
        <w:rPr>
          <w:rFonts w:ascii="Arial" w:hAnsi="Arial" w:cs="Arial"/>
          <w:lang w:val="en-IN"/>
        </w:rPr>
        <w:t>GUJSAR is a state-wide antimicrobial resistance surveillance network comprising 22 tertiary care hospitals, including medical college hospitals and large civil hospitals across Gujarat, India. Participating hospitals routinely identify bacterial isolates and perform antimicrobial susceptibility testing using standard laboratory methods.</w:t>
      </w:r>
    </w:p>
    <w:p w14:paraId="1AFF1A54" w14:textId="777157EC" w:rsidR="00C37EAD" w:rsidRPr="00DA3FB0" w:rsidRDefault="00C37EAD" w:rsidP="00C37EAD">
      <w:pPr>
        <w:pStyle w:val="Body"/>
        <w:spacing w:after="0"/>
        <w:rPr>
          <w:rFonts w:ascii="Arial" w:hAnsi="Arial" w:cs="Arial"/>
          <w:lang w:val="en-IN"/>
        </w:rPr>
      </w:pPr>
      <w:r w:rsidRPr="00DA3FB0">
        <w:rPr>
          <w:rFonts w:ascii="Arial" w:hAnsi="Arial" w:cs="Arial"/>
          <w:lang w:val="en-IN"/>
        </w:rPr>
        <w:t>The GUJSAR semi-annual report provides aggregate counts of isolates tested and corresponding resistance percentages for each organism</w:t>
      </w:r>
      <w:r w:rsidR="008A1B4D">
        <w:rPr>
          <w:rFonts w:ascii="Arial" w:hAnsi="Arial" w:cs="Arial"/>
          <w:lang w:val="en-IN"/>
        </w:rPr>
        <w:t>-</w:t>
      </w:r>
      <w:r w:rsidRPr="00DA3FB0">
        <w:rPr>
          <w:rFonts w:ascii="Arial" w:hAnsi="Arial" w:cs="Arial"/>
          <w:lang w:val="en-IN"/>
        </w:rPr>
        <w:t>antibiotic combination, stratified by hospital location, including intensive care units and non-intensive care inpatient departments. The dataset represents aggregated surveillance outputs rather than patient-level data, with each hospital contributing summarized results for the surveillance period. No individual patient identifiers were included or accessed.</w:t>
      </w:r>
    </w:p>
    <w:p w14:paraId="0DBE4559" w14:textId="77777777" w:rsidR="00C37EAD" w:rsidRPr="00DA3FB0" w:rsidRDefault="00C37EAD" w:rsidP="00441B6F">
      <w:pPr>
        <w:pStyle w:val="Body"/>
        <w:spacing w:after="0"/>
        <w:rPr>
          <w:rFonts w:ascii="Arial" w:hAnsi="Arial" w:cs="Arial"/>
          <w:b/>
          <w:sz w:val="22"/>
        </w:rPr>
      </w:pPr>
    </w:p>
    <w:p w14:paraId="1CAD9DBE" w14:textId="060743B8" w:rsidR="00C37EAD" w:rsidRPr="00DA3FB0" w:rsidRDefault="00C37EAD" w:rsidP="00441B6F">
      <w:pPr>
        <w:pStyle w:val="Body"/>
        <w:spacing w:after="0"/>
        <w:rPr>
          <w:rFonts w:ascii="Arial" w:hAnsi="Arial" w:cs="Arial"/>
          <w:b/>
          <w:sz w:val="22"/>
        </w:rPr>
      </w:pPr>
      <w:r w:rsidRPr="00DA3FB0">
        <w:rPr>
          <w:rFonts w:ascii="Arial" w:hAnsi="Arial" w:cs="Arial"/>
          <w:b/>
          <w:caps/>
          <w:sz w:val="22"/>
        </w:rPr>
        <w:t xml:space="preserve">2.2 </w:t>
      </w:r>
      <w:r w:rsidRPr="00DA3FB0">
        <w:rPr>
          <w:rFonts w:ascii="Arial" w:hAnsi="Arial" w:cs="Arial"/>
          <w:b/>
          <w:sz w:val="22"/>
        </w:rPr>
        <w:t>Study Organisms and Antibiotics</w:t>
      </w:r>
    </w:p>
    <w:p w14:paraId="3818F0FE" w14:textId="77777777" w:rsidR="00C37EAD" w:rsidRPr="00DA3FB0" w:rsidRDefault="00C37EAD" w:rsidP="00441B6F">
      <w:pPr>
        <w:pStyle w:val="Body"/>
        <w:spacing w:after="0"/>
        <w:rPr>
          <w:rFonts w:ascii="Arial" w:hAnsi="Arial" w:cs="Arial"/>
          <w:b/>
          <w:u w:val="single"/>
        </w:rPr>
      </w:pPr>
    </w:p>
    <w:p w14:paraId="665E5E70" w14:textId="4EAC96F1" w:rsidR="00C37EAD" w:rsidRPr="00DA3FB0" w:rsidRDefault="00C37EAD" w:rsidP="00C37EAD">
      <w:pPr>
        <w:pStyle w:val="Body"/>
        <w:spacing w:after="0"/>
        <w:rPr>
          <w:rFonts w:ascii="Arial" w:hAnsi="Arial" w:cs="Arial"/>
          <w:lang w:val="en-IN"/>
        </w:rPr>
      </w:pPr>
      <w:r w:rsidRPr="00DA3FB0">
        <w:rPr>
          <w:rFonts w:ascii="Arial" w:hAnsi="Arial" w:cs="Arial"/>
          <w:lang w:val="en-IN"/>
        </w:rPr>
        <w:t xml:space="preserve">Three bacterial pathogens of major clinical and public health importance were included in the analysis: </w:t>
      </w:r>
      <w:r w:rsidR="00A5268A" w:rsidRPr="00A5268A">
        <w:rPr>
          <w:rFonts w:ascii="Arial" w:hAnsi="Arial" w:cs="Arial"/>
          <w:i/>
          <w:iCs/>
          <w:lang w:val="en-IN"/>
        </w:rPr>
        <w:t>Escherichia coli</w:t>
      </w:r>
      <w:r w:rsidRPr="00DA3FB0">
        <w:rPr>
          <w:rFonts w:ascii="Arial" w:hAnsi="Arial" w:cs="Arial"/>
          <w:lang w:val="en-IN"/>
        </w:rPr>
        <w:t xml:space="preserve">, </w:t>
      </w:r>
      <w:r w:rsidR="00A5268A" w:rsidRPr="00A5268A">
        <w:rPr>
          <w:rFonts w:ascii="Arial" w:hAnsi="Arial" w:cs="Arial"/>
          <w:i/>
          <w:iCs/>
          <w:lang w:val="en-IN"/>
        </w:rPr>
        <w:t>Klebsiella pneumoniae</w:t>
      </w:r>
      <w:r w:rsidRPr="00DA3FB0">
        <w:rPr>
          <w:rFonts w:ascii="Arial" w:hAnsi="Arial" w:cs="Arial"/>
          <w:lang w:val="en-IN"/>
        </w:rPr>
        <w:t xml:space="preserve"> and </w:t>
      </w:r>
      <w:r w:rsidR="00A5268A" w:rsidRPr="00A5268A">
        <w:rPr>
          <w:rFonts w:ascii="Arial" w:hAnsi="Arial" w:cs="Arial"/>
          <w:i/>
          <w:iCs/>
          <w:lang w:val="en-IN"/>
        </w:rPr>
        <w:t>Staphylococcus aureus</w:t>
      </w:r>
      <w:r w:rsidRPr="00DA3FB0">
        <w:rPr>
          <w:rFonts w:ascii="Arial" w:hAnsi="Arial" w:cs="Arial"/>
          <w:lang w:val="en-IN"/>
        </w:rPr>
        <w:t>. These organisms are among the most frequently isolated pathogens in Indian hospitals and are priority organisms within national antimicrobial resistance surveillance programs.</w:t>
      </w:r>
    </w:p>
    <w:p w14:paraId="69F093B0" w14:textId="59EC02DD" w:rsidR="00C37EAD" w:rsidRPr="00DA3FB0" w:rsidRDefault="00C37EAD" w:rsidP="00C37EAD">
      <w:pPr>
        <w:pStyle w:val="Body"/>
        <w:spacing w:after="0"/>
        <w:rPr>
          <w:rFonts w:ascii="Arial" w:hAnsi="Arial" w:cs="Arial"/>
          <w:lang w:val="en-IN"/>
        </w:rPr>
      </w:pPr>
      <w:r w:rsidRPr="00DA3FB0">
        <w:rPr>
          <w:rFonts w:ascii="Arial" w:hAnsi="Arial" w:cs="Arial"/>
          <w:lang w:val="en-IN"/>
        </w:rPr>
        <w:t>For each organism, six antibiotics were selected for analysis based on clinical relevance, routine testing across participating laboratories</w:t>
      </w:r>
      <w:r w:rsidR="004D7614">
        <w:rPr>
          <w:rFonts w:ascii="Arial" w:hAnsi="Arial" w:cs="Arial"/>
          <w:lang w:val="en-IN"/>
        </w:rPr>
        <w:t xml:space="preserve"> and</w:t>
      </w:r>
      <w:r w:rsidRPr="00DA3FB0">
        <w:rPr>
          <w:rFonts w:ascii="Arial" w:hAnsi="Arial" w:cs="Arial"/>
          <w:lang w:val="en-IN"/>
        </w:rPr>
        <w:t xml:space="preserve"> availability of data for both intensive care unit and non-intensive care inpatient isolates. Antibiotic selection focused on agents commonly used for empiric and definitive therapy and those critical for managing severe infections.</w:t>
      </w:r>
    </w:p>
    <w:p w14:paraId="58364FA4" w14:textId="5937215D" w:rsidR="00C37EAD" w:rsidRPr="00DA3FB0" w:rsidRDefault="00C37EAD" w:rsidP="00701FE4">
      <w:pPr>
        <w:pStyle w:val="Body"/>
        <w:spacing w:after="0"/>
        <w:rPr>
          <w:rFonts w:ascii="Arial" w:hAnsi="Arial" w:cs="Arial"/>
          <w:lang w:val="en-IN"/>
        </w:rPr>
      </w:pPr>
      <w:r w:rsidRPr="00DA3FB0">
        <w:rPr>
          <w:rFonts w:ascii="Arial" w:hAnsi="Arial" w:cs="Arial"/>
          <w:lang w:val="en-IN"/>
        </w:rPr>
        <w:t>For</w:t>
      </w:r>
      <w:r w:rsidRPr="00701FE4">
        <w:rPr>
          <w:rFonts w:ascii="Arial" w:hAnsi="Arial" w:cs="Arial"/>
          <w:i/>
          <w:iCs/>
          <w:lang w:val="en-IN"/>
        </w:rPr>
        <w:t xml:space="preserve"> </w:t>
      </w:r>
      <w:r w:rsidR="00A5268A" w:rsidRPr="00A5268A">
        <w:rPr>
          <w:rFonts w:ascii="Arial" w:hAnsi="Arial" w:cs="Arial"/>
          <w:i/>
          <w:iCs/>
          <w:lang w:val="en-IN"/>
        </w:rPr>
        <w:t>Escherichia coli</w:t>
      </w:r>
      <w:r w:rsidRPr="00701FE4">
        <w:rPr>
          <w:rFonts w:ascii="Arial" w:hAnsi="Arial" w:cs="Arial"/>
          <w:i/>
          <w:iCs/>
          <w:lang w:val="en-IN"/>
        </w:rPr>
        <w:t xml:space="preserve">, </w:t>
      </w:r>
      <w:r w:rsidRPr="00DA3FB0">
        <w:rPr>
          <w:rFonts w:ascii="Arial" w:hAnsi="Arial" w:cs="Arial"/>
          <w:lang w:val="en-IN"/>
        </w:rPr>
        <w:t xml:space="preserve">the antibiotics </w:t>
      </w:r>
      <w:proofErr w:type="spellStart"/>
      <w:r w:rsidRPr="00DA3FB0">
        <w:rPr>
          <w:rFonts w:ascii="Arial" w:hAnsi="Arial" w:cs="Arial"/>
          <w:lang w:val="en-IN"/>
        </w:rPr>
        <w:t>analyzed</w:t>
      </w:r>
      <w:proofErr w:type="spellEnd"/>
      <w:r w:rsidRPr="00DA3FB0">
        <w:rPr>
          <w:rFonts w:ascii="Arial" w:hAnsi="Arial" w:cs="Arial"/>
          <w:lang w:val="en-IN"/>
        </w:rPr>
        <w:t xml:space="preserve"> were ceftriaxone, ciprofloxacin, gentamicin, piperacillin</w:t>
      </w:r>
      <w:r w:rsidR="008A1B4D">
        <w:rPr>
          <w:rFonts w:ascii="Arial" w:hAnsi="Arial" w:cs="Arial"/>
          <w:lang w:val="en-IN"/>
        </w:rPr>
        <w:t>-</w:t>
      </w:r>
      <w:r w:rsidRPr="00DA3FB0">
        <w:rPr>
          <w:rFonts w:ascii="Arial" w:hAnsi="Arial" w:cs="Arial"/>
          <w:lang w:val="en-IN"/>
        </w:rPr>
        <w:t xml:space="preserve">tazobactam, imipenem and meropenem. For </w:t>
      </w:r>
      <w:r w:rsidR="00A5268A" w:rsidRPr="00A5268A">
        <w:rPr>
          <w:rFonts w:ascii="Arial" w:hAnsi="Arial" w:cs="Arial"/>
          <w:i/>
          <w:iCs/>
          <w:lang w:val="en-IN"/>
        </w:rPr>
        <w:t>Klebsiella pneumoniae</w:t>
      </w:r>
      <w:r w:rsidRPr="00701FE4">
        <w:rPr>
          <w:rFonts w:ascii="Arial" w:hAnsi="Arial" w:cs="Arial"/>
          <w:i/>
          <w:iCs/>
          <w:lang w:val="en-IN"/>
        </w:rPr>
        <w:t>,</w:t>
      </w:r>
      <w:r w:rsidRPr="00DA3FB0">
        <w:rPr>
          <w:rFonts w:ascii="Arial" w:hAnsi="Arial" w:cs="Arial"/>
          <w:lang w:val="en-IN"/>
        </w:rPr>
        <w:t xml:space="preserve"> the same agents were </w:t>
      </w:r>
      <w:proofErr w:type="spellStart"/>
      <w:r w:rsidRPr="00DA3FB0">
        <w:rPr>
          <w:rFonts w:ascii="Arial" w:hAnsi="Arial" w:cs="Arial"/>
          <w:lang w:val="en-IN"/>
        </w:rPr>
        <w:t>analyzed</w:t>
      </w:r>
      <w:proofErr w:type="spellEnd"/>
      <w:r w:rsidRPr="00DA3FB0">
        <w:rPr>
          <w:rFonts w:ascii="Arial" w:hAnsi="Arial" w:cs="Arial"/>
          <w:lang w:val="en-IN"/>
        </w:rPr>
        <w:t xml:space="preserve">, with the addition of colistin due to its role as a last-resort therapy for carbapenem-resistant infections. For </w:t>
      </w:r>
      <w:r w:rsidR="00A5268A" w:rsidRPr="00A5268A">
        <w:rPr>
          <w:rFonts w:ascii="Arial" w:hAnsi="Arial" w:cs="Arial"/>
          <w:i/>
          <w:iCs/>
          <w:lang w:val="en-IN"/>
        </w:rPr>
        <w:t>Staphylococcus aureus</w:t>
      </w:r>
      <w:r w:rsidRPr="00701FE4">
        <w:rPr>
          <w:rFonts w:ascii="Arial" w:hAnsi="Arial" w:cs="Arial"/>
          <w:i/>
          <w:iCs/>
          <w:lang w:val="en-IN"/>
        </w:rPr>
        <w:t>,</w:t>
      </w:r>
      <w:r w:rsidRPr="00DA3FB0">
        <w:rPr>
          <w:rFonts w:ascii="Arial" w:hAnsi="Arial" w:cs="Arial"/>
          <w:lang w:val="en-IN"/>
        </w:rPr>
        <w:t xml:space="preserve"> the antibiotics included penicillin G, cefoxitin (as a surrogate marker for methicillin resistance), erythromycin, clindamycin, vancomycin</w:t>
      </w:r>
      <w:r w:rsidR="004D7614">
        <w:rPr>
          <w:rFonts w:ascii="Arial" w:hAnsi="Arial" w:cs="Arial"/>
          <w:lang w:val="en-IN"/>
        </w:rPr>
        <w:t xml:space="preserve"> and</w:t>
      </w:r>
      <w:r w:rsidRPr="00DA3FB0">
        <w:rPr>
          <w:rFonts w:ascii="Arial" w:hAnsi="Arial" w:cs="Arial"/>
          <w:lang w:val="en-IN"/>
        </w:rPr>
        <w:t xml:space="preserve"> linezolid. Together, these agents represent the major antimicrobial classes relevant to the management of infections caused by these organisms.</w:t>
      </w:r>
    </w:p>
    <w:p w14:paraId="64472405" w14:textId="10EADA7D" w:rsidR="00C37EAD" w:rsidRPr="00DA3FB0" w:rsidRDefault="00C37EAD" w:rsidP="00C37EAD">
      <w:pPr>
        <w:pStyle w:val="Body"/>
        <w:rPr>
          <w:rFonts w:ascii="Arial" w:hAnsi="Arial" w:cs="Arial"/>
          <w:lang w:val="en-IN"/>
        </w:rPr>
      </w:pPr>
      <w:bookmarkStart w:id="1" w:name="_Hlk217079746"/>
      <w:r w:rsidRPr="00DA3FB0">
        <w:rPr>
          <w:rFonts w:ascii="Arial" w:hAnsi="Arial" w:cs="Arial"/>
          <w:lang w:val="en-IN"/>
        </w:rPr>
        <w:t>The primary outcome measure was the percentage of isolates resistant (%R) to each antibiotic among intensive care unit isolates compared with non-intensive care inpatient department isolates. An intensive care unit isolate was defined as an isolate recovered from a patient admitted to any intensive care unit, while a non-intensive care inpatient isolate was defined as one recovered from a hospitalized patient outside the intensive care setting.</w:t>
      </w:r>
      <w:bookmarkEnd w:id="1"/>
    </w:p>
    <w:p w14:paraId="7D0600F3" w14:textId="5BDE3A5C" w:rsidR="00C37EAD" w:rsidRPr="00DA3FB0" w:rsidRDefault="00C37EAD" w:rsidP="00C37EAD">
      <w:pPr>
        <w:pStyle w:val="Body"/>
        <w:spacing w:after="0"/>
        <w:rPr>
          <w:rFonts w:ascii="Arial" w:hAnsi="Arial" w:cs="Arial"/>
          <w:b/>
          <w:sz w:val="22"/>
        </w:rPr>
      </w:pPr>
      <w:bookmarkStart w:id="2" w:name="_Hlk217079864"/>
      <w:r w:rsidRPr="00DA3FB0">
        <w:rPr>
          <w:rFonts w:ascii="Arial" w:hAnsi="Arial" w:cs="Arial"/>
          <w:b/>
          <w:caps/>
          <w:sz w:val="22"/>
        </w:rPr>
        <w:t xml:space="preserve">2.3 </w:t>
      </w:r>
      <w:r w:rsidRPr="00DA3FB0">
        <w:rPr>
          <w:rFonts w:ascii="Arial" w:hAnsi="Arial" w:cs="Arial"/>
          <w:b/>
          <w:sz w:val="22"/>
        </w:rPr>
        <w:t>Outcome Measures</w:t>
      </w:r>
    </w:p>
    <w:bookmarkEnd w:id="2"/>
    <w:p w14:paraId="77D14DFA" w14:textId="77777777" w:rsidR="00C37EAD" w:rsidRPr="00DA3FB0" w:rsidRDefault="00C37EAD" w:rsidP="00C37EAD">
      <w:pPr>
        <w:pStyle w:val="Body"/>
        <w:spacing w:after="0"/>
        <w:rPr>
          <w:rFonts w:ascii="Arial" w:hAnsi="Arial" w:cs="Arial"/>
          <w:b/>
          <w:sz w:val="22"/>
        </w:rPr>
      </w:pPr>
    </w:p>
    <w:p w14:paraId="41B7EDF7" w14:textId="79D62E2B" w:rsidR="00C37EAD" w:rsidRPr="00DA3FB0" w:rsidRDefault="00C37EAD" w:rsidP="00C37EAD">
      <w:pPr>
        <w:pStyle w:val="Body"/>
        <w:spacing w:after="0"/>
        <w:rPr>
          <w:rFonts w:ascii="Arial" w:hAnsi="Arial" w:cs="Arial"/>
          <w:lang w:val="en-IN"/>
        </w:rPr>
      </w:pPr>
      <w:r w:rsidRPr="00DA3FB0">
        <w:rPr>
          <w:rFonts w:ascii="Arial" w:hAnsi="Arial" w:cs="Arial"/>
          <w:lang w:val="en-IN"/>
        </w:rPr>
        <w:t>The primary outcome measure was the percentage of isolates resistant (%R) to each antibiotic among intensive care unit isolates compared with non-intensive care inpatient department isolates. An intensive care unit isolate was defined as an isolate recovered from a patient admitted to any</w:t>
      </w:r>
      <w:r w:rsidR="00701FE4">
        <w:rPr>
          <w:rFonts w:ascii="Arial" w:hAnsi="Arial" w:cs="Arial"/>
          <w:lang w:val="en-IN"/>
        </w:rPr>
        <w:t xml:space="preserve"> ICU</w:t>
      </w:r>
      <w:r w:rsidRPr="00DA3FB0">
        <w:rPr>
          <w:rFonts w:ascii="Arial" w:hAnsi="Arial" w:cs="Arial"/>
          <w:lang w:val="en-IN"/>
        </w:rPr>
        <w:t>, while a non-intensive care inpatient isolate was defined as one recovered from a hospitalized patient outside the intensive care setting.</w:t>
      </w:r>
    </w:p>
    <w:p w14:paraId="3A6936E4" w14:textId="63F5B3F8" w:rsidR="00C37EAD" w:rsidRPr="00DA3FB0" w:rsidRDefault="00C37EAD" w:rsidP="00C37EAD">
      <w:pPr>
        <w:pStyle w:val="Body"/>
        <w:spacing w:after="0"/>
        <w:rPr>
          <w:rFonts w:ascii="Arial" w:hAnsi="Arial" w:cs="Arial"/>
          <w:lang w:val="en-IN"/>
        </w:rPr>
      </w:pPr>
      <w:r w:rsidRPr="00DA3FB0">
        <w:rPr>
          <w:rFonts w:ascii="Arial" w:hAnsi="Arial" w:cs="Arial"/>
          <w:lang w:val="en-IN"/>
        </w:rPr>
        <w:t xml:space="preserve">Antimicrobial susceptibility testing interpretation followed Clinical and Laboratory Standards Institute criteria as adopted in national surveillance protocols. Resistance was defined as non-susceptibility to the tested antibiotic; where intermediate susceptibility was not reported separately in the aggregated </w:t>
      </w:r>
      <w:proofErr w:type="gramStart"/>
      <w:r w:rsidRPr="00DA3FB0">
        <w:rPr>
          <w:rFonts w:ascii="Arial" w:hAnsi="Arial" w:cs="Arial"/>
          <w:lang w:val="en-IN"/>
        </w:rPr>
        <w:t>data,</w:t>
      </w:r>
      <w:proofErr w:type="gramEnd"/>
      <w:r w:rsidRPr="00DA3FB0">
        <w:rPr>
          <w:rFonts w:ascii="Arial" w:hAnsi="Arial" w:cs="Arial"/>
          <w:lang w:val="en-IN"/>
        </w:rPr>
        <w:t xml:space="preserve"> intermediate results were included within the resistant category for analysis.</w:t>
      </w:r>
    </w:p>
    <w:p w14:paraId="26F6BBFB" w14:textId="77777777" w:rsidR="00C37EAD" w:rsidRPr="00DA3FB0" w:rsidRDefault="00C37EAD" w:rsidP="00C37EAD">
      <w:pPr>
        <w:pStyle w:val="Body"/>
        <w:spacing w:after="0"/>
        <w:rPr>
          <w:rFonts w:ascii="Arial" w:hAnsi="Arial" w:cs="Arial"/>
          <w:b/>
          <w:sz w:val="22"/>
          <w:lang w:val="en-IN"/>
        </w:rPr>
      </w:pPr>
    </w:p>
    <w:p w14:paraId="46E16722" w14:textId="2EB55AF9" w:rsidR="00C37EAD" w:rsidRPr="00DA3FB0" w:rsidRDefault="00C37EAD" w:rsidP="00C37EAD">
      <w:pPr>
        <w:pStyle w:val="Body"/>
        <w:spacing w:after="0"/>
        <w:rPr>
          <w:rFonts w:ascii="Arial" w:hAnsi="Arial" w:cs="Arial"/>
          <w:b/>
          <w:sz w:val="22"/>
        </w:rPr>
      </w:pPr>
      <w:r w:rsidRPr="00DA3FB0">
        <w:rPr>
          <w:rFonts w:ascii="Arial" w:hAnsi="Arial" w:cs="Arial"/>
          <w:b/>
          <w:caps/>
          <w:sz w:val="22"/>
        </w:rPr>
        <w:t xml:space="preserve">2.4 </w:t>
      </w:r>
      <w:r w:rsidR="00702D48" w:rsidRPr="00DA3FB0">
        <w:rPr>
          <w:rFonts w:ascii="Arial" w:hAnsi="Arial" w:cs="Arial"/>
          <w:b/>
          <w:sz w:val="22"/>
        </w:rPr>
        <w:t>Statistical Analysis</w:t>
      </w:r>
    </w:p>
    <w:p w14:paraId="3EB57517" w14:textId="77777777" w:rsidR="00C37EAD" w:rsidRPr="00DA3FB0" w:rsidRDefault="00C37EAD" w:rsidP="00441B6F">
      <w:pPr>
        <w:pStyle w:val="Body"/>
        <w:spacing w:after="0"/>
        <w:rPr>
          <w:rFonts w:ascii="Arial" w:hAnsi="Arial" w:cs="Arial"/>
          <w:b/>
          <w:u w:val="single"/>
          <w:lang w:val="en-IN"/>
        </w:rPr>
      </w:pPr>
    </w:p>
    <w:p w14:paraId="7FE15B6F" w14:textId="5C1B64F1" w:rsidR="00702D48" w:rsidRPr="00DA3FB0" w:rsidRDefault="00702D48" w:rsidP="00702D48">
      <w:pPr>
        <w:pStyle w:val="Body"/>
        <w:spacing w:after="0"/>
        <w:rPr>
          <w:rFonts w:ascii="Arial" w:hAnsi="Arial" w:cs="Arial"/>
          <w:bCs/>
          <w:lang w:val="en-IN"/>
        </w:rPr>
      </w:pPr>
      <w:r w:rsidRPr="00DA3FB0">
        <w:rPr>
          <w:rFonts w:ascii="Arial" w:hAnsi="Arial" w:cs="Arial"/>
          <w:bCs/>
          <w:lang w:val="en-IN"/>
        </w:rPr>
        <w:t>Aggregate counts of resistant and susceptible isolates for each organism</w:t>
      </w:r>
      <w:r w:rsidR="008A1B4D">
        <w:rPr>
          <w:rFonts w:ascii="Arial" w:hAnsi="Arial" w:cs="Arial"/>
          <w:bCs/>
          <w:lang w:val="en-IN"/>
        </w:rPr>
        <w:t>-</w:t>
      </w:r>
      <w:r w:rsidRPr="00DA3FB0">
        <w:rPr>
          <w:rFonts w:ascii="Arial" w:hAnsi="Arial" w:cs="Arial"/>
          <w:bCs/>
          <w:lang w:val="en-IN"/>
        </w:rPr>
        <w:t>antibiotic combination were organized into 2 × 2 contingency tables comparing intensive care unit and non-intensive care inpatient settings. Statistical comparisons were performed using the chi-square test for independence. Fisher’s exact test was applied when any expected cell count was less than five.</w:t>
      </w:r>
    </w:p>
    <w:p w14:paraId="6226E9E4" w14:textId="13A7C8DD" w:rsidR="00702D48" w:rsidRPr="00DA3FB0" w:rsidRDefault="00702D48" w:rsidP="00702D48">
      <w:pPr>
        <w:pStyle w:val="Body"/>
        <w:spacing w:after="0"/>
        <w:rPr>
          <w:rFonts w:ascii="Arial" w:hAnsi="Arial" w:cs="Arial"/>
          <w:bCs/>
          <w:lang w:val="en-IN"/>
        </w:rPr>
      </w:pPr>
      <w:r w:rsidRPr="00DA3FB0">
        <w:rPr>
          <w:rFonts w:ascii="Arial" w:hAnsi="Arial" w:cs="Arial"/>
          <w:bCs/>
          <w:lang w:val="en-IN"/>
        </w:rPr>
        <w:t>Odds ratios with 95% confidence intervals were calculated to quantify the association between intensive care unit admission and antimicrobial resistance. All tests were two-tailed</w:t>
      </w:r>
      <w:r w:rsidR="004D7614">
        <w:rPr>
          <w:rFonts w:ascii="Arial" w:hAnsi="Arial" w:cs="Arial"/>
          <w:bCs/>
          <w:lang w:val="en-IN"/>
        </w:rPr>
        <w:t xml:space="preserve"> and</w:t>
      </w:r>
      <w:r w:rsidRPr="00DA3FB0">
        <w:rPr>
          <w:rFonts w:ascii="Arial" w:hAnsi="Arial" w:cs="Arial"/>
          <w:bCs/>
          <w:lang w:val="en-IN"/>
        </w:rPr>
        <w:t xml:space="preserve"> the significance level was set at α = 0.05. Exact P values are reported, formatted as P = .026 or P &lt; .001, as appropriate.</w:t>
      </w:r>
      <w:r w:rsidR="00343CE9">
        <w:rPr>
          <w:rFonts w:ascii="Arial" w:hAnsi="Arial" w:cs="Arial"/>
          <w:bCs/>
          <w:lang w:val="en-IN"/>
        </w:rPr>
        <w:t xml:space="preserve"> </w:t>
      </w:r>
      <w:r w:rsidRPr="00DA3FB0">
        <w:rPr>
          <w:rFonts w:ascii="Arial" w:hAnsi="Arial" w:cs="Arial"/>
          <w:bCs/>
          <w:lang w:val="en-IN"/>
        </w:rPr>
        <w:t>All statistical analyses were conducted using IBM SPSS Statistics version 2</w:t>
      </w:r>
      <w:r w:rsidR="00343CE9">
        <w:rPr>
          <w:rFonts w:ascii="Arial" w:hAnsi="Arial" w:cs="Arial"/>
          <w:bCs/>
          <w:lang w:val="en-IN"/>
        </w:rPr>
        <w:t>7</w:t>
      </w:r>
      <w:r w:rsidRPr="00DA3FB0">
        <w:rPr>
          <w:rFonts w:ascii="Arial" w:hAnsi="Arial" w:cs="Arial"/>
          <w:bCs/>
          <w:lang w:val="en-IN"/>
        </w:rPr>
        <w:t xml:space="preserve">. </w:t>
      </w:r>
    </w:p>
    <w:p w14:paraId="0968F163" w14:textId="77777777" w:rsidR="00790ADA" w:rsidRPr="00DA3FB0" w:rsidRDefault="00790ADA" w:rsidP="00441B6F">
      <w:pPr>
        <w:pStyle w:val="Body"/>
        <w:spacing w:after="0"/>
        <w:rPr>
          <w:rFonts w:ascii="Arial" w:hAnsi="Arial" w:cs="Arial"/>
        </w:rPr>
      </w:pPr>
    </w:p>
    <w:p w14:paraId="1A010848" w14:textId="77777777" w:rsidR="00902823" w:rsidRPr="00DA3FB0" w:rsidRDefault="00000F8F" w:rsidP="00441B6F">
      <w:pPr>
        <w:pStyle w:val="Head1"/>
        <w:spacing w:after="0"/>
        <w:jc w:val="both"/>
        <w:rPr>
          <w:rFonts w:ascii="Arial" w:hAnsi="Arial" w:cs="Arial"/>
        </w:rPr>
      </w:pPr>
      <w:r w:rsidRPr="00DA3FB0">
        <w:rPr>
          <w:rFonts w:ascii="Arial" w:hAnsi="Arial" w:cs="Arial"/>
        </w:rPr>
        <w:t>3</w:t>
      </w:r>
      <w:r w:rsidR="00902823" w:rsidRPr="00DA3FB0">
        <w:rPr>
          <w:rFonts w:ascii="Arial" w:hAnsi="Arial" w:cs="Arial"/>
        </w:rPr>
        <w:t xml:space="preserve">. </w:t>
      </w:r>
      <w:r w:rsidRPr="00DA3FB0">
        <w:rPr>
          <w:rFonts w:ascii="Arial" w:hAnsi="Arial" w:cs="Arial"/>
        </w:rPr>
        <w:t>results and discussion</w:t>
      </w:r>
    </w:p>
    <w:p w14:paraId="34A7772B" w14:textId="77777777" w:rsidR="00790ADA" w:rsidRPr="00DA3FB0" w:rsidRDefault="00790ADA" w:rsidP="00441B6F">
      <w:pPr>
        <w:pStyle w:val="Head1"/>
        <w:spacing w:after="0"/>
        <w:jc w:val="both"/>
        <w:rPr>
          <w:rFonts w:ascii="Arial" w:hAnsi="Arial" w:cs="Arial"/>
        </w:rPr>
      </w:pPr>
    </w:p>
    <w:p w14:paraId="1984BEDF" w14:textId="68FE94D0" w:rsidR="006F61D5" w:rsidRPr="00DA3FB0" w:rsidRDefault="006F61D5" w:rsidP="006F61D5">
      <w:pPr>
        <w:pStyle w:val="Body"/>
        <w:spacing w:after="0"/>
        <w:rPr>
          <w:rFonts w:ascii="Arial" w:hAnsi="Arial" w:cs="Arial"/>
          <w:b/>
          <w:sz w:val="22"/>
        </w:rPr>
      </w:pPr>
      <w:r w:rsidRPr="00DA3FB0">
        <w:rPr>
          <w:rFonts w:ascii="Arial" w:hAnsi="Arial" w:cs="Arial"/>
          <w:b/>
          <w:sz w:val="22"/>
        </w:rPr>
        <w:t>3.1 Distribution of Isolates and Overall ICU</w:t>
      </w:r>
      <w:r w:rsidR="008A1B4D">
        <w:rPr>
          <w:rFonts w:ascii="Arial" w:hAnsi="Arial" w:cs="Arial"/>
          <w:b/>
          <w:sz w:val="22"/>
        </w:rPr>
        <w:t>-</w:t>
      </w:r>
      <w:r w:rsidRPr="00DA3FB0">
        <w:rPr>
          <w:rFonts w:ascii="Arial" w:hAnsi="Arial" w:cs="Arial"/>
          <w:b/>
          <w:sz w:val="22"/>
        </w:rPr>
        <w:t xml:space="preserve">IPD Resistance Pattern </w:t>
      </w:r>
    </w:p>
    <w:p w14:paraId="50CA0B2E" w14:textId="77777777" w:rsidR="006F61D5" w:rsidRPr="00DA3FB0" w:rsidRDefault="006F61D5" w:rsidP="00441B6F">
      <w:pPr>
        <w:pStyle w:val="Head1"/>
        <w:spacing w:after="0"/>
        <w:jc w:val="both"/>
        <w:rPr>
          <w:rFonts w:ascii="Arial" w:hAnsi="Arial" w:cs="Arial"/>
        </w:rPr>
      </w:pPr>
    </w:p>
    <w:p w14:paraId="1BACB78A" w14:textId="4DC029C3" w:rsidR="00483B27" w:rsidRPr="00483B27" w:rsidRDefault="00483B27" w:rsidP="00483B27">
      <w:pPr>
        <w:pStyle w:val="Body"/>
        <w:spacing w:after="0"/>
        <w:rPr>
          <w:rFonts w:ascii="Arial" w:hAnsi="Arial" w:cs="Arial"/>
          <w:lang w:val="en-IN"/>
        </w:rPr>
      </w:pPr>
      <w:r w:rsidRPr="00483B27">
        <w:rPr>
          <w:rFonts w:ascii="Arial" w:hAnsi="Arial" w:cs="Arial"/>
          <w:lang w:val="en-IN"/>
        </w:rPr>
        <w:t>During the six-month surveillance period (July</w:t>
      </w:r>
      <w:r w:rsidR="008A1B4D">
        <w:rPr>
          <w:rFonts w:ascii="Arial" w:hAnsi="Arial" w:cs="Arial"/>
          <w:lang w:val="en-IN"/>
        </w:rPr>
        <w:t>-</w:t>
      </w:r>
      <w:r w:rsidRPr="00483B27">
        <w:rPr>
          <w:rFonts w:ascii="Arial" w:hAnsi="Arial" w:cs="Arial"/>
          <w:lang w:val="en-IN"/>
        </w:rPr>
        <w:t xml:space="preserve">December 2024), 14,685 clinical bacterial isolates were reported to the Gujarat State Antimicrobial Resistance Surveillance Network from 22 participating hospitals. </w:t>
      </w:r>
      <w:r w:rsidR="00A5268A" w:rsidRPr="00A5268A">
        <w:rPr>
          <w:rFonts w:ascii="Arial" w:hAnsi="Arial" w:cs="Arial"/>
          <w:i/>
          <w:iCs/>
          <w:lang w:val="en-IN"/>
        </w:rPr>
        <w:t>Escherichia coli</w:t>
      </w:r>
      <w:r w:rsidRPr="00483B27">
        <w:rPr>
          <w:rFonts w:ascii="Arial" w:hAnsi="Arial" w:cs="Arial"/>
          <w:lang w:val="en-IN"/>
        </w:rPr>
        <w:t xml:space="preserve">, </w:t>
      </w:r>
      <w:r w:rsidR="00A5268A" w:rsidRPr="00A5268A">
        <w:rPr>
          <w:rFonts w:ascii="Arial" w:hAnsi="Arial" w:cs="Arial"/>
          <w:i/>
          <w:iCs/>
          <w:lang w:val="en-IN"/>
        </w:rPr>
        <w:t>Klebsiella pneumoniae</w:t>
      </w:r>
      <w:r w:rsidRPr="00483B27">
        <w:rPr>
          <w:rFonts w:ascii="Arial" w:hAnsi="Arial" w:cs="Arial"/>
          <w:lang w:val="en-IN"/>
        </w:rPr>
        <w:t xml:space="preserve"> and </w:t>
      </w:r>
      <w:r w:rsidR="00A5268A" w:rsidRPr="00A5268A">
        <w:rPr>
          <w:rFonts w:ascii="Arial" w:hAnsi="Arial" w:cs="Arial"/>
          <w:i/>
          <w:iCs/>
          <w:lang w:val="en-IN"/>
        </w:rPr>
        <w:t>Staphylococcus aureus</w:t>
      </w:r>
      <w:r w:rsidRPr="00483B27">
        <w:rPr>
          <w:rFonts w:ascii="Arial" w:hAnsi="Arial" w:cs="Arial"/>
          <w:lang w:val="en-IN"/>
        </w:rPr>
        <w:t xml:space="preserve"> were the three most frequently isolated pathogens.</w:t>
      </w:r>
    </w:p>
    <w:p w14:paraId="4C09F1D1" w14:textId="77777777" w:rsidR="00483B27" w:rsidRPr="00483B27" w:rsidRDefault="00483B27" w:rsidP="00483B27">
      <w:pPr>
        <w:pStyle w:val="Body"/>
        <w:spacing w:after="0"/>
        <w:rPr>
          <w:rFonts w:ascii="Arial" w:hAnsi="Arial" w:cs="Arial"/>
          <w:lang w:val="en-IN"/>
        </w:rPr>
      </w:pPr>
      <w:r w:rsidRPr="00483B27">
        <w:rPr>
          <w:rFonts w:ascii="Arial" w:hAnsi="Arial" w:cs="Arial"/>
          <w:lang w:val="en-IN"/>
        </w:rPr>
        <w:t xml:space="preserve">For ICU versus non-intensive care inpatient department comparison, 837 isolates were </w:t>
      </w:r>
      <w:proofErr w:type="spellStart"/>
      <w:r w:rsidRPr="00483B27">
        <w:rPr>
          <w:rFonts w:ascii="Arial" w:hAnsi="Arial" w:cs="Arial"/>
          <w:lang w:val="en-IN"/>
        </w:rPr>
        <w:t>analyzed</w:t>
      </w:r>
      <w:proofErr w:type="spellEnd"/>
      <w:r w:rsidRPr="00483B27">
        <w:rPr>
          <w:rFonts w:ascii="Arial" w:hAnsi="Arial" w:cs="Arial"/>
          <w:lang w:val="en-IN"/>
        </w:rPr>
        <w:t xml:space="preserve">, comprising 300 ICU isolates and 537 IPD isolates. For each organism, 100 isolates were derived from ICUs and 179 from IPDs, corresponding to 35.8% and 64.2% of the total </w:t>
      </w:r>
      <w:proofErr w:type="spellStart"/>
      <w:r w:rsidRPr="00483B27">
        <w:rPr>
          <w:rFonts w:ascii="Arial" w:hAnsi="Arial" w:cs="Arial"/>
          <w:lang w:val="en-IN"/>
        </w:rPr>
        <w:t>analyzed</w:t>
      </w:r>
      <w:proofErr w:type="spellEnd"/>
      <w:r w:rsidRPr="00483B27">
        <w:rPr>
          <w:rFonts w:ascii="Arial" w:hAnsi="Arial" w:cs="Arial"/>
          <w:lang w:val="en-IN"/>
        </w:rPr>
        <w:t xml:space="preserve"> dataset, respectively. The distribution of isolates by organism and hospital location is presented in Table 1.</w:t>
      </w:r>
    </w:p>
    <w:p w14:paraId="11B3D382" w14:textId="77777777" w:rsidR="006F61D5" w:rsidRPr="00DA3FB0" w:rsidRDefault="006F61D5" w:rsidP="00441B6F">
      <w:pPr>
        <w:pStyle w:val="Body"/>
        <w:spacing w:after="0"/>
        <w:rPr>
          <w:rFonts w:ascii="Arial" w:hAnsi="Arial" w:cs="Arial"/>
        </w:rPr>
      </w:pPr>
    </w:p>
    <w:p w14:paraId="5486FC6F" w14:textId="36381859" w:rsidR="006F61D5" w:rsidRPr="00DA3FB0" w:rsidRDefault="006F61D5" w:rsidP="006F61D5">
      <w:pPr>
        <w:pStyle w:val="Body"/>
        <w:spacing w:after="0"/>
        <w:rPr>
          <w:rFonts w:ascii="Arial" w:hAnsi="Arial" w:cs="Arial"/>
          <w:b/>
          <w:bCs/>
        </w:rPr>
      </w:pPr>
      <w:r w:rsidRPr="00DA3FB0">
        <w:rPr>
          <w:rFonts w:ascii="Arial" w:hAnsi="Arial" w:cs="Arial"/>
          <w:b/>
          <w:bCs/>
        </w:rPr>
        <w:t>Table 1.</w:t>
      </w:r>
      <w:r w:rsidR="00216CA7" w:rsidRPr="00DA3FB0">
        <w:rPr>
          <w:rFonts w:ascii="Arial" w:hAnsi="Arial" w:cs="Arial"/>
          <w:b/>
          <w:bCs/>
        </w:rPr>
        <w:t xml:space="preserve"> </w:t>
      </w:r>
      <w:r w:rsidRPr="00DA3FB0">
        <w:rPr>
          <w:rFonts w:ascii="Arial" w:hAnsi="Arial" w:cs="Arial"/>
          <w:b/>
          <w:bCs/>
        </w:rPr>
        <w:t>Distribution of bacterial isolates by location (ICU vs IPD)</w:t>
      </w:r>
    </w:p>
    <w:p w14:paraId="29ED5C5E" w14:textId="77777777" w:rsidR="006F61D5" w:rsidRPr="00DA3FB0" w:rsidRDefault="006F61D5" w:rsidP="006F61D5">
      <w:pPr>
        <w:pStyle w:val="Body"/>
        <w:spacing w:after="0"/>
        <w:rPr>
          <w:rFonts w:ascii="Arial" w:hAnsi="Arial" w:cs="Arial"/>
          <w:b/>
          <w:bCs/>
        </w:rPr>
      </w:pPr>
    </w:p>
    <w:tbl>
      <w:tblPr>
        <w:tblW w:w="82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57"/>
        <w:gridCol w:w="2219"/>
        <w:gridCol w:w="2104"/>
        <w:gridCol w:w="2122"/>
      </w:tblGrid>
      <w:tr w:rsidR="006033DD" w:rsidRPr="00DA3FB0" w14:paraId="626E73C2" w14:textId="77777777" w:rsidTr="00343CE9">
        <w:trPr>
          <w:jc w:val="center"/>
        </w:trPr>
        <w:tc>
          <w:tcPr>
            <w:tcW w:w="1757" w:type="dxa"/>
            <w:tcBorders>
              <w:top w:val="single" w:sz="4" w:space="0" w:color="auto"/>
              <w:left w:val="nil"/>
              <w:bottom w:val="single" w:sz="4" w:space="0" w:color="auto"/>
              <w:right w:val="nil"/>
            </w:tcBorders>
            <w:vAlign w:val="center"/>
          </w:tcPr>
          <w:p w14:paraId="0FF6971A" w14:textId="77777777" w:rsidR="006033DD" w:rsidRPr="00DA3FB0" w:rsidRDefault="006033DD" w:rsidP="00B30B8E">
            <w:pPr>
              <w:jc w:val="center"/>
              <w:rPr>
                <w:rFonts w:ascii="Arial" w:hAnsi="Arial" w:cs="Arial"/>
                <w:b/>
                <w:bCs/>
              </w:rPr>
            </w:pPr>
            <w:r w:rsidRPr="00DA3FB0">
              <w:rPr>
                <w:rFonts w:ascii="Arial" w:hAnsi="Arial" w:cs="Arial"/>
                <w:b/>
                <w:bCs/>
                <w:color w:val="000000"/>
                <w:sz w:val="22"/>
                <w:szCs w:val="22"/>
              </w:rPr>
              <w:t>Organism</w:t>
            </w:r>
          </w:p>
        </w:tc>
        <w:tc>
          <w:tcPr>
            <w:tcW w:w="2219" w:type="dxa"/>
            <w:tcBorders>
              <w:top w:val="single" w:sz="4" w:space="0" w:color="auto"/>
              <w:left w:val="nil"/>
              <w:bottom w:val="single" w:sz="4" w:space="0" w:color="auto"/>
              <w:right w:val="nil"/>
            </w:tcBorders>
            <w:vAlign w:val="center"/>
          </w:tcPr>
          <w:p w14:paraId="74238E7E"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ICU isolates</w:t>
            </w:r>
          </w:p>
          <w:p w14:paraId="020F6D1B" w14:textId="0B41BE05"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c>
          <w:tcPr>
            <w:tcW w:w="2104" w:type="dxa"/>
            <w:tcBorders>
              <w:top w:val="single" w:sz="4" w:space="0" w:color="auto"/>
              <w:left w:val="nil"/>
              <w:bottom w:val="single" w:sz="4" w:space="0" w:color="auto"/>
              <w:right w:val="nil"/>
            </w:tcBorders>
            <w:vAlign w:val="center"/>
          </w:tcPr>
          <w:p w14:paraId="13DD2D7B"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IPD isolates</w:t>
            </w:r>
          </w:p>
          <w:p w14:paraId="24D9622D" w14:textId="2CC81BBF"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c>
          <w:tcPr>
            <w:tcW w:w="2122" w:type="dxa"/>
            <w:tcBorders>
              <w:top w:val="single" w:sz="4" w:space="0" w:color="auto"/>
              <w:left w:val="nil"/>
              <w:bottom w:val="single" w:sz="4" w:space="0" w:color="auto"/>
              <w:right w:val="nil"/>
            </w:tcBorders>
            <w:vAlign w:val="center"/>
          </w:tcPr>
          <w:p w14:paraId="49C3AB14"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Total isolates</w:t>
            </w:r>
          </w:p>
          <w:p w14:paraId="4298291F" w14:textId="7E84DA9D"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r>
      <w:tr w:rsidR="006033DD" w:rsidRPr="00DA3FB0" w14:paraId="4E3A5885" w14:textId="77777777" w:rsidTr="00343CE9">
        <w:trPr>
          <w:trHeight w:val="239"/>
          <w:jc w:val="center"/>
        </w:trPr>
        <w:tc>
          <w:tcPr>
            <w:tcW w:w="1757" w:type="dxa"/>
            <w:tcBorders>
              <w:top w:val="single" w:sz="4" w:space="0" w:color="auto"/>
              <w:left w:val="nil"/>
              <w:bottom w:val="nil"/>
              <w:right w:val="nil"/>
            </w:tcBorders>
            <w:vAlign w:val="center"/>
          </w:tcPr>
          <w:p w14:paraId="425BD017" w14:textId="0BF7178B" w:rsidR="006033DD" w:rsidRPr="00DA3FB0" w:rsidRDefault="00A5268A" w:rsidP="00B30B8E">
            <w:pPr>
              <w:jc w:val="center"/>
              <w:rPr>
                <w:rFonts w:ascii="Arial" w:hAnsi="Arial" w:cs="Arial"/>
                <w:b/>
                <w:bCs/>
              </w:rPr>
            </w:pPr>
            <w:r w:rsidRPr="00A5268A">
              <w:rPr>
                <w:rFonts w:ascii="Arial" w:hAnsi="Arial" w:cs="Arial"/>
                <w:i/>
                <w:iCs/>
                <w:color w:val="000000"/>
                <w:sz w:val="22"/>
                <w:szCs w:val="22"/>
              </w:rPr>
              <w:t>Escherichia coli</w:t>
            </w:r>
          </w:p>
        </w:tc>
        <w:tc>
          <w:tcPr>
            <w:tcW w:w="2219" w:type="dxa"/>
            <w:tcBorders>
              <w:top w:val="single" w:sz="4" w:space="0" w:color="auto"/>
              <w:left w:val="nil"/>
              <w:bottom w:val="nil"/>
              <w:right w:val="nil"/>
            </w:tcBorders>
            <w:vAlign w:val="center"/>
          </w:tcPr>
          <w:p w14:paraId="574ACA6F" w14:textId="77777777" w:rsidR="006033DD" w:rsidRPr="00DA3FB0" w:rsidRDefault="006033DD" w:rsidP="00B30B8E">
            <w:pPr>
              <w:jc w:val="center"/>
              <w:rPr>
                <w:rFonts w:ascii="Arial" w:hAnsi="Arial" w:cs="Arial"/>
                <w:b/>
                <w:bCs/>
              </w:rPr>
            </w:pPr>
            <w:r w:rsidRPr="00DA3FB0">
              <w:rPr>
                <w:rFonts w:ascii="Arial" w:hAnsi="Arial" w:cs="Arial"/>
                <w:color w:val="000000"/>
                <w:sz w:val="22"/>
                <w:szCs w:val="22"/>
              </w:rPr>
              <w:t>100 (35.8%)</w:t>
            </w:r>
          </w:p>
        </w:tc>
        <w:tc>
          <w:tcPr>
            <w:tcW w:w="2104" w:type="dxa"/>
            <w:tcBorders>
              <w:top w:val="single" w:sz="4" w:space="0" w:color="auto"/>
              <w:left w:val="nil"/>
              <w:bottom w:val="nil"/>
              <w:right w:val="nil"/>
            </w:tcBorders>
            <w:vAlign w:val="center"/>
          </w:tcPr>
          <w:p w14:paraId="6B44FA7C" w14:textId="77777777" w:rsidR="006033DD" w:rsidRPr="00DA3FB0" w:rsidRDefault="006033DD" w:rsidP="00B30B8E">
            <w:pPr>
              <w:jc w:val="center"/>
              <w:rPr>
                <w:rFonts w:ascii="Arial" w:hAnsi="Arial" w:cs="Arial"/>
                <w:b/>
                <w:bCs/>
              </w:rPr>
            </w:pPr>
            <w:r w:rsidRPr="00DA3FB0">
              <w:rPr>
                <w:rFonts w:ascii="Arial" w:hAnsi="Arial" w:cs="Arial"/>
                <w:color w:val="000000"/>
                <w:sz w:val="22"/>
                <w:szCs w:val="22"/>
              </w:rPr>
              <w:t>179 (64.2%)</w:t>
            </w:r>
          </w:p>
        </w:tc>
        <w:tc>
          <w:tcPr>
            <w:tcW w:w="2122" w:type="dxa"/>
            <w:tcBorders>
              <w:top w:val="single" w:sz="4" w:space="0" w:color="auto"/>
              <w:left w:val="nil"/>
              <w:bottom w:val="nil"/>
              <w:right w:val="nil"/>
            </w:tcBorders>
            <w:vAlign w:val="center"/>
          </w:tcPr>
          <w:p w14:paraId="504A520B"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216CA7" w:rsidRPr="00DA3FB0" w14:paraId="0B4AB1CA" w14:textId="77777777" w:rsidTr="00343CE9">
        <w:trPr>
          <w:jc w:val="center"/>
        </w:trPr>
        <w:tc>
          <w:tcPr>
            <w:tcW w:w="1757" w:type="dxa"/>
            <w:tcBorders>
              <w:top w:val="nil"/>
              <w:left w:val="nil"/>
              <w:bottom w:val="nil"/>
              <w:right w:val="nil"/>
            </w:tcBorders>
            <w:vAlign w:val="center"/>
          </w:tcPr>
          <w:p w14:paraId="2F62CF11" w14:textId="61C253B3" w:rsidR="006033DD" w:rsidRPr="00DA3FB0" w:rsidRDefault="00A5268A" w:rsidP="00B30B8E">
            <w:pPr>
              <w:jc w:val="center"/>
              <w:rPr>
                <w:rFonts w:ascii="Arial" w:hAnsi="Arial" w:cs="Arial"/>
              </w:rPr>
            </w:pPr>
            <w:r w:rsidRPr="00A5268A">
              <w:rPr>
                <w:rFonts w:ascii="Arial" w:hAnsi="Arial" w:cs="Arial"/>
                <w:i/>
                <w:iCs/>
                <w:color w:val="000000"/>
                <w:sz w:val="22"/>
                <w:szCs w:val="22"/>
              </w:rPr>
              <w:t>Klebsiella pneumoniae</w:t>
            </w:r>
          </w:p>
        </w:tc>
        <w:tc>
          <w:tcPr>
            <w:tcW w:w="2219" w:type="dxa"/>
            <w:tcBorders>
              <w:top w:val="nil"/>
              <w:left w:val="nil"/>
              <w:bottom w:val="nil"/>
              <w:right w:val="nil"/>
            </w:tcBorders>
            <w:vAlign w:val="center"/>
          </w:tcPr>
          <w:p w14:paraId="7CAE9677"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100 (35.8%)</w:t>
            </w:r>
          </w:p>
        </w:tc>
        <w:tc>
          <w:tcPr>
            <w:tcW w:w="2104" w:type="dxa"/>
            <w:tcBorders>
              <w:top w:val="nil"/>
              <w:left w:val="nil"/>
              <w:bottom w:val="nil"/>
              <w:right w:val="nil"/>
            </w:tcBorders>
            <w:vAlign w:val="center"/>
          </w:tcPr>
          <w:p w14:paraId="50CF4485"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179 (64.2%)</w:t>
            </w:r>
          </w:p>
        </w:tc>
        <w:tc>
          <w:tcPr>
            <w:tcW w:w="2122" w:type="dxa"/>
            <w:tcBorders>
              <w:top w:val="nil"/>
              <w:left w:val="nil"/>
              <w:bottom w:val="nil"/>
              <w:right w:val="nil"/>
            </w:tcBorders>
            <w:vAlign w:val="center"/>
          </w:tcPr>
          <w:p w14:paraId="3A8494BC"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216CA7" w:rsidRPr="00DA3FB0" w14:paraId="1B01DAD1" w14:textId="77777777" w:rsidTr="00343CE9">
        <w:trPr>
          <w:jc w:val="center"/>
        </w:trPr>
        <w:tc>
          <w:tcPr>
            <w:tcW w:w="1757" w:type="dxa"/>
            <w:tcBorders>
              <w:top w:val="nil"/>
              <w:left w:val="nil"/>
              <w:bottom w:val="nil"/>
              <w:right w:val="nil"/>
            </w:tcBorders>
            <w:vAlign w:val="center"/>
          </w:tcPr>
          <w:p w14:paraId="4B933C6B" w14:textId="3757F5DE" w:rsidR="006033DD" w:rsidRPr="00DA3FB0" w:rsidRDefault="00A5268A" w:rsidP="00B30B8E">
            <w:pPr>
              <w:jc w:val="center"/>
              <w:rPr>
                <w:rFonts w:ascii="Arial" w:hAnsi="Arial" w:cs="Arial"/>
              </w:rPr>
            </w:pPr>
            <w:r w:rsidRPr="00A5268A">
              <w:rPr>
                <w:rFonts w:ascii="Arial" w:hAnsi="Arial" w:cs="Arial"/>
                <w:i/>
                <w:iCs/>
                <w:color w:val="000000"/>
                <w:sz w:val="22"/>
                <w:szCs w:val="22"/>
              </w:rPr>
              <w:t>Staphylococcus aureus</w:t>
            </w:r>
          </w:p>
        </w:tc>
        <w:tc>
          <w:tcPr>
            <w:tcW w:w="2219" w:type="dxa"/>
            <w:tcBorders>
              <w:top w:val="nil"/>
              <w:left w:val="nil"/>
              <w:bottom w:val="nil"/>
              <w:right w:val="nil"/>
            </w:tcBorders>
            <w:vAlign w:val="center"/>
          </w:tcPr>
          <w:p w14:paraId="6A81AAE3"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100 (35.8%)</w:t>
            </w:r>
          </w:p>
        </w:tc>
        <w:tc>
          <w:tcPr>
            <w:tcW w:w="2104" w:type="dxa"/>
            <w:tcBorders>
              <w:top w:val="nil"/>
              <w:left w:val="nil"/>
              <w:bottom w:val="nil"/>
              <w:right w:val="nil"/>
            </w:tcBorders>
            <w:vAlign w:val="center"/>
          </w:tcPr>
          <w:p w14:paraId="0B85B463"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179 (64.2%)</w:t>
            </w:r>
          </w:p>
        </w:tc>
        <w:tc>
          <w:tcPr>
            <w:tcW w:w="2122" w:type="dxa"/>
            <w:tcBorders>
              <w:top w:val="nil"/>
              <w:left w:val="nil"/>
              <w:bottom w:val="nil"/>
              <w:right w:val="nil"/>
            </w:tcBorders>
            <w:vAlign w:val="center"/>
          </w:tcPr>
          <w:p w14:paraId="2365FF5A"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6033DD" w:rsidRPr="00DA3FB0" w14:paraId="41C76D32" w14:textId="77777777" w:rsidTr="00343CE9">
        <w:trPr>
          <w:jc w:val="center"/>
        </w:trPr>
        <w:tc>
          <w:tcPr>
            <w:tcW w:w="1757" w:type="dxa"/>
            <w:tcBorders>
              <w:top w:val="nil"/>
              <w:left w:val="nil"/>
              <w:bottom w:val="single" w:sz="4" w:space="0" w:color="auto"/>
              <w:right w:val="nil"/>
            </w:tcBorders>
            <w:vAlign w:val="center"/>
          </w:tcPr>
          <w:p w14:paraId="31344377"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Total</w:t>
            </w:r>
          </w:p>
        </w:tc>
        <w:tc>
          <w:tcPr>
            <w:tcW w:w="2219" w:type="dxa"/>
            <w:tcBorders>
              <w:top w:val="nil"/>
              <w:left w:val="nil"/>
              <w:bottom w:val="single" w:sz="4" w:space="0" w:color="auto"/>
              <w:right w:val="nil"/>
            </w:tcBorders>
            <w:vAlign w:val="center"/>
          </w:tcPr>
          <w:p w14:paraId="3D0D0745"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300 (35.8%)</w:t>
            </w:r>
          </w:p>
        </w:tc>
        <w:tc>
          <w:tcPr>
            <w:tcW w:w="2104" w:type="dxa"/>
            <w:tcBorders>
              <w:top w:val="nil"/>
              <w:left w:val="nil"/>
              <w:bottom w:val="single" w:sz="4" w:space="0" w:color="auto"/>
              <w:right w:val="nil"/>
            </w:tcBorders>
            <w:vAlign w:val="center"/>
          </w:tcPr>
          <w:p w14:paraId="37DCB024"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537 (64.2%)</w:t>
            </w:r>
          </w:p>
        </w:tc>
        <w:tc>
          <w:tcPr>
            <w:tcW w:w="2122" w:type="dxa"/>
            <w:tcBorders>
              <w:top w:val="nil"/>
              <w:left w:val="nil"/>
              <w:bottom w:val="single" w:sz="4" w:space="0" w:color="auto"/>
              <w:right w:val="nil"/>
            </w:tcBorders>
            <w:vAlign w:val="center"/>
          </w:tcPr>
          <w:p w14:paraId="285E3942"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837 (100%)</w:t>
            </w:r>
          </w:p>
        </w:tc>
      </w:tr>
    </w:tbl>
    <w:p w14:paraId="187AD112" w14:textId="5D21AE17" w:rsidR="005E016B" w:rsidRPr="00DA3FB0" w:rsidRDefault="00483B27" w:rsidP="00216CA7">
      <w:pPr>
        <w:pStyle w:val="Body"/>
        <w:spacing w:after="0"/>
        <w:rPr>
          <w:rFonts w:ascii="Arial" w:hAnsi="Arial" w:cs="Arial"/>
          <w:i/>
          <w:iCs/>
        </w:rPr>
      </w:pPr>
      <w:r w:rsidRPr="00DA3FB0">
        <w:rPr>
          <w:rFonts w:ascii="Arial" w:hAnsi="Arial" w:cs="Arial"/>
          <w:i/>
          <w:iCs/>
        </w:rPr>
        <w:t xml:space="preserve">Table 1 summarizes the distribution of </w:t>
      </w:r>
      <w:r w:rsidR="00A5268A" w:rsidRPr="00A5268A">
        <w:rPr>
          <w:rFonts w:ascii="Arial" w:hAnsi="Arial" w:cs="Arial"/>
          <w:i/>
          <w:iCs/>
        </w:rPr>
        <w:t>E. coli</w:t>
      </w:r>
      <w:r w:rsidRPr="00DA3FB0">
        <w:rPr>
          <w:rFonts w:ascii="Arial" w:hAnsi="Arial" w:cs="Arial"/>
          <w:i/>
          <w:iCs/>
        </w:rPr>
        <w:t xml:space="preserve">, </w:t>
      </w:r>
      <w:r w:rsidR="00A5268A" w:rsidRPr="00A5268A">
        <w:rPr>
          <w:rFonts w:ascii="Arial" w:hAnsi="Arial" w:cs="Arial"/>
          <w:i/>
          <w:iCs/>
        </w:rPr>
        <w:t>K. pneumoniae</w:t>
      </w:r>
      <w:r w:rsidR="004D7614">
        <w:rPr>
          <w:rFonts w:ascii="Arial" w:hAnsi="Arial" w:cs="Arial"/>
          <w:i/>
          <w:iCs/>
        </w:rPr>
        <w:t xml:space="preserve"> and</w:t>
      </w:r>
      <w:r w:rsidRPr="00DA3FB0">
        <w:rPr>
          <w:rFonts w:ascii="Arial" w:hAnsi="Arial" w:cs="Arial"/>
          <w:i/>
          <w:iCs/>
        </w:rPr>
        <w:t xml:space="preserve"> </w:t>
      </w:r>
      <w:r w:rsidR="00A5268A" w:rsidRPr="00A5268A">
        <w:rPr>
          <w:rFonts w:ascii="Arial" w:hAnsi="Arial" w:cs="Arial"/>
          <w:i/>
          <w:iCs/>
        </w:rPr>
        <w:t>S. aureus</w:t>
      </w:r>
      <w:r w:rsidRPr="00DA3FB0">
        <w:rPr>
          <w:rFonts w:ascii="Arial" w:hAnsi="Arial" w:cs="Arial"/>
          <w:i/>
          <w:iCs/>
        </w:rPr>
        <w:t xml:space="preserve"> isolates between ICU and IPD settings, providing the framework for subsequent resistance comparisons.</w:t>
      </w:r>
      <w:r w:rsidR="00035DE0" w:rsidRPr="00035DE0">
        <w:t xml:space="preserve"> </w:t>
      </w:r>
    </w:p>
    <w:p w14:paraId="5E317113" w14:textId="77777777" w:rsidR="00483B27" w:rsidRPr="00DA3FB0" w:rsidRDefault="00483B27" w:rsidP="00216CA7">
      <w:pPr>
        <w:pStyle w:val="Body"/>
        <w:spacing w:after="0"/>
        <w:rPr>
          <w:rFonts w:ascii="Arial" w:hAnsi="Arial" w:cs="Arial"/>
        </w:rPr>
      </w:pPr>
    </w:p>
    <w:p w14:paraId="79A38914" w14:textId="77777777" w:rsidR="00483B27" w:rsidRPr="00483B27" w:rsidRDefault="00483B27" w:rsidP="00483B27">
      <w:pPr>
        <w:pStyle w:val="Body"/>
        <w:spacing w:after="0"/>
        <w:rPr>
          <w:rFonts w:ascii="Arial" w:hAnsi="Arial" w:cs="Arial"/>
          <w:lang w:val="en-IN"/>
        </w:rPr>
      </w:pPr>
      <w:r w:rsidRPr="00483B27">
        <w:rPr>
          <w:rFonts w:ascii="Arial" w:hAnsi="Arial" w:cs="Arial"/>
          <w:lang w:val="en-IN"/>
        </w:rPr>
        <w:t>Across all three organisms, ICU isolates generally exhibited higher resistance proportions to most antibiotics compared with IPD isolates, although the magnitude and statistical significance of these differences varied by organism and drug class.</w:t>
      </w:r>
    </w:p>
    <w:p w14:paraId="008F5D08" w14:textId="498FF8B3" w:rsidR="00224DFB" w:rsidRDefault="00483B27" w:rsidP="00224DFB">
      <w:pPr>
        <w:pStyle w:val="Body"/>
        <w:spacing w:after="0"/>
        <w:rPr>
          <w:rFonts w:ascii="Arial" w:hAnsi="Arial" w:cs="Arial"/>
          <w:lang w:val="en-IN"/>
        </w:rPr>
      </w:pPr>
      <w:r w:rsidRPr="00483B27">
        <w:rPr>
          <w:rFonts w:ascii="Arial" w:hAnsi="Arial" w:cs="Arial"/>
          <w:lang w:val="en-IN"/>
        </w:rPr>
        <w:t>This distribution pattern is consistent with findings from Indian and international surveillance studies showing that intensive care units contribute disproportionately to the burden of antimicrobial-resistant infections despite representing a smaller fraction of hospital beds. Studies from Europe and North America have consistently reported higher resistance rates among ICU isolates than ward isolates, supporting the use of unit-specific antibiograms rather than pooled hospital data</w:t>
      </w:r>
      <w:r w:rsidR="00224DFB">
        <w:rPr>
          <w:rFonts w:ascii="Arial" w:hAnsi="Arial" w:cs="Arial"/>
          <w:lang w:val="en-IN"/>
        </w:rPr>
        <w:t xml:space="preserve"> </w:t>
      </w:r>
      <w:r w:rsidR="00224DFB" w:rsidRPr="00224DFB">
        <w:rPr>
          <w:rFonts w:ascii="Arial" w:hAnsi="Arial" w:cs="Arial"/>
          <w:lang w:val="en-IN"/>
        </w:rPr>
        <w:t>(</w:t>
      </w:r>
      <w:proofErr w:type="spellStart"/>
      <w:r w:rsidR="00224DFB" w:rsidRPr="00224DFB">
        <w:rPr>
          <w:rFonts w:ascii="Arial" w:hAnsi="Arial" w:cs="Arial"/>
          <w:lang w:val="en-IN"/>
        </w:rPr>
        <w:t>Sader</w:t>
      </w:r>
      <w:proofErr w:type="spellEnd"/>
      <w:r w:rsidR="00224DFB" w:rsidRPr="00224DFB">
        <w:rPr>
          <w:rFonts w:ascii="Arial" w:hAnsi="Arial" w:cs="Arial"/>
          <w:lang w:val="en-IN"/>
        </w:rPr>
        <w:t xml:space="preserve"> </w:t>
      </w:r>
      <w:r w:rsidR="00A5268A" w:rsidRPr="00A5268A">
        <w:rPr>
          <w:rFonts w:ascii="Arial" w:hAnsi="Arial" w:cs="Arial"/>
          <w:i/>
          <w:iCs/>
          <w:lang w:val="en-IN"/>
        </w:rPr>
        <w:t>et al</w:t>
      </w:r>
      <w:r w:rsidR="00224DFB" w:rsidRPr="00224DFB">
        <w:rPr>
          <w:rFonts w:ascii="Arial" w:hAnsi="Arial" w:cs="Arial"/>
          <w:lang w:val="en-IN"/>
        </w:rPr>
        <w:t>., 2013</w:t>
      </w:r>
      <w:r w:rsidR="00224DFB">
        <w:rPr>
          <w:rFonts w:ascii="Arial" w:hAnsi="Arial" w:cs="Arial"/>
          <w:lang w:val="en-IN"/>
        </w:rPr>
        <w:t xml:space="preserve">; </w:t>
      </w:r>
      <w:r w:rsidR="00224DFB" w:rsidRPr="00224DFB">
        <w:rPr>
          <w:rFonts w:ascii="Arial" w:hAnsi="Arial" w:cs="Arial"/>
        </w:rPr>
        <w:t>Venkataraman</w:t>
      </w:r>
      <w:r w:rsidR="00224DFB">
        <w:rPr>
          <w:rFonts w:ascii="Arial" w:hAnsi="Arial" w:cs="Arial"/>
        </w:rPr>
        <w:t xml:space="preserve"> </w:t>
      </w:r>
      <w:r w:rsidR="00A5268A" w:rsidRPr="00A5268A">
        <w:rPr>
          <w:rFonts w:ascii="Arial" w:hAnsi="Arial" w:cs="Arial"/>
          <w:i/>
          <w:iCs/>
        </w:rPr>
        <w:t>et al</w:t>
      </w:r>
      <w:r w:rsidR="00224DFB">
        <w:rPr>
          <w:rFonts w:ascii="Arial" w:hAnsi="Arial" w:cs="Arial"/>
        </w:rPr>
        <w:t>., 2018).</w:t>
      </w:r>
    </w:p>
    <w:p w14:paraId="461D0CDA" w14:textId="659B7A21" w:rsidR="00483B27" w:rsidRPr="00483B27" w:rsidRDefault="00483B27" w:rsidP="004D7614">
      <w:pPr>
        <w:pStyle w:val="Body"/>
        <w:spacing w:after="0"/>
        <w:rPr>
          <w:rFonts w:ascii="Arial" w:hAnsi="Arial" w:cs="Arial"/>
          <w:lang w:val="en-IN"/>
        </w:rPr>
      </w:pPr>
      <w:r w:rsidRPr="00483B27">
        <w:rPr>
          <w:rFonts w:ascii="Arial" w:hAnsi="Arial" w:cs="Arial"/>
          <w:lang w:val="en-IN"/>
        </w:rPr>
        <w:t xml:space="preserve">Indian surveillance data further </w:t>
      </w:r>
      <w:proofErr w:type="gramStart"/>
      <w:r w:rsidRPr="00483B27">
        <w:rPr>
          <w:rFonts w:ascii="Arial" w:hAnsi="Arial" w:cs="Arial"/>
          <w:lang w:val="en-IN"/>
        </w:rPr>
        <w:t>corroborate</w:t>
      </w:r>
      <w:proofErr w:type="gramEnd"/>
      <w:r w:rsidRPr="00483B27">
        <w:rPr>
          <w:rFonts w:ascii="Arial" w:hAnsi="Arial" w:cs="Arial"/>
          <w:lang w:val="en-IN"/>
        </w:rPr>
        <w:t xml:space="preserve"> this trend. Reports from the Indian Council of Medical Research antimicrobial resistance surveillance network indicate that ICU isolates of major Gram-negative pathogens often demonstrate resistance rates 10</w:t>
      </w:r>
      <w:r w:rsidR="008A1B4D">
        <w:rPr>
          <w:rFonts w:ascii="Arial" w:hAnsi="Arial" w:cs="Arial"/>
          <w:lang w:val="en-IN"/>
        </w:rPr>
        <w:t>-</w:t>
      </w:r>
      <w:r w:rsidRPr="00483B27">
        <w:rPr>
          <w:rFonts w:ascii="Arial" w:hAnsi="Arial" w:cs="Arial"/>
          <w:lang w:val="en-IN"/>
        </w:rPr>
        <w:t xml:space="preserve">20 percentage </w:t>
      </w:r>
      <w:r w:rsidRPr="00483B27">
        <w:rPr>
          <w:rFonts w:ascii="Arial" w:hAnsi="Arial" w:cs="Arial"/>
          <w:lang w:val="en-IN"/>
        </w:rPr>
        <w:lastRenderedPageBreak/>
        <w:t>points higher than those from non-ICU settings</w:t>
      </w:r>
      <w:r w:rsidR="004D7614">
        <w:rPr>
          <w:rFonts w:ascii="Arial" w:hAnsi="Arial" w:cs="Arial"/>
          <w:lang w:val="en-IN"/>
        </w:rPr>
        <w:t xml:space="preserve"> (</w:t>
      </w:r>
      <w:proofErr w:type="spellStart"/>
      <w:r w:rsidR="004D7614">
        <w:rPr>
          <w:rFonts w:ascii="Arial" w:hAnsi="Arial" w:cs="Arial"/>
          <w:lang w:val="en-IN"/>
        </w:rPr>
        <w:t>Sader</w:t>
      </w:r>
      <w:proofErr w:type="spellEnd"/>
      <w:r w:rsidR="004D7614">
        <w:rPr>
          <w:rFonts w:ascii="Arial" w:hAnsi="Arial" w:cs="Arial"/>
          <w:lang w:val="en-IN"/>
        </w:rPr>
        <w:t xml:space="preserve"> </w:t>
      </w:r>
      <w:r w:rsidR="00A5268A" w:rsidRPr="00A5268A">
        <w:rPr>
          <w:rFonts w:ascii="Arial" w:hAnsi="Arial" w:cs="Arial"/>
          <w:i/>
          <w:iCs/>
          <w:lang w:val="en-IN"/>
        </w:rPr>
        <w:t>et al</w:t>
      </w:r>
      <w:r w:rsidR="004D7614">
        <w:rPr>
          <w:rFonts w:ascii="Arial" w:hAnsi="Arial" w:cs="Arial"/>
          <w:lang w:val="en-IN"/>
        </w:rPr>
        <w:t>., 2013).</w:t>
      </w:r>
      <w:r w:rsidRPr="00483B27">
        <w:rPr>
          <w:rFonts w:ascii="Arial" w:hAnsi="Arial" w:cs="Arial"/>
          <w:lang w:val="en-IN"/>
        </w:rPr>
        <w:t xml:space="preserve"> The present findings from Gujarat align with these observations, suggesting that ICU-associated amplification of antimicrobial resistance is occurring at the state level.</w:t>
      </w:r>
    </w:p>
    <w:p w14:paraId="59EAA2A2" w14:textId="77777777" w:rsidR="005E016B" w:rsidRPr="00DA3FB0" w:rsidRDefault="005E016B" w:rsidP="00216CA7">
      <w:pPr>
        <w:pStyle w:val="Body"/>
        <w:spacing w:after="0"/>
        <w:rPr>
          <w:rFonts w:ascii="Arial" w:hAnsi="Arial" w:cs="Arial"/>
          <w:lang w:val="en-IN"/>
        </w:rPr>
      </w:pPr>
    </w:p>
    <w:p w14:paraId="44D833E1" w14:textId="69AB6488" w:rsidR="005E016B" w:rsidRPr="00DA3FB0" w:rsidRDefault="005E016B" w:rsidP="00216CA7">
      <w:pPr>
        <w:pStyle w:val="Body"/>
        <w:spacing w:after="0"/>
        <w:rPr>
          <w:rFonts w:ascii="Arial" w:hAnsi="Arial" w:cs="Arial"/>
          <w:b/>
          <w:bCs/>
          <w:sz w:val="22"/>
          <w:szCs w:val="22"/>
        </w:rPr>
      </w:pPr>
      <w:r w:rsidRPr="00DA3FB0">
        <w:rPr>
          <w:rFonts w:ascii="Arial" w:hAnsi="Arial" w:cs="Arial"/>
          <w:b/>
          <w:bCs/>
          <w:sz w:val="22"/>
          <w:szCs w:val="22"/>
        </w:rPr>
        <w:t xml:space="preserve">3.2 </w:t>
      </w:r>
      <w:r w:rsidR="00A5268A" w:rsidRPr="00A5268A">
        <w:rPr>
          <w:rFonts w:ascii="Arial" w:hAnsi="Arial" w:cs="Arial"/>
          <w:b/>
          <w:bCs/>
          <w:i/>
          <w:iCs/>
          <w:sz w:val="22"/>
          <w:szCs w:val="22"/>
        </w:rPr>
        <w:t>Escherichia coli</w:t>
      </w:r>
      <w:r w:rsidRPr="00DA3FB0">
        <w:rPr>
          <w:rFonts w:ascii="Arial" w:hAnsi="Arial" w:cs="Arial"/>
          <w:b/>
          <w:bCs/>
          <w:sz w:val="22"/>
          <w:szCs w:val="22"/>
        </w:rPr>
        <w:t>: ICU vs IPD Resistance</w:t>
      </w:r>
    </w:p>
    <w:p w14:paraId="071AFA94" w14:textId="77777777" w:rsidR="00376BBE" w:rsidRPr="00DA3FB0" w:rsidRDefault="00376BBE" w:rsidP="00441B6F">
      <w:pPr>
        <w:pStyle w:val="Body"/>
        <w:spacing w:after="0"/>
        <w:rPr>
          <w:rFonts w:ascii="Arial" w:hAnsi="Arial" w:cs="Arial"/>
        </w:rPr>
      </w:pPr>
    </w:p>
    <w:p w14:paraId="1EC4C817" w14:textId="06E4D54A" w:rsidR="005E016B" w:rsidRPr="00DA3FB0" w:rsidRDefault="005E016B" w:rsidP="005E016B">
      <w:pPr>
        <w:pStyle w:val="Body"/>
        <w:spacing w:after="0"/>
        <w:rPr>
          <w:rFonts w:ascii="Arial" w:hAnsi="Arial" w:cs="Arial"/>
        </w:rPr>
      </w:pPr>
      <w:r w:rsidRPr="00DA3FB0">
        <w:rPr>
          <w:rFonts w:ascii="Arial" w:hAnsi="Arial" w:cs="Arial"/>
        </w:rPr>
        <w:t xml:space="preserve">A total of 279 </w:t>
      </w:r>
      <w:r w:rsidR="00A5268A" w:rsidRPr="00A5268A">
        <w:rPr>
          <w:rFonts w:ascii="Arial" w:hAnsi="Arial" w:cs="Arial"/>
          <w:i/>
          <w:iCs/>
        </w:rPr>
        <w:t>Escherichia coli</w:t>
      </w:r>
      <w:r w:rsidRPr="00DA3FB0">
        <w:rPr>
          <w:rFonts w:ascii="Arial" w:hAnsi="Arial" w:cs="Arial"/>
        </w:rPr>
        <w:t xml:space="preserve"> isolates were analyzed, comprising 100 isolates from intensive care units and 179 isolates from non-intensive care inpatient departments. Comparative resistance data for six clinically relevant antibiotics are summarized in Table 2.</w:t>
      </w:r>
    </w:p>
    <w:p w14:paraId="58F61521" w14:textId="1AD5C468" w:rsidR="000D079E" w:rsidRPr="00DA3FB0" w:rsidRDefault="000D079E" w:rsidP="000D079E">
      <w:pPr>
        <w:pStyle w:val="Body"/>
        <w:rPr>
          <w:rFonts w:ascii="Arial" w:hAnsi="Arial" w:cs="Arial"/>
        </w:rPr>
      </w:pPr>
      <w:r w:rsidRPr="00DA3FB0">
        <w:rPr>
          <w:rFonts w:ascii="Arial" w:hAnsi="Arial" w:cs="Arial"/>
        </w:rPr>
        <w:t>Carbapenem resistance was significantly higher among ICU isolates. Resistance to imipenem and meropenem was 41.0% in ICU isolates compared with 27.9% in IPD isolates (OR = 1.79, 95% CI 1.07</w:t>
      </w:r>
      <w:r w:rsidR="008A1B4D">
        <w:rPr>
          <w:rFonts w:ascii="Arial" w:hAnsi="Arial" w:cs="Arial"/>
        </w:rPr>
        <w:t>-</w:t>
      </w:r>
      <w:r w:rsidRPr="00DA3FB0">
        <w:rPr>
          <w:rFonts w:ascii="Arial" w:hAnsi="Arial" w:cs="Arial"/>
        </w:rPr>
        <w:t xml:space="preserve">3.00; </w:t>
      </w:r>
      <w:r w:rsidRPr="00DA3FB0">
        <w:rPr>
          <w:rStyle w:val="Emphasis"/>
          <w:rFonts w:ascii="Arial" w:hAnsi="Arial" w:cs="Arial"/>
        </w:rPr>
        <w:t>P</w:t>
      </w:r>
      <w:r w:rsidRPr="00DA3FB0">
        <w:rPr>
          <w:rFonts w:ascii="Arial" w:hAnsi="Arial" w:cs="Arial"/>
        </w:rPr>
        <w:t xml:space="preserve"> = .026 for both drugs). No statistically significant ICU</w:t>
      </w:r>
      <w:r w:rsidR="008A1B4D">
        <w:rPr>
          <w:rFonts w:ascii="Arial" w:hAnsi="Arial" w:cs="Arial"/>
        </w:rPr>
        <w:t>-</w:t>
      </w:r>
      <w:r w:rsidRPr="00DA3FB0">
        <w:rPr>
          <w:rFonts w:ascii="Arial" w:hAnsi="Arial" w:cs="Arial"/>
        </w:rPr>
        <w:t>IPD differences were observed for ceftriaxone, ciprofloxacin, gentamicin, or piperacillin</w:t>
      </w:r>
      <w:r w:rsidR="008A1B4D">
        <w:rPr>
          <w:rFonts w:ascii="Arial" w:hAnsi="Arial" w:cs="Arial"/>
        </w:rPr>
        <w:t>-</w:t>
      </w:r>
      <w:r w:rsidRPr="00DA3FB0">
        <w:rPr>
          <w:rFonts w:ascii="Arial" w:hAnsi="Arial" w:cs="Arial"/>
        </w:rPr>
        <w:t>tazobactam.</w:t>
      </w:r>
    </w:p>
    <w:p w14:paraId="36F38594" w14:textId="3E5CD47A" w:rsidR="000D079E" w:rsidRPr="00DA3FB0" w:rsidRDefault="000D079E" w:rsidP="000D079E">
      <w:pPr>
        <w:pStyle w:val="Body"/>
        <w:rPr>
          <w:rFonts w:ascii="Arial" w:hAnsi="Arial" w:cs="Arial"/>
          <w:b/>
          <w:bCs/>
        </w:rPr>
      </w:pPr>
      <w:r w:rsidRPr="00DA3FB0">
        <w:rPr>
          <w:rFonts w:ascii="Arial" w:hAnsi="Arial" w:cs="Arial"/>
          <w:b/>
          <w:bCs/>
        </w:rPr>
        <w:t xml:space="preserve">Table 2. ICU vs IPD antimicrobial resistance in </w:t>
      </w:r>
      <w:r w:rsidR="00A5268A" w:rsidRPr="00A5268A">
        <w:rPr>
          <w:rFonts w:ascii="Arial" w:hAnsi="Arial" w:cs="Arial"/>
          <w:b/>
          <w:bCs/>
          <w:i/>
          <w:iCs/>
        </w:rPr>
        <w:t>Escherichia coli</w:t>
      </w:r>
      <w:r w:rsidRPr="00DA3FB0">
        <w:rPr>
          <w:rFonts w:ascii="Arial" w:hAnsi="Arial" w:cs="Arial"/>
          <w:b/>
          <w:bCs/>
        </w:rPr>
        <w:tab/>
      </w:r>
      <w:r w:rsidRPr="00DA3FB0">
        <w:rPr>
          <w:rFonts w:ascii="Arial" w:hAnsi="Arial" w:cs="Arial"/>
          <w:b/>
          <w:bCs/>
        </w:rPr>
        <w:tab/>
      </w:r>
      <w:r w:rsidRPr="00DA3FB0">
        <w:rPr>
          <w:rFonts w:ascii="Arial" w:hAnsi="Arial" w:cs="Arial"/>
          <w:b/>
          <w:bCs/>
        </w:rPr>
        <w:tab/>
      </w:r>
    </w:p>
    <w:tbl>
      <w:tblPr>
        <w:tblW w:w="8080" w:type="dxa"/>
        <w:tblInd w:w="108" w:type="dxa"/>
        <w:tblLook w:val="04A0" w:firstRow="1" w:lastRow="0" w:firstColumn="1" w:lastColumn="0" w:noHBand="0" w:noVBand="1"/>
      </w:tblPr>
      <w:tblGrid>
        <w:gridCol w:w="1560"/>
        <w:gridCol w:w="1701"/>
        <w:gridCol w:w="1559"/>
        <w:gridCol w:w="850"/>
        <w:gridCol w:w="1276"/>
        <w:gridCol w:w="1134"/>
      </w:tblGrid>
      <w:tr w:rsidR="000D079E" w:rsidRPr="00DA3FB0" w14:paraId="3C61D07A" w14:textId="4820B845" w:rsidTr="000D079E">
        <w:trPr>
          <w:trHeight w:val="288"/>
        </w:trPr>
        <w:tc>
          <w:tcPr>
            <w:tcW w:w="1560" w:type="dxa"/>
            <w:tcBorders>
              <w:top w:val="single" w:sz="4" w:space="0" w:color="auto"/>
              <w:left w:val="nil"/>
              <w:bottom w:val="single" w:sz="4" w:space="0" w:color="auto"/>
              <w:right w:val="nil"/>
            </w:tcBorders>
            <w:noWrap/>
            <w:vAlign w:val="bottom"/>
            <w:hideMark/>
          </w:tcPr>
          <w:p w14:paraId="2ED5DF0C"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Antibiotic</w:t>
            </w:r>
          </w:p>
        </w:tc>
        <w:tc>
          <w:tcPr>
            <w:tcW w:w="1701" w:type="dxa"/>
            <w:tcBorders>
              <w:top w:val="single" w:sz="4" w:space="0" w:color="auto"/>
              <w:left w:val="nil"/>
              <w:bottom w:val="single" w:sz="4" w:space="0" w:color="auto"/>
              <w:right w:val="nil"/>
            </w:tcBorders>
            <w:noWrap/>
            <w:vAlign w:val="bottom"/>
            <w:hideMark/>
          </w:tcPr>
          <w:p w14:paraId="5DDA9F62"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559" w:type="dxa"/>
            <w:tcBorders>
              <w:top w:val="single" w:sz="4" w:space="0" w:color="auto"/>
              <w:left w:val="nil"/>
              <w:bottom w:val="single" w:sz="4" w:space="0" w:color="auto"/>
              <w:right w:val="nil"/>
            </w:tcBorders>
            <w:noWrap/>
            <w:vAlign w:val="bottom"/>
            <w:hideMark/>
          </w:tcPr>
          <w:p w14:paraId="27214C25"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4372DD3D" w14:textId="1CDA1944"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289E5709"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5D7DC0FF"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0D079E" w:rsidRPr="00DA3FB0" w14:paraId="32926E4F" w14:textId="77E51FB0" w:rsidTr="000D079E">
        <w:trPr>
          <w:trHeight w:val="288"/>
        </w:trPr>
        <w:tc>
          <w:tcPr>
            <w:tcW w:w="1560" w:type="dxa"/>
            <w:tcBorders>
              <w:top w:val="single" w:sz="4" w:space="0" w:color="auto"/>
              <w:left w:val="nil"/>
              <w:bottom w:val="nil"/>
              <w:right w:val="nil"/>
            </w:tcBorders>
            <w:noWrap/>
            <w:vAlign w:val="bottom"/>
            <w:hideMark/>
          </w:tcPr>
          <w:p w14:paraId="0F87A9F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Ceftriaxone</w:t>
            </w:r>
          </w:p>
        </w:tc>
        <w:tc>
          <w:tcPr>
            <w:tcW w:w="1701" w:type="dxa"/>
            <w:tcBorders>
              <w:top w:val="single" w:sz="4" w:space="0" w:color="auto"/>
              <w:left w:val="nil"/>
              <w:bottom w:val="nil"/>
              <w:right w:val="nil"/>
            </w:tcBorders>
            <w:noWrap/>
            <w:vAlign w:val="bottom"/>
            <w:hideMark/>
          </w:tcPr>
          <w:p w14:paraId="62914EA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74.0 (74/100)</w:t>
            </w:r>
          </w:p>
        </w:tc>
        <w:tc>
          <w:tcPr>
            <w:tcW w:w="1559" w:type="dxa"/>
            <w:tcBorders>
              <w:top w:val="single" w:sz="4" w:space="0" w:color="auto"/>
              <w:left w:val="nil"/>
              <w:bottom w:val="nil"/>
              <w:right w:val="nil"/>
            </w:tcBorders>
            <w:noWrap/>
            <w:vAlign w:val="bottom"/>
            <w:hideMark/>
          </w:tcPr>
          <w:p w14:paraId="7B839DFB"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67.0 (120/179)</w:t>
            </w:r>
          </w:p>
        </w:tc>
        <w:tc>
          <w:tcPr>
            <w:tcW w:w="850" w:type="dxa"/>
            <w:tcBorders>
              <w:top w:val="single" w:sz="4" w:space="0" w:color="auto"/>
              <w:left w:val="nil"/>
              <w:bottom w:val="nil"/>
              <w:right w:val="nil"/>
            </w:tcBorders>
            <w:noWrap/>
            <w:vAlign w:val="bottom"/>
            <w:hideMark/>
          </w:tcPr>
          <w:p w14:paraId="0350984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1.4</w:t>
            </w:r>
          </w:p>
        </w:tc>
        <w:tc>
          <w:tcPr>
            <w:tcW w:w="1276" w:type="dxa"/>
            <w:tcBorders>
              <w:top w:val="single" w:sz="4" w:space="0" w:color="auto"/>
              <w:left w:val="nil"/>
              <w:bottom w:val="nil"/>
              <w:right w:val="nil"/>
            </w:tcBorders>
            <w:noWrap/>
            <w:vAlign w:val="bottom"/>
            <w:hideMark/>
          </w:tcPr>
          <w:p w14:paraId="45EF8E06" w14:textId="49D77AF4"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0.81</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2.41</w:t>
            </w:r>
          </w:p>
        </w:tc>
        <w:tc>
          <w:tcPr>
            <w:tcW w:w="1134" w:type="dxa"/>
            <w:tcBorders>
              <w:top w:val="single" w:sz="4" w:space="0" w:color="auto"/>
              <w:left w:val="nil"/>
              <w:bottom w:val="nil"/>
              <w:right w:val="nil"/>
            </w:tcBorders>
            <w:noWrap/>
            <w:vAlign w:val="bottom"/>
            <w:hideMark/>
          </w:tcPr>
          <w:p w14:paraId="1228640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0.226</w:t>
            </w:r>
          </w:p>
        </w:tc>
      </w:tr>
      <w:tr w:rsidR="000D079E" w:rsidRPr="00DA3FB0" w14:paraId="37AEA15C" w14:textId="3B8DF7A7" w:rsidTr="000D079E">
        <w:trPr>
          <w:trHeight w:val="288"/>
        </w:trPr>
        <w:tc>
          <w:tcPr>
            <w:tcW w:w="1560" w:type="dxa"/>
            <w:tcBorders>
              <w:top w:val="nil"/>
              <w:left w:val="nil"/>
              <w:bottom w:val="nil"/>
              <w:right w:val="nil"/>
            </w:tcBorders>
            <w:noWrap/>
            <w:vAlign w:val="bottom"/>
            <w:hideMark/>
          </w:tcPr>
          <w:p w14:paraId="369E99A7"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Ciprofloxacin</w:t>
            </w:r>
          </w:p>
        </w:tc>
        <w:tc>
          <w:tcPr>
            <w:tcW w:w="1701" w:type="dxa"/>
            <w:tcBorders>
              <w:top w:val="nil"/>
              <w:left w:val="nil"/>
              <w:bottom w:val="nil"/>
              <w:right w:val="nil"/>
            </w:tcBorders>
            <w:noWrap/>
            <w:vAlign w:val="bottom"/>
            <w:hideMark/>
          </w:tcPr>
          <w:p w14:paraId="7D79640C"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80.0 (80/100)</w:t>
            </w:r>
          </w:p>
        </w:tc>
        <w:tc>
          <w:tcPr>
            <w:tcW w:w="1559" w:type="dxa"/>
            <w:tcBorders>
              <w:top w:val="nil"/>
              <w:left w:val="nil"/>
              <w:bottom w:val="nil"/>
              <w:right w:val="nil"/>
            </w:tcBorders>
            <w:noWrap/>
            <w:vAlign w:val="bottom"/>
            <w:hideMark/>
          </w:tcPr>
          <w:p w14:paraId="35000C08"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74.3 (133/179)</w:t>
            </w:r>
          </w:p>
        </w:tc>
        <w:tc>
          <w:tcPr>
            <w:tcW w:w="850" w:type="dxa"/>
            <w:tcBorders>
              <w:top w:val="nil"/>
              <w:left w:val="nil"/>
              <w:bottom w:val="nil"/>
              <w:right w:val="nil"/>
            </w:tcBorders>
            <w:noWrap/>
            <w:vAlign w:val="bottom"/>
            <w:hideMark/>
          </w:tcPr>
          <w:p w14:paraId="5DDA697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1.38</w:t>
            </w:r>
          </w:p>
        </w:tc>
        <w:tc>
          <w:tcPr>
            <w:tcW w:w="1276" w:type="dxa"/>
            <w:tcBorders>
              <w:top w:val="nil"/>
              <w:left w:val="nil"/>
              <w:bottom w:val="nil"/>
              <w:right w:val="nil"/>
            </w:tcBorders>
            <w:noWrap/>
            <w:vAlign w:val="bottom"/>
            <w:hideMark/>
          </w:tcPr>
          <w:p w14:paraId="1F0DF7C5" w14:textId="6903B5DA"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0.76</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2.51</w:t>
            </w:r>
          </w:p>
        </w:tc>
        <w:tc>
          <w:tcPr>
            <w:tcW w:w="1134" w:type="dxa"/>
            <w:tcBorders>
              <w:top w:val="nil"/>
              <w:left w:val="nil"/>
              <w:bottom w:val="nil"/>
              <w:right w:val="nil"/>
            </w:tcBorders>
            <w:noWrap/>
            <w:vAlign w:val="bottom"/>
            <w:hideMark/>
          </w:tcPr>
          <w:p w14:paraId="75E6F0B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0.283</w:t>
            </w:r>
          </w:p>
        </w:tc>
      </w:tr>
      <w:tr w:rsidR="000D079E" w:rsidRPr="00DA3FB0" w14:paraId="6538888B" w14:textId="73E025C8" w:rsidTr="000D079E">
        <w:trPr>
          <w:trHeight w:val="288"/>
        </w:trPr>
        <w:tc>
          <w:tcPr>
            <w:tcW w:w="1560" w:type="dxa"/>
            <w:tcBorders>
              <w:top w:val="nil"/>
              <w:left w:val="nil"/>
              <w:bottom w:val="nil"/>
              <w:right w:val="nil"/>
            </w:tcBorders>
            <w:noWrap/>
            <w:vAlign w:val="bottom"/>
            <w:hideMark/>
          </w:tcPr>
          <w:p w14:paraId="4171157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Gentamicin</w:t>
            </w:r>
          </w:p>
        </w:tc>
        <w:tc>
          <w:tcPr>
            <w:tcW w:w="1701" w:type="dxa"/>
            <w:tcBorders>
              <w:top w:val="nil"/>
              <w:left w:val="nil"/>
              <w:bottom w:val="nil"/>
              <w:right w:val="nil"/>
            </w:tcBorders>
            <w:noWrap/>
            <w:vAlign w:val="bottom"/>
            <w:hideMark/>
          </w:tcPr>
          <w:p w14:paraId="2A518EA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40.0 (40/100)</w:t>
            </w:r>
          </w:p>
        </w:tc>
        <w:tc>
          <w:tcPr>
            <w:tcW w:w="1559" w:type="dxa"/>
            <w:tcBorders>
              <w:top w:val="nil"/>
              <w:left w:val="nil"/>
              <w:bottom w:val="nil"/>
              <w:right w:val="nil"/>
            </w:tcBorders>
            <w:noWrap/>
            <w:vAlign w:val="bottom"/>
            <w:hideMark/>
          </w:tcPr>
          <w:p w14:paraId="15D9C83A"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33.0 (59/179)</w:t>
            </w:r>
          </w:p>
        </w:tc>
        <w:tc>
          <w:tcPr>
            <w:tcW w:w="850" w:type="dxa"/>
            <w:tcBorders>
              <w:top w:val="nil"/>
              <w:left w:val="nil"/>
              <w:bottom w:val="nil"/>
              <w:right w:val="nil"/>
            </w:tcBorders>
            <w:noWrap/>
            <w:vAlign w:val="bottom"/>
            <w:hideMark/>
          </w:tcPr>
          <w:p w14:paraId="5EE317B5"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1.36</w:t>
            </w:r>
          </w:p>
        </w:tc>
        <w:tc>
          <w:tcPr>
            <w:tcW w:w="1276" w:type="dxa"/>
            <w:tcBorders>
              <w:top w:val="nil"/>
              <w:left w:val="nil"/>
              <w:bottom w:val="nil"/>
              <w:right w:val="nil"/>
            </w:tcBorders>
            <w:noWrap/>
            <w:vAlign w:val="bottom"/>
            <w:hideMark/>
          </w:tcPr>
          <w:p w14:paraId="49117543" w14:textId="79948548"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0.82</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2.25</w:t>
            </w:r>
          </w:p>
        </w:tc>
        <w:tc>
          <w:tcPr>
            <w:tcW w:w="1134" w:type="dxa"/>
            <w:tcBorders>
              <w:top w:val="nil"/>
              <w:left w:val="nil"/>
              <w:bottom w:val="nil"/>
              <w:right w:val="nil"/>
            </w:tcBorders>
            <w:noWrap/>
            <w:vAlign w:val="bottom"/>
            <w:hideMark/>
          </w:tcPr>
          <w:p w14:paraId="3DCC6481"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0.239</w:t>
            </w:r>
          </w:p>
        </w:tc>
      </w:tr>
      <w:tr w:rsidR="000D079E" w:rsidRPr="00DA3FB0" w14:paraId="24AF222D" w14:textId="69B767CF" w:rsidTr="000D079E">
        <w:trPr>
          <w:trHeight w:val="288"/>
        </w:trPr>
        <w:tc>
          <w:tcPr>
            <w:tcW w:w="1560" w:type="dxa"/>
            <w:tcBorders>
              <w:top w:val="nil"/>
              <w:left w:val="nil"/>
              <w:bottom w:val="nil"/>
              <w:right w:val="nil"/>
            </w:tcBorders>
            <w:noWrap/>
            <w:vAlign w:val="bottom"/>
            <w:hideMark/>
          </w:tcPr>
          <w:p w14:paraId="44DB3AFA" w14:textId="4F9440AC"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Piperacillin</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Tazobactam</w:t>
            </w:r>
          </w:p>
        </w:tc>
        <w:tc>
          <w:tcPr>
            <w:tcW w:w="1701" w:type="dxa"/>
            <w:tcBorders>
              <w:top w:val="nil"/>
              <w:left w:val="nil"/>
              <w:bottom w:val="nil"/>
              <w:right w:val="nil"/>
            </w:tcBorders>
            <w:noWrap/>
            <w:vAlign w:val="bottom"/>
            <w:hideMark/>
          </w:tcPr>
          <w:p w14:paraId="297253AD"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65.0 (65/100)</w:t>
            </w:r>
          </w:p>
        </w:tc>
        <w:tc>
          <w:tcPr>
            <w:tcW w:w="1559" w:type="dxa"/>
            <w:tcBorders>
              <w:top w:val="nil"/>
              <w:left w:val="nil"/>
              <w:bottom w:val="nil"/>
              <w:right w:val="nil"/>
            </w:tcBorders>
            <w:noWrap/>
            <w:vAlign w:val="bottom"/>
            <w:hideMark/>
          </w:tcPr>
          <w:p w14:paraId="2200D8E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54.7 (98/179)</w:t>
            </w:r>
          </w:p>
        </w:tc>
        <w:tc>
          <w:tcPr>
            <w:tcW w:w="850" w:type="dxa"/>
            <w:tcBorders>
              <w:top w:val="nil"/>
              <w:left w:val="nil"/>
              <w:bottom w:val="nil"/>
              <w:right w:val="nil"/>
            </w:tcBorders>
            <w:noWrap/>
            <w:vAlign w:val="bottom"/>
            <w:hideMark/>
          </w:tcPr>
          <w:p w14:paraId="158F0E6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1.54</w:t>
            </w:r>
          </w:p>
        </w:tc>
        <w:tc>
          <w:tcPr>
            <w:tcW w:w="1276" w:type="dxa"/>
            <w:tcBorders>
              <w:top w:val="nil"/>
              <w:left w:val="nil"/>
              <w:bottom w:val="nil"/>
              <w:right w:val="nil"/>
            </w:tcBorders>
            <w:noWrap/>
            <w:vAlign w:val="bottom"/>
            <w:hideMark/>
          </w:tcPr>
          <w:p w14:paraId="2C298859" w14:textId="61BB8B01"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0.93</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2.55</w:t>
            </w:r>
          </w:p>
        </w:tc>
        <w:tc>
          <w:tcPr>
            <w:tcW w:w="1134" w:type="dxa"/>
            <w:tcBorders>
              <w:top w:val="nil"/>
              <w:left w:val="nil"/>
              <w:bottom w:val="nil"/>
              <w:right w:val="nil"/>
            </w:tcBorders>
            <w:noWrap/>
            <w:vAlign w:val="bottom"/>
            <w:hideMark/>
          </w:tcPr>
          <w:p w14:paraId="506097D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0.096</w:t>
            </w:r>
          </w:p>
        </w:tc>
      </w:tr>
      <w:tr w:rsidR="000D079E" w:rsidRPr="00DA3FB0" w14:paraId="550800E7" w14:textId="4386F53A" w:rsidTr="000D079E">
        <w:trPr>
          <w:trHeight w:val="288"/>
        </w:trPr>
        <w:tc>
          <w:tcPr>
            <w:tcW w:w="1560" w:type="dxa"/>
            <w:tcBorders>
              <w:top w:val="nil"/>
              <w:left w:val="nil"/>
              <w:bottom w:val="nil"/>
              <w:right w:val="nil"/>
            </w:tcBorders>
            <w:noWrap/>
            <w:vAlign w:val="bottom"/>
            <w:hideMark/>
          </w:tcPr>
          <w:p w14:paraId="6DBEDBDB"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Imipenem</w:t>
            </w:r>
          </w:p>
        </w:tc>
        <w:tc>
          <w:tcPr>
            <w:tcW w:w="1701" w:type="dxa"/>
            <w:tcBorders>
              <w:top w:val="nil"/>
              <w:left w:val="nil"/>
              <w:bottom w:val="nil"/>
              <w:right w:val="nil"/>
            </w:tcBorders>
            <w:noWrap/>
            <w:vAlign w:val="bottom"/>
            <w:hideMark/>
          </w:tcPr>
          <w:p w14:paraId="4E0553A6"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41.0 (41/100)</w:t>
            </w:r>
          </w:p>
        </w:tc>
        <w:tc>
          <w:tcPr>
            <w:tcW w:w="1559" w:type="dxa"/>
            <w:tcBorders>
              <w:top w:val="nil"/>
              <w:left w:val="nil"/>
              <w:bottom w:val="nil"/>
              <w:right w:val="nil"/>
            </w:tcBorders>
            <w:noWrap/>
            <w:vAlign w:val="bottom"/>
            <w:hideMark/>
          </w:tcPr>
          <w:p w14:paraId="3D66E125"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27.9 (50/179)</w:t>
            </w:r>
          </w:p>
        </w:tc>
        <w:tc>
          <w:tcPr>
            <w:tcW w:w="850" w:type="dxa"/>
            <w:tcBorders>
              <w:top w:val="nil"/>
              <w:left w:val="nil"/>
              <w:bottom w:val="nil"/>
              <w:right w:val="nil"/>
            </w:tcBorders>
            <w:noWrap/>
            <w:vAlign w:val="bottom"/>
            <w:hideMark/>
          </w:tcPr>
          <w:p w14:paraId="2ED81A1D"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1.79</w:t>
            </w:r>
          </w:p>
        </w:tc>
        <w:tc>
          <w:tcPr>
            <w:tcW w:w="1276" w:type="dxa"/>
            <w:tcBorders>
              <w:top w:val="nil"/>
              <w:left w:val="nil"/>
              <w:bottom w:val="nil"/>
              <w:right w:val="nil"/>
            </w:tcBorders>
            <w:noWrap/>
            <w:vAlign w:val="bottom"/>
            <w:hideMark/>
          </w:tcPr>
          <w:p w14:paraId="336EA3ED" w14:textId="473636D3"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1.07</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3.00</w:t>
            </w:r>
          </w:p>
        </w:tc>
        <w:tc>
          <w:tcPr>
            <w:tcW w:w="1134" w:type="dxa"/>
            <w:tcBorders>
              <w:top w:val="nil"/>
              <w:left w:val="nil"/>
              <w:bottom w:val="nil"/>
              <w:right w:val="nil"/>
            </w:tcBorders>
            <w:noWrap/>
            <w:vAlign w:val="bottom"/>
            <w:hideMark/>
          </w:tcPr>
          <w:p w14:paraId="3693895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0.026</w:t>
            </w:r>
          </w:p>
        </w:tc>
      </w:tr>
      <w:tr w:rsidR="000D079E" w:rsidRPr="00DA3FB0" w14:paraId="5DB6CCB2" w14:textId="19C8DF20" w:rsidTr="000D079E">
        <w:trPr>
          <w:trHeight w:val="288"/>
        </w:trPr>
        <w:tc>
          <w:tcPr>
            <w:tcW w:w="1560" w:type="dxa"/>
            <w:tcBorders>
              <w:top w:val="nil"/>
              <w:left w:val="nil"/>
              <w:bottom w:val="single" w:sz="4" w:space="0" w:color="auto"/>
              <w:right w:val="nil"/>
            </w:tcBorders>
            <w:noWrap/>
            <w:vAlign w:val="bottom"/>
            <w:hideMark/>
          </w:tcPr>
          <w:p w14:paraId="2F17904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Meropenem</w:t>
            </w:r>
          </w:p>
        </w:tc>
        <w:tc>
          <w:tcPr>
            <w:tcW w:w="1701" w:type="dxa"/>
            <w:tcBorders>
              <w:top w:val="nil"/>
              <w:left w:val="nil"/>
              <w:bottom w:val="single" w:sz="4" w:space="0" w:color="auto"/>
              <w:right w:val="nil"/>
            </w:tcBorders>
            <w:noWrap/>
            <w:vAlign w:val="bottom"/>
            <w:hideMark/>
          </w:tcPr>
          <w:p w14:paraId="360614DC"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41.0 (41/100)</w:t>
            </w:r>
          </w:p>
        </w:tc>
        <w:tc>
          <w:tcPr>
            <w:tcW w:w="1559" w:type="dxa"/>
            <w:tcBorders>
              <w:top w:val="nil"/>
              <w:left w:val="nil"/>
              <w:bottom w:val="single" w:sz="4" w:space="0" w:color="auto"/>
              <w:right w:val="nil"/>
            </w:tcBorders>
            <w:noWrap/>
            <w:vAlign w:val="bottom"/>
            <w:hideMark/>
          </w:tcPr>
          <w:p w14:paraId="225B1071"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27.9 (50/179)</w:t>
            </w:r>
          </w:p>
        </w:tc>
        <w:tc>
          <w:tcPr>
            <w:tcW w:w="850" w:type="dxa"/>
            <w:tcBorders>
              <w:top w:val="nil"/>
              <w:left w:val="nil"/>
              <w:bottom w:val="single" w:sz="4" w:space="0" w:color="auto"/>
              <w:right w:val="nil"/>
            </w:tcBorders>
            <w:noWrap/>
            <w:vAlign w:val="bottom"/>
            <w:hideMark/>
          </w:tcPr>
          <w:p w14:paraId="1A9294B2"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1.79</w:t>
            </w:r>
          </w:p>
        </w:tc>
        <w:tc>
          <w:tcPr>
            <w:tcW w:w="1276" w:type="dxa"/>
            <w:tcBorders>
              <w:top w:val="nil"/>
              <w:left w:val="nil"/>
              <w:bottom w:val="single" w:sz="4" w:space="0" w:color="auto"/>
              <w:right w:val="nil"/>
            </w:tcBorders>
            <w:noWrap/>
            <w:vAlign w:val="bottom"/>
            <w:hideMark/>
          </w:tcPr>
          <w:p w14:paraId="045F3BBF" w14:textId="4E65E75B"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1.07</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3.00</w:t>
            </w:r>
          </w:p>
        </w:tc>
        <w:tc>
          <w:tcPr>
            <w:tcW w:w="1134" w:type="dxa"/>
            <w:tcBorders>
              <w:top w:val="nil"/>
              <w:left w:val="nil"/>
              <w:bottom w:val="single" w:sz="4" w:space="0" w:color="auto"/>
              <w:right w:val="nil"/>
            </w:tcBorders>
            <w:noWrap/>
            <w:vAlign w:val="bottom"/>
            <w:hideMark/>
          </w:tcPr>
          <w:p w14:paraId="5483C20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0.026</w:t>
            </w:r>
          </w:p>
        </w:tc>
      </w:tr>
    </w:tbl>
    <w:p w14:paraId="76CC7603" w14:textId="3F450B08" w:rsidR="00CF0D36" w:rsidRDefault="00CF0D36" w:rsidP="000D079E">
      <w:pPr>
        <w:pStyle w:val="Body"/>
        <w:spacing w:after="0"/>
        <w:rPr>
          <w:rFonts w:ascii="Arial" w:hAnsi="Arial" w:cs="Arial"/>
          <w:i/>
          <w:iCs/>
          <w:sz w:val="18"/>
          <w:szCs w:val="18"/>
          <w:lang w:val="en-IN"/>
        </w:rPr>
      </w:pPr>
      <w:r w:rsidRPr="00DA3FB0">
        <w:rPr>
          <w:rFonts w:ascii="Arial" w:hAnsi="Arial" w:cs="Arial"/>
          <w:i/>
          <w:iCs/>
          <w:sz w:val="18"/>
          <w:szCs w:val="18"/>
          <w:lang w:val="en-IN"/>
        </w:rPr>
        <w:t xml:space="preserve">Table 2 presents a comparison of antimicrobial resistance proportions between ICU and IPD </w:t>
      </w:r>
      <w:r w:rsidR="00A5268A" w:rsidRPr="00A5268A">
        <w:rPr>
          <w:rFonts w:ascii="Arial" w:hAnsi="Arial" w:cs="Arial"/>
          <w:i/>
          <w:iCs/>
          <w:sz w:val="18"/>
          <w:szCs w:val="18"/>
          <w:lang w:val="en-IN"/>
        </w:rPr>
        <w:t>Escherichia coli</w:t>
      </w:r>
      <w:r w:rsidRPr="00DA3FB0">
        <w:rPr>
          <w:rFonts w:ascii="Arial" w:hAnsi="Arial" w:cs="Arial"/>
          <w:i/>
          <w:iCs/>
          <w:sz w:val="18"/>
          <w:szCs w:val="18"/>
          <w:lang w:val="en-IN"/>
        </w:rPr>
        <w:t xml:space="preserve"> isolates across six clinically relevant antibiotics, along with corresponding odds ratios, 95% confidence intervals</w:t>
      </w:r>
      <w:r w:rsidR="004D7614">
        <w:rPr>
          <w:rFonts w:ascii="Arial" w:hAnsi="Arial" w:cs="Arial"/>
          <w:i/>
          <w:iCs/>
          <w:sz w:val="18"/>
          <w:szCs w:val="18"/>
          <w:lang w:val="en-IN"/>
        </w:rPr>
        <w:t xml:space="preserve"> and</w:t>
      </w:r>
      <w:r w:rsidRPr="00DA3FB0">
        <w:rPr>
          <w:rFonts w:ascii="Arial" w:hAnsi="Arial" w:cs="Arial"/>
          <w:i/>
          <w:iCs/>
          <w:sz w:val="18"/>
          <w:szCs w:val="18"/>
          <w:lang w:val="en-IN"/>
        </w:rPr>
        <w:t xml:space="preserve"> exact P values.</w:t>
      </w:r>
    </w:p>
    <w:p w14:paraId="517EE740" w14:textId="77777777" w:rsidR="00DA3FB0" w:rsidRPr="00DA3FB0" w:rsidRDefault="00DA3FB0" w:rsidP="000D079E">
      <w:pPr>
        <w:pStyle w:val="Body"/>
        <w:spacing w:after="0"/>
        <w:rPr>
          <w:rFonts w:ascii="Arial" w:hAnsi="Arial" w:cs="Arial"/>
          <w:i/>
          <w:iCs/>
          <w:sz w:val="18"/>
          <w:szCs w:val="18"/>
          <w:lang w:val="en-IN"/>
        </w:rPr>
      </w:pPr>
    </w:p>
    <w:p w14:paraId="23DB5865" w14:textId="25EFF8E8" w:rsidR="003D1511" w:rsidRDefault="003D1511" w:rsidP="000D079E">
      <w:pPr>
        <w:pStyle w:val="Body"/>
        <w:spacing w:after="0"/>
        <w:rPr>
          <w:rFonts w:ascii="Arial" w:hAnsi="Arial" w:cs="Arial"/>
        </w:rPr>
      </w:pPr>
      <w:r w:rsidRPr="003D1511">
        <w:rPr>
          <w:rFonts w:ascii="Arial" w:hAnsi="Arial" w:cs="Arial"/>
        </w:rPr>
        <w:t xml:space="preserve">The significantly higher carbapenem resistance observed among ICU </w:t>
      </w:r>
      <w:r w:rsidR="00A5268A" w:rsidRPr="00A5268A">
        <w:rPr>
          <w:rFonts w:ascii="Arial" w:hAnsi="Arial" w:cs="Arial"/>
          <w:i/>
          <w:iCs/>
        </w:rPr>
        <w:t>E. coli</w:t>
      </w:r>
      <w:r w:rsidRPr="003D1511">
        <w:rPr>
          <w:rFonts w:ascii="Arial" w:hAnsi="Arial" w:cs="Arial"/>
        </w:rPr>
        <w:t xml:space="preserve"> isolates in this study is consistent with evidence from Indian hospital surveillance demonstrating higher carbapenem resistance in ICU isolates compared with non-ICU isolates (Gupta </w:t>
      </w:r>
      <w:r w:rsidR="00A5268A" w:rsidRPr="00A5268A">
        <w:rPr>
          <w:rFonts w:ascii="Arial" w:hAnsi="Arial" w:cs="Arial"/>
          <w:i/>
          <w:iCs/>
        </w:rPr>
        <w:t>et al</w:t>
      </w:r>
      <w:r w:rsidRPr="003D1511">
        <w:rPr>
          <w:rFonts w:ascii="Arial" w:hAnsi="Arial" w:cs="Arial"/>
        </w:rPr>
        <w:t xml:space="preserve">., 2006). Unit-level differences in resistance have also been reported across settings, supporting the use of unit-specific antibiograms rather than pooled hospital data when guiding empiric therapy (Archibald </w:t>
      </w:r>
      <w:r w:rsidR="00A5268A" w:rsidRPr="00A5268A">
        <w:rPr>
          <w:rFonts w:ascii="Arial" w:hAnsi="Arial" w:cs="Arial"/>
          <w:i/>
          <w:iCs/>
        </w:rPr>
        <w:t>et al</w:t>
      </w:r>
      <w:r w:rsidRPr="003D1511">
        <w:rPr>
          <w:rFonts w:ascii="Arial" w:hAnsi="Arial" w:cs="Arial"/>
        </w:rPr>
        <w:t>., 1997).</w:t>
      </w:r>
    </w:p>
    <w:p w14:paraId="5804633F" w14:textId="04D2BD4A" w:rsidR="003D1511" w:rsidRPr="003D1511" w:rsidRDefault="003D1511" w:rsidP="000D079E">
      <w:pPr>
        <w:pStyle w:val="Body"/>
        <w:spacing w:after="0"/>
        <w:rPr>
          <w:rFonts w:ascii="Arial" w:hAnsi="Arial" w:cs="Arial"/>
        </w:rPr>
      </w:pPr>
      <w:r w:rsidRPr="003D1511">
        <w:rPr>
          <w:rFonts w:ascii="Arial" w:hAnsi="Arial" w:cs="Arial"/>
        </w:rPr>
        <w:t xml:space="preserve">National surveillance data support the broader pattern of increasing carbapenem resistance. In a large Indian laboratory network analysis of bloodstream isolates (2008–2014), </w:t>
      </w:r>
      <w:proofErr w:type="spellStart"/>
      <w:r w:rsidRPr="003D1511">
        <w:rPr>
          <w:rFonts w:ascii="Arial" w:hAnsi="Arial" w:cs="Arial"/>
        </w:rPr>
        <w:t>Gandra</w:t>
      </w:r>
      <w:proofErr w:type="spellEnd"/>
      <w:r w:rsidRPr="003D1511">
        <w:rPr>
          <w:rFonts w:ascii="Arial" w:hAnsi="Arial" w:cs="Arial"/>
        </w:rPr>
        <w:t xml:space="preserve"> </w:t>
      </w:r>
      <w:r w:rsidR="00A5268A" w:rsidRPr="00A5268A">
        <w:rPr>
          <w:rFonts w:ascii="Arial" w:hAnsi="Arial" w:cs="Arial"/>
          <w:i/>
          <w:iCs/>
        </w:rPr>
        <w:t>et al</w:t>
      </w:r>
      <w:r w:rsidRPr="003D1511">
        <w:rPr>
          <w:rFonts w:ascii="Arial" w:hAnsi="Arial" w:cs="Arial"/>
        </w:rPr>
        <w:t xml:space="preserve">. (2016) reported a rising prevalence of carbapenem-resistant </w:t>
      </w:r>
      <w:r w:rsidR="00A5268A" w:rsidRPr="00A5268A">
        <w:rPr>
          <w:rFonts w:ascii="Arial" w:hAnsi="Arial" w:cs="Arial"/>
          <w:i/>
          <w:iCs/>
        </w:rPr>
        <w:t>Escherichia coli</w:t>
      </w:r>
      <w:r w:rsidRPr="003D1511">
        <w:rPr>
          <w:rFonts w:ascii="Arial" w:hAnsi="Arial" w:cs="Arial"/>
        </w:rPr>
        <w:t xml:space="preserve">, with higher resistance burdens noted in healthcare-associated contexts. Although ICU-specific stratification was not the focus of that study, these trends are compatible with the well-described concentration of carbapenem-resistant </w:t>
      </w:r>
      <w:proofErr w:type="spellStart"/>
      <w:r w:rsidRPr="003D1511">
        <w:rPr>
          <w:rFonts w:ascii="Arial" w:hAnsi="Arial" w:cs="Arial"/>
        </w:rPr>
        <w:t>Enterobacterales</w:t>
      </w:r>
      <w:proofErr w:type="spellEnd"/>
      <w:r w:rsidRPr="003D1511">
        <w:rPr>
          <w:rFonts w:ascii="Arial" w:hAnsi="Arial" w:cs="Arial"/>
        </w:rPr>
        <w:t xml:space="preserve"> in high-intensity hospital settings. Internationally, Logan and Weinstein (2017) summarized evidence that carbapenem-resistant </w:t>
      </w:r>
      <w:proofErr w:type="spellStart"/>
      <w:r w:rsidRPr="003D1511">
        <w:rPr>
          <w:rFonts w:ascii="Arial" w:hAnsi="Arial" w:cs="Arial"/>
        </w:rPr>
        <w:t>Enterobacterales</w:t>
      </w:r>
      <w:proofErr w:type="spellEnd"/>
      <w:r w:rsidRPr="003D1511">
        <w:rPr>
          <w:rFonts w:ascii="Arial" w:hAnsi="Arial" w:cs="Arial"/>
        </w:rPr>
        <w:t xml:space="preserve"> (including </w:t>
      </w:r>
      <w:r w:rsidR="00A5268A" w:rsidRPr="00A5268A">
        <w:rPr>
          <w:rFonts w:ascii="Arial" w:hAnsi="Arial" w:cs="Arial"/>
          <w:i/>
          <w:iCs/>
        </w:rPr>
        <w:t>E. coli</w:t>
      </w:r>
      <w:r w:rsidRPr="003D1511">
        <w:rPr>
          <w:rFonts w:ascii="Arial" w:hAnsi="Arial" w:cs="Arial"/>
        </w:rPr>
        <w:t>) are frequently associated with ICUs and other acute-care environments, reflecting global patterns of resistance emergence and transmission.</w:t>
      </w:r>
    </w:p>
    <w:p w14:paraId="40431CE2" w14:textId="59E059EF" w:rsidR="000D079E" w:rsidRPr="000D079E" w:rsidRDefault="000D079E" w:rsidP="000D079E">
      <w:pPr>
        <w:pStyle w:val="Body"/>
        <w:spacing w:after="0"/>
        <w:rPr>
          <w:rFonts w:ascii="Arial" w:hAnsi="Arial" w:cs="Arial"/>
          <w:lang w:val="en-IN"/>
        </w:rPr>
      </w:pPr>
      <w:r w:rsidRPr="000D079E">
        <w:rPr>
          <w:rFonts w:ascii="Arial" w:hAnsi="Arial" w:cs="Arial"/>
          <w:lang w:val="en-IN"/>
        </w:rPr>
        <w:t>In contrast, the high resistance to ceftriaxone and ciprofloxacin observed in both ICU and IPD isolates in the present study aligns with widespread reports of extended-spectrum β-lactamase</w:t>
      </w:r>
      <w:r w:rsidR="008A1B4D">
        <w:rPr>
          <w:rFonts w:ascii="Arial" w:hAnsi="Arial" w:cs="Arial"/>
          <w:lang w:val="en-IN"/>
        </w:rPr>
        <w:t>-</w:t>
      </w:r>
      <w:r w:rsidRPr="000D079E">
        <w:rPr>
          <w:rFonts w:ascii="Arial" w:hAnsi="Arial" w:cs="Arial"/>
          <w:lang w:val="en-IN"/>
        </w:rPr>
        <w:t xml:space="preserve">producing </w:t>
      </w:r>
      <w:r w:rsidR="00A5268A" w:rsidRPr="00A5268A">
        <w:rPr>
          <w:rFonts w:ascii="Arial" w:hAnsi="Arial" w:cs="Arial"/>
          <w:i/>
          <w:iCs/>
          <w:lang w:val="en-IN"/>
        </w:rPr>
        <w:t>E. coli</w:t>
      </w:r>
      <w:r w:rsidRPr="000D079E">
        <w:rPr>
          <w:rFonts w:ascii="Arial" w:hAnsi="Arial" w:cs="Arial"/>
          <w:lang w:val="en-IN"/>
        </w:rPr>
        <w:t xml:space="preserve"> in India across hospital settings (Joshi </w:t>
      </w:r>
      <w:r w:rsidR="00A5268A" w:rsidRPr="00A5268A">
        <w:rPr>
          <w:rFonts w:ascii="Arial" w:hAnsi="Arial" w:cs="Arial"/>
          <w:i/>
          <w:iCs/>
          <w:lang w:val="en-IN"/>
        </w:rPr>
        <w:t>et al</w:t>
      </w:r>
      <w:r w:rsidRPr="000D079E">
        <w:rPr>
          <w:rFonts w:ascii="Arial" w:hAnsi="Arial" w:cs="Arial"/>
          <w:lang w:val="en-IN"/>
        </w:rPr>
        <w:t xml:space="preserve">., 2013; </w:t>
      </w:r>
      <w:proofErr w:type="spellStart"/>
      <w:r w:rsidRPr="000D079E">
        <w:rPr>
          <w:rFonts w:ascii="Arial" w:hAnsi="Arial" w:cs="Arial"/>
          <w:lang w:val="en-IN"/>
        </w:rPr>
        <w:t>Walia</w:t>
      </w:r>
      <w:proofErr w:type="spellEnd"/>
      <w:r w:rsidRPr="000D079E">
        <w:rPr>
          <w:rFonts w:ascii="Arial" w:hAnsi="Arial" w:cs="Arial"/>
          <w:lang w:val="en-IN"/>
        </w:rPr>
        <w:t xml:space="preserve"> </w:t>
      </w:r>
      <w:r w:rsidR="00A5268A" w:rsidRPr="00A5268A">
        <w:rPr>
          <w:rFonts w:ascii="Arial" w:hAnsi="Arial" w:cs="Arial"/>
          <w:i/>
          <w:iCs/>
          <w:lang w:val="en-IN"/>
        </w:rPr>
        <w:t>et al</w:t>
      </w:r>
      <w:r w:rsidRPr="000D079E">
        <w:rPr>
          <w:rFonts w:ascii="Arial" w:hAnsi="Arial" w:cs="Arial"/>
          <w:lang w:val="en-IN"/>
        </w:rPr>
        <w:t>., 2019). This suggests that resistance to older first-line agents is no longer limited to critical care environments.</w:t>
      </w:r>
    </w:p>
    <w:p w14:paraId="1F289CE8" w14:textId="5298541D" w:rsidR="00CF0D36" w:rsidRPr="000D079E" w:rsidRDefault="000D079E" w:rsidP="000D079E">
      <w:pPr>
        <w:pStyle w:val="Body"/>
        <w:rPr>
          <w:rFonts w:ascii="Arial" w:hAnsi="Arial" w:cs="Arial"/>
          <w:lang w:val="en-IN"/>
        </w:rPr>
      </w:pPr>
      <w:r w:rsidRPr="000D079E">
        <w:rPr>
          <w:rFonts w:ascii="Arial" w:hAnsi="Arial" w:cs="Arial"/>
          <w:lang w:val="en-IN"/>
        </w:rPr>
        <w:lastRenderedPageBreak/>
        <w:t xml:space="preserve">Overall, the present findings reinforce existing evidence that ICU admission is associated with a higher likelihood of carbapenem-resistant </w:t>
      </w:r>
      <w:r w:rsidR="00A5268A" w:rsidRPr="00A5268A">
        <w:rPr>
          <w:rFonts w:ascii="Arial" w:hAnsi="Arial" w:cs="Arial"/>
          <w:i/>
          <w:iCs/>
          <w:lang w:val="en-IN"/>
        </w:rPr>
        <w:t>E. coli</w:t>
      </w:r>
      <w:r w:rsidRPr="000D079E">
        <w:rPr>
          <w:rFonts w:ascii="Arial" w:hAnsi="Arial" w:cs="Arial"/>
          <w:lang w:val="en-IN"/>
        </w:rPr>
        <w:t xml:space="preserve"> infection and underscore the need for ICU-specific antibiograms to guide empiric therapy.</w:t>
      </w:r>
    </w:p>
    <w:p w14:paraId="13549973" w14:textId="02E57E2F" w:rsidR="00CF0D36" w:rsidRPr="00DA3FB0" w:rsidRDefault="00CF0D36" w:rsidP="000D079E">
      <w:pPr>
        <w:pStyle w:val="Body"/>
        <w:rPr>
          <w:rFonts w:ascii="Arial" w:hAnsi="Arial" w:cs="Arial"/>
          <w:b/>
          <w:bCs/>
        </w:rPr>
      </w:pPr>
      <w:r w:rsidRPr="00DA3FB0">
        <w:rPr>
          <w:rFonts w:ascii="Arial" w:hAnsi="Arial" w:cs="Arial"/>
          <w:b/>
          <w:bCs/>
        </w:rPr>
        <w:t xml:space="preserve">3.3 </w:t>
      </w:r>
      <w:r w:rsidR="00A5268A" w:rsidRPr="00A5268A">
        <w:rPr>
          <w:rStyle w:val="Emphasis"/>
          <w:rFonts w:ascii="Arial" w:hAnsi="Arial" w:cs="Arial"/>
          <w:b/>
          <w:bCs/>
        </w:rPr>
        <w:t>Klebsiella pneumoniae</w:t>
      </w:r>
      <w:r w:rsidRPr="00DA3FB0">
        <w:rPr>
          <w:rFonts w:ascii="Arial" w:hAnsi="Arial" w:cs="Arial"/>
          <w:b/>
          <w:bCs/>
        </w:rPr>
        <w:t>: ICU vs IPD Resistance</w:t>
      </w:r>
      <w:r w:rsidR="000D079E" w:rsidRPr="00DA3FB0">
        <w:rPr>
          <w:rFonts w:ascii="Arial" w:hAnsi="Arial" w:cs="Arial"/>
          <w:b/>
          <w:bCs/>
        </w:rPr>
        <w:tab/>
      </w:r>
    </w:p>
    <w:p w14:paraId="3A94DFC1" w14:textId="158FA8B6" w:rsidR="00CF0D36" w:rsidRPr="00CF0D36" w:rsidRDefault="00CF0D36" w:rsidP="00CF0D36">
      <w:pPr>
        <w:pStyle w:val="Body"/>
        <w:spacing w:after="0"/>
        <w:rPr>
          <w:rFonts w:ascii="Arial" w:hAnsi="Arial" w:cs="Arial"/>
          <w:lang w:val="en-IN"/>
        </w:rPr>
      </w:pPr>
      <w:r w:rsidRPr="00CF0D36">
        <w:rPr>
          <w:rFonts w:ascii="Arial" w:hAnsi="Arial" w:cs="Arial"/>
          <w:lang w:val="en-IN"/>
        </w:rPr>
        <w:t xml:space="preserve">A total of 279 </w:t>
      </w:r>
      <w:r w:rsidR="00A5268A" w:rsidRPr="00A5268A">
        <w:rPr>
          <w:rFonts w:ascii="Arial" w:hAnsi="Arial" w:cs="Arial"/>
          <w:i/>
          <w:iCs/>
          <w:lang w:val="en-IN"/>
        </w:rPr>
        <w:t>Klebsiella pneumoniae</w:t>
      </w:r>
      <w:r w:rsidRPr="00CF0D36">
        <w:rPr>
          <w:rFonts w:ascii="Arial" w:hAnsi="Arial" w:cs="Arial"/>
          <w:lang w:val="en-IN"/>
        </w:rPr>
        <w:t xml:space="preserve"> isolates were included in the analysis, comprising 100 isolates from intensive care units and 179 isolates from non-intensive care inpatient departments. Resistance to multiple key antibiotics was higher among ICU isolates.</w:t>
      </w:r>
    </w:p>
    <w:p w14:paraId="7C58D011" w14:textId="2289D450" w:rsidR="00CF0D36" w:rsidRPr="00CF0D36" w:rsidRDefault="00CF0D36" w:rsidP="00CF0D36">
      <w:pPr>
        <w:pStyle w:val="Body"/>
        <w:spacing w:after="0"/>
        <w:rPr>
          <w:rFonts w:ascii="Arial" w:hAnsi="Arial" w:cs="Arial"/>
          <w:lang w:val="en-IN"/>
        </w:rPr>
      </w:pPr>
      <w:r w:rsidRPr="00CF0D36">
        <w:rPr>
          <w:rFonts w:ascii="Arial" w:hAnsi="Arial" w:cs="Arial"/>
          <w:lang w:val="en-IN"/>
        </w:rPr>
        <w:t>Piperacillin</w:t>
      </w:r>
      <w:r w:rsidR="008A1B4D">
        <w:rPr>
          <w:rFonts w:ascii="Arial" w:hAnsi="Arial" w:cs="Arial"/>
          <w:lang w:val="en-IN"/>
        </w:rPr>
        <w:t>-</w:t>
      </w:r>
      <w:r w:rsidRPr="00CF0D36">
        <w:rPr>
          <w:rFonts w:ascii="Arial" w:hAnsi="Arial" w:cs="Arial"/>
          <w:lang w:val="en-IN"/>
        </w:rPr>
        <w:t>tazobactam resistance was significantly higher in ICU isolates than in IPD isolates (69.0% vs 52.0%; OR = 2.06, 95% CI 1.23</w:t>
      </w:r>
      <w:r w:rsidR="008A1B4D">
        <w:rPr>
          <w:rFonts w:ascii="Arial" w:hAnsi="Arial" w:cs="Arial"/>
          <w:lang w:val="en-IN"/>
        </w:rPr>
        <w:t>-</w:t>
      </w:r>
      <w:r w:rsidRPr="00CF0D36">
        <w:rPr>
          <w:rFonts w:ascii="Arial" w:hAnsi="Arial" w:cs="Arial"/>
          <w:lang w:val="en-IN"/>
        </w:rPr>
        <w:t xml:space="preserve">3.45; </w:t>
      </w:r>
      <w:r w:rsidRPr="00CF0D36">
        <w:rPr>
          <w:rFonts w:ascii="Arial" w:hAnsi="Arial" w:cs="Arial"/>
          <w:i/>
          <w:iCs/>
          <w:lang w:val="en-IN"/>
        </w:rPr>
        <w:t>P</w:t>
      </w:r>
      <w:r w:rsidRPr="00CF0D36">
        <w:rPr>
          <w:rFonts w:ascii="Arial" w:hAnsi="Arial" w:cs="Arial"/>
          <w:lang w:val="en-IN"/>
        </w:rPr>
        <w:t xml:space="preserve"> = .006). Marked differences were also observed for carbapenems. Imipenem resistance was 48.0% in ICU isolates compared with 23.5% in IPD isolates (OR = 3.01, 95% CI 1.79</w:t>
      </w:r>
      <w:r w:rsidR="008A1B4D">
        <w:rPr>
          <w:rFonts w:ascii="Arial" w:hAnsi="Arial" w:cs="Arial"/>
          <w:lang w:val="en-IN"/>
        </w:rPr>
        <w:t>-</w:t>
      </w:r>
      <w:r w:rsidRPr="00CF0D36">
        <w:rPr>
          <w:rFonts w:ascii="Arial" w:hAnsi="Arial" w:cs="Arial"/>
          <w:lang w:val="en-IN"/>
        </w:rPr>
        <w:t xml:space="preserve">5.08; </w:t>
      </w:r>
      <w:r w:rsidRPr="00CF0D36">
        <w:rPr>
          <w:rFonts w:ascii="Arial" w:hAnsi="Arial" w:cs="Arial"/>
          <w:i/>
          <w:iCs/>
          <w:lang w:val="en-IN"/>
        </w:rPr>
        <w:t>P</w:t>
      </w:r>
      <w:r w:rsidRPr="00CF0D36">
        <w:rPr>
          <w:rFonts w:ascii="Arial" w:hAnsi="Arial" w:cs="Arial"/>
          <w:lang w:val="en-IN"/>
        </w:rPr>
        <w:t xml:space="preserve"> &lt; .001), while meropenem resistance was 50.0% versus 25.1%, respectively (OR = 2.98, 95% CI 1.78</w:t>
      </w:r>
      <w:r w:rsidR="008A1B4D">
        <w:rPr>
          <w:rFonts w:ascii="Arial" w:hAnsi="Arial" w:cs="Arial"/>
          <w:lang w:val="en-IN"/>
        </w:rPr>
        <w:t>-</w:t>
      </w:r>
      <w:r w:rsidRPr="00CF0D36">
        <w:rPr>
          <w:rFonts w:ascii="Arial" w:hAnsi="Arial" w:cs="Arial"/>
          <w:lang w:val="en-IN"/>
        </w:rPr>
        <w:t xml:space="preserve">5.00; </w:t>
      </w:r>
      <w:r w:rsidRPr="00CF0D36">
        <w:rPr>
          <w:rFonts w:ascii="Arial" w:hAnsi="Arial" w:cs="Arial"/>
          <w:i/>
          <w:iCs/>
          <w:lang w:val="en-IN"/>
        </w:rPr>
        <w:t>P</w:t>
      </w:r>
      <w:r w:rsidRPr="00CF0D36">
        <w:rPr>
          <w:rFonts w:ascii="Arial" w:hAnsi="Arial" w:cs="Arial"/>
          <w:lang w:val="en-IN"/>
        </w:rPr>
        <w:t xml:space="preserve"> &lt; .001).</w:t>
      </w:r>
    </w:p>
    <w:p w14:paraId="4EAEEB27" w14:textId="69BD915F" w:rsidR="00CF0D36" w:rsidRPr="00DA3FB0" w:rsidRDefault="00CF0D36" w:rsidP="00CF0D36">
      <w:pPr>
        <w:pStyle w:val="Body"/>
        <w:rPr>
          <w:rFonts w:ascii="Arial" w:hAnsi="Arial" w:cs="Arial"/>
          <w:lang w:val="en-IN"/>
        </w:rPr>
      </w:pPr>
      <w:r w:rsidRPr="00CF0D36">
        <w:rPr>
          <w:rFonts w:ascii="Arial" w:hAnsi="Arial" w:cs="Arial"/>
          <w:lang w:val="en-IN"/>
        </w:rPr>
        <w:t>Differences in resistance to ceftriaxone (</w:t>
      </w:r>
      <w:r w:rsidRPr="00CF0D36">
        <w:rPr>
          <w:rFonts w:ascii="Arial" w:hAnsi="Arial" w:cs="Arial"/>
          <w:i/>
          <w:iCs/>
          <w:lang w:val="en-IN"/>
        </w:rPr>
        <w:t>P</w:t>
      </w:r>
      <w:r w:rsidRPr="00CF0D36">
        <w:rPr>
          <w:rFonts w:ascii="Arial" w:hAnsi="Arial" w:cs="Arial"/>
          <w:lang w:val="en-IN"/>
        </w:rPr>
        <w:t xml:space="preserve"> = .118), ciprofloxacin (</w:t>
      </w:r>
      <w:r w:rsidRPr="00CF0D36">
        <w:rPr>
          <w:rFonts w:ascii="Arial" w:hAnsi="Arial" w:cs="Arial"/>
          <w:i/>
          <w:iCs/>
          <w:lang w:val="en-IN"/>
        </w:rPr>
        <w:t>P</w:t>
      </w:r>
      <w:r w:rsidRPr="00CF0D36">
        <w:rPr>
          <w:rFonts w:ascii="Arial" w:hAnsi="Arial" w:cs="Arial"/>
          <w:lang w:val="en-IN"/>
        </w:rPr>
        <w:t xml:space="preserve"> = .064), gentamicin (</w:t>
      </w:r>
      <w:r w:rsidRPr="00CF0D36">
        <w:rPr>
          <w:rFonts w:ascii="Arial" w:hAnsi="Arial" w:cs="Arial"/>
          <w:i/>
          <w:iCs/>
          <w:lang w:val="en-IN"/>
        </w:rPr>
        <w:t>P</w:t>
      </w:r>
      <w:r w:rsidRPr="00CF0D36">
        <w:rPr>
          <w:rFonts w:ascii="Arial" w:hAnsi="Arial" w:cs="Arial"/>
          <w:lang w:val="en-IN"/>
        </w:rPr>
        <w:t xml:space="preserve"> = .113)</w:t>
      </w:r>
      <w:r w:rsidR="004D7614">
        <w:rPr>
          <w:rFonts w:ascii="Arial" w:hAnsi="Arial" w:cs="Arial"/>
          <w:lang w:val="en-IN"/>
        </w:rPr>
        <w:t xml:space="preserve"> and</w:t>
      </w:r>
      <w:r w:rsidRPr="00CF0D36">
        <w:rPr>
          <w:rFonts w:ascii="Arial" w:hAnsi="Arial" w:cs="Arial"/>
          <w:lang w:val="en-IN"/>
        </w:rPr>
        <w:t xml:space="preserve"> colistin (</w:t>
      </w:r>
      <w:r w:rsidRPr="00CF0D36">
        <w:rPr>
          <w:rFonts w:ascii="Arial" w:hAnsi="Arial" w:cs="Arial"/>
          <w:i/>
          <w:iCs/>
          <w:lang w:val="en-IN"/>
        </w:rPr>
        <w:t>P</w:t>
      </w:r>
      <w:r w:rsidRPr="00CF0D36">
        <w:rPr>
          <w:rFonts w:ascii="Arial" w:hAnsi="Arial" w:cs="Arial"/>
          <w:lang w:val="en-IN"/>
        </w:rPr>
        <w:t xml:space="preserve"> = .105) were not statistically significant.</w:t>
      </w:r>
    </w:p>
    <w:p w14:paraId="171B3BB8" w14:textId="3CF90FD0" w:rsidR="00CF0D36" w:rsidRPr="00DA3FB0" w:rsidRDefault="00CF0D36" w:rsidP="00CF0D36">
      <w:pPr>
        <w:spacing w:after="240"/>
        <w:jc w:val="both"/>
        <w:rPr>
          <w:rFonts w:ascii="Arial" w:hAnsi="Arial" w:cs="Arial"/>
          <w:b/>
          <w:bCs/>
          <w:color w:val="000000"/>
          <w:sz w:val="22"/>
          <w:szCs w:val="22"/>
          <w:lang w:val="en-IN" w:eastAsia="en-IN" w:bidi="gu-IN"/>
        </w:rPr>
      </w:pPr>
      <w:r w:rsidRPr="00CF0D36">
        <w:rPr>
          <w:rFonts w:ascii="Arial" w:hAnsi="Arial" w:cs="Arial"/>
          <w:b/>
          <w:bCs/>
          <w:color w:val="000000"/>
          <w:sz w:val="22"/>
          <w:szCs w:val="22"/>
          <w:lang w:val="en-IN" w:eastAsia="en-IN" w:bidi="gu-IN"/>
        </w:rPr>
        <w:t xml:space="preserve">Table 3. ICU vs IPD antimicrobial resistance in </w:t>
      </w:r>
      <w:r w:rsidR="00A5268A" w:rsidRPr="00A5268A">
        <w:rPr>
          <w:rFonts w:ascii="Arial" w:hAnsi="Arial" w:cs="Arial"/>
          <w:b/>
          <w:bCs/>
          <w:i/>
          <w:iCs/>
          <w:color w:val="000000"/>
          <w:sz w:val="22"/>
          <w:szCs w:val="22"/>
          <w:lang w:val="en-IN" w:eastAsia="en-IN" w:bidi="gu-IN"/>
        </w:rPr>
        <w:t>Klebsiella pneumoniae</w:t>
      </w:r>
    </w:p>
    <w:tbl>
      <w:tblPr>
        <w:tblW w:w="8190" w:type="dxa"/>
        <w:tblInd w:w="108" w:type="dxa"/>
        <w:tblLook w:val="04A0" w:firstRow="1" w:lastRow="0" w:firstColumn="1" w:lastColumn="0" w:noHBand="0" w:noVBand="1"/>
      </w:tblPr>
      <w:tblGrid>
        <w:gridCol w:w="1488"/>
        <w:gridCol w:w="1733"/>
        <w:gridCol w:w="1811"/>
        <w:gridCol w:w="850"/>
        <w:gridCol w:w="1276"/>
        <w:gridCol w:w="1134"/>
      </w:tblGrid>
      <w:tr w:rsidR="00CF0D36" w:rsidRPr="00DA3FB0" w14:paraId="1A0B87FF" w14:textId="77777777" w:rsidTr="00CF0D36">
        <w:trPr>
          <w:trHeight w:val="288"/>
        </w:trPr>
        <w:tc>
          <w:tcPr>
            <w:tcW w:w="1386" w:type="dxa"/>
            <w:tcBorders>
              <w:top w:val="single" w:sz="4" w:space="0" w:color="auto"/>
              <w:left w:val="nil"/>
              <w:bottom w:val="single" w:sz="4" w:space="0" w:color="auto"/>
              <w:right w:val="nil"/>
            </w:tcBorders>
            <w:noWrap/>
            <w:vAlign w:val="bottom"/>
            <w:hideMark/>
          </w:tcPr>
          <w:p w14:paraId="0570153A" w14:textId="77777777" w:rsidR="00CF0D36" w:rsidRPr="000D079E" w:rsidRDefault="00CF0D36" w:rsidP="00B30B8E">
            <w:pPr>
              <w:jc w:val="center"/>
              <w:rPr>
                <w:rFonts w:ascii="Arial" w:hAnsi="Arial" w:cs="Arial"/>
                <w:b/>
                <w:bCs/>
                <w:color w:val="000000"/>
                <w:sz w:val="22"/>
                <w:szCs w:val="22"/>
                <w:lang w:val="en-IN" w:eastAsia="en-IN" w:bidi="gu-IN"/>
              </w:rPr>
            </w:pPr>
            <w:bookmarkStart w:id="3" w:name="_Hlk217087191"/>
            <w:r w:rsidRPr="000D079E">
              <w:rPr>
                <w:rFonts w:ascii="Arial" w:hAnsi="Arial" w:cs="Arial"/>
                <w:b/>
                <w:bCs/>
                <w:color w:val="000000"/>
                <w:sz w:val="22"/>
                <w:szCs w:val="22"/>
                <w:lang w:val="en-IN" w:eastAsia="en-IN" w:bidi="gu-IN"/>
              </w:rPr>
              <w:t>Antibiotic</w:t>
            </w:r>
          </w:p>
        </w:tc>
        <w:tc>
          <w:tcPr>
            <w:tcW w:w="1733" w:type="dxa"/>
            <w:tcBorders>
              <w:top w:val="single" w:sz="4" w:space="0" w:color="auto"/>
              <w:left w:val="nil"/>
              <w:bottom w:val="single" w:sz="4" w:space="0" w:color="auto"/>
              <w:right w:val="nil"/>
            </w:tcBorders>
            <w:noWrap/>
            <w:vAlign w:val="bottom"/>
            <w:hideMark/>
          </w:tcPr>
          <w:p w14:paraId="37EAFAD5"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811" w:type="dxa"/>
            <w:tcBorders>
              <w:top w:val="single" w:sz="4" w:space="0" w:color="auto"/>
              <w:left w:val="nil"/>
              <w:bottom w:val="single" w:sz="4" w:space="0" w:color="auto"/>
              <w:right w:val="nil"/>
            </w:tcBorders>
            <w:noWrap/>
            <w:vAlign w:val="bottom"/>
            <w:hideMark/>
          </w:tcPr>
          <w:p w14:paraId="4CA59006"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06931D6F"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54DCEA57"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3A16DC3B"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CF0D36" w:rsidRPr="00DA3FB0" w14:paraId="2608D7FD" w14:textId="77777777" w:rsidTr="00CF0D36">
        <w:trPr>
          <w:trHeight w:val="288"/>
        </w:trPr>
        <w:tc>
          <w:tcPr>
            <w:tcW w:w="1386" w:type="dxa"/>
            <w:tcBorders>
              <w:top w:val="single" w:sz="4" w:space="0" w:color="auto"/>
              <w:left w:val="nil"/>
              <w:bottom w:val="nil"/>
              <w:right w:val="nil"/>
            </w:tcBorders>
            <w:noWrap/>
            <w:vAlign w:val="center"/>
            <w:hideMark/>
          </w:tcPr>
          <w:p w14:paraId="476CFCD4" w14:textId="5892A3B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Ceftriaxone</w:t>
            </w:r>
          </w:p>
        </w:tc>
        <w:tc>
          <w:tcPr>
            <w:tcW w:w="1733" w:type="dxa"/>
            <w:tcBorders>
              <w:top w:val="single" w:sz="4" w:space="0" w:color="auto"/>
              <w:left w:val="nil"/>
              <w:bottom w:val="nil"/>
              <w:right w:val="nil"/>
            </w:tcBorders>
            <w:noWrap/>
            <w:vAlign w:val="center"/>
            <w:hideMark/>
          </w:tcPr>
          <w:p w14:paraId="3B2C3DE3" w14:textId="539C176E"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78.0% (78/100)</w:t>
            </w:r>
          </w:p>
        </w:tc>
        <w:tc>
          <w:tcPr>
            <w:tcW w:w="1811" w:type="dxa"/>
            <w:tcBorders>
              <w:top w:val="single" w:sz="4" w:space="0" w:color="auto"/>
              <w:left w:val="nil"/>
              <w:bottom w:val="nil"/>
              <w:right w:val="nil"/>
            </w:tcBorders>
            <w:noWrap/>
            <w:vAlign w:val="center"/>
            <w:hideMark/>
          </w:tcPr>
          <w:p w14:paraId="2B4F0462" w14:textId="5DC639F1"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69.3% (124/179)</w:t>
            </w:r>
          </w:p>
        </w:tc>
        <w:tc>
          <w:tcPr>
            <w:tcW w:w="850" w:type="dxa"/>
            <w:tcBorders>
              <w:top w:val="single" w:sz="4" w:space="0" w:color="auto"/>
              <w:left w:val="nil"/>
              <w:bottom w:val="nil"/>
              <w:right w:val="nil"/>
            </w:tcBorders>
            <w:noWrap/>
            <w:vAlign w:val="center"/>
            <w:hideMark/>
          </w:tcPr>
          <w:p w14:paraId="1167F20E" w14:textId="41A8DA1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1.57</w:t>
            </w:r>
          </w:p>
        </w:tc>
        <w:tc>
          <w:tcPr>
            <w:tcW w:w="1276" w:type="dxa"/>
            <w:tcBorders>
              <w:top w:val="single" w:sz="4" w:space="0" w:color="auto"/>
              <w:left w:val="nil"/>
              <w:bottom w:val="nil"/>
              <w:right w:val="nil"/>
            </w:tcBorders>
            <w:noWrap/>
            <w:vAlign w:val="center"/>
            <w:hideMark/>
          </w:tcPr>
          <w:p w14:paraId="5BBDBD61" w14:textId="28E3A49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0.89</w:t>
            </w:r>
            <w:r w:rsidR="008A1B4D">
              <w:rPr>
                <w:rFonts w:ascii="Arial" w:hAnsi="Arial" w:cs="Arial"/>
                <w:color w:val="000000"/>
                <w:sz w:val="22"/>
                <w:szCs w:val="22"/>
              </w:rPr>
              <w:t>-</w:t>
            </w:r>
            <w:r w:rsidRPr="00DA3FB0">
              <w:rPr>
                <w:rFonts w:ascii="Arial" w:hAnsi="Arial" w:cs="Arial"/>
                <w:color w:val="000000"/>
                <w:sz w:val="22"/>
                <w:szCs w:val="22"/>
              </w:rPr>
              <w:t>2.78</w:t>
            </w:r>
          </w:p>
        </w:tc>
        <w:tc>
          <w:tcPr>
            <w:tcW w:w="1134" w:type="dxa"/>
            <w:tcBorders>
              <w:top w:val="single" w:sz="4" w:space="0" w:color="auto"/>
              <w:left w:val="nil"/>
              <w:bottom w:val="nil"/>
              <w:right w:val="nil"/>
            </w:tcBorders>
            <w:noWrap/>
            <w:vAlign w:val="center"/>
            <w:hideMark/>
          </w:tcPr>
          <w:p w14:paraId="19171838" w14:textId="2624231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0.118</w:t>
            </w:r>
          </w:p>
        </w:tc>
      </w:tr>
      <w:tr w:rsidR="00CF0D36" w:rsidRPr="00DA3FB0" w14:paraId="339F8F92" w14:textId="77777777" w:rsidTr="00CF0D36">
        <w:trPr>
          <w:trHeight w:val="288"/>
        </w:trPr>
        <w:tc>
          <w:tcPr>
            <w:tcW w:w="1386" w:type="dxa"/>
            <w:tcBorders>
              <w:top w:val="nil"/>
              <w:left w:val="nil"/>
              <w:bottom w:val="nil"/>
              <w:right w:val="nil"/>
            </w:tcBorders>
            <w:noWrap/>
            <w:vAlign w:val="center"/>
            <w:hideMark/>
          </w:tcPr>
          <w:p w14:paraId="3C52CEDD" w14:textId="0296432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Ciprofloxacin</w:t>
            </w:r>
          </w:p>
        </w:tc>
        <w:tc>
          <w:tcPr>
            <w:tcW w:w="1733" w:type="dxa"/>
            <w:tcBorders>
              <w:top w:val="nil"/>
              <w:left w:val="nil"/>
              <w:bottom w:val="nil"/>
              <w:right w:val="nil"/>
            </w:tcBorders>
            <w:noWrap/>
            <w:vAlign w:val="center"/>
            <w:hideMark/>
          </w:tcPr>
          <w:p w14:paraId="4FD6D8D7" w14:textId="293A1FFC"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82.0% (82/100)</w:t>
            </w:r>
          </w:p>
        </w:tc>
        <w:tc>
          <w:tcPr>
            <w:tcW w:w="1811" w:type="dxa"/>
            <w:tcBorders>
              <w:top w:val="nil"/>
              <w:left w:val="nil"/>
              <w:bottom w:val="nil"/>
              <w:right w:val="nil"/>
            </w:tcBorders>
            <w:noWrap/>
            <w:vAlign w:val="center"/>
            <w:hideMark/>
          </w:tcPr>
          <w:p w14:paraId="004980CF" w14:textId="6475341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72.1% (129/179)</w:t>
            </w:r>
          </w:p>
        </w:tc>
        <w:tc>
          <w:tcPr>
            <w:tcW w:w="850" w:type="dxa"/>
            <w:tcBorders>
              <w:top w:val="nil"/>
              <w:left w:val="nil"/>
              <w:bottom w:val="nil"/>
              <w:right w:val="nil"/>
            </w:tcBorders>
            <w:noWrap/>
            <w:vAlign w:val="center"/>
            <w:hideMark/>
          </w:tcPr>
          <w:p w14:paraId="1EDF2A5E" w14:textId="42192FC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1.77</w:t>
            </w:r>
          </w:p>
        </w:tc>
        <w:tc>
          <w:tcPr>
            <w:tcW w:w="1276" w:type="dxa"/>
            <w:tcBorders>
              <w:top w:val="nil"/>
              <w:left w:val="nil"/>
              <w:bottom w:val="nil"/>
              <w:right w:val="nil"/>
            </w:tcBorders>
            <w:noWrap/>
            <w:vAlign w:val="center"/>
            <w:hideMark/>
          </w:tcPr>
          <w:p w14:paraId="72690F38" w14:textId="345AB11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0.96</w:t>
            </w:r>
            <w:r w:rsidR="008A1B4D">
              <w:rPr>
                <w:rFonts w:ascii="Arial" w:hAnsi="Arial" w:cs="Arial"/>
                <w:color w:val="000000"/>
                <w:sz w:val="22"/>
                <w:szCs w:val="22"/>
              </w:rPr>
              <w:t>-</w:t>
            </w:r>
            <w:r w:rsidRPr="00DA3FB0">
              <w:rPr>
                <w:rFonts w:ascii="Arial" w:hAnsi="Arial" w:cs="Arial"/>
                <w:color w:val="000000"/>
                <w:sz w:val="22"/>
                <w:szCs w:val="22"/>
              </w:rPr>
              <w:t>3.24</w:t>
            </w:r>
          </w:p>
        </w:tc>
        <w:tc>
          <w:tcPr>
            <w:tcW w:w="1134" w:type="dxa"/>
            <w:tcBorders>
              <w:top w:val="nil"/>
              <w:left w:val="nil"/>
              <w:bottom w:val="nil"/>
              <w:right w:val="nil"/>
            </w:tcBorders>
            <w:noWrap/>
            <w:vAlign w:val="center"/>
            <w:hideMark/>
          </w:tcPr>
          <w:p w14:paraId="4379D2FA" w14:textId="21CDC4FB"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0.064</w:t>
            </w:r>
          </w:p>
        </w:tc>
      </w:tr>
      <w:tr w:rsidR="00CF0D36" w:rsidRPr="00DA3FB0" w14:paraId="57320BA6" w14:textId="77777777" w:rsidTr="00CF0D36">
        <w:trPr>
          <w:trHeight w:val="288"/>
        </w:trPr>
        <w:tc>
          <w:tcPr>
            <w:tcW w:w="1386" w:type="dxa"/>
            <w:tcBorders>
              <w:top w:val="nil"/>
              <w:left w:val="nil"/>
              <w:bottom w:val="nil"/>
              <w:right w:val="nil"/>
            </w:tcBorders>
            <w:noWrap/>
            <w:vAlign w:val="center"/>
            <w:hideMark/>
          </w:tcPr>
          <w:p w14:paraId="0B53AA36" w14:textId="28B1E97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Gentamicin</w:t>
            </w:r>
          </w:p>
        </w:tc>
        <w:tc>
          <w:tcPr>
            <w:tcW w:w="1733" w:type="dxa"/>
            <w:tcBorders>
              <w:top w:val="nil"/>
              <w:left w:val="nil"/>
              <w:bottom w:val="nil"/>
              <w:right w:val="nil"/>
            </w:tcBorders>
            <w:noWrap/>
            <w:vAlign w:val="center"/>
            <w:hideMark/>
          </w:tcPr>
          <w:p w14:paraId="23B588C0" w14:textId="3509E543"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46.0% (46/100)</w:t>
            </w:r>
          </w:p>
        </w:tc>
        <w:tc>
          <w:tcPr>
            <w:tcW w:w="1811" w:type="dxa"/>
            <w:tcBorders>
              <w:top w:val="nil"/>
              <w:left w:val="nil"/>
              <w:bottom w:val="nil"/>
              <w:right w:val="nil"/>
            </w:tcBorders>
            <w:noWrap/>
            <w:vAlign w:val="center"/>
            <w:hideMark/>
          </w:tcPr>
          <w:p w14:paraId="064BEAE5" w14:textId="23FBAF7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36.3% (65/179)</w:t>
            </w:r>
          </w:p>
        </w:tc>
        <w:tc>
          <w:tcPr>
            <w:tcW w:w="850" w:type="dxa"/>
            <w:tcBorders>
              <w:top w:val="nil"/>
              <w:left w:val="nil"/>
              <w:bottom w:val="nil"/>
              <w:right w:val="nil"/>
            </w:tcBorders>
            <w:noWrap/>
            <w:vAlign w:val="center"/>
            <w:hideMark/>
          </w:tcPr>
          <w:p w14:paraId="297F0F10" w14:textId="7C924FC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1.49</w:t>
            </w:r>
          </w:p>
        </w:tc>
        <w:tc>
          <w:tcPr>
            <w:tcW w:w="1276" w:type="dxa"/>
            <w:tcBorders>
              <w:top w:val="nil"/>
              <w:left w:val="nil"/>
              <w:bottom w:val="nil"/>
              <w:right w:val="nil"/>
            </w:tcBorders>
            <w:noWrap/>
            <w:vAlign w:val="center"/>
            <w:hideMark/>
          </w:tcPr>
          <w:p w14:paraId="0A719150" w14:textId="69F8DF52"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0.91</w:t>
            </w:r>
            <w:r w:rsidR="008A1B4D">
              <w:rPr>
                <w:rFonts w:ascii="Arial" w:hAnsi="Arial" w:cs="Arial"/>
                <w:color w:val="000000"/>
                <w:sz w:val="22"/>
                <w:szCs w:val="22"/>
              </w:rPr>
              <w:t>-</w:t>
            </w:r>
            <w:r w:rsidRPr="00DA3FB0">
              <w:rPr>
                <w:rFonts w:ascii="Arial" w:hAnsi="Arial" w:cs="Arial"/>
                <w:color w:val="000000"/>
                <w:sz w:val="22"/>
                <w:szCs w:val="22"/>
              </w:rPr>
              <w:t>2.46</w:t>
            </w:r>
          </w:p>
        </w:tc>
        <w:tc>
          <w:tcPr>
            <w:tcW w:w="1134" w:type="dxa"/>
            <w:tcBorders>
              <w:top w:val="nil"/>
              <w:left w:val="nil"/>
              <w:bottom w:val="nil"/>
              <w:right w:val="nil"/>
            </w:tcBorders>
            <w:noWrap/>
            <w:vAlign w:val="center"/>
            <w:hideMark/>
          </w:tcPr>
          <w:p w14:paraId="41E05BE4" w14:textId="4E8EE25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0.113</w:t>
            </w:r>
          </w:p>
        </w:tc>
      </w:tr>
      <w:tr w:rsidR="00CF0D36" w:rsidRPr="00DA3FB0" w14:paraId="518264F2" w14:textId="77777777" w:rsidTr="00CF0D36">
        <w:trPr>
          <w:trHeight w:val="288"/>
        </w:trPr>
        <w:tc>
          <w:tcPr>
            <w:tcW w:w="1386" w:type="dxa"/>
            <w:tcBorders>
              <w:top w:val="nil"/>
              <w:left w:val="nil"/>
              <w:bottom w:val="nil"/>
              <w:right w:val="nil"/>
            </w:tcBorders>
            <w:noWrap/>
            <w:vAlign w:val="center"/>
            <w:hideMark/>
          </w:tcPr>
          <w:p w14:paraId="35F5C6A2" w14:textId="05A18531"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Piperacillin</w:t>
            </w:r>
            <w:r w:rsidR="008A1B4D">
              <w:rPr>
                <w:rFonts w:ascii="Arial" w:hAnsi="Arial" w:cs="Arial"/>
                <w:color w:val="000000"/>
                <w:sz w:val="22"/>
                <w:szCs w:val="22"/>
              </w:rPr>
              <w:t>-</w:t>
            </w:r>
            <w:r w:rsidRPr="00DA3FB0">
              <w:rPr>
                <w:rFonts w:ascii="Arial" w:hAnsi="Arial" w:cs="Arial"/>
                <w:color w:val="000000"/>
                <w:sz w:val="22"/>
                <w:szCs w:val="22"/>
              </w:rPr>
              <w:t>Tazobactam</w:t>
            </w:r>
          </w:p>
        </w:tc>
        <w:tc>
          <w:tcPr>
            <w:tcW w:w="1733" w:type="dxa"/>
            <w:tcBorders>
              <w:top w:val="nil"/>
              <w:left w:val="nil"/>
              <w:bottom w:val="nil"/>
              <w:right w:val="nil"/>
            </w:tcBorders>
            <w:noWrap/>
            <w:vAlign w:val="center"/>
            <w:hideMark/>
          </w:tcPr>
          <w:p w14:paraId="30D1FAD6" w14:textId="42D3982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69.0% (69/100)</w:t>
            </w:r>
          </w:p>
        </w:tc>
        <w:tc>
          <w:tcPr>
            <w:tcW w:w="1811" w:type="dxa"/>
            <w:tcBorders>
              <w:top w:val="nil"/>
              <w:left w:val="nil"/>
              <w:bottom w:val="nil"/>
              <w:right w:val="nil"/>
            </w:tcBorders>
            <w:noWrap/>
            <w:vAlign w:val="center"/>
            <w:hideMark/>
          </w:tcPr>
          <w:p w14:paraId="0290B040" w14:textId="3EE2F596"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52.0% (93/179)</w:t>
            </w:r>
          </w:p>
        </w:tc>
        <w:tc>
          <w:tcPr>
            <w:tcW w:w="850" w:type="dxa"/>
            <w:tcBorders>
              <w:top w:val="nil"/>
              <w:left w:val="nil"/>
              <w:bottom w:val="nil"/>
              <w:right w:val="nil"/>
            </w:tcBorders>
            <w:noWrap/>
            <w:vAlign w:val="center"/>
            <w:hideMark/>
          </w:tcPr>
          <w:p w14:paraId="03C625D3" w14:textId="6C86719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2.06</w:t>
            </w:r>
          </w:p>
        </w:tc>
        <w:tc>
          <w:tcPr>
            <w:tcW w:w="1276" w:type="dxa"/>
            <w:tcBorders>
              <w:top w:val="nil"/>
              <w:left w:val="nil"/>
              <w:bottom w:val="nil"/>
              <w:right w:val="nil"/>
            </w:tcBorders>
            <w:noWrap/>
            <w:vAlign w:val="center"/>
            <w:hideMark/>
          </w:tcPr>
          <w:p w14:paraId="63A5C753" w14:textId="5109A13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1.23</w:t>
            </w:r>
            <w:r w:rsidR="008A1B4D">
              <w:rPr>
                <w:rFonts w:ascii="Arial" w:hAnsi="Arial" w:cs="Arial"/>
                <w:color w:val="000000"/>
                <w:sz w:val="22"/>
                <w:szCs w:val="22"/>
              </w:rPr>
              <w:t>-</w:t>
            </w:r>
            <w:r w:rsidRPr="00DA3FB0">
              <w:rPr>
                <w:rFonts w:ascii="Arial" w:hAnsi="Arial" w:cs="Arial"/>
                <w:color w:val="000000"/>
                <w:sz w:val="22"/>
                <w:szCs w:val="22"/>
              </w:rPr>
              <w:t>3.45</w:t>
            </w:r>
          </w:p>
        </w:tc>
        <w:tc>
          <w:tcPr>
            <w:tcW w:w="1134" w:type="dxa"/>
            <w:tcBorders>
              <w:top w:val="nil"/>
              <w:left w:val="nil"/>
              <w:bottom w:val="nil"/>
              <w:right w:val="nil"/>
            </w:tcBorders>
            <w:noWrap/>
            <w:vAlign w:val="center"/>
            <w:hideMark/>
          </w:tcPr>
          <w:p w14:paraId="69DCAA69" w14:textId="258057F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0.006</w:t>
            </w:r>
          </w:p>
        </w:tc>
      </w:tr>
      <w:tr w:rsidR="00CF0D36" w:rsidRPr="00DA3FB0" w14:paraId="566004C6" w14:textId="77777777" w:rsidTr="00CF0D36">
        <w:trPr>
          <w:trHeight w:val="288"/>
        </w:trPr>
        <w:tc>
          <w:tcPr>
            <w:tcW w:w="1386" w:type="dxa"/>
            <w:tcBorders>
              <w:top w:val="nil"/>
              <w:left w:val="nil"/>
              <w:bottom w:val="nil"/>
              <w:right w:val="nil"/>
            </w:tcBorders>
            <w:noWrap/>
            <w:vAlign w:val="center"/>
            <w:hideMark/>
          </w:tcPr>
          <w:p w14:paraId="126779D9" w14:textId="6E43C08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Imipenem</w:t>
            </w:r>
          </w:p>
        </w:tc>
        <w:tc>
          <w:tcPr>
            <w:tcW w:w="1733" w:type="dxa"/>
            <w:tcBorders>
              <w:top w:val="nil"/>
              <w:left w:val="nil"/>
              <w:bottom w:val="nil"/>
              <w:right w:val="nil"/>
            </w:tcBorders>
            <w:noWrap/>
            <w:vAlign w:val="center"/>
            <w:hideMark/>
          </w:tcPr>
          <w:p w14:paraId="26BA3CD2" w14:textId="4E3E297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48.0% (48/100)</w:t>
            </w:r>
          </w:p>
        </w:tc>
        <w:tc>
          <w:tcPr>
            <w:tcW w:w="1811" w:type="dxa"/>
            <w:tcBorders>
              <w:top w:val="nil"/>
              <w:left w:val="nil"/>
              <w:bottom w:val="nil"/>
              <w:right w:val="nil"/>
            </w:tcBorders>
            <w:noWrap/>
            <w:vAlign w:val="center"/>
            <w:hideMark/>
          </w:tcPr>
          <w:p w14:paraId="51BC069A" w14:textId="4454BF9B"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23.5% (42/179)</w:t>
            </w:r>
          </w:p>
        </w:tc>
        <w:tc>
          <w:tcPr>
            <w:tcW w:w="850" w:type="dxa"/>
            <w:tcBorders>
              <w:top w:val="nil"/>
              <w:left w:val="nil"/>
              <w:bottom w:val="nil"/>
              <w:right w:val="nil"/>
            </w:tcBorders>
            <w:noWrap/>
            <w:vAlign w:val="center"/>
            <w:hideMark/>
          </w:tcPr>
          <w:p w14:paraId="35561245" w14:textId="080F3CD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3.01</w:t>
            </w:r>
          </w:p>
        </w:tc>
        <w:tc>
          <w:tcPr>
            <w:tcW w:w="1276" w:type="dxa"/>
            <w:tcBorders>
              <w:top w:val="nil"/>
              <w:left w:val="nil"/>
              <w:bottom w:val="nil"/>
              <w:right w:val="nil"/>
            </w:tcBorders>
            <w:noWrap/>
            <w:vAlign w:val="center"/>
            <w:hideMark/>
          </w:tcPr>
          <w:p w14:paraId="4207B01E" w14:textId="61DF216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1.79</w:t>
            </w:r>
            <w:r w:rsidR="008A1B4D">
              <w:rPr>
                <w:rFonts w:ascii="Arial" w:hAnsi="Arial" w:cs="Arial"/>
                <w:color w:val="000000"/>
                <w:sz w:val="22"/>
                <w:szCs w:val="22"/>
              </w:rPr>
              <w:t>-</w:t>
            </w:r>
            <w:r w:rsidRPr="00DA3FB0">
              <w:rPr>
                <w:rFonts w:ascii="Arial" w:hAnsi="Arial" w:cs="Arial"/>
                <w:color w:val="000000"/>
                <w:sz w:val="22"/>
                <w:szCs w:val="22"/>
              </w:rPr>
              <w:t>5.08</w:t>
            </w:r>
          </w:p>
        </w:tc>
        <w:tc>
          <w:tcPr>
            <w:tcW w:w="1134" w:type="dxa"/>
            <w:tcBorders>
              <w:top w:val="nil"/>
              <w:left w:val="nil"/>
              <w:bottom w:val="nil"/>
              <w:right w:val="nil"/>
            </w:tcBorders>
            <w:noWrap/>
            <w:vAlign w:val="center"/>
            <w:hideMark/>
          </w:tcPr>
          <w:p w14:paraId="3BFC3A94" w14:textId="51A0DB6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&lt;0.001</w:t>
            </w:r>
          </w:p>
        </w:tc>
      </w:tr>
      <w:tr w:rsidR="00CF0D36" w:rsidRPr="00DA3FB0" w14:paraId="3BCBF3E7" w14:textId="77777777" w:rsidTr="00CF0D36">
        <w:trPr>
          <w:trHeight w:val="288"/>
        </w:trPr>
        <w:tc>
          <w:tcPr>
            <w:tcW w:w="1386" w:type="dxa"/>
            <w:tcBorders>
              <w:top w:val="nil"/>
              <w:left w:val="nil"/>
              <w:bottom w:val="single" w:sz="4" w:space="0" w:color="auto"/>
              <w:right w:val="nil"/>
            </w:tcBorders>
            <w:noWrap/>
            <w:vAlign w:val="center"/>
            <w:hideMark/>
          </w:tcPr>
          <w:p w14:paraId="3CA404EF" w14:textId="79FF7DE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Meropenem</w:t>
            </w:r>
          </w:p>
        </w:tc>
        <w:tc>
          <w:tcPr>
            <w:tcW w:w="1733" w:type="dxa"/>
            <w:tcBorders>
              <w:top w:val="nil"/>
              <w:left w:val="nil"/>
              <w:bottom w:val="single" w:sz="4" w:space="0" w:color="auto"/>
              <w:right w:val="nil"/>
            </w:tcBorders>
            <w:noWrap/>
            <w:vAlign w:val="center"/>
            <w:hideMark/>
          </w:tcPr>
          <w:p w14:paraId="7B5E18F7" w14:textId="0F78DCE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50.0% (50/100)</w:t>
            </w:r>
          </w:p>
        </w:tc>
        <w:tc>
          <w:tcPr>
            <w:tcW w:w="1811" w:type="dxa"/>
            <w:tcBorders>
              <w:top w:val="nil"/>
              <w:left w:val="nil"/>
              <w:bottom w:val="single" w:sz="4" w:space="0" w:color="auto"/>
              <w:right w:val="nil"/>
            </w:tcBorders>
            <w:noWrap/>
            <w:vAlign w:val="center"/>
            <w:hideMark/>
          </w:tcPr>
          <w:p w14:paraId="63F0BB42" w14:textId="7DB89889"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25.1% (45/179)</w:t>
            </w:r>
          </w:p>
        </w:tc>
        <w:tc>
          <w:tcPr>
            <w:tcW w:w="850" w:type="dxa"/>
            <w:tcBorders>
              <w:top w:val="nil"/>
              <w:left w:val="nil"/>
              <w:bottom w:val="single" w:sz="4" w:space="0" w:color="auto"/>
              <w:right w:val="nil"/>
            </w:tcBorders>
            <w:noWrap/>
            <w:vAlign w:val="center"/>
            <w:hideMark/>
          </w:tcPr>
          <w:p w14:paraId="254CB2D0" w14:textId="54F6779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2.98</w:t>
            </w:r>
          </w:p>
        </w:tc>
        <w:tc>
          <w:tcPr>
            <w:tcW w:w="1276" w:type="dxa"/>
            <w:tcBorders>
              <w:top w:val="nil"/>
              <w:left w:val="nil"/>
              <w:bottom w:val="single" w:sz="4" w:space="0" w:color="auto"/>
              <w:right w:val="nil"/>
            </w:tcBorders>
            <w:noWrap/>
            <w:vAlign w:val="center"/>
            <w:hideMark/>
          </w:tcPr>
          <w:p w14:paraId="0A749541" w14:textId="4B1CCC4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1.78</w:t>
            </w:r>
            <w:r w:rsidR="008A1B4D">
              <w:rPr>
                <w:rFonts w:ascii="Arial" w:hAnsi="Arial" w:cs="Arial"/>
                <w:color w:val="000000"/>
                <w:sz w:val="22"/>
                <w:szCs w:val="22"/>
              </w:rPr>
              <w:t>-</w:t>
            </w:r>
            <w:r w:rsidRPr="00DA3FB0">
              <w:rPr>
                <w:rFonts w:ascii="Arial" w:hAnsi="Arial" w:cs="Arial"/>
                <w:color w:val="000000"/>
                <w:sz w:val="22"/>
                <w:szCs w:val="22"/>
              </w:rPr>
              <w:t>5.00</w:t>
            </w:r>
          </w:p>
        </w:tc>
        <w:tc>
          <w:tcPr>
            <w:tcW w:w="1134" w:type="dxa"/>
            <w:tcBorders>
              <w:top w:val="nil"/>
              <w:left w:val="nil"/>
              <w:bottom w:val="single" w:sz="4" w:space="0" w:color="auto"/>
              <w:right w:val="nil"/>
            </w:tcBorders>
            <w:noWrap/>
            <w:vAlign w:val="center"/>
            <w:hideMark/>
          </w:tcPr>
          <w:p w14:paraId="358EA13A" w14:textId="08E72AE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&lt;0.001</w:t>
            </w:r>
          </w:p>
        </w:tc>
      </w:tr>
    </w:tbl>
    <w:bookmarkEnd w:id="3"/>
    <w:p w14:paraId="2BE0CBBA" w14:textId="731EBD19" w:rsidR="00CF0D36" w:rsidRPr="00DA3FB0" w:rsidRDefault="00CF0D36" w:rsidP="00CF0D36">
      <w:pPr>
        <w:pStyle w:val="Body"/>
        <w:rPr>
          <w:rFonts w:ascii="Arial" w:hAnsi="Arial" w:cs="Arial"/>
          <w:i/>
          <w:iCs/>
          <w:lang w:val="en-IN"/>
        </w:rPr>
      </w:pPr>
      <w:r w:rsidRPr="00CF0D36">
        <w:rPr>
          <w:rFonts w:ascii="Arial" w:hAnsi="Arial" w:cs="Arial"/>
          <w:i/>
          <w:iCs/>
          <w:lang w:val="en-IN"/>
        </w:rPr>
        <w:t xml:space="preserve">Table 3 summarizes antimicrobial resistance proportions for ICU and IPD </w:t>
      </w:r>
      <w:r w:rsidR="00A5268A" w:rsidRPr="00A5268A">
        <w:rPr>
          <w:rFonts w:ascii="Arial" w:hAnsi="Arial" w:cs="Arial"/>
          <w:i/>
          <w:iCs/>
          <w:lang w:val="en-IN"/>
        </w:rPr>
        <w:t>Klebsiella pneumoniae</w:t>
      </w:r>
      <w:r w:rsidRPr="00CF0D36">
        <w:rPr>
          <w:rFonts w:ascii="Arial" w:hAnsi="Arial" w:cs="Arial"/>
          <w:i/>
          <w:iCs/>
          <w:lang w:val="en-IN"/>
        </w:rPr>
        <w:t xml:space="preserve"> isolates across the tested antibiotics, along with odds ratios, confidence intervals</w:t>
      </w:r>
      <w:r w:rsidR="004D7614">
        <w:rPr>
          <w:rFonts w:ascii="Arial" w:hAnsi="Arial" w:cs="Arial"/>
          <w:i/>
          <w:iCs/>
          <w:lang w:val="en-IN"/>
        </w:rPr>
        <w:t xml:space="preserve"> and</w:t>
      </w:r>
      <w:r w:rsidRPr="00CF0D36">
        <w:rPr>
          <w:rFonts w:ascii="Arial" w:hAnsi="Arial" w:cs="Arial"/>
          <w:i/>
          <w:iCs/>
          <w:lang w:val="en-IN"/>
        </w:rPr>
        <w:t xml:space="preserve"> exact P values.</w:t>
      </w:r>
    </w:p>
    <w:p w14:paraId="3247C137" w14:textId="7A0E629A" w:rsidR="00F01026" w:rsidRDefault="00F01026" w:rsidP="005C0732">
      <w:pPr>
        <w:pStyle w:val="Body"/>
        <w:spacing w:after="0"/>
        <w:rPr>
          <w:rFonts w:ascii="Arial" w:hAnsi="Arial" w:cs="Arial"/>
          <w:lang w:val="en-IN"/>
        </w:rPr>
      </w:pPr>
      <w:r w:rsidRPr="00F01026">
        <w:rPr>
          <w:rFonts w:ascii="Arial" w:hAnsi="Arial" w:cs="Arial"/>
        </w:rPr>
        <w:t xml:space="preserve">The significantly higher resistance to piperacillin–tazobactam and carbapenems among ICU </w:t>
      </w:r>
      <w:r w:rsidR="00A5268A" w:rsidRPr="00A5268A">
        <w:rPr>
          <w:rFonts w:ascii="Arial" w:hAnsi="Arial" w:cs="Arial"/>
          <w:i/>
          <w:iCs/>
        </w:rPr>
        <w:t>Klebsiella pneumoniae</w:t>
      </w:r>
      <w:r w:rsidRPr="00F01026">
        <w:rPr>
          <w:rFonts w:ascii="Arial" w:hAnsi="Arial" w:cs="Arial"/>
        </w:rPr>
        <w:t xml:space="preserve"> isolates observed in this study is consistent with evidence from Indian surveillance demonstrating substantial and increasing carbapenem resistance among </w:t>
      </w:r>
      <w:r w:rsidR="00A5268A" w:rsidRPr="00A5268A">
        <w:rPr>
          <w:rFonts w:ascii="Arial" w:hAnsi="Arial" w:cs="Arial"/>
          <w:i/>
          <w:iCs/>
        </w:rPr>
        <w:t>K. pneumoniae</w:t>
      </w:r>
      <w:r w:rsidRPr="00F01026">
        <w:rPr>
          <w:rFonts w:ascii="Arial" w:hAnsi="Arial" w:cs="Arial"/>
        </w:rPr>
        <w:t xml:space="preserve"> bloodstream isolates over time (</w:t>
      </w:r>
      <w:proofErr w:type="spellStart"/>
      <w:r w:rsidRPr="00F01026">
        <w:rPr>
          <w:rFonts w:ascii="Arial" w:hAnsi="Arial" w:cs="Arial"/>
        </w:rPr>
        <w:t>Gandra</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2016).</w:t>
      </w:r>
      <w:r>
        <w:rPr>
          <w:rFonts w:ascii="Arial" w:hAnsi="Arial" w:cs="Arial"/>
        </w:rPr>
        <w:t xml:space="preserve"> </w:t>
      </w:r>
      <w:r w:rsidRPr="00F01026">
        <w:rPr>
          <w:rFonts w:ascii="Arial" w:hAnsi="Arial" w:cs="Arial"/>
        </w:rPr>
        <w:t xml:space="preserve">In ICU-focused hospital studies from India, high levels of multidrug resistance among </w:t>
      </w:r>
      <w:r w:rsidR="00A5268A" w:rsidRPr="00A5268A">
        <w:rPr>
          <w:rFonts w:ascii="Arial" w:hAnsi="Arial" w:cs="Arial"/>
          <w:i/>
          <w:iCs/>
        </w:rPr>
        <w:t>K. pneumoniae</w:t>
      </w:r>
      <w:r w:rsidRPr="00F01026">
        <w:rPr>
          <w:rFonts w:ascii="Arial" w:hAnsi="Arial" w:cs="Arial"/>
        </w:rPr>
        <w:t xml:space="preserve"> have been repeatedly documented in critically ill, mechanically ventilated patients, consistent with strong selection pressure in critical care environments (Sharma </w:t>
      </w:r>
      <w:r w:rsidR="00A5268A" w:rsidRPr="00A5268A">
        <w:rPr>
          <w:rFonts w:ascii="Arial" w:hAnsi="Arial" w:cs="Arial"/>
          <w:i/>
          <w:iCs/>
        </w:rPr>
        <w:t>et al</w:t>
      </w:r>
      <w:r w:rsidRPr="00F01026">
        <w:rPr>
          <w:rFonts w:ascii="Arial" w:hAnsi="Arial" w:cs="Arial"/>
        </w:rPr>
        <w:t>., 2023)</w:t>
      </w:r>
      <w:r>
        <w:rPr>
          <w:rFonts w:ascii="Arial" w:hAnsi="Arial" w:cs="Arial"/>
        </w:rPr>
        <w:t>.</w:t>
      </w:r>
      <w:hyperlink r:id="rId14" w:tgtFrame="_blank" w:history="1"/>
    </w:p>
    <w:p w14:paraId="6C30BFE3" w14:textId="5708FE02" w:rsidR="00F01026" w:rsidRDefault="00F01026" w:rsidP="005C0732">
      <w:pPr>
        <w:pStyle w:val="Body"/>
        <w:spacing w:after="0"/>
        <w:rPr>
          <w:rFonts w:ascii="Arial" w:hAnsi="Arial" w:cs="Arial"/>
        </w:rPr>
      </w:pPr>
      <w:r w:rsidRPr="00F01026">
        <w:rPr>
          <w:rFonts w:ascii="Arial" w:hAnsi="Arial" w:cs="Arial"/>
        </w:rPr>
        <w:t>The approximately three-fold higher odds of carbapenem resistance associated with ICU location in the present study also aligns with international evidence that Gram-negative isolates recovered in ICUs generally exhibit lower susceptibility than non-ICU isolates, supporting the use of unit-specific antibiograms for empiric therapy decisions (</w:t>
      </w:r>
      <w:proofErr w:type="spellStart"/>
      <w:r w:rsidRPr="00F01026">
        <w:rPr>
          <w:rFonts w:ascii="Arial" w:hAnsi="Arial" w:cs="Arial"/>
        </w:rPr>
        <w:t>Sader</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w:t>
      </w:r>
      <w:r w:rsidR="00990295">
        <w:rPr>
          <w:rFonts w:ascii="Arial" w:hAnsi="Arial" w:cs="Arial"/>
        </w:rPr>
        <w:t>3</w:t>
      </w:r>
      <w:r w:rsidRPr="00F01026">
        <w:rPr>
          <w:rFonts w:ascii="Arial" w:hAnsi="Arial" w:cs="Arial"/>
        </w:rPr>
        <w:t xml:space="preserve">; Logan </w:t>
      </w:r>
      <w:r w:rsidR="00FF1497">
        <w:rPr>
          <w:rFonts w:ascii="Arial" w:hAnsi="Arial" w:cs="Arial"/>
        </w:rPr>
        <w:t>and</w:t>
      </w:r>
      <w:r w:rsidRPr="00F01026">
        <w:rPr>
          <w:rFonts w:ascii="Arial" w:hAnsi="Arial" w:cs="Arial"/>
        </w:rPr>
        <w:t xml:space="preserve"> Weinstein, 2017).</w:t>
      </w:r>
      <w:r>
        <w:rPr>
          <w:rFonts w:ascii="Arial" w:hAnsi="Arial" w:cs="Arial"/>
        </w:rPr>
        <w:t xml:space="preserve"> </w:t>
      </w:r>
      <w:r w:rsidRPr="00F01026">
        <w:rPr>
          <w:rFonts w:ascii="Arial" w:hAnsi="Arial" w:cs="Arial"/>
        </w:rPr>
        <w:t xml:space="preserve">Finally, global ICU point-prevalence data show that infection is common in ICUs and that antibiotic exposure is widespread, providing a plausible ecological context for resistance selection and transmission in these settings (Vincent </w:t>
      </w:r>
      <w:r w:rsidR="00A5268A" w:rsidRPr="00A5268A">
        <w:rPr>
          <w:rFonts w:ascii="Arial" w:hAnsi="Arial" w:cs="Arial"/>
          <w:i/>
          <w:iCs/>
        </w:rPr>
        <w:t>et al</w:t>
      </w:r>
      <w:r w:rsidRPr="00F01026">
        <w:rPr>
          <w:rFonts w:ascii="Arial" w:hAnsi="Arial" w:cs="Arial"/>
        </w:rPr>
        <w:t xml:space="preserve">., 2020). </w:t>
      </w:r>
    </w:p>
    <w:p w14:paraId="14462C0A" w14:textId="17BDD369" w:rsidR="00F01026" w:rsidRDefault="00F01026" w:rsidP="00CF0D36">
      <w:pPr>
        <w:pStyle w:val="Body"/>
        <w:rPr>
          <w:rFonts w:ascii="Arial" w:hAnsi="Arial" w:cs="Arial"/>
        </w:rPr>
      </w:pPr>
      <w:r w:rsidRPr="00F01026">
        <w:rPr>
          <w:rFonts w:ascii="Arial" w:hAnsi="Arial" w:cs="Arial"/>
        </w:rPr>
        <w:t xml:space="preserve">The high resistance to third-generation cephalosporins and fluoroquinolones observed in both ICU and IPD isolates is consistent with the widespread prevalence of extended-spectrum β-lactamase–producing </w:t>
      </w:r>
      <w:r w:rsidR="00A5268A" w:rsidRPr="00A5268A">
        <w:rPr>
          <w:rFonts w:ascii="Arial" w:hAnsi="Arial" w:cs="Arial"/>
          <w:i/>
          <w:iCs/>
        </w:rPr>
        <w:t>Klebsiella pneumoniae</w:t>
      </w:r>
      <w:r w:rsidRPr="00F01026">
        <w:rPr>
          <w:rFonts w:ascii="Arial" w:hAnsi="Arial" w:cs="Arial"/>
        </w:rPr>
        <w:t xml:space="preserve"> reported from Indian hospital </w:t>
      </w:r>
      <w:r w:rsidRPr="00F01026">
        <w:rPr>
          <w:rFonts w:ascii="Arial" w:hAnsi="Arial" w:cs="Arial"/>
        </w:rPr>
        <w:lastRenderedPageBreak/>
        <w:t xml:space="preserve">surveillance studies (Pathak </w:t>
      </w:r>
      <w:r w:rsidR="00A5268A" w:rsidRPr="00A5268A">
        <w:rPr>
          <w:rFonts w:ascii="Arial" w:hAnsi="Arial" w:cs="Arial"/>
          <w:i/>
          <w:iCs/>
        </w:rPr>
        <w:t>et al</w:t>
      </w:r>
      <w:r w:rsidRPr="00F01026">
        <w:rPr>
          <w:rFonts w:ascii="Arial" w:hAnsi="Arial" w:cs="Arial"/>
        </w:rPr>
        <w:t xml:space="preserve">., 2012; </w:t>
      </w:r>
      <w:proofErr w:type="spellStart"/>
      <w:r w:rsidRPr="00F01026">
        <w:rPr>
          <w:rFonts w:ascii="Arial" w:hAnsi="Arial" w:cs="Arial"/>
        </w:rPr>
        <w:t>Rath</w:t>
      </w:r>
      <w:proofErr w:type="spellEnd"/>
      <w:r w:rsidRPr="00F01026">
        <w:rPr>
          <w:rFonts w:ascii="Arial" w:hAnsi="Arial" w:cs="Arial"/>
        </w:rPr>
        <w:t xml:space="preserve"> </w:t>
      </w:r>
      <w:r w:rsidR="00DD75A0">
        <w:rPr>
          <w:rFonts w:ascii="Arial" w:hAnsi="Arial" w:cs="Arial"/>
        </w:rPr>
        <w:t xml:space="preserve">and </w:t>
      </w:r>
      <w:proofErr w:type="spellStart"/>
      <w:r w:rsidR="00DD75A0" w:rsidRPr="00F01026">
        <w:rPr>
          <w:rFonts w:ascii="Arial" w:hAnsi="Arial" w:cs="Arial"/>
          <w:lang w:val="en-IN"/>
        </w:rPr>
        <w:t>Padhy</w:t>
      </w:r>
      <w:proofErr w:type="spellEnd"/>
      <w:r w:rsidR="00DD75A0">
        <w:rPr>
          <w:rFonts w:ascii="Arial" w:hAnsi="Arial" w:cs="Arial"/>
        </w:rPr>
        <w:t>,</w:t>
      </w:r>
      <w:r w:rsidRPr="00F01026">
        <w:rPr>
          <w:rFonts w:ascii="Arial" w:hAnsi="Arial" w:cs="Arial"/>
        </w:rPr>
        <w:t xml:space="preserve"> 2014). High ESBL rates in India have been associated with reduced susceptibility to these agents, reflecting sustained selective pressure from commonly used antimicrobials across hospital settings (</w:t>
      </w:r>
      <w:proofErr w:type="spellStart"/>
      <w:r w:rsidRPr="00F01026">
        <w:rPr>
          <w:rFonts w:ascii="Arial" w:hAnsi="Arial" w:cs="Arial"/>
        </w:rPr>
        <w:t>Gandra</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xml:space="preserve">., 2016). In contrast, the significantly higher resistance to piperacillin–tazobactam and carbapenems among ICU isolates suggests greater selective pressure from broad-spectrum antibiotic use in critical care environments (White </w:t>
      </w:r>
      <w:r w:rsidR="00A5268A" w:rsidRPr="00A5268A">
        <w:rPr>
          <w:rFonts w:ascii="Arial" w:hAnsi="Arial" w:cs="Arial"/>
          <w:i/>
          <w:iCs/>
        </w:rPr>
        <w:t>et al</w:t>
      </w:r>
      <w:r w:rsidRPr="00F01026">
        <w:rPr>
          <w:rFonts w:ascii="Arial" w:hAnsi="Arial" w:cs="Arial"/>
        </w:rPr>
        <w:t xml:space="preserve">., 2000; Logan and Weinstein, 2017). ICU-specific antimicrobial exposure and prolonged hospitalization are known to facilitate the emergence and persistence of carbapenem-resistant </w:t>
      </w:r>
      <w:r w:rsidR="00A5268A" w:rsidRPr="00A5268A">
        <w:rPr>
          <w:rFonts w:ascii="Arial" w:hAnsi="Arial" w:cs="Arial"/>
          <w:i/>
          <w:iCs/>
        </w:rPr>
        <w:t>K. pneumoniae</w:t>
      </w:r>
      <w:r w:rsidRPr="00F01026">
        <w:rPr>
          <w:rFonts w:ascii="Arial" w:hAnsi="Arial" w:cs="Arial"/>
        </w:rPr>
        <w:t xml:space="preserve"> compared with general wards (</w:t>
      </w:r>
      <w:proofErr w:type="spellStart"/>
      <w:r w:rsidRPr="00F01026">
        <w:rPr>
          <w:rFonts w:ascii="Arial" w:hAnsi="Arial" w:cs="Arial"/>
        </w:rPr>
        <w:t>Sader</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w:t>
      </w:r>
      <w:r w:rsidR="00990295">
        <w:rPr>
          <w:rFonts w:ascii="Arial" w:hAnsi="Arial" w:cs="Arial"/>
        </w:rPr>
        <w:t>3</w:t>
      </w:r>
      <w:r w:rsidRPr="00F01026">
        <w:rPr>
          <w:rFonts w:ascii="Arial" w:hAnsi="Arial" w:cs="Arial"/>
        </w:rPr>
        <w:t>). Although colistin resistance remained infrequent, its detection among ICU isolates is concerning, as low-level emergence has preceded wider dissemination in healthcare settings (</w:t>
      </w:r>
      <w:proofErr w:type="spellStart"/>
      <w:r w:rsidRPr="00F01026">
        <w:rPr>
          <w:rFonts w:ascii="Arial" w:hAnsi="Arial" w:cs="Arial"/>
        </w:rPr>
        <w:t>Pragasam</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2017). Overall, these findings support the use of ICU-specific antibiograms and targeted antimicrobial stewardship interventions (</w:t>
      </w:r>
      <w:proofErr w:type="spellStart"/>
      <w:r w:rsidRPr="00F01026">
        <w:rPr>
          <w:rFonts w:ascii="Arial" w:hAnsi="Arial" w:cs="Arial"/>
        </w:rPr>
        <w:t>Bosso</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2013</w:t>
      </w:r>
      <w:r w:rsidR="00DD75A0">
        <w:rPr>
          <w:rFonts w:ascii="Arial" w:hAnsi="Arial" w:cs="Arial"/>
        </w:rPr>
        <w:t>)</w:t>
      </w:r>
      <w:r w:rsidRPr="00F01026">
        <w:rPr>
          <w:rFonts w:ascii="Arial" w:hAnsi="Arial" w:cs="Arial"/>
        </w:rPr>
        <w:t>.</w:t>
      </w:r>
    </w:p>
    <w:p w14:paraId="2A4977E6" w14:textId="03B4BF88" w:rsidR="005C0732" w:rsidRPr="00DA3FB0" w:rsidRDefault="005C0732" w:rsidP="00CF0D36">
      <w:pPr>
        <w:pStyle w:val="Body"/>
        <w:rPr>
          <w:rFonts w:ascii="Arial" w:hAnsi="Arial" w:cs="Arial"/>
          <w:b/>
          <w:bCs/>
          <w:lang w:val="en-IN"/>
        </w:rPr>
      </w:pPr>
      <w:r w:rsidRPr="00DA3FB0">
        <w:rPr>
          <w:rFonts w:ascii="Arial" w:hAnsi="Arial" w:cs="Arial"/>
          <w:b/>
          <w:bCs/>
        </w:rPr>
        <w:t xml:space="preserve">3.4 </w:t>
      </w:r>
      <w:r w:rsidR="00A5268A" w:rsidRPr="00A5268A">
        <w:rPr>
          <w:rFonts w:ascii="Arial" w:hAnsi="Arial" w:cs="Arial"/>
          <w:b/>
          <w:bCs/>
          <w:i/>
          <w:iCs/>
        </w:rPr>
        <w:t>Staphylococcus aureus</w:t>
      </w:r>
      <w:r w:rsidRPr="00DA3FB0">
        <w:rPr>
          <w:rFonts w:ascii="Arial" w:hAnsi="Arial" w:cs="Arial"/>
          <w:b/>
          <w:bCs/>
        </w:rPr>
        <w:t>: ICU vs IPD Resistance</w:t>
      </w:r>
    </w:p>
    <w:p w14:paraId="1F2C43C8" w14:textId="3B769AFF" w:rsidR="005C0732" w:rsidRPr="005C0732" w:rsidRDefault="005C0732" w:rsidP="00DA3FB0">
      <w:pPr>
        <w:pStyle w:val="Body"/>
        <w:spacing w:after="0"/>
        <w:rPr>
          <w:rFonts w:ascii="Arial" w:hAnsi="Arial" w:cs="Arial"/>
          <w:lang w:val="en-IN"/>
        </w:rPr>
      </w:pPr>
      <w:r w:rsidRPr="005C0732">
        <w:rPr>
          <w:rFonts w:ascii="Arial" w:hAnsi="Arial" w:cs="Arial"/>
          <w:lang w:val="en-IN"/>
        </w:rPr>
        <w:t xml:space="preserve">A total of 279 </w:t>
      </w:r>
      <w:r w:rsidR="00A5268A" w:rsidRPr="00A5268A">
        <w:rPr>
          <w:rFonts w:ascii="Arial" w:hAnsi="Arial" w:cs="Arial"/>
          <w:i/>
          <w:iCs/>
          <w:lang w:val="en-IN"/>
        </w:rPr>
        <w:t>Staphylococcus aureus</w:t>
      </w:r>
      <w:r w:rsidRPr="005C0732">
        <w:rPr>
          <w:rFonts w:ascii="Arial" w:hAnsi="Arial" w:cs="Arial"/>
          <w:lang w:val="en-IN"/>
        </w:rPr>
        <w:t xml:space="preserve"> isolates were </w:t>
      </w:r>
      <w:proofErr w:type="spellStart"/>
      <w:r w:rsidRPr="005C0732">
        <w:rPr>
          <w:rFonts w:ascii="Arial" w:hAnsi="Arial" w:cs="Arial"/>
          <w:lang w:val="en-IN"/>
        </w:rPr>
        <w:t>analyzed</w:t>
      </w:r>
      <w:proofErr w:type="spellEnd"/>
      <w:r w:rsidRPr="005C0732">
        <w:rPr>
          <w:rFonts w:ascii="Arial" w:hAnsi="Arial" w:cs="Arial"/>
          <w:lang w:val="en-IN"/>
        </w:rPr>
        <w:t>, including 100 from intensive care units and 179 from non-intensive care inpatient departments. Methicillin resistance, assessed using cefoxitin as a surrogate marker, was significantly higher among ICU isolates than IPD isolates (48.0% vs 34.6%; OR = 1.74, 95% CI 1.06</w:t>
      </w:r>
      <w:r w:rsidR="008A1B4D">
        <w:rPr>
          <w:rFonts w:ascii="Arial" w:hAnsi="Arial" w:cs="Arial"/>
          <w:lang w:val="en-IN"/>
        </w:rPr>
        <w:t>-</w:t>
      </w:r>
      <w:r w:rsidRPr="005C0732">
        <w:rPr>
          <w:rFonts w:ascii="Arial" w:hAnsi="Arial" w:cs="Arial"/>
          <w:lang w:val="en-IN"/>
        </w:rPr>
        <w:t xml:space="preserve">2.87; </w:t>
      </w:r>
      <w:r w:rsidRPr="005C0732">
        <w:rPr>
          <w:rFonts w:ascii="Arial" w:hAnsi="Arial" w:cs="Arial"/>
          <w:i/>
          <w:iCs/>
          <w:lang w:val="en-IN"/>
        </w:rPr>
        <w:t>P</w:t>
      </w:r>
      <w:r w:rsidRPr="005C0732">
        <w:rPr>
          <w:rFonts w:ascii="Arial" w:hAnsi="Arial" w:cs="Arial"/>
          <w:lang w:val="en-IN"/>
        </w:rPr>
        <w:t xml:space="preserve"> = .029).</w:t>
      </w:r>
    </w:p>
    <w:p w14:paraId="00310C47" w14:textId="77777777" w:rsidR="005C0732" w:rsidRPr="005C0732" w:rsidRDefault="005C0732" w:rsidP="005C0732">
      <w:pPr>
        <w:pStyle w:val="Body"/>
        <w:rPr>
          <w:rFonts w:ascii="Arial" w:hAnsi="Arial" w:cs="Arial"/>
          <w:lang w:val="en-IN"/>
        </w:rPr>
      </w:pPr>
      <w:r w:rsidRPr="005C0732">
        <w:rPr>
          <w:rFonts w:ascii="Arial" w:hAnsi="Arial" w:cs="Arial"/>
          <w:lang w:val="en-IN"/>
        </w:rPr>
        <w:t>No statistically significant differences were observed for resistance to penicillin G (</w:t>
      </w:r>
      <w:r w:rsidRPr="005C0732">
        <w:rPr>
          <w:rFonts w:ascii="Arial" w:hAnsi="Arial" w:cs="Arial"/>
          <w:i/>
          <w:iCs/>
          <w:lang w:val="en-IN"/>
        </w:rPr>
        <w:t>P</w:t>
      </w:r>
      <w:r w:rsidRPr="005C0732">
        <w:rPr>
          <w:rFonts w:ascii="Arial" w:hAnsi="Arial" w:cs="Arial"/>
          <w:lang w:val="en-IN"/>
        </w:rPr>
        <w:t xml:space="preserve"> = .342), erythromycin (</w:t>
      </w:r>
      <w:r w:rsidRPr="005C0732">
        <w:rPr>
          <w:rFonts w:ascii="Arial" w:hAnsi="Arial" w:cs="Arial"/>
          <w:i/>
          <w:iCs/>
          <w:lang w:val="en-IN"/>
        </w:rPr>
        <w:t>P</w:t>
      </w:r>
      <w:r w:rsidRPr="005C0732">
        <w:rPr>
          <w:rFonts w:ascii="Arial" w:hAnsi="Arial" w:cs="Arial"/>
          <w:lang w:val="en-IN"/>
        </w:rPr>
        <w:t xml:space="preserve"> = .167), or clindamycin (</w:t>
      </w:r>
      <w:r w:rsidRPr="005C0732">
        <w:rPr>
          <w:rFonts w:ascii="Arial" w:hAnsi="Arial" w:cs="Arial"/>
          <w:i/>
          <w:iCs/>
          <w:lang w:val="en-IN"/>
        </w:rPr>
        <w:t>P</w:t>
      </w:r>
      <w:r w:rsidRPr="005C0732">
        <w:rPr>
          <w:rFonts w:ascii="Arial" w:hAnsi="Arial" w:cs="Arial"/>
          <w:lang w:val="en-IN"/>
        </w:rPr>
        <w:t xml:space="preserve"> = .125). All IPD isolates were susceptible to vancomycin and linezolid, while one ICU isolate showed vancomycin non-susceptibility. No linezolid resistance was detected.</w:t>
      </w:r>
    </w:p>
    <w:p w14:paraId="1BBFC4C8" w14:textId="36305BC1" w:rsidR="005C0732" w:rsidRPr="00CF0D36" w:rsidRDefault="005C0732" w:rsidP="005C0732">
      <w:pPr>
        <w:spacing w:after="240"/>
        <w:jc w:val="both"/>
        <w:rPr>
          <w:rFonts w:ascii="Arial" w:hAnsi="Arial" w:cs="Arial"/>
          <w:lang w:val="en-IN"/>
        </w:rPr>
      </w:pPr>
      <w:r w:rsidRPr="00CF0D36">
        <w:rPr>
          <w:rFonts w:ascii="Arial" w:hAnsi="Arial" w:cs="Arial"/>
          <w:b/>
          <w:bCs/>
          <w:color w:val="000000"/>
          <w:sz w:val="22"/>
          <w:szCs w:val="22"/>
          <w:lang w:val="en-IN" w:eastAsia="en-IN" w:bidi="gu-IN"/>
        </w:rPr>
        <w:t xml:space="preserve">Table </w:t>
      </w:r>
      <w:r w:rsidRPr="00DA3FB0">
        <w:rPr>
          <w:rFonts w:ascii="Arial" w:hAnsi="Arial" w:cs="Arial"/>
          <w:b/>
          <w:bCs/>
          <w:color w:val="000000"/>
          <w:sz w:val="22"/>
          <w:szCs w:val="22"/>
          <w:lang w:val="en-IN" w:eastAsia="en-IN" w:bidi="gu-IN"/>
        </w:rPr>
        <w:t>4</w:t>
      </w:r>
      <w:r w:rsidRPr="00CF0D36">
        <w:rPr>
          <w:rFonts w:ascii="Arial" w:hAnsi="Arial" w:cs="Arial"/>
          <w:b/>
          <w:bCs/>
          <w:color w:val="000000"/>
          <w:sz w:val="22"/>
          <w:szCs w:val="22"/>
          <w:lang w:val="en-IN" w:eastAsia="en-IN" w:bidi="gu-IN"/>
        </w:rPr>
        <w:t xml:space="preserve">. </w:t>
      </w:r>
      <w:r w:rsidRPr="00DA3FB0">
        <w:rPr>
          <w:rFonts w:ascii="Arial" w:hAnsi="Arial" w:cs="Arial"/>
          <w:b/>
          <w:bCs/>
          <w:color w:val="000000"/>
          <w:sz w:val="22"/>
          <w:szCs w:val="22"/>
          <w:lang w:val="en-IN" w:eastAsia="en-IN" w:bidi="gu-IN"/>
        </w:rPr>
        <w:t xml:space="preserve">ICU vs IPD antimicrobial resistance in </w:t>
      </w:r>
      <w:r w:rsidR="00A5268A" w:rsidRPr="00A5268A">
        <w:rPr>
          <w:rFonts w:ascii="Arial" w:hAnsi="Arial" w:cs="Arial"/>
          <w:b/>
          <w:bCs/>
          <w:i/>
          <w:iCs/>
          <w:color w:val="000000"/>
          <w:sz w:val="22"/>
          <w:szCs w:val="22"/>
          <w:lang w:val="en-IN" w:eastAsia="en-IN" w:bidi="gu-IN"/>
        </w:rPr>
        <w:t>Staphylococcus aureus</w:t>
      </w:r>
    </w:p>
    <w:tbl>
      <w:tblPr>
        <w:tblW w:w="8221" w:type="dxa"/>
        <w:tblInd w:w="108" w:type="dxa"/>
        <w:tblLook w:val="04A0" w:firstRow="1" w:lastRow="0" w:firstColumn="1" w:lastColumn="0" w:noHBand="0" w:noVBand="1"/>
      </w:tblPr>
      <w:tblGrid>
        <w:gridCol w:w="1500"/>
        <w:gridCol w:w="1733"/>
        <w:gridCol w:w="1811"/>
        <w:gridCol w:w="850"/>
        <w:gridCol w:w="1276"/>
        <w:gridCol w:w="1134"/>
      </w:tblGrid>
      <w:tr w:rsidR="005C0732" w:rsidRPr="00DA3FB0" w14:paraId="6A86286B" w14:textId="77777777" w:rsidTr="005C0732">
        <w:trPr>
          <w:trHeight w:val="288"/>
        </w:trPr>
        <w:tc>
          <w:tcPr>
            <w:tcW w:w="1417" w:type="dxa"/>
            <w:tcBorders>
              <w:top w:val="single" w:sz="4" w:space="0" w:color="auto"/>
              <w:left w:val="nil"/>
              <w:bottom w:val="single" w:sz="4" w:space="0" w:color="auto"/>
              <w:right w:val="nil"/>
            </w:tcBorders>
            <w:noWrap/>
            <w:vAlign w:val="bottom"/>
            <w:hideMark/>
          </w:tcPr>
          <w:p w14:paraId="6247A29B"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Antibiotic</w:t>
            </w:r>
          </w:p>
        </w:tc>
        <w:tc>
          <w:tcPr>
            <w:tcW w:w="1733" w:type="dxa"/>
            <w:tcBorders>
              <w:top w:val="single" w:sz="4" w:space="0" w:color="auto"/>
              <w:left w:val="nil"/>
              <w:bottom w:val="single" w:sz="4" w:space="0" w:color="auto"/>
              <w:right w:val="nil"/>
            </w:tcBorders>
            <w:noWrap/>
            <w:vAlign w:val="bottom"/>
            <w:hideMark/>
          </w:tcPr>
          <w:p w14:paraId="713606F2"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811" w:type="dxa"/>
            <w:tcBorders>
              <w:top w:val="single" w:sz="4" w:space="0" w:color="auto"/>
              <w:left w:val="nil"/>
              <w:bottom w:val="single" w:sz="4" w:space="0" w:color="auto"/>
              <w:right w:val="nil"/>
            </w:tcBorders>
            <w:noWrap/>
            <w:vAlign w:val="bottom"/>
            <w:hideMark/>
          </w:tcPr>
          <w:p w14:paraId="40B56EAC"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0B638099"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03492555"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2829E6C0"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5C0732" w:rsidRPr="00DA3FB0" w14:paraId="582C5784" w14:textId="77777777" w:rsidTr="005C0732">
        <w:trPr>
          <w:trHeight w:val="288"/>
        </w:trPr>
        <w:tc>
          <w:tcPr>
            <w:tcW w:w="1417" w:type="dxa"/>
            <w:tcBorders>
              <w:top w:val="single" w:sz="4" w:space="0" w:color="auto"/>
              <w:left w:val="nil"/>
              <w:bottom w:val="nil"/>
              <w:right w:val="nil"/>
            </w:tcBorders>
            <w:noWrap/>
            <w:vAlign w:val="bottom"/>
            <w:hideMark/>
          </w:tcPr>
          <w:p w14:paraId="37C98B74" w14:textId="2ADB8DA7"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Penicillin</w:t>
            </w:r>
          </w:p>
        </w:tc>
        <w:tc>
          <w:tcPr>
            <w:tcW w:w="1733" w:type="dxa"/>
            <w:tcBorders>
              <w:top w:val="single" w:sz="4" w:space="0" w:color="auto"/>
              <w:left w:val="nil"/>
              <w:bottom w:val="nil"/>
              <w:right w:val="nil"/>
            </w:tcBorders>
            <w:noWrap/>
            <w:vAlign w:val="bottom"/>
            <w:hideMark/>
          </w:tcPr>
          <w:p w14:paraId="49F7C146" w14:textId="041F6A1F"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88.0 (88/100)</w:t>
            </w:r>
          </w:p>
        </w:tc>
        <w:tc>
          <w:tcPr>
            <w:tcW w:w="1811" w:type="dxa"/>
            <w:tcBorders>
              <w:top w:val="single" w:sz="4" w:space="0" w:color="auto"/>
              <w:left w:val="nil"/>
              <w:bottom w:val="nil"/>
              <w:right w:val="nil"/>
            </w:tcBorders>
            <w:noWrap/>
            <w:vAlign w:val="bottom"/>
            <w:hideMark/>
          </w:tcPr>
          <w:p w14:paraId="40BE75FE" w14:textId="09B9DC15"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83.8 (150/179)</w:t>
            </w:r>
          </w:p>
        </w:tc>
        <w:tc>
          <w:tcPr>
            <w:tcW w:w="850" w:type="dxa"/>
            <w:tcBorders>
              <w:top w:val="single" w:sz="4" w:space="0" w:color="auto"/>
              <w:left w:val="nil"/>
              <w:bottom w:val="nil"/>
              <w:right w:val="nil"/>
            </w:tcBorders>
            <w:noWrap/>
            <w:vAlign w:val="bottom"/>
            <w:hideMark/>
          </w:tcPr>
          <w:p w14:paraId="65C169C3" w14:textId="496DC27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1.42</w:t>
            </w:r>
          </w:p>
        </w:tc>
        <w:tc>
          <w:tcPr>
            <w:tcW w:w="1276" w:type="dxa"/>
            <w:tcBorders>
              <w:top w:val="single" w:sz="4" w:space="0" w:color="auto"/>
              <w:left w:val="nil"/>
              <w:bottom w:val="nil"/>
              <w:right w:val="nil"/>
            </w:tcBorders>
            <w:noWrap/>
            <w:vAlign w:val="bottom"/>
            <w:hideMark/>
          </w:tcPr>
          <w:p w14:paraId="48034B89" w14:textId="6046949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0.69</w:t>
            </w:r>
            <w:r w:rsidR="008A1B4D">
              <w:rPr>
                <w:rFonts w:ascii="Arial" w:hAnsi="Arial" w:cs="Arial"/>
                <w:color w:val="000000"/>
                <w:sz w:val="22"/>
                <w:szCs w:val="22"/>
              </w:rPr>
              <w:t>-</w:t>
            </w:r>
            <w:r w:rsidRPr="00DA3FB0">
              <w:rPr>
                <w:rFonts w:ascii="Arial" w:hAnsi="Arial" w:cs="Arial"/>
                <w:color w:val="000000"/>
                <w:sz w:val="22"/>
                <w:szCs w:val="22"/>
              </w:rPr>
              <w:t>2.92</w:t>
            </w:r>
          </w:p>
        </w:tc>
        <w:tc>
          <w:tcPr>
            <w:tcW w:w="1134" w:type="dxa"/>
            <w:tcBorders>
              <w:top w:val="single" w:sz="4" w:space="0" w:color="auto"/>
              <w:left w:val="nil"/>
              <w:bottom w:val="nil"/>
              <w:right w:val="nil"/>
            </w:tcBorders>
            <w:noWrap/>
            <w:vAlign w:val="bottom"/>
            <w:hideMark/>
          </w:tcPr>
          <w:p w14:paraId="41759D9D" w14:textId="08DE914E"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0.342</w:t>
            </w:r>
          </w:p>
        </w:tc>
      </w:tr>
      <w:tr w:rsidR="005C0732" w:rsidRPr="00DA3FB0" w14:paraId="44407E9F" w14:textId="77777777" w:rsidTr="005C0732">
        <w:trPr>
          <w:trHeight w:val="288"/>
        </w:trPr>
        <w:tc>
          <w:tcPr>
            <w:tcW w:w="1417" w:type="dxa"/>
            <w:tcBorders>
              <w:top w:val="nil"/>
              <w:left w:val="nil"/>
              <w:bottom w:val="nil"/>
              <w:right w:val="nil"/>
            </w:tcBorders>
            <w:noWrap/>
            <w:vAlign w:val="bottom"/>
            <w:hideMark/>
          </w:tcPr>
          <w:p w14:paraId="382647BC" w14:textId="06F17F79"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Cefoxitin (MRSA)</w:t>
            </w:r>
          </w:p>
        </w:tc>
        <w:tc>
          <w:tcPr>
            <w:tcW w:w="1733" w:type="dxa"/>
            <w:tcBorders>
              <w:top w:val="nil"/>
              <w:left w:val="nil"/>
              <w:bottom w:val="nil"/>
              <w:right w:val="nil"/>
            </w:tcBorders>
            <w:noWrap/>
            <w:vAlign w:val="bottom"/>
            <w:hideMark/>
          </w:tcPr>
          <w:p w14:paraId="2F9AB68A" w14:textId="0914E31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48.0 (48/100)</w:t>
            </w:r>
          </w:p>
        </w:tc>
        <w:tc>
          <w:tcPr>
            <w:tcW w:w="1811" w:type="dxa"/>
            <w:tcBorders>
              <w:top w:val="nil"/>
              <w:left w:val="nil"/>
              <w:bottom w:val="nil"/>
              <w:right w:val="nil"/>
            </w:tcBorders>
            <w:noWrap/>
            <w:vAlign w:val="bottom"/>
            <w:hideMark/>
          </w:tcPr>
          <w:p w14:paraId="5D598B4C" w14:textId="2BD94BA2"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34.6 (62/179)</w:t>
            </w:r>
          </w:p>
        </w:tc>
        <w:tc>
          <w:tcPr>
            <w:tcW w:w="850" w:type="dxa"/>
            <w:tcBorders>
              <w:top w:val="nil"/>
              <w:left w:val="nil"/>
              <w:bottom w:val="nil"/>
              <w:right w:val="nil"/>
            </w:tcBorders>
            <w:noWrap/>
            <w:vAlign w:val="bottom"/>
            <w:hideMark/>
          </w:tcPr>
          <w:p w14:paraId="4F41C12B" w14:textId="44B8DC0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1.74</w:t>
            </w:r>
          </w:p>
        </w:tc>
        <w:tc>
          <w:tcPr>
            <w:tcW w:w="1276" w:type="dxa"/>
            <w:tcBorders>
              <w:top w:val="nil"/>
              <w:left w:val="nil"/>
              <w:bottom w:val="nil"/>
              <w:right w:val="nil"/>
            </w:tcBorders>
            <w:noWrap/>
            <w:vAlign w:val="bottom"/>
            <w:hideMark/>
          </w:tcPr>
          <w:p w14:paraId="289C714E" w14:textId="43DE814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1.06</w:t>
            </w:r>
            <w:r w:rsidR="008A1B4D">
              <w:rPr>
                <w:rFonts w:ascii="Arial" w:hAnsi="Arial" w:cs="Arial"/>
                <w:color w:val="000000"/>
                <w:sz w:val="22"/>
                <w:szCs w:val="22"/>
              </w:rPr>
              <w:t>-</w:t>
            </w:r>
            <w:r w:rsidRPr="00DA3FB0">
              <w:rPr>
                <w:rFonts w:ascii="Arial" w:hAnsi="Arial" w:cs="Arial"/>
                <w:color w:val="000000"/>
                <w:sz w:val="22"/>
                <w:szCs w:val="22"/>
              </w:rPr>
              <w:t>2.87</w:t>
            </w:r>
          </w:p>
        </w:tc>
        <w:tc>
          <w:tcPr>
            <w:tcW w:w="1134" w:type="dxa"/>
            <w:tcBorders>
              <w:top w:val="nil"/>
              <w:left w:val="nil"/>
              <w:bottom w:val="nil"/>
              <w:right w:val="nil"/>
            </w:tcBorders>
            <w:noWrap/>
            <w:vAlign w:val="bottom"/>
            <w:hideMark/>
          </w:tcPr>
          <w:p w14:paraId="14B37948" w14:textId="5A9E66A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0.029</w:t>
            </w:r>
          </w:p>
        </w:tc>
      </w:tr>
      <w:tr w:rsidR="005C0732" w:rsidRPr="00DA3FB0" w14:paraId="0A067DC4" w14:textId="77777777" w:rsidTr="005C0732">
        <w:trPr>
          <w:trHeight w:val="288"/>
        </w:trPr>
        <w:tc>
          <w:tcPr>
            <w:tcW w:w="1417" w:type="dxa"/>
            <w:tcBorders>
              <w:top w:val="nil"/>
              <w:left w:val="nil"/>
              <w:bottom w:val="nil"/>
              <w:right w:val="nil"/>
            </w:tcBorders>
            <w:noWrap/>
            <w:vAlign w:val="bottom"/>
            <w:hideMark/>
          </w:tcPr>
          <w:p w14:paraId="79466DD4" w14:textId="33B9E5A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Erythromycin</w:t>
            </w:r>
          </w:p>
        </w:tc>
        <w:tc>
          <w:tcPr>
            <w:tcW w:w="1733" w:type="dxa"/>
            <w:tcBorders>
              <w:top w:val="nil"/>
              <w:left w:val="nil"/>
              <w:bottom w:val="nil"/>
              <w:right w:val="nil"/>
            </w:tcBorders>
            <w:noWrap/>
            <w:vAlign w:val="bottom"/>
            <w:hideMark/>
          </w:tcPr>
          <w:p w14:paraId="1DF05694" w14:textId="67800A7F"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55.0 (55/100)</w:t>
            </w:r>
          </w:p>
        </w:tc>
        <w:tc>
          <w:tcPr>
            <w:tcW w:w="1811" w:type="dxa"/>
            <w:tcBorders>
              <w:top w:val="nil"/>
              <w:left w:val="nil"/>
              <w:bottom w:val="nil"/>
              <w:right w:val="nil"/>
            </w:tcBorders>
            <w:noWrap/>
            <w:vAlign w:val="bottom"/>
            <w:hideMark/>
          </w:tcPr>
          <w:p w14:paraId="28362949" w14:textId="77B41ED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46.4 (83/179)</w:t>
            </w:r>
          </w:p>
        </w:tc>
        <w:tc>
          <w:tcPr>
            <w:tcW w:w="850" w:type="dxa"/>
            <w:tcBorders>
              <w:top w:val="nil"/>
              <w:left w:val="nil"/>
              <w:bottom w:val="nil"/>
              <w:right w:val="nil"/>
            </w:tcBorders>
            <w:noWrap/>
            <w:vAlign w:val="bottom"/>
            <w:hideMark/>
          </w:tcPr>
          <w:p w14:paraId="40DA8DDE" w14:textId="7400C4F0"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1.41</w:t>
            </w:r>
          </w:p>
        </w:tc>
        <w:tc>
          <w:tcPr>
            <w:tcW w:w="1276" w:type="dxa"/>
            <w:tcBorders>
              <w:top w:val="nil"/>
              <w:left w:val="nil"/>
              <w:bottom w:val="nil"/>
              <w:right w:val="nil"/>
            </w:tcBorders>
            <w:noWrap/>
            <w:vAlign w:val="bottom"/>
            <w:hideMark/>
          </w:tcPr>
          <w:p w14:paraId="1B8147E8" w14:textId="5A85B877"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0.87</w:t>
            </w:r>
            <w:r w:rsidR="008A1B4D">
              <w:rPr>
                <w:rFonts w:ascii="Arial" w:hAnsi="Arial" w:cs="Arial"/>
                <w:color w:val="000000"/>
                <w:sz w:val="22"/>
                <w:szCs w:val="22"/>
              </w:rPr>
              <w:t>-</w:t>
            </w:r>
            <w:r w:rsidRPr="00DA3FB0">
              <w:rPr>
                <w:rFonts w:ascii="Arial" w:hAnsi="Arial" w:cs="Arial"/>
                <w:color w:val="000000"/>
                <w:sz w:val="22"/>
                <w:szCs w:val="22"/>
              </w:rPr>
              <w:t>2.31</w:t>
            </w:r>
          </w:p>
        </w:tc>
        <w:tc>
          <w:tcPr>
            <w:tcW w:w="1134" w:type="dxa"/>
            <w:tcBorders>
              <w:top w:val="nil"/>
              <w:left w:val="nil"/>
              <w:bottom w:val="nil"/>
              <w:right w:val="nil"/>
            </w:tcBorders>
            <w:noWrap/>
            <w:vAlign w:val="bottom"/>
            <w:hideMark/>
          </w:tcPr>
          <w:p w14:paraId="49B042FB" w14:textId="2C7EBBD6"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0.167</w:t>
            </w:r>
          </w:p>
        </w:tc>
      </w:tr>
      <w:tr w:rsidR="005C0732" w:rsidRPr="00DA3FB0" w14:paraId="7AC12D49" w14:textId="77777777" w:rsidTr="005C0732">
        <w:trPr>
          <w:trHeight w:val="288"/>
        </w:trPr>
        <w:tc>
          <w:tcPr>
            <w:tcW w:w="1417" w:type="dxa"/>
            <w:tcBorders>
              <w:top w:val="nil"/>
              <w:left w:val="nil"/>
              <w:bottom w:val="single" w:sz="4" w:space="0" w:color="auto"/>
              <w:right w:val="nil"/>
            </w:tcBorders>
            <w:noWrap/>
            <w:vAlign w:val="bottom"/>
            <w:hideMark/>
          </w:tcPr>
          <w:p w14:paraId="36136EDE" w14:textId="277C539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Clindamycin</w:t>
            </w:r>
          </w:p>
        </w:tc>
        <w:tc>
          <w:tcPr>
            <w:tcW w:w="1733" w:type="dxa"/>
            <w:tcBorders>
              <w:top w:val="nil"/>
              <w:left w:val="nil"/>
              <w:bottom w:val="single" w:sz="4" w:space="0" w:color="auto"/>
              <w:right w:val="nil"/>
            </w:tcBorders>
            <w:noWrap/>
            <w:vAlign w:val="bottom"/>
            <w:hideMark/>
          </w:tcPr>
          <w:p w14:paraId="22910A00" w14:textId="09858CEB"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38.0 (38/100)</w:t>
            </w:r>
          </w:p>
        </w:tc>
        <w:tc>
          <w:tcPr>
            <w:tcW w:w="1811" w:type="dxa"/>
            <w:tcBorders>
              <w:top w:val="nil"/>
              <w:left w:val="nil"/>
              <w:bottom w:val="single" w:sz="4" w:space="0" w:color="auto"/>
              <w:right w:val="nil"/>
            </w:tcBorders>
            <w:noWrap/>
            <w:vAlign w:val="bottom"/>
            <w:hideMark/>
          </w:tcPr>
          <w:p w14:paraId="31396330" w14:textId="20A78C10"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29.1 (52/179)</w:t>
            </w:r>
          </w:p>
        </w:tc>
        <w:tc>
          <w:tcPr>
            <w:tcW w:w="850" w:type="dxa"/>
            <w:tcBorders>
              <w:top w:val="nil"/>
              <w:left w:val="nil"/>
              <w:bottom w:val="single" w:sz="4" w:space="0" w:color="auto"/>
              <w:right w:val="nil"/>
            </w:tcBorders>
            <w:noWrap/>
            <w:vAlign w:val="bottom"/>
            <w:hideMark/>
          </w:tcPr>
          <w:p w14:paraId="019F0354" w14:textId="7B23DC28"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1.5</w:t>
            </w:r>
          </w:p>
        </w:tc>
        <w:tc>
          <w:tcPr>
            <w:tcW w:w="1276" w:type="dxa"/>
            <w:tcBorders>
              <w:top w:val="nil"/>
              <w:left w:val="nil"/>
              <w:bottom w:val="single" w:sz="4" w:space="0" w:color="auto"/>
              <w:right w:val="nil"/>
            </w:tcBorders>
            <w:noWrap/>
            <w:vAlign w:val="bottom"/>
            <w:hideMark/>
          </w:tcPr>
          <w:p w14:paraId="4C4F6DA7" w14:textId="181882C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0.89</w:t>
            </w:r>
            <w:r w:rsidR="008A1B4D">
              <w:rPr>
                <w:rFonts w:ascii="Arial" w:hAnsi="Arial" w:cs="Arial"/>
                <w:color w:val="000000"/>
                <w:sz w:val="22"/>
                <w:szCs w:val="22"/>
              </w:rPr>
              <w:t>-</w:t>
            </w:r>
            <w:r w:rsidRPr="00DA3FB0">
              <w:rPr>
                <w:rFonts w:ascii="Arial" w:hAnsi="Arial" w:cs="Arial"/>
                <w:color w:val="000000"/>
                <w:sz w:val="22"/>
                <w:szCs w:val="22"/>
              </w:rPr>
              <w:t>2.51</w:t>
            </w:r>
          </w:p>
        </w:tc>
        <w:tc>
          <w:tcPr>
            <w:tcW w:w="1134" w:type="dxa"/>
            <w:tcBorders>
              <w:top w:val="nil"/>
              <w:left w:val="nil"/>
              <w:bottom w:val="single" w:sz="4" w:space="0" w:color="auto"/>
              <w:right w:val="nil"/>
            </w:tcBorders>
            <w:noWrap/>
            <w:vAlign w:val="bottom"/>
            <w:hideMark/>
          </w:tcPr>
          <w:p w14:paraId="1E2E8C18" w14:textId="4D871EA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0.125</w:t>
            </w:r>
          </w:p>
        </w:tc>
      </w:tr>
    </w:tbl>
    <w:p w14:paraId="20DE0372" w14:textId="4D80CBD1" w:rsidR="00CF0D36" w:rsidRPr="00DA3FB0" w:rsidRDefault="005C0732" w:rsidP="00CF0D36">
      <w:pPr>
        <w:spacing w:after="240"/>
        <w:jc w:val="both"/>
        <w:rPr>
          <w:rFonts w:ascii="Arial" w:hAnsi="Arial" w:cs="Arial"/>
          <w:i/>
          <w:iCs/>
        </w:rPr>
      </w:pPr>
      <w:r w:rsidRPr="00DA3FB0">
        <w:rPr>
          <w:rFonts w:ascii="Arial" w:hAnsi="Arial" w:cs="Arial"/>
          <w:i/>
          <w:iCs/>
        </w:rPr>
        <w:t xml:space="preserve">Table 4 summarizes antimicrobial resistance patterns for ICU and IPD </w:t>
      </w:r>
      <w:r w:rsidR="00A5268A" w:rsidRPr="00A5268A">
        <w:rPr>
          <w:rStyle w:val="Emphasis"/>
          <w:rFonts w:ascii="Arial" w:hAnsi="Arial" w:cs="Arial"/>
        </w:rPr>
        <w:t>Staphylococcus aureus</w:t>
      </w:r>
      <w:r w:rsidRPr="00DA3FB0">
        <w:rPr>
          <w:rFonts w:ascii="Arial" w:hAnsi="Arial" w:cs="Arial"/>
          <w:i/>
          <w:iCs/>
        </w:rPr>
        <w:t xml:space="preserve"> isolates, including odds ratios and exact </w:t>
      </w:r>
      <w:r w:rsidRPr="00DA3FB0">
        <w:rPr>
          <w:rStyle w:val="Emphasis"/>
          <w:rFonts w:ascii="Arial" w:hAnsi="Arial" w:cs="Arial"/>
          <w:i w:val="0"/>
          <w:iCs w:val="0"/>
        </w:rPr>
        <w:t>P</w:t>
      </w:r>
      <w:r w:rsidRPr="00DA3FB0">
        <w:rPr>
          <w:rFonts w:ascii="Arial" w:hAnsi="Arial" w:cs="Arial"/>
          <w:i/>
          <w:iCs/>
        </w:rPr>
        <w:t xml:space="preserve"> values.</w:t>
      </w:r>
    </w:p>
    <w:p w14:paraId="617ED3D0" w14:textId="6E652990" w:rsidR="00622FA9" w:rsidRPr="00622FA9" w:rsidRDefault="00622FA9" w:rsidP="00622FA9">
      <w:pPr>
        <w:spacing w:after="240"/>
        <w:jc w:val="both"/>
        <w:rPr>
          <w:rFonts w:ascii="Arial" w:hAnsi="Arial" w:cs="Arial"/>
          <w:lang w:val="en-IN"/>
        </w:rPr>
      </w:pPr>
      <w:r w:rsidRPr="00622FA9">
        <w:rPr>
          <w:rFonts w:ascii="Arial" w:hAnsi="Arial" w:cs="Arial"/>
          <w:lang w:val="en-IN"/>
        </w:rPr>
        <w:t xml:space="preserve">The significantly higher prevalence of methicillin-resistant </w:t>
      </w:r>
      <w:r w:rsidR="00A5268A" w:rsidRPr="00A5268A">
        <w:rPr>
          <w:rFonts w:ascii="Arial" w:hAnsi="Arial" w:cs="Arial"/>
          <w:i/>
          <w:iCs/>
          <w:lang w:val="en-IN"/>
        </w:rPr>
        <w:t>Staphylococcus aureus</w:t>
      </w:r>
      <w:r w:rsidRPr="00622FA9">
        <w:rPr>
          <w:rFonts w:ascii="Arial" w:hAnsi="Arial" w:cs="Arial"/>
          <w:lang w:val="en-IN"/>
        </w:rPr>
        <w:t xml:space="preserve"> (MRSA) among ICU isolates in the present study is consistent with Indian surveillance evidence showing substantial methicillin resistance and higher MRSA recovery from inpatient and ICU settings compared with outpatients (Joshi </w:t>
      </w:r>
      <w:r w:rsidR="00A5268A" w:rsidRPr="00A5268A">
        <w:rPr>
          <w:rFonts w:ascii="Arial" w:hAnsi="Arial" w:cs="Arial"/>
          <w:i/>
          <w:iCs/>
          <w:lang w:val="en-IN"/>
        </w:rPr>
        <w:t>et al</w:t>
      </w:r>
      <w:r w:rsidRPr="00622FA9">
        <w:rPr>
          <w:rFonts w:ascii="Arial" w:hAnsi="Arial" w:cs="Arial"/>
          <w:lang w:val="en-IN"/>
        </w:rPr>
        <w:t>., 2013). The concentration of MRSA in critical care environments is plausibly driven by healthcare-associated transmission, invasive device use, and sustained antibiotic exposure, all of which increase colonization and infection pressure in ICUs</w:t>
      </w:r>
      <w:r>
        <w:rPr>
          <w:rFonts w:ascii="Arial" w:hAnsi="Arial" w:cs="Arial"/>
          <w:lang w:val="en-IN"/>
        </w:rPr>
        <w:t>.</w:t>
      </w:r>
    </w:p>
    <w:p w14:paraId="5990C9C6" w14:textId="5177379E" w:rsidR="00622FA9" w:rsidRPr="00622FA9" w:rsidRDefault="00622FA9" w:rsidP="00622FA9">
      <w:pPr>
        <w:spacing w:after="240"/>
        <w:jc w:val="both"/>
        <w:rPr>
          <w:rFonts w:ascii="Arial" w:hAnsi="Arial" w:cs="Arial"/>
          <w:lang w:val="en-IN"/>
        </w:rPr>
      </w:pPr>
      <w:r w:rsidRPr="00622FA9">
        <w:rPr>
          <w:rFonts w:ascii="Arial" w:hAnsi="Arial" w:cs="Arial"/>
          <w:lang w:val="en-IN"/>
        </w:rPr>
        <w:t xml:space="preserve">International data similarly support the role of ICUs as amplification settings for healthcare-associated MRSA. In European ICU prevalence studies, MRSA has constituted a substantial proportion of ICU-acquired </w:t>
      </w:r>
      <w:r w:rsidR="00A5268A" w:rsidRPr="00A5268A">
        <w:rPr>
          <w:rFonts w:ascii="Arial" w:hAnsi="Arial" w:cs="Arial"/>
          <w:i/>
          <w:iCs/>
          <w:lang w:val="en-IN"/>
        </w:rPr>
        <w:t>S. aureus</w:t>
      </w:r>
      <w:r w:rsidRPr="00622FA9">
        <w:rPr>
          <w:rFonts w:ascii="Arial" w:hAnsi="Arial" w:cs="Arial"/>
          <w:lang w:val="en-IN"/>
        </w:rPr>
        <w:t xml:space="preserve"> infections, reinforcing the need for unit-focused prevention strategies (</w:t>
      </w:r>
      <w:proofErr w:type="spellStart"/>
      <w:r w:rsidRPr="00622FA9">
        <w:rPr>
          <w:rFonts w:ascii="Arial" w:hAnsi="Arial" w:cs="Arial"/>
          <w:lang w:val="en-IN"/>
        </w:rPr>
        <w:t>Chaix</w:t>
      </w:r>
      <w:proofErr w:type="spellEnd"/>
      <w:r w:rsidRPr="00622FA9">
        <w:rPr>
          <w:rFonts w:ascii="Arial" w:hAnsi="Arial" w:cs="Arial"/>
          <w:lang w:val="en-IN"/>
        </w:rPr>
        <w:t xml:space="preserve"> </w:t>
      </w:r>
      <w:r w:rsidR="00A5268A" w:rsidRPr="00A5268A">
        <w:rPr>
          <w:rFonts w:ascii="Arial" w:hAnsi="Arial" w:cs="Arial"/>
          <w:i/>
          <w:iCs/>
          <w:lang w:val="en-IN"/>
        </w:rPr>
        <w:t>et al</w:t>
      </w:r>
      <w:r w:rsidRPr="00622FA9">
        <w:rPr>
          <w:rFonts w:ascii="Arial" w:hAnsi="Arial" w:cs="Arial"/>
          <w:lang w:val="en-IN"/>
        </w:rPr>
        <w:t xml:space="preserve">., 1999). The absence of widespread resistance to vancomycin and linezolid in this study is reassuring and aligns with Indian national surveillance and mechanistic reports indicating that vancomycin-non-susceptible or linezolid-resistant </w:t>
      </w:r>
      <w:r w:rsidR="00A5268A" w:rsidRPr="00A5268A">
        <w:rPr>
          <w:rFonts w:ascii="Arial" w:hAnsi="Arial" w:cs="Arial"/>
          <w:i/>
          <w:iCs/>
          <w:lang w:val="en-IN"/>
        </w:rPr>
        <w:t>S. aureus</w:t>
      </w:r>
      <w:r w:rsidRPr="00622FA9">
        <w:rPr>
          <w:rFonts w:ascii="Arial" w:hAnsi="Arial" w:cs="Arial"/>
          <w:lang w:val="en-IN"/>
        </w:rPr>
        <w:t xml:space="preserve"> remains uncommon, although sporadic VISA/VRSA cases have been described (</w:t>
      </w:r>
      <w:proofErr w:type="spellStart"/>
      <w:r w:rsidRPr="00622FA9">
        <w:rPr>
          <w:rFonts w:ascii="Arial" w:hAnsi="Arial" w:cs="Arial"/>
          <w:lang w:val="en-IN"/>
        </w:rPr>
        <w:t>Walia</w:t>
      </w:r>
      <w:proofErr w:type="spellEnd"/>
      <w:r w:rsidRPr="00622FA9">
        <w:rPr>
          <w:rFonts w:ascii="Arial" w:hAnsi="Arial" w:cs="Arial"/>
          <w:lang w:val="en-IN"/>
        </w:rPr>
        <w:t xml:space="preserve"> </w:t>
      </w:r>
      <w:r w:rsidR="00A5268A" w:rsidRPr="00A5268A">
        <w:rPr>
          <w:rFonts w:ascii="Arial" w:hAnsi="Arial" w:cs="Arial"/>
          <w:i/>
          <w:iCs/>
          <w:lang w:val="en-IN"/>
        </w:rPr>
        <w:t>et al</w:t>
      </w:r>
      <w:r w:rsidRPr="00622FA9">
        <w:rPr>
          <w:rFonts w:ascii="Arial" w:hAnsi="Arial" w:cs="Arial"/>
          <w:lang w:val="en-IN"/>
        </w:rPr>
        <w:t xml:space="preserve">., 2019; </w:t>
      </w:r>
      <w:proofErr w:type="spellStart"/>
      <w:r w:rsidR="00A5268A" w:rsidRPr="00A5268A">
        <w:rPr>
          <w:rFonts w:ascii="Arial" w:hAnsi="Arial" w:cs="Arial"/>
          <w:lang w:val="en-IN"/>
        </w:rPr>
        <w:t>Veeraraghavan</w:t>
      </w:r>
      <w:proofErr w:type="spellEnd"/>
      <w:r w:rsidR="00A5268A" w:rsidRPr="00A5268A">
        <w:rPr>
          <w:rFonts w:ascii="Arial" w:hAnsi="Arial" w:cs="Arial"/>
          <w:lang w:val="en-IN"/>
        </w:rPr>
        <w:t xml:space="preserve"> </w:t>
      </w:r>
      <w:r w:rsidR="00A5268A">
        <w:rPr>
          <w:rFonts w:ascii="Arial" w:hAnsi="Arial" w:cs="Arial"/>
          <w:lang w:val="en-IN"/>
        </w:rPr>
        <w:t>and</w:t>
      </w:r>
      <w:r w:rsidR="00A5268A" w:rsidRPr="00A5268A">
        <w:rPr>
          <w:rFonts w:ascii="Arial" w:hAnsi="Arial" w:cs="Arial"/>
          <w:lang w:val="en-IN"/>
        </w:rPr>
        <w:t xml:space="preserve"> </w:t>
      </w:r>
      <w:proofErr w:type="spellStart"/>
      <w:r w:rsidR="00A5268A" w:rsidRPr="00A5268A">
        <w:rPr>
          <w:rFonts w:ascii="Arial" w:hAnsi="Arial" w:cs="Arial"/>
          <w:lang w:val="en-IN"/>
        </w:rPr>
        <w:t>Walia</w:t>
      </w:r>
      <w:proofErr w:type="spellEnd"/>
      <w:r w:rsidR="00A5268A" w:rsidRPr="00A5268A">
        <w:rPr>
          <w:rFonts w:ascii="Arial" w:hAnsi="Arial" w:cs="Arial"/>
          <w:lang w:val="en-IN"/>
        </w:rPr>
        <w:t>, 2019)</w:t>
      </w:r>
      <w:r w:rsidRPr="00622FA9">
        <w:rPr>
          <w:rFonts w:ascii="Arial" w:hAnsi="Arial" w:cs="Arial"/>
          <w:lang w:val="en-IN"/>
        </w:rPr>
        <w:t xml:space="preserve">. Accordingly, these findings </w:t>
      </w:r>
      <w:r w:rsidRPr="00622FA9">
        <w:rPr>
          <w:rFonts w:ascii="Arial" w:hAnsi="Arial" w:cs="Arial"/>
          <w:lang w:val="en-IN"/>
        </w:rPr>
        <w:lastRenderedPageBreak/>
        <w:t xml:space="preserve">support prioritizing ICU-specific antibiograms, reinforced infection control, and targeted stewardship, with empiric anti-MRSA coverage guided by local unit-level susceptibility patterns (Joshi </w:t>
      </w:r>
      <w:r w:rsidR="00A5268A" w:rsidRPr="00A5268A">
        <w:rPr>
          <w:rFonts w:ascii="Arial" w:hAnsi="Arial" w:cs="Arial"/>
          <w:i/>
          <w:iCs/>
          <w:lang w:val="en-IN"/>
        </w:rPr>
        <w:t>et al</w:t>
      </w:r>
      <w:r w:rsidRPr="00622FA9">
        <w:rPr>
          <w:rFonts w:ascii="Arial" w:hAnsi="Arial" w:cs="Arial"/>
          <w:lang w:val="en-IN"/>
        </w:rPr>
        <w:t>., 2013).</w:t>
      </w:r>
    </w:p>
    <w:p w14:paraId="2A46D36B" w14:textId="7E71DB8A" w:rsidR="00927834" w:rsidRPr="00DA3FB0" w:rsidRDefault="00F95B1B" w:rsidP="000D079E">
      <w:pPr>
        <w:pStyle w:val="Body"/>
        <w:rPr>
          <w:rFonts w:ascii="Arial" w:hAnsi="Arial" w:cs="Arial"/>
          <w:b/>
          <w:bCs/>
          <w:sz w:val="22"/>
          <w:szCs w:val="22"/>
        </w:rPr>
      </w:pPr>
      <w:r>
        <w:rPr>
          <w:rFonts w:ascii="Arial" w:hAnsi="Arial" w:cs="Arial"/>
          <w:noProof/>
        </w:rPr>
        <w:pict w14:anchorId="635A9E52">
          <v:line id="Straight Connector 10" o:spid="_x0000_s1027" style="position:absolute;left:0;text-align:left;flip:y;z-index:251659264;visibility:visible;mso-wrap-style:square;mso-wrap-distance-left:9pt;mso-wrap-distance-top:0;mso-wrap-distance-right:9pt;mso-wrap-distance-bottom:0;mso-position-horizontal-relative:text;mso-position-vertical-relative:text" from="105pt,10pt" to="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" strokecolor="red" strokeweight="1.5pt">
            <v:stroke dashstyle="dash" joinstyle="miter"/>
          </v:line>
        </w:pict>
      </w:r>
      <w:r w:rsidR="001D3A51" w:rsidRPr="00DA3FB0">
        <w:rPr>
          <w:rFonts w:ascii="Arial" w:hAnsi="Arial" w:cs="Arial"/>
          <w:b/>
          <w:bCs/>
          <w:noProof/>
          <w:sz w:val="22"/>
          <w:szCs w:val="22"/>
        </w:rPr>
        <w:drawing>
          <wp:inline distT="0" distB="0" distL="0" distR="0" wp14:anchorId="35EEAE8D" wp14:editId="4A5219EC">
            <wp:extent cx="5105400" cy="2489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5118504" cy="2495948"/>
                    </a:xfrm>
                    <a:prstGeom prst="rect">
                      <a:avLst/>
                    </a:prstGeom>
                  </pic:spPr>
                </pic:pic>
              </a:graphicData>
            </a:graphic>
          </wp:inline>
        </w:drawing>
      </w:r>
    </w:p>
    <w:p w14:paraId="2999ACFD" w14:textId="22CC9B8E" w:rsidR="00075C78" w:rsidRPr="00DA3FB0" w:rsidRDefault="009E048A" w:rsidP="00075C78">
      <w:pPr>
        <w:autoSpaceDE w:val="0"/>
        <w:autoSpaceDN w:val="0"/>
        <w:adjustRightInd w:val="0"/>
        <w:jc w:val="both"/>
        <w:rPr>
          <w:rFonts w:ascii="Arial" w:hAnsi="Arial" w:cs="Arial"/>
          <w:b/>
          <w:bCs/>
          <w:szCs w:val="22"/>
        </w:rPr>
      </w:pPr>
      <w:bookmarkStart w:id="4" w:name="_Hlk217088706"/>
      <w:r w:rsidRPr="00DA3FB0">
        <w:rPr>
          <w:rFonts w:ascii="Arial" w:hAnsi="Arial" w:cs="Arial"/>
          <w:b/>
          <w:bCs/>
          <w:szCs w:val="22"/>
        </w:rPr>
        <w:t>Fig.</w:t>
      </w:r>
      <w:r w:rsidR="00927834" w:rsidRPr="00DA3FB0">
        <w:rPr>
          <w:rFonts w:ascii="Arial" w:hAnsi="Arial" w:cs="Arial"/>
          <w:b/>
          <w:bCs/>
          <w:szCs w:val="22"/>
        </w:rPr>
        <w:t xml:space="preserve"> 1</w:t>
      </w:r>
      <w:r w:rsidRPr="00DA3FB0">
        <w:rPr>
          <w:rFonts w:ascii="Arial" w:hAnsi="Arial" w:cs="Arial"/>
          <w:b/>
          <w:bCs/>
          <w:szCs w:val="22"/>
        </w:rPr>
        <w:t>.</w:t>
      </w:r>
      <w:r w:rsidR="00927834" w:rsidRPr="00DA3FB0">
        <w:rPr>
          <w:rFonts w:ascii="Arial" w:hAnsi="Arial" w:cs="Arial"/>
          <w:b/>
          <w:bCs/>
          <w:szCs w:val="22"/>
        </w:rPr>
        <w:t xml:space="preserve"> </w:t>
      </w:r>
      <w:r w:rsidR="00075C78" w:rsidRPr="00DA3FB0">
        <w:rPr>
          <w:rFonts w:ascii="Arial" w:hAnsi="Arial" w:cs="Arial"/>
          <w:b/>
          <w:bCs/>
          <w:szCs w:val="22"/>
        </w:rPr>
        <w:t>Forest plot showing odds ratios (OR) with 95% confidence intervals for ICU-associated antimicrobial resistance compared with IPD isolates.</w:t>
      </w:r>
    </w:p>
    <w:p w14:paraId="03404FEE" w14:textId="0810801B" w:rsidR="00863BD3" w:rsidRPr="00DA3FB0" w:rsidRDefault="00075C78" w:rsidP="00441B6F">
      <w:pPr>
        <w:pStyle w:val="Body"/>
        <w:spacing w:after="0"/>
        <w:rPr>
          <w:rFonts w:ascii="Arial" w:hAnsi="Arial" w:cs="Arial"/>
          <w:i/>
          <w:sz w:val="18"/>
        </w:rPr>
      </w:pPr>
      <w:r w:rsidRPr="00DA3FB0">
        <w:rPr>
          <w:rFonts w:ascii="Arial" w:hAnsi="Arial" w:cs="Arial"/>
          <w:i/>
          <w:sz w:val="18"/>
        </w:rPr>
        <w:t xml:space="preserve">Forest plot showing odds ratios (with 95% confidence intervals) for antimicrobial resistance in ICU versus IPD isolates of </w:t>
      </w:r>
      <w:r w:rsidR="00A5268A" w:rsidRPr="00A5268A">
        <w:rPr>
          <w:rFonts w:ascii="Arial" w:hAnsi="Arial" w:cs="Arial"/>
          <w:i/>
          <w:iCs/>
          <w:sz w:val="18"/>
        </w:rPr>
        <w:t>Escherichia coli</w:t>
      </w:r>
      <w:r w:rsidRPr="00DA3FB0">
        <w:rPr>
          <w:rFonts w:ascii="Arial" w:hAnsi="Arial" w:cs="Arial"/>
          <w:i/>
          <w:sz w:val="18"/>
        </w:rPr>
        <w:t xml:space="preserve">, </w:t>
      </w:r>
      <w:r w:rsidR="00A5268A" w:rsidRPr="00A5268A">
        <w:rPr>
          <w:rFonts w:ascii="Arial" w:hAnsi="Arial" w:cs="Arial"/>
          <w:i/>
          <w:iCs/>
          <w:sz w:val="18"/>
        </w:rPr>
        <w:t>Klebsiella pneumoniae</w:t>
      </w:r>
      <w:r w:rsidR="004D7614">
        <w:rPr>
          <w:rFonts w:ascii="Arial" w:hAnsi="Arial" w:cs="Arial"/>
          <w:i/>
          <w:sz w:val="18"/>
        </w:rPr>
        <w:t xml:space="preserve"> and</w:t>
      </w:r>
      <w:r w:rsidRPr="00DA3FB0">
        <w:rPr>
          <w:rFonts w:ascii="Arial" w:hAnsi="Arial" w:cs="Arial"/>
          <w:i/>
          <w:sz w:val="18"/>
        </w:rPr>
        <w:t xml:space="preserve"> </w:t>
      </w:r>
      <w:r w:rsidR="00A5268A" w:rsidRPr="00A5268A">
        <w:rPr>
          <w:rFonts w:ascii="Arial" w:hAnsi="Arial" w:cs="Arial"/>
          <w:i/>
          <w:iCs/>
          <w:sz w:val="18"/>
        </w:rPr>
        <w:t>Staphylococcus aureus</w:t>
      </w:r>
      <w:r w:rsidRPr="00DA3FB0">
        <w:rPr>
          <w:rFonts w:ascii="Arial" w:hAnsi="Arial" w:cs="Arial"/>
          <w:i/>
          <w:sz w:val="18"/>
        </w:rPr>
        <w:t>. Odds ratios greater than 1 indicate higher resistance associated with ICU isolates.</w:t>
      </w:r>
    </w:p>
    <w:bookmarkEnd w:id="4"/>
    <w:p w14:paraId="5CDEB78D" w14:textId="77777777" w:rsidR="00075C78" w:rsidRPr="00DA3FB0" w:rsidRDefault="00075C78" w:rsidP="00441B6F">
      <w:pPr>
        <w:pStyle w:val="Body"/>
        <w:spacing w:after="0"/>
        <w:rPr>
          <w:rFonts w:ascii="Arial" w:hAnsi="Arial" w:cs="Arial"/>
          <w:i/>
          <w:sz w:val="18"/>
        </w:rPr>
      </w:pPr>
    </w:p>
    <w:p w14:paraId="22E16D4F" w14:textId="29ACEC99" w:rsidR="00075C78" w:rsidRPr="00075C78" w:rsidRDefault="00075C78" w:rsidP="00075C78">
      <w:pPr>
        <w:pStyle w:val="Body"/>
        <w:spacing w:after="0"/>
        <w:rPr>
          <w:rFonts w:ascii="Arial" w:hAnsi="Arial" w:cs="Arial"/>
          <w:lang w:val="en-IN"/>
        </w:rPr>
      </w:pPr>
      <w:r w:rsidRPr="00075C78">
        <w:rPr>
          <w:rFonts w:ascii="Arial" w:hAnsi="Arial" w:cs="Arial"/>
          <w:lang w:val="en-IN"/>
        </w:rPr>
        <w:t xml:space="preserve">Figure 1 demonstrates that ICU location is consistently associated with higher odds of antimicrobial resistance across all three organisms, with the strongest associations observed for carbapenem resistance in </w:t>
      </w:r>
      <w:r w:rsidR="00A5268A" w:rsidRPr="00A5268A">
        <w:rPr>
          <w:rFonts w:ascii="Arial" w:hAnsi="Arial" w:cs="Arial"/>
          <w:i/>
          <w:iCs/>
          <w:lang w:val="en-IN"/>
        </w:rPr>
        <w:t>Escherichia coli</w:t>
      </w:r>
      <w:r w:rsidRPr="00075C78">
        <w:rPr>
          <w:rFonts w:ascii="Arial" w:hAnsi="Arial" w:cs="Arial"/>
          <w:lang w:val="en-IN"/>
        </w:rPr>
        <w:t xml:space="preserve"> and </w:t>
      </w:r>
      <w:r w:rsidR="00A5268A" w:rsidRPr="00A5268A">
        <w:rPr>
          <w:rFonts w:ascii="Arial" w:hAnsi="Arial" w:cs="Arial"/>
          <w:i/>
          <w:iCs/>
          <w:lang w:val="en-IN"/>
        </w:rPr>
        <w:t>Klebsiella pneumoniae</w:t>
      </w:r>
      <w:r w:rsidR="004D7614">
        <w:rPr>
          <w:rFonts w:ascii="Arial" w:hAnsi="Arial" w:cs="Arial"/>
          <w:lang w:val="en-IN"/>
        </w:rPr>
        <w:t xml:space="preserve"> and</w:t>
      </w:r>
      <w:r w:rsidRPr="00075C78">
        <w:rPr>
          <w:rFonts w:ascii="Arial" w:hAnsi="Arial" w:cs="Arial"/>
          <w:lang w:val="en-IN"/>
        </w:rPr>
        <w:t xml:space="preserve"> methicillin resistance in </w:t>
      </w:r>
      <w:r w:rsidR="00A5268A" w:rsidRPr="00A5268A">
        <w:rPr>
          <w:rFonts w:ascii="Arial" w:hAnsi="Arial" w:cs="Arial"/>
          <w:i/>
          <w:iCs/>
          <w:lang w:val="en-IN"/>
        </w:rPr>
        <w:t>Staphylococcus aureus</w:t>
      </w:r>
      <w:r w:rsidRPr="00075C78">
        <w:rPr>
          <w:rFonts w:ascii="Arial" w:hAnsi="Arial" w:cs="Arial"/>
          <w:lang w:val="en-IN"/>
        </w:rPr>
        <w:t xml:space="preserve">. Similar ICU-predominant resistance patterns have been reported in Indian hospital-based studies. Gupta </w:t>
      </w:r>
      <w:r w:rsidR="00A5268A" w:rsidRPr="00A5268A">
        <w:rPr>
          <w:rFonts w:ascii="Arial" w:hAnsi="Arial" w:cs="Arial"/>
          <w:i/>
          <w:iCs/>
          <w:lang w:val="en-IN"/>
        </w:rPr>
        <w:t>et al</w:t>
      </w:r>
      <w:r w:rsidRPr="00075C78">
        <w:rPr>
          <w:rFonts w:ascii="Arial" w:hAnsi="Arial" w:cs="Arial"/>
          <w:lang w:val="en-IN"/>
        </w:rPr>
        <w:t xml:space="preserve">. (2019) and Sharma </w:t>
      </w:r>
      <w:r w:rsidR="00A5268A" w:rsidRPr="00A5268A">
        <w:rPr>
          <w:rFonts w:ascii="Arial" w:hAnsi="Arial" w:cs="Arial"/>
          <w:i/>
          <w:iCs/>
          <w:lang w:val="en-IN"/>
        </w:rPr>
        <w:t>et al</w:t>
      </w:r>
      <w:r w:rsidRPr="00075C78">
        <w:rPr>
          <w:rFonts w:ascii="Arial" w:hAnsi="Arial" w:cs="Arial"/>
          <w:lang w:val="en-IN"/>
        </w:rPr>
        <w:t>. (2023) found significantly higher carbapenem resistance among ICU isolates of Enterobacteriaceae compared with non-ICU isolates, attributing this to intensive antibiotic exposure in critical care settings.</w:t>
      </w:r>
    </w:p>
    <w:p w14:paraId="3D2B2FB0" w14:textId="5B4C0965" w:rsidR="00075C78" w:rsidRPr="00075C78" w:rsidRDefault="00075C78" w:rsidP="00075C78">
      <w:pPr>
        <w:pStyle w:val="Body"/>
        <w:spacing w:after="0"/>
        <w:rPr>
          <w:rFonts w:ascii="Arial" w:hAnsi="Arial" w:cs="Arial"/>
          <w:lang w:val="en-IN"/>
        </w:rPr>
      </w:pPr>
      <w:r w:rsidRPr="00075C78">
        <w:rPr>
          <w:rFonts w:ascii="Arial" w:hAnsi="Arial" w:cs="Arial"/>
          <w:lang w:val="en-IN"/>
        </w:rPr>
        <w:t xml:space="preserve">National surveillance data further </w:t>
      </w:r>
      <w:proofErr w:type="gramStart"/>
      <w:r w:rsidRPr="00075C78">
        <w:rPr>
          <w:rFonts w:ascii="Arial" w:hAnsi="Arial" w:cs="Arial"/>
          <w:lang w:val="en-IN"/>
        </w:rPr>
        <w:t>support</w:t>
      </w:r>
      <w:proofErr w:type="gramEnd"/>
      <w:r w:rsidRPr="00075C78">
        <w:rPr>
          <w:rFonts w:ascii="Arial" w:hAnsi="Arial" w:cs="Arial"/>
          <w:lang w:val="en-IN"/>
        </w:rPr>
        <w:t xml:space="preserve"> these findings. </w:t>
      </w:r>
      <w:proofErr w:type="spellStart"/>
      <w:r w:rsidRPr="00075C78">
        <w:rPr>
          <w:rFonts w:ascii="Arial" w:hAnsi="Arial" w:cs="Arial"/>
          <w:lang w:val="en-IN"/>
        </w:rPr>
        <w:t>Gandra</w:t>
      </w:r>
      <w:proofErr w:type="spellEnd"/>
      <w:r w:rsidRPr="00075C78">
        <w:rPr>
          <w:rFonts w:ascii="Arial" w:hAnsi="Arial" w:cs="Arial"/>
          <w:lang w:val="en-IN"/>
        </w:rPr>
        <w:t xml:space="preserve"> </w:t>
      </w:r>
      <w:r w:rsidR="00A5268A" w:rsidRPr="00A5268A">
        <w:rPr>
          <w:rFonts w:ascii="Arial" w:hAnsi="Arial" w:cs="Arial"/>
          <w:i/>
          <w:iCs/>
          <w:lang w:val="en-IN"/>
        </w:rPr>
        <w:t>et al</w:t>
      </w:r>
      <w:r w:rsidRPr="00075C78">
        <w:rPr>
          <w:rFonts w:ascii="Arial" w:hAnsi="Arial" w:cs="Arial"/>
          <w:lang w:val="en-IN"/>
        </w:rPr>
        <w:t xml:space="preserve">. (2016) reported rising carbapenem resistance among </w:t>
      </w:r>
      <w:r w:rsidR="00A5268A" w:rsidRPr="00A5268A">
        <w:rPr>
          <w:rFonts w:ascii="Arial" w:hAnsi="Arial" w:cs="Arial"/>
          <w:i/>
          <w:iCs/>
          <w:lang w:val="en-IN"/>
        </w:rPr>
        <w:t>Klebsiella pneumoniae</w:t>
      </w:r>
      <w:r w:rsidRPr="00075C78">
        <w:rPr>
          <w:rFonts w:ascii="Arial" w:hAnsi="Arial" w:cs="Arial"/>
          <w:lang w:val="en-IN"/>
        </w:rPr>
        <w:t xml:space="preserve"> isolates in India, particularly in hospital-acquired and ICU-associated infections. Internationally, Logan and Weinstein (2017) identified intensive care units as primary reservoirs for carbapenem-resistant Enterobacteriaceae, consistent with the elevated odds observed in the present study.</w:t>
      </w:r>
    </w:p>
    <w:p w14:paraId="1A44DE7E" w14:textId="5C51BDA6" w:rsidR="00075C78" w:rsidRPr="00DA3FB0" w:rsidRDefault="00075C78" w:rsidP="00441B6F">
      <w:pPr>
        <w:pStyle w:val="Body"/>
        <w:spacing w:after="0"/>
        <w:rPr>
          <w:rFonts w:ascii="Arial" w:hAnsi="Arial" w:cs="Arial"/>
          <w:lang w:val="en-IN"/>
        </w:rPr>
      </w:pPr>
      <w:bookmarkStart w:id="5" w:name="_GoBack"/>
      <w:bookmarkEnd w:id="5"/>
    </w:p>
    <w:p w14:paraId="16ABD6CF" w14:textId="0F114222" w:rsidR="00075C78" w:rsidRPr="00DA3FB0" w:rsidRDefault="00FF1497" w:rsidP="00075C78">
      <w:pPr>
        <w:autoSpaceDE w:val="0"/>
        <w:autoSpaceDN w:val="0"/>
        <w:adjustRightInd w:val="0"/>
        <w:jc w:val="both"/>
        <w:rPr>
          <w:rFonts w:ascii="Arial" w:hAnsi="Arial" w:cs="Arial"/>
          <w:b/>
          <w:bCs/>
          <w:szCs w:val="22"/>
        </w:rPr>
      </w:pPr>
      <w:r w:rsidRPr="00DA3FB0">
        <w:rPr>
          <w:rFonts w:ascii="Arial" w:hAnsi="Arial" w:cs="Arial"/>
          <w:b/>
          <w:bCs/>
          <w:noProof/>
          <w:sz w:val="22"/>
          <w:szCs w:val="22"/>
        </w:rPr>
        <w:lastRenderedPageBreak/>
        <w:drawing>
          <wp:anchor distT="0" distB="0" distL="114300" distR="114300" simplePos="0" relativeHeight="251658240" behindDoc="0" locked="0" layoutInCell="1" allowOverlap="1" wp14:anchorId="6573DAF8" wp14:editId="6A03E121">
            <wp:simplePos x="0" y="0"/>
            <wp:positionH relativeFrom="column">
              <wp:posOffset>693420</wp:posOffset>
            </wp:positionH>
            <wp:positionV relativeFrom="paragraph">
              <wp:posOffset>-429895</wp:posOffset>
            </wp:positionV>
            <wp:extent cx="3658870" cy="2193290"/>
            <wp:effectExtent l="0" t="0" r="0" b="0"/>
            <wp:wrapTopAndBottom/>
            <wp:docPr id="1430492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92085" name="Picture 2"/>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3658870" cy="2193290"/>
                    </a:xfrm>
                    <a:prstGeom prst="rect">
                      <a:avLst/>
                    </a:prstGeom>
                  </pic:spPr>
                </pic:pic>
              </a:graphicData>
            </a:graphic>
          </wp:anchor>
        </w:drawing>
      </w:r>
      <w:r w:rsidR="00075C78" w:rsidRPr="00DA3FB0">
        <w:rPr>
          <w:rFonts w:ascii="Arial" w:hAnsi="Arial" w:cs="Arial"/>
          <w:b/>
          <w:bCs/>
          <w:szCs w:val="22"/>
        </w:rPr>
        <w:t>Fig. 2. Comparison of antimicrobial resistance prevalence (%) between ICU (N=300) and IPD (N=537) isolates across major pathogens.</w:t>
      </w:r>
    </w:p>
    <w:p w14:paraId="7EB2CE65" w14:textId="3A51DE51" w:rsidR="006F61D5" w:rsidRPr="00DA3FB0" w:rsidRDefault="00DA3FB0" w:rsidP="00441B6F">
      <w:pPr>
        <w:pStyle w:val="Body"/>
        <w:spacing w:after="0"/>
        <w:rPr>
          <w:rFonts w:ascii="Arial" w:hAnsi="Arial" w:cs="Arial"/>
          <w:i/>
          <w:sz w:val="18"/>
        </w:rPr>
      </w:pPr>
      <w:r w:rsidRPr="00DA3FB0">
        <w:rPr>
          <w:rFonts w:ascii="Arial" w:hAnsi="Arial" w:cs="Arial"/>
          <w:i/>
          <w:sz w:val="18"/>
        </w:rPr>
        <w:t xml:space="preserve">Comparison of antimicrobial resistance percentages between ICU and IPD isolates for </w:t>
      </w:r>
      <w:r w:rsidR="00A5268A" w:rsidRPr="00A5268A">
        <w:rPr>
          <w:rFonts w:ascii="Arial" w:hAnsi="Arial" w:cs="Arial"/>
          <w:i/>
          <w:iCs/>
          <w:sz w:val="18"/>
        </w:rPr>
        <w:t>Escherichia coli</w:t>
      </w:r>
      <w:r w:rsidRPr="00DA3FB0">
        <w:rPr>
          <w:rFonts w:ascii="Arial" w:hAnsi="Arial" w:cs="Arial"/>
          <w:i/>
          <w:sz w:val="18"/>
        </w:rPr>
        <w:t xml:space="preserve">, </w:t>
      </w:r>
      <w:r w:rsidR="00A5268A" w:rsidRPr="00A5268A">
        <w:rPr>
          <w:rFonts w:ascii="Arial" w:hAnsi="Arial" w:cs="Arial"/>
          <w:i/>
          <w:iCs/>
          <w:sz w:val="18"/>
        </w:rPr>
        <w:t>Klebsiella pneumoniae</w:t>
      </w:r>
      <w:r w:rsidR="004D7614">
        <w:rPr>
          <w:rFonts w:ascii="Arial" w:hAnsi="Arial" w:cs="Arial"/>
          <w:i/>
          <w:sz w:val="18"/>
        </w:rPr>
        <w:t xml:space="preserve"> and</w:t>
      </w:r>
      <w:r w:rsidRPr="00DA3FB0">
        <w:rPr>
          <w:rFonts w:ascii="Arial" w:hAnsi="Arial" w:cs="Arial"/>
          <w:i/>
          <w:sz w:val="18"/>
        </w:rPr>
        <w:t xml:space="preserve"> </w:t>
      </w:r>
      <w:r w:rsidR="00A5268A" w:rsidRPr="00A5268A">
        <w:rPr>
          <w:rFonts w:ascii="Arial" w:hAnsi="Arial" w:cs="Arial"/>
          <w:i/>
          <w:iCs/>
          <w:sz w:val="18"/>
        </w:rPr>
        <w:t>Staphylococcus aureus</w:t>
      </w:r>
      <w:r w:rsidRPr="00DA3FB0">
        <w:rPr>
          <w:rFonts w:ascii="Arial" w:hAnsi="Arial" w:cs="Arial"/>
          <w:i/>
          <w:sz w:val="18"/>
        </w:rPr>
        <w:t>. ICU isolates show consistently higher resistance for key antibiotic classes, particularly carbapenems and methicillin.</w:t>
      </w:r>
    </w:p>
    <w:p w14:paraId="418EB0F3" w14:textId="77777777" w:rsidR="00DA3FB0" w:rsidRPr="00DA3FB0" w:rsidRDefault="00DA3FB0" w:rsidP="00441B6F">
      <w:pPr>
        <w:pStyle w:val="Body"/>
        <w:spacing w:after="0"/>
        <w:rPr>
          <w:rFonts w:ascii="Arial" w:hAnsi="Arial" w:cs="Arial"/>
          <w:i/>
          <w:sz w:val="18"/>
        </w:rPr>
      </w:pPr>
    </w:p>
    <w:p w14:paraId="440CF46A" w14:textId="1EB30CA6" w:rsidR="00DA3FB0" w:rsidRPr="00DA3FB0" w:rsidRDefault="00DA3FB0" w:rsidP="00DA3FB0">
      <w:pPr>
        <w:pStyle w:val="Body"/>
        <w:spacing w:after="0"/>
        <w:rPr>
          <w:rFonts w:ascii="Arial" w:hAnsi="Arial" w:cs="Arial"/>
          <w:lang w:val="en-IN"/>
        </w:rPr>
      </w:pPr>
      <w:r w:rsidRPr="00DA3FB0">
        <w:rPr>
          <w:rFonts w:ascii="Arial" w:hAnsi="Arial" w:cs="Arial"/>
          <w:lang w:val="en-IN"/>
        </w:rPr>
        <w:t xml:space="preserve">The higher prevalence of methicillin-resistant </w:t>
      </w:r>
      <w:r w:rsidR="00A5268A" w:rsidRPr="00A5268A">
        <w:rPr>
          <w:rFonts w:ascii="Arial" w:hAnsi="Arial" w:cs="Arial"/>
          <w:i/>
          <w:iCs/>
          <w:lang w:val="en-IN"/>
        </w:rPr>
        <w:t>Staphylococcus aureus</w:t>
      </w:r>
      <w:r w:rsidRPr="00DA3FB0">
        <w:rPr>
          <w:rFonts w:ascii="Arial" w:hAnsi="Arial" w:cs="Arial"/>
          <w:lang w:val="en-IN"/>
        </w:rPr>
        <w:t xml:space="preserve"> among ICU isolates observed in Figure 2 aligns with Indian studies by Joshi </w:t>
      </w:r>
      <w:r w:rsidR="00A5268A" w:rsidRPr="00A5268A">
        <w:rPr>
          <w:rFonts w:ascii="Arial" w:hAnsi="Arial" w:cs="Arial"/>
          <w:i/>
          <w:iCs/>
          <w:lang w:val="en-IN"/>
        </w:rPr>
        <w:t>et al</w:t>
      </w:r>
      <w:r w:rsidRPr="00DA3FB0">
        <w:rPr>
          <w:rFonts w:ascii="Arial" w:hAnsi="Arial" w:cs="Arial"/>
          <w:lang w:val="en-IN"/>
        </w:rPr>
        <w:t xml:space="preserve">. (2013) and </w:t>
      </w:r>
      <w:r w:rsidR="009F2861">
        <w:rPr>
          <w:rFonts w:ascii="Arial" w:hAnsi="Arial" w:cs="Arial"/>
          <w:lang w:val="en-IN"/>
        </w:rPr>
        <w:t xml:space="preserve">Kumar and Yadav </w:t>
      </w:r>
      <w:r w:rsidRPr="00DA3FB0">
        <w:rPr>
          <w:rFonts w:ascii="Arial" w:hAnsi="Arial" w:cs="Arial"/>
          <w:lang w:val="en-IN"/>
        </w:rPr>
        <w:t xml:space="preserve">(2019), which documented higher MRSA rates in ICUs than general wards. Similar trends have been reported in </w:t>
      </w:r>
      <w:proofErr w:type="spellStart"/>
      <w:r w:rsidRPr="00DA3FB0">
        <w:rPr>
          <w:rFonts w:ascii="Arial" w:hAnsi="Arial" w:cs="Arial"/>
          <w:lang w:val="en-IN"/>
        </w:rPr>
        <w:t>multicenter</w:t>
      </w:r>
      <w:proofErr w:type="spellEnd"/>
      <w:r w:rsidRPr="00DA3FB0">
        <w:rPr>
          <w:rFonts w:ascii="Arial" w:hAnsi="Arial" w:cs="Arial"/>
          <w:lang w:val="en-IN"/>
        </w:rPr>
        <w:t xml:space="preserve"> European ICU surveillance studies (Vincent </w:t>
      </w:r>
      <w:r w:rsidR="00A5268A" w:rsidRPr="00A5268A">
        <w:rPr>
          <w:rFonts w:ascii="Arial" w:hAnsi="Arial" w:cs="Arial"/>
          <w:i/>
          <w:iCs/>
          <w:lang w:val="en-IN"/>
        </w:rPr>
        <w:t>et al</w:t>
      </w:r>
      <w:r w:rsidRPr="00DA3FB0">
        <w:rPr>
          <w:rFonts w:ascii="Arial" w:hAnsi="Arial" w:cs="Arial"/>
          <w:lang w:val="en-IN"/>
        </w:rPr>
        <w:t>., 2020), underscoring the global consistency of ICU-associated MRSA burden.</w:t>
      </w:r>
    </w:p>
    <w:p w14:paraId="400969F0" w14:textId="77777777" w:rsidR="00DA3FB0" w:rsidRPr="00DA3FB0" w:rsidRDefault="00DA3FB0" w:rsidP="00DA3FB0">
      <w:pPr>
        <w:pStyle w:val="Body"/>
        <w:spacing w:after="0"/>
        <w:rPr>
          <w:rFonts w:ascii="Arial" w:hAnsi="Arial" w:cs="Arial"/>
          <w:lang w:val="en-IN"/>
        </w:rPr>
      </w:pPr>
      <w:r w:rsidRPr="00DA3FB0">
        <w:rPr>
          <w:rFonts w:ascii="Arial" w:hAnsi="Arial" w:cs="Arial"/>
          <w:lang w:val="en-IN"/>
        </w:rPr>
        <w:t>Overall, the combined visual analysis reinforces that ICU admission is a major risk factor for antimicrobial resistance across multiple pathogens. These findings support recommendations for ICU-specific antibiograms and targeted antimicrobial stewardship strategies, rather than reliance on pooled hospital resistance data.</w:t>
      </w:r>
    </w:p>
    <w:p w14:paraId="5A656D01" w14:textId="77777777" w:rsidR="00790ADA" w:rsidRPr="00DA3FB0" w:rsidRDefault="00790ADA" w:rsidP="00441B6F">
      <w:pPr>
        <w:pStyle w:val="Body"/>
        <w:spacing w:after="0"/>
        <w:rPr>
          <w:rFonts w:ascii="Arial" w:hAnsi="Arial" w:cs="Arial"/>
        </w:rPr>
      </w:pPr>
    </w:p>
    <w:p w14:paraId="0013AFD6" w14:textId="77777777" w:rsidR="00B01FCD" w:rsidRPr="00DA3FB0" w:rsidRDefault="00000F8F" w:rsidP="00441B6F">
      <w:pPr>
        <w:pStyle w:val="ConcHead"/>
        <w:spacing w:after="0"/>
        <w:jc w:val="both"/>
        <w:rPr>
          <w:rFonts w:ascii="Arial" w:hAnsi="Arial" w:cs="Arial"/>
        </w:rPr>
      </w:pPr>
      <w:r w:rsidRPr="00DA3FB0">
        <w:rPr>
          <w:rFonts w:ascii="Arial" w:hAnsi="Arial" w:cs="Arial"/>
        </w:rPr>
        <w:t xml:space="preserve">4. </w:t>
      </w:r>
      <w:r w:rsidR="00B01FCD" w:rsidRPr="00DA3FB0">
        <w:rPr>
          <w:rFonts w:ascii="Arial" w:hAnsi="Arial" w:cs="Arial"/>
        </w:rPr>
        <w:t>Conclusion</w:t>
      </w:r>
    </w:p>
    <w:p w14:paraId="77766D55" w14:textId="77777777" w:rsidR="00DA3FB0" w:rsidRPr="00DA3FB0" w:rsidRDefault="00DA3FB0" w:rsidP="00DA3FB0">
      <w:pPr>
        <w:pStyle w:val="Body"/>
        <w:spacing w:after="0"/>
        <w:rPr>
          <w:rFonts w:ascii="Arial" w:hAnsi="Arial" w:cs="Arial"/>
          <w:lang w:val="en-IN"/>
        </w:rPr>
      </w:pPr>
    </w:p>
    <w:p w14:paraId="1ED376D8" w14:textId="684C3C4D" w:rsidR="00DA3FB0" w:rsidRPr="00DA3FB0" w:rsidRDefault="00DA3FB0" w:rsidP="00DA3FB0">
      <w:pPr>
        <w:pStyle w:val="Body"/>
        <w:spacing w:after="0"/>
        <w:rPr>
          <w:rFonts w:ascii="Arial" w:hAnsi="Arial" w:cs="Arial"/>
          <w:lang w:val="en-IN"/>
        </w:rPr>
      </w:pPr>
      <w:r w:rsidRPr="00DA3FB0">
        <w:rPr>
          <w:rFonts w:ascii="Arial" w:hAnsi="Arial" w:cs="Arial"/>
          <w:lang w:val="en-IN"/>
        </w:rPr>
        <w:t>This comparative analysis of semi-annual surveillance data from Gujarat (July</w:t>
      </w:r>
      <w:r w:rsidR="008A1B4D">
        <w:rPr>
          <w:rFonts w:ascii="Arial" w:hAnsi="Arial" w:cs="Arial"/>
          <w:lang w:val="en-IN"/>
        </w:rPr>
        <w:t>-</w:t>
      </w:r>
      <w:r w:rsidRPr="00DA3FB0">
        <w:rPr>
          <w:rFonts w:ascii="Arial" w:hAnsi="Arial" w:cs="Arial"/>
          <w:lang w:val="en-IN"/>
        </w:rPr>
        <w:t xml:space="preserve">December 2024) demonstrates that intensive care unit isolates of </w:t>
      </w:r>
      <w:r w:rsidR="00A5268A" w:rsidRPr="00A5268A">
        <w:rPr>
          <w:rFonts w:ascii="Arial" w:hAnsi="Arial" w:cs="Arial"/>
          <w:i/>
          <w:iCs/>
          <w:lang w:val="en-IN"/>
        </w:rPr>
        <w:t>Escherichia coli</w:t>
      </w:r>
      <w:r w:rsidRPr="00DA3FB0">
        <w:rPr>
          <w:rFonts w:ascii="Arial" w:hAnsi="Arial" w:cs="Arial"/>
          <w:lang w:val="en-IN"/>
        </w:rPr>
        <w:t xml:space="preserve">, </w:t>
      </w:r>
      <w:r w:rsidR="00A5268A" w:rsidRPr="00A5268A">
        <w:rPr>
          <w:rFonts w:ascii="Arial" w:hAnsi="Arial" w:cs="Arial"/>
          <w:i/>
          <w:iCs/>
          <w:lang w:val="en-IN"/>
        </w:rPr>
        <w:t>Klebsiella pneumoniae</w:t>
      </w:r>
      <w:r w:rsidR="004D7614">
        <w:rPr>
          <w:rFonts w:ascii="Arial" w:hAnsi="Arial" w:cs="Arial"/>
          <w:lang w:val="en-IN"/>
        </w:rPr>
        <w:t xml:space="preserve"> and</w:t>
      </w:r>
      <w:r w:rsidRPr="00DA3FB0">
        <w:rPr>
          <w:rFonts w:ascii="Arial" w:hAnsi="Arial" w:cs="Arial"/>
          <w:lang w:val="en-IN"/>
        </w:rPr>
        <w:t xml:space="preserve"> </w:t>
      </w:r>
      <w:r w:rsidR="00A5268A" w:rsidRPr="00A5268A">
        <w:rPr>
          <w:rFonts w:ascii="Arial" w:hAnsi="Arial" w:cs="Arial"/>
          <w:i/>
          <w:iCs/>
          <w:lang w:val="en-IN"/>
        </w:rPr>
        <w:t>Staphylococcus aureus</w:t>
      </w:r>
      <w:r w:rsidRPr="00DA3FB0">
        <w:rPr>
          <w:rFonts w:ascii="Arial" w:hAnsi="Arial" w:cs="Arial"/>
          <w:lang w:val="en-IN"/>
        </w:rPr>
        <w:t xml:space="preserve"> exhibit higher antimicrobial resistance than isolates from non-intensive care inpatient departments. The most pronounced differences were observed for carbapenem resistance in </w:t>
      </w:r>
      <w:r w:rsidR="00A5268A" w:rsidRPr="00A5268A">
        <w:rPr>
          <w:rFonts w:ascii="Arial" w:hAnsi="Arial" w:cs="Arial"/>
          <w:i/>
          <w:iCs/>
          <w:lang w:val="en-IN"/>
        </w:rPr>
        <w:t>E. coli</w:t>
      </w:r>
      <w:r w:rsidRPr="00DA3FB0">
        <w:rPr>
          <w:rFonts w:ascii="Arial" w:hAnsi="Arial" w:cs="Arial"/>
          <w:lang w:val="en-IN"/>
        </w:rPr>
        <w:t xml:space="preserve"> and </w:t>
      </w:r>
      <w:r w:rsidR="00A5268A" w:rsidRPr="00A5268A">
        <w:rPr>
          <w:rFonts w:ascii="Arial" w:hAnsi="Arial" w:cs="Arial"/>
          <w:i/>
          <w:iCs/>
          <w:lang w:val="en-IN"/>
        </w:rPr>
        <w:t>K. pneumoniae</w:t>
      </w:r>
      <w:r w:rsidRPr="00DA3FB0">
        <w:rPr>
          <w:rFonts w:ascii="Arial" w:hAnsi="Arial" w:cs="Arial"/>
          <w:lang w:val="en-IN"/>
        </w:rPr>
        <w:t xml:space="preserve"> and methicillin resistance in </w:t>
      </w:r>
      <w:r w:rsidR="00A5268A" w:rsidRPr="00A5268A">
        <w:rPr>
          <w:rFonts w:ascii="Arial" w:hAnsi="Arial" w:cs="Arial"/>
          <w:i/>
          <w:iCs/>
          <w:lang w:val="en-IN"/>
        </w:rPr>
        <w:t>S. aureus</w:t>
      </w:r>
      <w:r w:rsidRPr="00DA3FB0">
        <w:rPr>
          <w:rFonts w:ascii="Arial" w:hAnsi="Arial" w:cs="Arial"/>
          <w:lang w:val="en-IN"/>
        </w:rPr>
        <w:t>, indicating a concentration of multidrug-resistant pathogens within ICU settings.</w:t>
      </w:r>
    </w:p>
    <w:p w14:paraId="31830A52" w14:textId="77777777" w:rsidR="00DA3FB0" w:rsidRPr="00DA3FB0" w:rsidRDefault="00DA3FB0" w:rsidP="00DA3FB0">
      <w:pPr>
        <w:pStyle w:val="Body"/>
        <w:spacing w:after="0"/>
        <w:rPr>
          <w:rFonts w:ascii="Arial" w:hAnsi="Arial" w:cs="Arial"/>
          <w:lang w:val="en-IN"/>
        </w:rPr>
      </w:pPr>
      <w:r w:rsidRPr="00DA3FB0">
        <w:rPr>
          <w:rFonts w:ascii="Arial" w:hAnsi="Arial" w:cs="Arial"/>
          <w:lang w:val="en-IN"/>
        </w:rPr>
        <w:t>These findings highlight the importance of stratifying antibiogram data by hospital location, as pooled hospital-wide resistance data may underestimate resistance levels in critical care units. The results underscore the need for ICU-specific empiric treatment guidelines and targeted antimicrobial stewardship and infection control measures. Overall, this study illustrates the utility of state-level surveillance networks in identifying high-risk settings for antimicrobial resistance and informing evidence-based clinical and public health decision-making.</w:t>
      </w:r>
    </w:p>
    <w:p w14:paraId="2F0E7BA7" w14:textId="77777777" w:rsidR="00DA3FB0" w:rsidRPr="00DA3FB0" w:rsidRDefault="00DA3FB0" w:rsidP="00441B6F">
      <w:pPr>
        <w:pStyle w:val="Body"/>
        <w:spacing w:after="0"/>
        <w:rPr>
          <w:rFonts w:ascii="Arial" w:hAnsi="Arial" w:cs="Arial"/>
          <w:lang w:val="en-IN"/>
        </w:rPr>
      </w:pPr>
    </w:p>
    <w:p w14:paraId="69DBDF79" w14:textId="77777777" w:rsidR="00315186" w:rsidRPr="00DA3FB0" w:rsidRDefault="00315186" w:rsidP="00441B6F">
      <w:pPr>
        <w:rPr>
          <w:rFonts w:ascii="Arial" w:hAnsi="Arial" w:cs="Arial"/>
        </w:rPr>
      </w:pPr>
    </w:p>
    <w:p w14:paraId="4420BB3F" w14:textId="77777777" w:rsidR="00DA3FB0" w:rsidRPr="00DA3FB0" w:rsidRDefault="00DA3FB0" w:rsidP="00441B6F">
      <w:pPr>
        <w:pStyle w:val="ReferHead"/>
        <w:spacing w:after="0"/>
        <w:jc w:val="both"/>
        <w:rPr>
          <w:rFonts w:ascii="Arial" w:hAnsi="Arial" w:cs="Arial"/>
          <w:b w:val="0"/>
          <w:caps w:val="0"/>
          <w:sz w:val="20"/>
        </w:rPr>
      </w:pPr>
    </w:p>
    <w:p w14:paraId="31B2519E" w14:textId="0FFDED50" w:rsidR="002B685A" w:rsidRPr="00DA3FB0" w:rsidRDefault="002B685A" w:rsidP="00441B6F">
      <w:pPr>
        <w:pStyle w:val="ReferHead"/>
        <w:spacing w:after="0"/>
        <w:jc w:val="both"/>
        <w:rPr>
          <w:rFonts w:ascii="Arial" w:hAnsi="Arial" w:cs="Arial"/>
          <w:bCs/>
        </w:rPr>
      </w:pPr>
      <w:r w:rsidRPr="00DA3FB0">
        <w:rPr>
          <w:rFonts w:ascii="Arial" w:hAnsi="Arial" w:cs="Arial"/>
          <w:bCs/>
        </w:rPr>
        <w:t>Consent</w:t>
      </w:r>
    </w:p>
    <w:p w14:paraId="20F1F3F1" w14:textId="77777777" w:rsidR="002B685A" w:rsidRPr="00DA3FB0" w:rsidRDefault="002B685A" w:rsidP="00441B6F">
      <w:pPr>
        <w:pStyle w:val="ReferHead"/>
        <w:spacing w:after="0"/>
        <w:jc w:val="both"/>
        <w:rPr>
          <w:rFonts w:ascii="Arial" w:hAnsi="Arial" w:cs="Arial"/>
          <w:bCs/>
        </w:rPr>
      </w:pPr>
    </w:p>
    <w:p w14:paraId="7F708280" w14:textId="6EB2861E" w:rsidR="001A29D8" w:rsidRPr="00DA3FB0" w:rsidRDefault="00DA3FB0" w:rsidP="00DA3FB0">
      <w:pPr>
        <w:pStyle w:val="ReferHead"/>
        <w:spacing w:after="0"/>
        <w:jc w:val="both"/>
        <w:rPr>
          <w:rFonts w:ascii="Arial" w:hAnsi="Arial" w:cs="Arial"/>
          <w:b w:val="0"/>
          <w:caps w:val="0"/>
          <w:sz w:val="20"/>
        </w:rPr>
      </w:pPr>
      <w:r w:rsidRPr="00DA3FB0">
        <w:rPr>
          <w:rFonts w:ascii="Arial" w:hAnsi="Arial" w:cs="Arial"/>
          <w:b w:val="0"/>
          <w:caps w:val="0"/>
          <w:sz w:val="20"/>
        </w:rPr>
        <w:t>Not applicable. This study was based exclusively on secondary analysis of de-identified, aggregate antimicrobial resistance surveillance data. No individual patient data, case records, images, or identifiable information were collected or used. Therefore, written informed consent from patients was not required.</w:t>
      </w:r>
    </w:p>
    <w:p w14:paraId="1A4B5CB7" w14:textId="77777777" w:rsidR="001A29D8" w:rsidRPr="00DA3FB0" w:rsidRDefault="001A29D8" w:rsidP="00441B6F">
      <w:pPr>
        <w:pStyle w:val="ReferHead"/>
        <w:spacing w:after="0"/>
        <w:jc w:val="both"/>
        <w:rPr>
          <w:rFonts w:ascii="Arial" w:hAnsi="Arial" w:cs="Arial"/>
          <w:b w:val="0"/>
          <w:caps w:val="0"/>
          <w:sz w:val="20"/>
        </w:rPr>
      </w:pPr>
    </w:p>
    <w:p w14:paraId="5DA35791" w14:textId="69358D92" w:rsidR="005C784C" w:rsidRPr="00DA3FB0" w:rsidRDefault="005C784C" w:rsidP="00441B6F">
      <w:pPr>
        <w:pStyle w:val="ReferHead"/>
        <w:spacing w:after="0"/>
        <w:jc w:val="both"/>
        <w:rPr>
          <w:rFonts w:ascii="Arial" w:hAnsi="Arial" w:cs="Arial"/>
          <w:bCs/>
        </w:rPr>
      </w:pPr>
      <w:r w:rsidRPr="00DA3FB0">
        <w:rPr>
          <w:rFonts w:ascii="Arial" w:hAnsi="Arial" w:cs="Arial"/>
          <w:bCs/>
        </w:rPr>
        <w:t xml:space="preserve">Ethical approval </w:t>
      </w:r>
    </w:p>
    <w:p w14:paraId="5E633090" w14:textId="77777777" w:rsidR="005C784C" w:rsidRPr="00DA3FB0" w:rsidRDefault="005C784C" w:rsidP="00441B6F">
      <w:pPr>
        <w:pStyle w:val="ReferHead"/>
        <w:spacing w:after="0"/>
        <w:jc w:val="both"/>
        <w:rPr>
          <w:rFonts w:ascii="Arial" w:hAnsi="Arial" w:cs="Arial"/>
          <w:bCs/>
        </w:rPr>
      </w:pPr>
    </w:p>
    <w:p w14:paraId="154234E1" w14:textId="6F49FF14" w:rsidR="00DA3FB0" w:rsidRPr="00DA3FB0" w:rsidRDefault="00DA3FB0" w:rsidP="00441B6F">
      <w:pPr>
        <w:pStyle w:val="ReferHead"/>
        <w:spacing w:after="0"/>
        <w:jc w:val="both"/>
        <w:rPr>
          <w:rFonts w:ascii="Arial" w:hAnsi="Arial" w:cs="Arial"/>
          <w:b w:val="0"/>
          <w:caps w:val="0"/>
          <w:sz w:val="20"/>
        </w:rPr>
      </w:pPr>
      <w:r w:rsidRPr="00DA3FB0">
        <w:rPr>
          <w:rFonts w:ascii="Arial" w:hAnsi="Arial" w:cs="Arial"/>
          <w:b w:val="0"/>
          <w:caps w:val="0"/>
          <w:sz w:val="20"/>
        </w:rPr>
        <w:t>Ethical approval was not required for this study, as it involved secondary analysis of publicly reported, anonymized</w:t>
      </w:r>
      <w:r w:rsidR="004D7614">
        <w:rPr>
          <w:rFonts w:ascii="Arial" w:hAnsi="Arial" w:cs="Arial"/>
          <w:b w:val="0"/>
          <w:caps w:val="0"/>
          <w:sz w:val="20"/>
        </w:rPr>
        <w:t xml:space="preserve"> and</w:t>
      </w:r>
      <w:r w:rsidRPr="00DA3FB0">
        <w:rPr>
          <w:rFonts w:ascii="Arial" w:hAnsi="Arial" w:cs="Arial"/>
          <w:b w:val="0"/>
          <w:caps w:val="0"/>
          <w:sz w:val="20"/>
        </w:rPr>
        <w:t xml:space="preserve"> aggregated surveillance data generated as part of routine antimicrobial resistance monitoring activities. No human subjects were directly involved</w:t>
      </w:r>
      <w:r w:rsidR="004D7614">
        <w:rPr>
          <w:rFonts w:ascii="Arial" w:hAnsi="Arial" w:cs="Arial"/>
          <w:b w:val="0"/>
          <w:caps w:val="0"/>
          <w:sz w:val="20"/>
        </w:rPr>
        <w:t xml:space="preserve"> and</w:t>
      </w:r>
      <w:r w:rsidRPr="00DA3FB0">
        <w:rPr>
          <w:rFonts w:ascii="Arial" w:hAnsi="Arial" w:cs="Arial"/>
          <w:b w:val="0"/>
          <w:caps w:val="0"/>
          <w:sz w:val="20"/>
        </w:rPr>
        <w:t xml:space="preserve"> no identifiable patient information was accessed. The study was conducted in accordance with applicable ethical guidelines and the principles of the Declaration of Helsinki.</w:t>
      </w:r>
    </w:p>
    <w:p w14:paraId="0C36C37A" w14:textId="77777777" w:rsidR="00DA3FB0" w:rsidRPr="00DA3FB0" w:rsidRDefault="00DA3FB0" w:rsidP="00441B6F">
      <w:pPr>
        <w:pStyle w:val="ReferHead"/>
        <w:spacing w:after="0"/>
        <w:jc w:val="both"/>
        <w:rPr>
          <w:rFonts w:ascii="Arial" w:hAnsi="Arial" w:cs="Arial"/>
          <w:b w:val="0"/>
          <w:caps w:val="0"/>
          <w:sz w:val="20"/>
        </w:rPr>
      </w:pPr>
    </w:p>
    <w:p w14:paraId="03452FE0" w14:textId="1DCAE819" w:rsidR="00B01FCD" w:rsidRPr="00DA3FB0" w:rsidRDefault="00B01FCD" w:rsidP="00441B6F">
      <w:pPr>
        <w:pStyle w:val="ReferHead"/>
        <w:spacing w:after="0"/>
        <w:jc w:val="both"/>
        <w:rPr>
          <w:rFonts w:ascii="Arial" w:hAnsi="Arial" w:cs="Arial"/>
        </w:rPr>
      </w:pPr>
      <w:r w:rsidRPr="00DA3FB0">
        <w:rPr>
          <w:rFonts w:ascii="Arial" w:hAnsi="Arial" w:cs="Arial"/>
        </w:rPr>
        <w:t>References</w:t>
      </w:r>
    </w:p>
    <w:p w14:paraId="17CB44CC" w14:textId="77777777" w:rsidR="009F2861" w:rsidRPr="00DA3FB0" w:rsidRDefault="009F2861" w:rsidP="009F2861">
      <w:pPr>
        <w:pStyle w:val="Reference"/>
        <w:numPr>
          <w:ilvl w:val="0"/>
          <w:numId w:val="0"/>
        </w:numPr>
        <w:spacing w:line="240" w:lineRule="auto"/>
        <w:ind w:left="709" w:hanging="709"/>
        <w:rPr>
          <w:rFonts w:ascii="Arial" w:hAnsi="Arial" w:cs="Arial"/>
        </w:rPr>
      </w:pPr>
    </w:p>
    <w:p w14:paraId="6C1B0FE9" w14:textId="77777777" w:rsidR="009F2861" w:rsidRPr="003A7418" w:rsidRDefault="009F2861" w:rsidP="003A7418">
      <w:pPr>
        <w:pStyle w:val="ListParagraph"/>
        <w:numPr>
          <w:ilvl w:val="0"/>
          <w:numId w:val="32"/>
        </w:numPr>
        <w:jc w:val="both"/>
        <w:rPr>
          <w:rFonts w:ascii="Arial" w:hAnsi="Arial" w:cs="Arial"/>
          <w:lang w:val="da-DK"/>
        </w:rPr>
      </w:pPr>
      <w:r w:rsidRPr="003A7418">
        <w:rPr>
          <w:rFonts w:ascii="Arial" w:hAnsi="Arial" w:cs="Arial"/>
        </w:rPr>
        <w:t xml:space="preserve">Antimicrobial Resistance Collaborators, Ikuta, K. S., </w:t>
      </w:r>
      <w:proofErr w:type="spellStart"/>
      <w:r w:rsidRPr="003A7418">
        <w:rPr>
          <w:rFonts w:ascii="Arial" w:hAnsi="Arial" w:cs="Arial"/>
        </w:rPr>
        <w:t>Swetschinski</w:t>
      </w:r>
      <w:proofErr w:type="spellEnd"/>
      <w:r w:rsidRPr="003A7418">
        <w:rPr>
          <w:rFonts w:ascii="Arial" w:hAnsi="Arial" w:cs="Arial"/>
        </w:rPr>
        <w:t xml:space="preserve">, L. R., Robles Aguilar, G., </w:t>
      </w:r>
      <w:proofErr w:type="spellStart"/>
      <w:r w:rsidRPr="003A7418">
        <w:rPr>
          <w:rFonts w:ascii="Arial" w:hAnsi="Arial" w:cs="Arial"/>
        </w:rPr>
        <w:t>Sharara</w:t>
      </w:r>
      <w:proofErr w:type="spellEnd"/>
      <w:r w:rsidRPr="003A7418">
        <w:rPr>
          <w:rFonts w:ascii="Arial" w:hAnsi="Arial" w:cs="Arial"/>
        </w:rPr>
        <w:t xml:space="preserve">, F., Mestrovic, T., et al. (2022). Global burden of bacterial antimicrobial resistance in 2019: a systematic analysis. </w:t>
      </w:r>
      <w:r w:rsidRPr="003A7418">
        <w:rPr>
          <w:rFonts w:ascii="Arial" w:hAnsi="Arial" w:cs="Arial"/>
          <w:i/>
          <w:iCs/>
          <w:lang w:val="da-DK"/>
        </w:rPr>
        <w:t>The Lancet</w:t>
      </w:r>
      <w:r w:rsidRPr="003A7418">
        <w:rPr>
          <w:rFonts w:ascii="Arial" w:hAnsi="Arial" w:cs="Arial"/>
          <w:lang w:val="da-DK"/>
        </w:rPr>
        <w:t xml:space="preserve">, 399(10325), 629-655. </w:t>
      </w:r>
      <w:hyperlink r:id="rId19" w:history="1">
        <w:r w:rsidRPr="003A7418">
          <w:rPr>
            <w:rStyle w:val="Hyperlink"/>
            <w:rFonts w:ascii="Arial" w:hAnsi="Arial" w:cs="Arial"/>
            <w:lang w:val="da-DK"/>
          </w:rPr>
          <w:t>https://doi.org/10.1016/S0140-6736(21)02724-0</w:t>
        </w:r>
      </w:hyperlink>
    </w:p>
    <w:p w14:paraId="653E5A9F"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da-DK"/>
        </w:rPr>
        <w:t xml:space="preserve">Archibald, L. K., Phillips, L., Monnet, D. L., McGowan, J. E., Tenover, F. C., Gaynes, R. P., et al. </w:t>
      </w:r>
      <w:r w:rsidRPr="003A7418">
        <w:rPr>
          <w:rFonts w:ascii="Arial" w:hAnsi="Arial" w:cs="Arial"/>
        </w:rPr>
        <w:t xml:space="preserve">(1997). Antimicrobial resistance in isolates from inpatients and outpatients in the United States: increasing importance of the intensive care unit. </w:t>
      </w:r>
      <w:r w:rsidRPr="003A7418">
        <w:rPr>
          <w:rFonts w:ascii="Arial" w:hAnsi="Arial" w:cs="Arial"/>
          <w:i/>
          <w:iCs/>
        </w:rPr>
        <w:t>Clinical Infectious Diseases</w:t>
      </w:r>
      <w:r w:rsidRPr="003A7418">
        <w:rPr>
          <w:rFonts w:ascii="Arial" w:hAnsi="Arial" w:cs="Arial"/>
        </w:rPr>
        <w:t xml:space="preserve">, 24(2), 211-215. </w:t>
      </w:r>
      <w:hyperlink r:id="rId20" w:history="1">
        <w:r w:rsidRPr="003A7418">
          <w:rPr>
            <w:rStyle w:val="Hyperlink"/>
            <w:rFonts w:ascii="Arial" w:hAnsi="Arial" w:cs="Arial"/>
            <w:lang w:val="en-IN"/>
          </w:rPr>
          <w:t>https://doi.org/10.1093/clinids/24.2.211</w:t>
        </w:r>
      </w:hyperlink>
    </w:p>
    <w:p w14:paraId="24278511" w14:textId="73C3F1F4" w:rsidR="009F2861" w:rsidRPr="00FF1497" w:rsidRDefault="009F2861" w:rsidP="003A7418">
      <w:pPr>
        <w:pStyle w:val="Body"/>
        <w:numPr>
          <w:ilvl w:val="0"/>
          <w:numId w:val="32"/>
        </w:numPr>
        <w:spacing w:after="0"/>
        <w:rPr>
          <w:rFonts w:ascii="Arial" w:hAnsi="Arial" w:cs="Arial"/>
          <w:b/>
          <w:bCs/>
          <w:lang w:val="en-IN"/>
        </w:rPr>
      </w:pPr>
      <w:proofErr w:type="spellStart"/>
      <w:r w:rsidRPr="00FF1497">
        <w:rPr>
          <w:rFonts w:ascii="Arial" w:hAnsi="Arial" w:cs="Arial"/>
          <w:lang w:val="en-IN"/>
        </w:rPr>
        <w:t>Bosso</w:t>
      </w:r>
      <w:proofErr w:type="spellEnd"/>
      <w:r w:rsidRPr="00FF1497">
        <w:rPr>
          <w:rFonts w:ascii="Arial" w:hAnsi="Arial" w:cs="Arial"/>
          <w:lang w:val="en-IN"/>
        </w:rPr>
        <w:t xml:space="preserve">, J. A., </w:t>
      </w:r>
      <w:proofErr w:type="spellStart"/>
      <w:r w:rsidRPr="00FF1497">
        <w:rPr>
          <w:rFonts w:ascii="Arial" w:hAnsi="Arial" w:cs="Arial"/>
          <w:lang w:val="en-IN"/>
        </w:rPr>
        <w:t>Sieg</w:t>
      </w:r>
      <w:proofErr w:type="spellEnd"/>
      <w:r w:rsidRPr="00FF1497">
        <w:rPr>
          <w:rFonts w:ascii="Arial" w:hAnsi="Arial" w:cs="Arial"/>
          <w:lang w:val="en-IN"/>
        </w:rPr>
        <w:t xml:space="preserve">, A., &amp; Mauldin, P. D. (2013). </w:t>
      </w:r>
      <w:r w:rsidRPr="00DD75A0">
        <w:rPr>
          <w:rFonts w:ascii="Arial" w:hAnsi="Arial" w:cs="Arial"/>
          <w:lang w:val="en-IN"/>
        </w:rPr>
        <w:t xml:space="preserve">Comparison of </w:t>
      </w:r>
      <w:proofErr w:type="spellStart"/>
      <w:r w:rsidRPr="00DD75A0">
        <w:rPr>
          <w:rFonts w:ascii="Arial" w:hAnsi="Arial" w:cs="Arial"/>
          <w:lang w:val="en-IN"/>
        </w:rPr>
        <w:t>Hospitalwide</w:t>
      </w:r>
      <w:proofErr w:type="spellEnd"/>
      <w:r w:rsidRPr="00DD75A0">
        <w:rPr>
          <w:rFonts w:ascii="Arial" w:hAnsi="Arial" w:cs="Arial"/>
          <w:lang w:val="en-IN"/>
        </w:rPr>
        <w:t xml:space="preserve"> and Custom Antibiograms for Clinical Isolates of Pseudomonas aeruginosa. </w:t>
      </w:r>
      <w:r w:rsidRPr="00FF1497">
        <w:rPr>
          <w:rFonts w:ascii="Arial" w:hAnsi="Arial" w:cs="Arial"/>
          <w:i/>
          <w:iCs/>
          <w:lang w:val="en-IN"/>
        </w:rPr>
        <w:t>Hospital Pharmacy</w:t>
      </w:r>
      <w:r w:rsidRPr="00FF1497">
        <w:rPr>
          <w:rFonts w:ascii="Arial" w:hAnsi="Arial" w:cs="Arial"/>
          <w:lang w:val="en-IN"/>
        </w:rPr>
        <w:t xml:space="preserve">, </w:t>
      </w:r>
      <w:r w:rsidRPr="00FF1497">
        <w:rPr>
          <w:rFonts w:ascii="Arial" w:hAnsi="Arial" w:cs="Arial"/>
          <w:i/>
          <w:iCs/>
          <w:lang w:val="en-IN"/>
        </w:rPr>
        <w:t>48</w:t>
      </w:r>
      <w:r w:rsidRPr="00FF1497">
        <w:rPr>
          <w:rFonts w:ascii="Arial" w:hAnsi="Arial" w:cs="Arial"/>
          <w:lang w:val="en-IN"/>
        </w:rPr>
        <w:t xml:space="preserve">(4), 295–301. </w:t>
      </w:r>
      <w:hyperlink r:id="rId21" w:history="1">
        <w:r w:rsidR="003A7418" w:rsidRPr="00B14D1F">
          <w:rPr>
            <w:rStyle w:val="Hyperlink"/>
            <w:rFonts w:ascii="Arial" w:hAnsi="Arial" w:cs="Arial"/>
            <w:lang w:val="en-IN"/>
          </w:rPr>
          <w:t>https://doi.org/10.1310/hpj4804-295</w:t>
        </w:r>
      </w:hyperlink>
      <w:r w:rsidR="003A7418">
        <w:rPr>
          <w:rFonts w:ascii="Arial" w:hAnsi="Arial" w:cs="Arial"/>
          <w:lang w:val="en-IN"/>
        </w:rPr>
        <w:t xml:space="preserve"> </w:t>
      </w:r>
      <w:r w:rsidRPr="00FF1497">
        <w:rPr>
          <w:rFonts w:ascii="Arial" w:hAnsi="Arial" w:cs="Arial"/>
          <w:b/>
          <w:bCs/>
          <w:lang w:val="en-IN"/>
        </w:rPr>
        <w:t xml:space="preserve"> </w:t>
      </w:r>
    </w:p>
    <w:p w14:paraId="1B28A7F5" w14:textId="571AD21B" w:rsidR="009F2861" w:rsidRPr="00A5268A" w:rsidRDefault="009F2861" w:rsidP="003A7418">
      <w:pPr>
        <w:pStyle w:val="Body"/>
        <w:numPr>
          <w:ilvl w:val="0"/>
          <w:numId w:val="32"/>
        </w:numPr>
        <w:spacing w:after="0"/>
        <w:rPr>
          <w:rFonts w:ascii="Arial" w:hAnsi="Arial" w:cs="Arial"/>
          <w:lang w:val="en-IN"/>
        </w:rPr>
      </w:pPr>
      <w:proofErr w:type="spellStart"/>
      <w:r w:rsidRPr="00A5268A">
        <w:rPr>
          <w:rFonts w:ascii="Arial" w:hAnsi="Arial" w:cs="Arial"/>
          <w:lang w:val="en-IN"/>
        </w:rPr>
        <w:t>Chaix</w:t>
      </w:r>
      <w:proofErr w:type="spellEnd"/>
      <w:r w:rsidRPr="00A5268A">
        <w:rPr>
          <w:rFonts w:ascii="Arial" w:hAnsi="Arial" w:cs="Arial"/>
          <w:lang w:val="en-IN"/>
        </w:rPr>
        <w:t xml:space="preserve">, C., Durand-Zaleski, I., Alberti, C., &amp; Brun-Buisson, C. (1999). Control of Endemic Methicillin-Resistant </w:t>
      </w:r>
      <w:r w:rsidRPr="00A5268A">
        <w:rPr>
          <w:rFonts w:ascii="Arial" w:hAnsi="Arial" w:cs="Arial"/>
          <w:i/>
          <w:iCs/>
          <w:lang w:val="en-IN"/>
        </w:rPr>
        <w:t>Staphylococcus aureus</w:t>
      </w:r>
      <w:r w:rsidRPr="00A5268A">
        <w:rPr>
          <w:rFonts w:ascii="Arial" w:hAnsi="Arial" w:cs="Arial"/>
          <w:lang w:val="en-IN"/>
        </w:rPr>
        <w:t xml:space="preserve">. </w:t>
      </w:r>
      <w:r w:rsidRPr="00A5268A">
        <w:rPr>
          <w:rFonts w:ascii="Arial" w:hAnsi="Arial" w:cs="Arial"/>
          <w:i/>
          <w:iCs/>
          <w:lang w:val="en-IN"/>
        </w:rPr>
        <w:t>JAMA</w:t>
      </w:r>
      <w:r w:rsidRPr="00A5268A">
        <w:rPr>
          <w:rFonts w:ascii="Arial" w:hAnsi="Arial" w:cs="Arial"/>
          <w:lang w:val="en-IN"/>
        </w:rPr>
        <w:t xml:space="preserve">, </w:t>
      </w:r>
      <w:r w:rsidRPr="00A5268A">
        <w:rPr>
          <w:rFonts w:ascii="Arial" w:hAnsi="Arial" w:cs="Arial"/>
          <w:i/>
          <w:iCs/>
          <w:lang w:val="en-IN"/>
        </w:rPr>
        <w:t>282</w:t>
      </w:r>
      <w:r w:rsidRPr="00A5268A">
        <w:rPr>
          <w:rFonts w:ascii="Arial" w:hAnsi="Arial" w:cs="Arial"/>
          <w:lang w:val="en-IN"/>
        </w:rPr>
        <w:t xml:space="preserve">(18), 1745. </w:t>
      </w:r>
      <w:hyperlink r:id="rId22" w:history="1">
        <w:r w:rsidR="003A7418" w:rsidRPr="00B14D1F">
          <w:rPr>
            <w:rStyle w:val="Hyperlink"/>
            <w:rFonts w:ascii="Arial" w:hAnsi="Arial" w:cs="Arial"/>
            <w:lang w:val="en-IN"/>
          </w:rPr>
          <w:t>https://doi.org/10.1001/jama.282.18.1745</w:t>
        </w:r>
      </w:hyperlink>
      <w:r w:rsidR="003A7418">
        <w:rPr>
          <w:rFonts w:ascii="Arial" w:hAnsi="Arial" w:cs="Arial"/>
          <w:lang w:val="en-IN"/>
        </w:rPr>
        <w:t xml:space="preserve"> </w:t>
      </w:r>
    </w:p>
    <w:p w14:paraId="1E54F5ED"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da-DK"/>
        </w:rPr>
        <w:t xml:space="preserve">Gandra, S., Mojica, N., Klein, E. Y., Ashok, A., Nerurkar, V., Kumari, M., et al. </w:t>
      </w:r>
      <w:r w:rsidRPr="003A7418">
        <w:rPr>
          <w:rFonts w:ascii="Arial" w:hAnsi="Arial" w:cs="Arial"/>
          <w:lang w:val="en-IN"/>
        </w:rPr>
        <w:t xml:space="preserve">(2016). </w:t>
      </w:r>
      <w:r w:rsidRPr="003A7418">
        <w:rPr>
          <w:rFonts w:ascii="Arial" w:hAnsi="Arial" w:cs="Arial"/>
        </w:rPr>
        <w:t xml:space="preserve">Trends in antibiotic resistance among major bacterial pathogens isolated from blood cultures in India: data from a large private laboratory network (2008-2014). </w:t>
      </w:r>
      <w:r w:rsidRPr="003A7418">
        <w:rPr>
          <w:rFonts w:ascii="Arial" w:hAnsi="Arial" w:cs="Arial"/>
          <w:i/>
          <w:iCs/>
        </w:rPr>
        <w:t>International Journal of Infectious Diseases</w:t>
      </w:r>
      <w:r w:rsidRPr="003A7418">
        <w:rPr>
          <w:rFonts w:ascii="Arial" w:hAnsi="Arial" w:cs="Arial"/>
        </w:rPr>
        <w:t xml:space="preserve">, 50, 75-82. </w:t>
      </w:r>
      <w:hyperlink r:id="rId23" w:history="1">
        <w:r w:rsidRPr="003A7418">
          <w:rPr>
            <w:rStyle w:val="Hyperlink"/>
            <w:rFonts w:ascii="Arial" w:hAnsi="Arial" w:cs="Arial"/>
            <w:lang w:val="en-IN"/>
          </w:rPr>
          <w:t>https://doi.org/10.1016/j.ijid.2016.08.002</w:t>
        </w:r>
      </w:hyperlink>
    </w:p>
    <w:p w14:paraId="3C6B52CD" w14:textId="41CAE0A0" w:rsidR="009F2861" w:rsidRPr="004D7614" w:rsidRDefault="009F2861" w:rsidP="003A7418">
      <w:pPr>
        <w:pStyle w:val="Body"/>
        <w:numPr>
          <w:ilvl w:val="0"/>
          <w:numId w:val="32"/>
        </w:numPr>
        <w:spacing w:after="0"/>
        <w:rPr>
          <w:rFonts w:ascii="Arial" w:hAnsi="Arial" w:cs="Arial"/>
          <w:lang w:val="en-IN"/>
        </w:rPr>
      </w:pPr>
      <w:r w:rsidRPr="004D7614">
        <w:rPr>
          <w:rFonts w:ascii="Arial" w:hAnsi="Arial" w:cs="Arial"/>
        </w:rPr>
        <w:t xml:space="preserve">Gupta, E., Mohanty, S., </w:t>
      </w:r>
      <w:proofErr w:type="spellStart"/>
      <w:r w:rsidRPr="004D7614">
        <w:rPr>
          <w:rFonts w:ascii="Arial" w:hAnsi="Arial" w:cs="Arial"/>
        </w:rPr>
        <w:t>Sood</w:t>
      </w:r>
      <w:proofErr w:type="spellEnd"/>
      <w:r w:rsidRPr="004D7614">
        <w:rPr>
          <w:rFonts w:ascii="Arial" w:hAnsi="Arial" w:cs="Arial"/>
        </w:rPr>
        <w:t xml:space="preserve">, S., Dhawan, B., Das, B. K., &amp; Kapil, A. (2006). Emerging resistance to carbapenems in a tertiary care hospital in north India. </w:t>
      </w:r>
      <w:r w:rsidRPr="004D7614">
        <w:rPr>
          <w:rFonts w:ascii="Arial" w:hAnsi="Arial" w:cs="Arial"/>
          <w:i/>
          <w:iCs/>
        </w:rPr>
        <w:t>Indian Journal of Medical Research, 124</w:t>
      </w:r>
      <w:r w:rsidRPr="004D7614">
        <w:rPr>
          <w:rFonts w:ascii="Arial" w:hAnsi="Arial" w:cs="Arial"/>
        </w:rPr>
        <w:t xml:space="preserve">(1), 95–98. </w:t>
      </w:r>
      <w:r w:rsidR="003A7418">
        <w:rPr>
          <w:rFonts w:ascii="Arial" w:hAnsi="Arial" w:cs="Arial"/>
        </w:rPr>
        <w:t xml:space="preserve"> </w:t>
      </w:r>
      <w:hyperlink r:id="rId24" w:history="1">
        <w:r w:rsidR="003A7418" w:rsidRPr="00B14D1F">
          <w:rPr>
            <w:rStyle w:val="Hyperlink"/>
            <w:rFonts w:ascii="Arial" w:hAnsi="Arial" w:cs="Arial"/>
          </w:rPr>
          <w:t>https://pubmed.ncbi.nlm.nih.gov/16926463/</w:t>
        </w:r>
      </w:hyperlink>
      <w:r w:rsidR="003A7418">
        <w:rPr>
          <w:rFonts w:ascii="Arial" w:hAnsi="Arial" w:cs="Arial"/>
        </w:rPr>
        <w:t xml:space="preserve"> </w:t>
      </w:r>
    </w:p>
    <w:p w14:paraId="4FF6D584" w14:textId="5246487C" w:rsidR="009F2861" w:rsidRPr="00622FA9" w:rsidRDefault="009F2861" w:rsidP="003A7418">
      <w:pPr>
        <w:pStyle w:val="Body"/>
        <w:numPr>
          <w:ilvl w:val="0"/>
          <w:numId w:val="32"/>
        </w:numPr>
        <w:spacing w:after="0"/>
        <w:rPr>
          <w:rFonts w:ascii="Arial" w:hAnsi="Arial" w:cs="Arial"/>
          <w:lang w:val="en-IN"/>
        </w:rPr>
      </w:pPr>
      <w:r w:rsidRPr="00FF1497">
        <w:rPr>
          <w:rFonts w:ascii="Arial" w:hAnsi="Arial" w:cs="Arial"/>
          <w:lang w:val="en-IN"/>
        </w:rPr>
        <w:t xml:space="preserve">Joshi, S., Ray, P., Manchanda, V., Bajaj, J., </w:t>
      </w:r>
      <w:proofErr w:type="spellStart"/>
      <w:r w:rsidRPr="00FF1497">
        <w:rPr>
          <w:rFonts w:ascii="Arial" w:hAnsi="Arial" w:cs="Arial"/>
          <w:lang w:val="en-IN"/>
        </w:rPr>
        <w:t>Chitnis</w:t>
      </w:r>
      <w:proofErr w:type="spellEnd"/>
      <w:r w:rsidRPr="00FF1497">
        <w:rPr>
          <w:rFonts w:ascii="Arial" w:hAnsi="Arial" w:cs="Arial"/>
          <w:lang w:val="en-IN"/>
        </w:rPr>
        <w:t xml:space="preserve">, D., Gautam, V., et al. </w:t>
      </w:r>
      <w:r w:rsidRPr="00622FA9">
        <w:rPr>
          <w:rFonts w:ascii="Arial" w:hAnsi="Arial" w:cs="Arial"/>
          <w:lang w:val="en-IN"/>
        </w:rPr>
        <w:t xml:space="preserve">(2013). </w:t>
      </w:r>
      <w:r w:rsidRPr="00622FA9">
        <w:rPr>
          <w:rFonts w:ascii="Arial" w:hAnsi="Arial" w:cs="Arial"/>
        </w:rPr>
        <w:t xml:space="preserve">Methicillin resistant </w:t>
      </w:r>
      <w:r w:rsidRPr="00A5268A">
        <w:rPr>
          <w:rFonts w:ascii="Arial" w:hAnsi="Arial" w:cs="Arial"/>
          <w:i/>
          <w:iCs/>
        </w:rPr>
        <w:t>Staphylococcus aureus</w:t>
      </w:r>
      <w:r w:rsidRPr="00622FA9">
        <w:rPr>
          <w:rFonts w:ascii="Arial" w:hAnsi="Arial" w:cs="Arial"/>
        </w:rPr>
        <w:t xml:space="preserve"> (MRSA) in India: Prevalence &amp; susceptibility pattern. </w:t>
      </w:r>
      <w:r w:rsidRPr="00622FA9">
        <w:rPr>
          <w:rFonts w:ascii="Arial" w:hAnsi="Arial" w:cs="Arial"/>
          <w:i/>
          <w:iCs/>
        </w:rPr>
        <w:t>Indian Journal of Medical Research</w:t>
      </w:r>
      <w:r>
        <w:rPr>
          <w:rFonts w:ascii="Arial" w:hAnsi="Arial" w:cs="Arial"/>
          <w:i/>
          <w:iCs/>
        </w:rPr>
        <w:t xml:space="preserve"> </w:t>
      </w:r>
      <w:r w:rsidRPr="00622FA9">
        <w:rPr>
          <w:rFonts w:ascii="Arial" w:hAnsi="Arial" w:cs="Arial"/>
        </w:rPr>
        <w:t>137(2), 363–369.</w:t>
      </w:r>
      <w:r w:rsidR="003A7418">
        <w:rPr>
          <w:rFonts w:ascii="Arial" w:hAnsi="Arial" w:cs="Arial"/>
        </w:rPr>
        <w:t xml:space="preserve"> </w:t>
      </w:r>
      <w:hyperlink r:id="rId25" w:history="1">
        <w:r w:rsidR="003A7418" w:rsidRPr="00B14D1F">
          <w:rPr>
            <w:rStyle w:val="Hyperlink"/>
            <w:rFonts w:ascii="Arial" w:hAnsi="Arial" w:cs="Arial"/>
          </w:rPr>
          <w:t>https://doi.org/10.4103/0971-5916.110914</w:t>
        </w:r>
      </w:hyperlink>
      <w:r w:rsidR="003A7418">
        <w:rPr>
          <w:rFonts w:ascii="Arial" w:hAnsi="Arial" w:cs="Arial"/>
        </w:rPr>
        <w:t xml:space="preserve"> </w:t>
      </w:r>
    </w:p>
    <w:p w14:paraId="3B2B2C3D" w14:textId="77777777" w:rsidR="009F2861" w:rsidRPr="00DA3FB0" w:rsidRDefault="009F2861" w:rsidP="003A7418">
      <w:pPr>
        <w:pStyle w:val="Body"/>
        <w:numPr>
          <w:ilvl w:val="0"/>
          <w:numId w:val="32"/>
        </w:numPr>
        <w:spacing w:after="0"/>
        <w:rPr>
          <w:rFonts w:ascii="Arial" w:hAnsi="Arial" w:cs="Arial"/>
        </w:rPr>
      </w:pPr>
      <w:r w:rsidRPr="004B50E3">
        <w:rPr>
          <w:rFonts w:ascii="Arial" w:hAnsi="Arial" w:cs="Arial"/>
          <w:lang w:val="en-IN"/>
        </w:rPr>
        <w:t xml:space="preserve">Kumar G., Yadav R. </w:t>
      </w:r>
      <w:r w:rsidRPr="00DA3FB0">
        <w:rPr>
          <w:rFonts w:ascii="Arial" w:hAnsi="Arial" w:cs="Arial"/>
        </w:rPr>
        <w:t>(2019). Prevalence of MRSA in ICU in a tertiary care hospital. Annals of International Medical and Dental Research, 5(4), 18</w:t>
      </w:r>
      <w:r>
        <w:rPr>
          <w:rFonts w:ascii="Arial" w:hAnsi="Arial" w:cs="Arial"/>
        </w:rPr>
        <w:t>-</w:t>
      </w:r>
      <w:r w:rsidRPr="00DA3FB0">
        <w:rPr>
          <w:rFonts w:ascii="Arial" w:hAnsi="Arial" w:cs="Arial"/>
        </w:rPr>
        <w:t>22.</w:t>
      </w:r>
    </w:p>
    <w:p w14:paraId="024D04DE"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en-IN"/>
        </w:rPr>
        <w:t xml:space="preserve">Logan, L. K., &amp; Weinstein, R. A. </w:t>
      </w:r>
      <w:r w:rsidRPr="003A7418">
        <w:rPr>
          <w:rFonts w:ascii="Arial" w:hAnsi="Arial" w:cs="Arial"/>
        </w:rPr>
        <w:t xml:space="preserve">(2017). The epidemiology of carbapenem-resistant Enterobacteriaceae: the impact and evolution of a global menace. Journal of Infectious Diseases, 215(Suppl 1), S28-S36. </w:t>
      </w:r>
      <w:hyperlink r:id="rId26" w:history="1">
        <w:r w:rsidRPr="003A7418">
          <w:rPr>
            <w:rStyle w:val="Hyperlink"/>
            <w:rFonts w:ascii="Arial" w:hAnsi="Arial" w:cs="Arial"/>
            <w:lang w:val="en-IN"/>
          </w:rPr>
          <w:t>https://doi.org/10.1093/infdis/jiw282</w:t>
        </w:r>
      </w:hyperlink>
    </w:p>
    <w:p w14:paraId="5FC070EB" w14:textId="25D2E58C" w:rsidR="009F2861" w:rsidRPr="00EE399A" w:rsidRDefault="009F2861" w:rsidP="003A7418">
      <w:pPr>
        <w:pStyle w:val="Body"/>
        <w:numPr>
          <w:ilvl w:val="0"/>
          <w:numId w:val="32"/>
        </w:numPr>
        <w:spacing w:after="0"/>
        <w:rPr>
          <w:rFonts w:ascii="Arial" w:hAnsi="Arial" w:cs="Arial"/>
          <w:bCs/>
          <w:lang w:val="en-IN"/>
        </w:rPr>
      </w:pPr>
      <w:r w:rsidRPr="0099409C">
        <w:rPr>
          <w:rFonts w:ascii="Arial" w:hAnsi="Arial" w:cs="Arial"/>
          <w:bCs/>
        </w:rPr>
        <w:t xml:space="preserve">National Centre for Disease Control (NCDC). (2023). </w:t>
      </w:r>
      <w:r w:rsidRPr="0099409C">
        <w:rPr>
          <w:rFonts w:ascii="Arial" w:hAnsi="Arial" w:cs="Arial"/>
        </w:rPr>
        <w:t>National antimicrobial resistance surveillance network (NARS-Net) annual report: January</w:t>
      </w:r>
      <w:r>
        <w:rPr>
          <w:rFonts w:ascii="Arial" w:hAnsi="Arial" w:cs="Arial"/>
        </w:rPr>
        <w:t>-</w:t>
      </w:r>
      <w:r w:rsidRPr="0099409C">
        <w:rPr>
          <w:rFonts w:ascii="Arial" w:hAnsi="Arial" w:cs="Arial"/>
        </w:rPr>
        <w:t>December 2022.</w:t>
      </w:r>
      <w:r w:rsidRPr="0099409C">
        <w:rPr>
          <w:rFonts w:ascii="Arial" w:hAnsi="Arial" w:cs="Arial"/>
          <w:bCs/>
        </w:rPr>
        <w:t xml:space="preserve"> </w:t>
      </w:r>
      <w:r w:rsidRPr="0099409C">
        <w:rPr>
          <w:rFonts w:ascii="Arial" w:hAnsi="Arial" w:cs="Arial"/>
          <w:bCs/>
          <w:i/>
          <w:iCs/>
        </w:rPr>
        <w:t xml:space="preserve">National </w:t>
      </w:r>
      <w:proofErr w:type="spellStart"/>
      <w:r w:rsidRPr="0099409C">
        <w:rPr>
          <w:rFonts w:ascii="Arial" w:hAnsi="Arial" w:cs="Arial"/>
          <w:bCs/>
          <w:i/>
          <w:iCs/>
        </w:rPr>
        <w:t>Programme</w:t>
      </w:r>
      <w:proofErr w:type="spellEnd"/>
      <w:r w:rsidRPr="0099409C">
        <w:rPr>
          <w:rFonts w:ascii="Arial" w:hAnsi="Arial" w:cs="Arial"/>
          <w:bCs/>
          <w:i/>
          <w:iCs/>
        </w:rPr>
        <w:t xml:space="preserve"> on Antimicrobial Resistance Containment</w:t>
      </w:r>
      <w:r w:rsidRPr="0099409C">
        <w:rPr>
          <w:rFonts w:ascii="Arial" w:hAnsi="Arial" w:cs="Arial"/>
          <w:bCs/>
        </w:rPr>
        <w:t xml:space="preserve">, Government </w:t>
      </w:r>
      <w:r w:rsidRPr="0099409C">
        <w:rPr>
          <w:rFonts w:ascii="Arial" w:hAnsi="Arial" w:cs="Arial"/>
          <w:bCs/>
        </w:rPr>
        <w:lastRenderedPageBreak/>
        <w:t>of India, New Delhi.</w:t>
      </w:r>
      <w:r w:rsidR="0031633D">
        <w:rPr>
          <w:rFonts w:ascii="Arial" w:hAnsi="Arial" w:cs="Arial"/>
          <w:bCs/>
        </w:rPr>
        <w:t xml:space="preserve"> </w:t>
      </w:r>
      <w:hyperlink r:id="rId27" w:history="1">
        <w:r w:rsidR="0031633D" w:rsidRPr="00B14D1F">
          <w:rPr>
            <w:rStyle w:val="Hyperlink"/>
            <w:rFonts w:ascii="Arial" w:hAnsi="Arial" w:cs="Arial"/>
            <w:bCs/>
          </w:rPr>
          <w:t>https://ncdc.mohfw.gov.in/index1.php?lang=1&amp;level=2&amp;sublinkid=820&amp;lid=677</w:t>
        </w:r>
      </w:hyperlink>
      <w:r w:rsidR="0031633D">
        <w:rPr>
          <w:rFonts w:ascii="Arial" w:hAnsi="Arial" w:cs="Arial"/>
          <w:bCs/>
        </w:rPr>
        <w:t xml:space="preserve"> </w:t>
      </w:r>
    </w:p>
    <w:p w14:paraId="7137A200" w14:textId="77777777" w:rsidR="009F2861" w:rsidRPr="00FF1497" w:rsidRDefault="009F2861" w:rsidP="003A7418">
      <w:pPr>
        <w:pStyle w:val="Body"/>
        <w:numPr>
          <w:ilvl w:val="0"/>
          <w:numId w:val="32"/>
        </w:numPr>
        <w:spacing w:after="0"/>
        <w:rPr>
          <w:rFonts w:ascii="Arial" w:hAnsi="Arial" w:cs="Arial"/>
          <w:lang w:val="en-IN"/>
        </w:rPr>
      </w:pPr>
      <w:r w:rsidRPr="00FF1497">
        <w:rPr>
          <w:rFonts w:ascii="Arial" w:hAnsi="Arial" w:cs="Arial"/>
          <w:lang w:val="da-DK"/>
        </w:rPr>
        <w:t xml:space="preserve">Pathak, A., Marothi, N., Kekre, N., Mahadik, N., Macaden, N., &amp; Lundborg, N. S. (2012). </w:t>
      </w:r>
      <w:r w:rsidRPr="00F01026">
        <w:rPr>
          <w:rFonts w:ascii="Arial" w:hAnsi="Arial" w:cs="Arial"/>
          <w:lang w:val="en-IN"/>
        </w:rPr>
        <w:t xml:space="preserve">High prevalence of extended-spectrum beta-lactamase-producing pathogens: results of a surveillance study in two hospitals in Ujjain, India. </w:t>
      </w:r>
      <w:r w:rsidRPr="00F01026">
        <w:rPr>
          <w:rFonts w:ascii="Arial" w:hAnsi="Arial" w:cs="Arial"/>
          <w:i/>
          <w:iCs/>
          <w:lang w:val="en-IN"/>
        </w:rPr>
        <w:t>Infection and Drug Resistance</w:t>
      </w:r>
      <w:r w:rsidRPr="00F01026">
        <w:rPr>
          <w:rFonts w:ascii="Arial" w:hAnsi="Arial" w:cs="Arial"/>
          <w:lang w:val="en-IN"/>
        </w:rPr>
        <w:t xml:space="preserve">, </w:t>
      </w:r>
      <w:r w:rsidRPr="00F01026">
        <w:rPr>
          <w:rFonts w:ascii="Arial" w:hAnsi="Arial" w:cs="Arial"/>
          <w:i/>
          <w:iCs/>
          <w:lang w:val="en-IN"/>
        </w:rPr>
        <w:t>5</w:t>
      </w:r>
      <w:r w:rsidRPr="00F01026">
        <w:rPr>
          <w:rFonts w:ascii="Arial" w:hAnsi="Arial" w:cs="Arial"/>
          <w:lang w:val="en-IN"/>
        </w:rPr>
        <w:t xml:space="preserve">, 65. </w:t>
      </w:r>
      <w:hyperlink r:id="rId28" w:history="1">
        <w:r w:rsidRPr="00FF1497">
          <w:rPr>
            <w:rStyle w:val="Hyperlink"/>
            <w:rFonts w:ascii="Arial" w:hAnsi="Arial" w:cs="Arial"/>
            <w:lang w:val="en-IN"/>
          </w:rPr>
          <w:t>https://doi.org/10.2147/idr.s30043</w:t>
        </w:r>
      </w:hyperlink>
    </w:p>
    <w:p w14:paraId="7E4EDD7F" w14:textId="77777777" w:rsidR="009F2861" w:rsidRDefault="009F2861" w:rsidP="003A7418">
      <w:pPr>
        <w:pStyle w:val="Body"/>
        <w:numPr>
          <w:ilvl w:val="0"/>
          <w:numId w:val="32"/>
        </w:numPr>
        <w:spacing w:after="0"/>
        <w:rPr>
          <w:rFonts w:ascii="Arial" w:hAnsi="Arial" w:cs="Arial"/>
          <w:bCs/>
          <w:lang w:val="en-IN"/>
        </w:rPr>
      </w:pPr>
      <w:r w:rsidRPr="00EE399A">
        <w:rPr>
          <w:rFonts w:ascii="Arial" w:hAnsi="Arial" w:cs="Arial"/>
          <w:bCs/>
          <w:lang w:val="en-IN"/>
        </w:rPr>
        <w:t xml:space="preserve">Pokharel, S., Raut, S., &amp; Adhikari, B. (2019). Tackling antimicrobial resistance in low-income and middle-income countries. </w:t>
      </w:r>
      <w:r w:rsidRPr="00EE399A">
        <w:rPr>
          <w:rFonts w:ascii="Arial" w:hAnsi="Arial" w:cs="Arial"/>
          <w:bCs/>
          <w:i/>
          <w:iCs/>
          <w:lang w:val="en-IN"/>
        </w:rPr>
        <w:t>BMJ Global Health</w:t>
      </w:r>
      <w:r w:rsidRPr="00EE399A">
        <w:rPr>
          <w:rFonts w:ascii="Arial" w:hAnsi="Arial" w:cs="Arial"/>
          <w:bCs/>
          <w:lang w:val="en-IN"/>
        </w:rPr>
        <w:t xml:space="preserve">, </w:t>
      </w:r>
      <w:r w:rsidRPr="00EE399A">
        <w:rPr>
          <w:rFonts w:ascii="Arial" w:hAnsi="Arial" w:cs="Arial"/>
          <w:bCs/>
          <w:i/>
          <w:iCs/>
          <w:lang w:val="en-IN"/>
        </w:rPr>
        <w:t>4</w:t>
      </w:r>
      <w:r w:rsidRPr="00EE399A">
        <w:rPr>
          <w:rFonts w:ascii="Arial" w:hAnsi="Arial" w:cs="Arial"/>
          <w:bCs/>
          <w:lang w:val="en-IN"/>
        </w:rPr>
        <w:t xml:space="preserve">(6), e002104. </w:t>
      </w:r>
      <w:hyperlink r:id="rId29" w:history="1">
        <w:r w:rsidRPr="00EE399A">
          <w:rPr>
            <w:rStyle w:val="Hyperlink"/>
            <w:rFonts w:ascii="Arial" w:hAnsi="Arial" w:cs="Arial"/>
            <w:bCs/>
            <w:lang w:val="en-IN"/>
          </w:rPr>
          <w:t>https://doi.org/10.1136/bmjgh-2019-002104</w:t>
        </w:r>
      </w:hyperlink>
    </w:p>
    <w:p w14:paraId="329448F3" w14:textId="77777777" w:rsidR="009F2861" w:rsidRPr="00FF1497" w:rsidRDefault="009F2861" w:rsidP="003A7418">
      <w:pPr>
        <w:pStyle w:val="Body"/>
        <w:numPr>
          <w:ilvl w:val="0"/>
          <w:numId w:val="32"/>
        </w:numPr>
        <w:spacing w:after="0"/>
        <w:rPr>
          <w:rFonts w:ascii="Arial" w:hAnsi="Arial" w:cs="Arial"/>
          <w:lang w:val="en-IN"/>
        </w:rPr>
      </w:pPr>
      <w:proofErr w:type="spellStart"/>
      <w:r w:rsidRPr="00FF1497">
        <w:rPr>
          <w:rFonts w:ascii="Arial" w:hAnsi="Arial" w:cs="Arial"/>
          <w:lang w:val="en-IN"/>
        </w:rPr>
        <w:t>Pragasam</w:t>
      </w:r>
      <w:proofErr w:type="spellEnd"/>
      <w:r w:rsidRPr="00FF1497">
        <w:rPr>
          <w:rFonts w:ascii="Arial" w:hAnsi="Arial" w:cs="Arial"/>
          <w:lang w:val="en-IN"/>
        </w:rPr>
        <w:t xml:space="preserve">, A. K., Shankar, C., </w:t>
      </w:r>
      <w:proofErr w:type="spellStart"/>
      <w:r w:rsidRPr="00FF1497">
        <w:rPr>
          <w:rFonts w:ascii="Arial" w:hAnsi="Arial" w:cs="Arial"/>
          <w:lang w:val="en-IN"/>
        </w:rPr>
        <w:t>Veeraraghavan</w:t>
      </w:r>
      <w:proofErr w:type="spellEnd"/>
      <w:r w:rsidRPr="00FF1497">
        <w:rPr>
          <w:rFonts w:ascii="Arial" w:hAnsi="Arial" w:cs="Arial"/>
          <w:lang w:val="en-IN"/>
        </w:rPr>
        <w:t xml:space="preserve">, B., Biswas, I., Nabarro, L. E. B., </w:t>
      </w:r>
      <w:proofErr w:type="spellStart"/>
      <w:r w:rsidRPr="00FF1497">
        <w:rPr>
          <w:rFonts w:ascii="Arial" w:hAnsi="Arial" w:cs="Arial"/>
          <w:lang w:val="en-IN"/>
        </w:rPr>
        <w:t>Inbanathan</w:t>
      </w:r>
      <w:proofErr w:type="spellEnd"/>
      <w:r w:rsidRPr="00FF1497">
        <w:rPr>
          <w:rFonts w:ascii="Arial" w:hAnsi="Arial" w:cs="Arial"/>
          <w:lang w:val="en-IN"/>
        </w:rPr>
        <w:t xml:space="preserve">, F. Y., et al. </w:t>
      </w:r>
      <w:r w:rsidRPr="00DD75A0">
        <w:rPr>
          <w:rFonts w:ascii="Arial" w:hAnsi="Arial" w:cs="Arial"/>
          <w:lang w:val="en-IN"/>
        </w:rPr>
        <w:t xml:space="preserve">(2017). Molecular Mechanisms of Colistin Resistance in </w:t>
      </w:r>
      <w:r w:rsidRPr="00A5268A">
        <w:rPr>
          <w:rFonts w:ascii="Arial" w:hAnsi="Arial" w:cs="Arial"/>
          <w:i/>
          <w:iCs/>
          <w:lang w:val="en-IN"/>
        </w:rPr>
        <w:t>Klebsiella pneumoniae</w:t>
      </w:r>
      <w:r w:rsidRPr="00DD75A0">
        <w:rPr>
          <w:rFonts w:ascii="Arial" w:hAnsi="Arial" w:cs="Arial"/>
          <w:lang w:val="en-IN"/>
        </w:rPr>
        <w:t xml:space="preserve"> Causing </w:t>
      </w:r>
      <w:proofErr w:type="spellStart"/>
      <w:r w:rsidRPr="00DD75A0">
        <w:rPr>
          <w:rFonts w:ascii="Arial" w:hAnsi="Arial" w:cs="Arial"/>
          <w:lang w:val="en-IN"/>
        </w:rPr>
        <w:t>Bacteremia</w:t>
      </w:r>
      <w:proofErr w:type="spellEnd"/>
      <w:r w:rsidRPr="00DD75A0">
        <w:rPr>
          <w:rFonts w:ascii="Arial" w:hAnsi="Arial" w:cs="Arial"/>
          <w:lang w:val="en-IN"/>
        </w:rPr>
        <w:t xml:space="preserve"> from India</w:t>
      </w:r>
      <w:r>
        <w:rPr>
          <w:rFonts w:ascii="Arial" w:hAnsi="Arial" w:cs="Arial"/>
          <w:lang w:val="en-IN"/>
        </w:rPr>
        <w:t xml:space="preserve">- </w:t>
      </w:r>
      <w:r w:rsidRPr="00DD75A0">
        <w:rPr>
          <w:rFonts w:ascii="Arial" w:hAnsi="Arial" w:cs="Arial"/>
          <w:lang w:val="en-IN"/>
        </w:rPr>
        <w:t xml:space="preserve">A First Report. </w:t>
      </w:r>
      <w:r w:rsidRPr="00DD75A0">
        <w:rPr>
          <w:rFonts w:ascii="Arial" w:hAnsi="Arial" w:cs="Arial"/>
          <w:i/>
          <w:iCs/>
          <w:lang w:val="en-IN"/>
        </w:rPr>
        <w:t>Frontiers in Microbiology</w:t>
      </w:r>
      <w:r w:rsidRPr="00DD75A0">
        <w:rPr>
          <w:rFonts w:ascii="Arial" w:hAnsi="Arial" w:cs="Arial"/>
          <w:lang w:val="en-IN"/>
        </w:rPr>
        <w:t xml:space="preserve">, </w:t>
      </w:r>
      <w:r w:rsidRPr="00DD75A0">
        <w:rPr>
          <w:rFonts w:ascii="Arial" w:hAnsi="Arial" w:cs="Arial"/>
          <w:i/>
          <w:iCs/>
          <w:lang w:val="en-IN"/>
        </w:rPr>
        <w:t>7</w:t>
      </w:r>
      <w:r w:rsidRPr="00DD75A0">
        <w:rPr>
          <w:rFonts w:ascii="Arial" w:hAnsi="Arial" w:cs="Arial"/>
          <w:lang w:val="en-IN"/>
        </w:rPr>
        <w:t xml:space="preserve">, 2135. </w:t>
      </w:r>
      <w:hyperlink r:id="rId30" w:history="1">
        <w:r w:rsidRPr="00FF1497">
          <w:rPr>
            <w:rStyle w:val="Hyperlink"/>
            <w:rFonts w:ascii="Arial" w:hAnsi="Arial" w:cs="Arial"/>
            <w:lang w:val="en-IN"/>
          </w:rPr>
          <w:t>https://doi.org/10.3389/fmicb.2016.02135</w:t>
        </w:r>
      </w:hyperlink>
    </w:p>
    <w:p w14:paraId="7DBF56D5" w14:textId="77777777" w:rsidR="009F2861" w:rsidRPr="00FF1497" w:rsidRDefault="009F2861" w:rsidP="003A7418">
      <w:pPr>
        <w:pStyle w:val="Body"/>
        <w:numPr>
          <w:ilvl w:val="0"/>
          <w:numId w:val="32"/>
        </w:numPr>
        <w:spacing w:after="0"/>
        <w:rPr>
          <w:rFonts w:ascii="Arial" w:hAnsi="Arial" w:cs="Arial"/>
          <w:lang w:val="en-IN"/>
        </w:rPr>
      </w:pPr>
      <w:proofErr w:type="spellStart"/>
      <w:r w:rsidRPr="00F01026">
        <w:rPr>
          <w:rFonts w:ascii="Arial" w:hAnsi="Arial" w:cs="Arial"/>
          <w:lang w:val="en-IN"/>
        </w:rPr>
        <w:t>Rath</w:t>
      </w:r>
      <w:proofErr w:type="spellEnd"/>
      <w:r w:rsidRPr="00F01026">
        <w:rPr>
          <w:rFonts w:ascii="Arial" w:hAnsi="Arial" w:cs="Arial"/>
          <w:lang w:val="en-IN"/>
        </w:rPr>
        <w:t xml:space="preserve">, S., &amp; </w:t>
      </w:r>
      <w:proofErr w:type="spellStart"/>
      <w:r w:rsidRPr="00F01026">
        <w:rPr>
          <w:rFonts w:ascii="Arial" w:hAnsi="Arial" w:cs="Arial"/>
          <w:lang w:val="en-IN"/>
        </w:rPr>
        <w:t>Padhy</w:t>
      </w:r>
      <w:proofErr w:type="spellEnd"/>
      <w:r w:rsidRPr="00F01026">
        <w:rPr>
          <w:rFonts w:ascii="Arial" w:hAnsi="Arial" w:cs="Arial"/>
          <w:lang w:val="en-IN"/>
        </w:rPr>
        <w:t xml:space="preserve">, R. N. (2014). Prevalence of two multidrug-resistant Klebsiella species in an Indian teaching hospital and adjoining community. </w:t>
      </w:r>
      <w:r w:rsidRPr="00F01026">
        <w:rPr>
          <w:rFonts w:ascii="Arial" w:hAnsi="Arial" w:cs="Arial"/>
          <w:i/>
          <w:iCs/>
          <w:lang w:val="en-IN"/>
        </w:rPr>
        <w:t>Journal of Infection and Public Health</w:t>
      </w:r>
      <w:r w:rsidRPr="00F01026">
        <w:rPr>
          <w:rFonts w:ascii="Arial" w:hAnsi="Arial" w:cs="Arial"/>
          <w:lang w:val="en-IN"/>
        </w:rPr>
        <w:t xml:space="preserve">, </w:t>
      </w:r>
      <w:r w:rsidRPr="00F01026">
        <w:rPr>
          <w:rFonts w:ascii="Arial" w:hAnsi="Arial" w:cs="Arial"/>
          <w:i/>
          <w:iCs/>
          <w:lang w:val="en-IN"/>
        </w:rPr>
        <w:t>7</w:t>
      </w:r>
      <w:r w:rsidRPr="00F01026">
        <w:rPr>
          <w:rFonts w:ascii="Arial" w:hAnsi="Arial" w:cs="Arial"/>
          <w:lang w:val="en-IN"/>
        </w:rPr>
        <w:t xml:space="preserve">(6), 496–507. </w:t>
      </w:r>
      <w:hyperlink r:id="rId31" w:history="1">
        <w:r w:rsidRPr="00FF1497">
          <w:rPr>
            <w:rStyle w:val="Hyperlink"/>
            <w:rFonts w:ascii="Arial" w:hAnsi="Arial" w:cs="Arial"/>
            <w:lang w:val="en-IN"/>
          </w:rPr>
          <w:t>https://doi.org/10.1016/j.jiph.2014.05.002</w:t>
        </w:r>
      </w:hyperlink>
    </w:p>
    <w:p w14:paraId="3073314D" w14:textId="77777777" w:rsidR="009F2861" w:rsidRPr="00FF1497" w:rsidRDefault="009F2861" w:rsidP="003A7418">
      <w:pPr>
        <w:pStyle w:val="Body"/>
        <w:numPr>
          <w:ilvl w:val="0"/>
          <w:numId w:val="32"/>
        </w:numPr>
        <w:spacing w:after="0"/>
        <w:rPr>
          <w:rFonts w:ascii="Arial" w:hAnsi="Arial" w:cs="Arial"/>
          <w:bCs/>
          <w:lang w:val="en-IN"/>
        </w:rPr>
      </w:pPr>
      <w:proofErr w:type="spellStart"/>
      <w:r w:rsidRPr="00224DFB">
        <w:rPr>
          <w:rFonts w:ascii="Arial" w:hAnsi="Arial" w:cs="Arial"/>
          <w:bCs/>
          <w:lang w:val="en-IN"/>
        </w:rPr>
        <w:t>Sader</w:t>
      </w:r>
      <w:proofErr w:type="spellEnd"/>
      <w:r w:rsidRPr="00224DFB">
        <w:rPr>
          <w:rFonts w:ascii="Arial" w:hAnsi="Arial" w:cs="Arial"/>
          <w:bCs/>
          <w:lang w:val="en-IN"/>
        </w:rPr>
        <w:t xml:space="preserve">, H. S., Farrell, D. J., Flamm, R. K., &amp; Jones, R. N. (2013). Antimicrobial susceptibility of Gram-negative organisms isolated from patients hospitalized in intensive care units in United States and European hospitals (2009–2011). </w:t>
      </w:r>
      <w:r w:rsidRPr="00224DFB">
        <w:rPr>
          <w:rFonts w:ascii="Arial" w:hAnsi="Arial" w:cs="Arial"/>
          <w:bCs/>
          <w:i/>
          <w:iCs/>
          <w:lang w:val="en-IN"/>
        </w:rPr>
        <w:t>Diagnostic Microbiology and Infectious Disease</w:t>
      </w:r>
      <w:r w:rsidRPr="00224DFB">
        <w:rPr>
          <w:rFonts w:ascii="Arial" w:hAnsi="Arial" w:cs="Arial"/>
          <w:bCs/>
          <w:lang w:val="en-IN"/>
        </w:rPr>
        <w:t xml:space="preserve">, </w:t>
      </w:r>
      <w:r w:rsidRPr="00224DFB">
        <w:rPr>
          <w:rFonts w:ascii="Arial" w:hAnsi="Arial" w:cs="Arial"/>
          <w:bCs/>
          <w:i/>
          <w:iCs/>
          <w:lang w:val="en-IN"/>
        </w:rPr>
        <w:t>78</w:t>
      </w:r>
      <w:r w:rsidRPr="00224DFB">
        <w:rPr>
          <w:rFonts w:ascii="Arial" w:hAnsi="Arial" w:cs="Arial"/>
          <w:bCs/>
          <w:lang w:val="en-IN"/>
        </w:rPr>
        <w:t xml:space="preserve">(4), 443–448. </w:t>
      </w:r>
      <w:hyperlink r:id="rId32" w:history="1">
        <w:r w:rsidRPr="00FF1497">
          <w:rPr>
            <w:rStyle w:val="Hyperlink"/>
            <w:rFonts w:ascii="Arial" w:hAnsi="Arial" w:cs="Arial"/>
            <w:bCs/>
            <w:lang w:val="en-IN"/>
          </w:rPr>
          <w:t>https://doi.org/10.1016/j.diagmicrobio.2013.11.025</w:t>
        </w:r>
      </w:hyperlink>
    </w:p>
    <w:p w14:paraId="4E371DA1" w14:textId="77777777" w:rsidR="009F2861" w:rsidRPr="003A7418" w:rsidRDefault="009F2861" w:rsidP="003A7418">
      <w:pPr>
        <w:pStyle w:val="ListParagraph"/>
        <w:numPr>
          <w:ilvl w:val="0"/>
          <w:numId w:val="32"/>
        </w:numPr>
        <w:jc w:val="both"/>
        <w:rPr>
          <w:rFonts w:ascii="Arial" w:hAnsi="Arial" w:cs="Arial"/>
        </w:rPr>
      </w:pPr>
      <w:r w:rsidRPr="003A7418">
        <w:rPr>
          <w:rFonts w:ascii="Arial" w:hAnsi="Arial" w:cs="Arial"/>
        </w:rPr>
        <w:t xml:space="preserve">Salvia T., Jai </w:t>
      </w:r>
      <w:proofErr w:type="spellStart"/>
      <w:r w:rsidRPr="003A7418">
        <w:rPr>
          <w:rFonts w:ascii="Arial" w:hAnsi="Arial" w:cs="Arial"/>
        </w:rPr>
        <w:t>Shanker</w:t>
      </w:r>
      <w:proofErr w:type="spellEnd"/>
      <w:r w:rsidRPr="003A7418">
        <w:rPr>
          <w:rFonts w:ascii="Arial" w:hAnsi="Arial" w:cs="Arial"/>
        </w:rPr>
        <w:t xml:space="preserve"> P. H., Dolma K. G., &amp; Singh L. S. (2023). Emerging MDR Enterobacteriaceae and the antimicrobial resistance pattern in Indian Scenario: Challenge after COVID-19 pandemic. </w:t>
      </w:r>
      <w:r w:rsidRPr="003A7418">
        <w:rPr>
          <w:rFonts w:ascii="Arial" w:hAnsi="Arial" w:cs="Arial"/>
          <w:i/>
          <w:iCs/>
        </w:rPr>
        <w:t xml:space="preserve">International Journal of Biology Pharmacy and Allied Sciences, </w:t>
      </w:r>
      <w:r w:rsidRPr="003A7418">
        <w:rPr>
          <w:rFonts w:ascii="Arial" w:hAnsi="Arial" w:cs="Arial"/>
        </w:rPr>
        <w:t xml:space="preserve">12(6), 360-373. </w:t>
      </w:r>
      <w:hyperlink r:id="rId33" w:history="1">
        <w:r w:rsidRPr="003A7418">
          <w:rPr>
            <w:rStyle w:val="Hyperlink"/>
            <w:rFonts w:ascii="Arial" w:hAnsi="Arial" w:cs="Arial"/>
          </w:rPr>
          <w:t>https://doi.org/10.31032/ijbpas/2023/12.6.1055</w:t>
        </w:r>
      </w:hyperlink>
    </w:p>
    <w:p w14:paraId="33788E58" w14:textId="7E7A3BDB" w:rsidR="009F2861" w:rsidRPr="00FF1497" w:rsidRDefault="009F2861" w:rsidP="003A7418">
      <w:pPr>
        <w:pStyle w:val="Body"/>
        <w:numPr>
          <w:ilvl w:val="0"/>
          <w:numId w:val="32"/>
        </w:numPr>
        <w:spacing w:after="0"/>
        <w:rPr>
          <w:rFonts w:ascii="Arial" w:hAnsi="Arial" w:cs="Arial"/>
          <w:lang w:val="pt-BR"/>
        </w:rPr>
      </w:pPr>
      <w:r w:rsidRPr="00F01026">
        <w:rPr>
          <w:rFonts w:ascii="Arial" w:hAnsi="Arial" w:cs="Arial"/>
          <w:lang w:val="en-IN"/>
        </w:rPr>
        <w:t xml:space="preserve">Sharma, A., Thakur, A., Thakur, N., Kumar, V., Chauhan, A., &amp; Bhardwaj, N. (2023). Changing trend in the antibiotic resistance pattern of </w:t>
      </w:r>
      <w:proofErr w:type="spellStart"/>
      <w:r w:rsidRPr="00F01026">
        <w:rPr>
          <w:rFonts w:ascii="Arial" w:hAnsi="Arial" w:cs="Arial"/>
          <w:lang w:val="en-IN"/>
        </w:rPr>
        <w:t>klebsiella</w:t>
      </w:r>
      <w:proofErr w:type="spellEnd"/>
      <w:r w:rsidRPr="00F01026">
        <w:rPr>
          <w:rFonts w:ascii="Arial" w:hAnsi="Arial" w:cs="Arial"/>
          <w:lang w:val="en-IN"/>
        </w:rPr>
        <w:t xml:space="preserve"> pneumonia isolated from endotracheal aspirate samples of ICU patients of a tertiary care hospital in North India. </w:t>
      </w:r>
      <w:r w:rsidRPr="00FF1497">
        <w:rPr>
          <w:rFonts w:ascii="Arial" w:hAnsi="Arial" w:cs="Arial"/>
          <w:i/>
          <w:iCs/>
          <w:lang w:val="pt-BR"/>
        </w:rPr>
        <w:t>Cureus</w:t>
      </w:r>
      <w:r w:rsidRPr="00FF1497">
        <w:rPr>
          <w:rFonts w:ascii="Arial" w:hAnsi="Arial" w:cs="Arial"/>
          <w:lang w:val="pt-BR"/>
        </w:rPr>
        <w:t xml:space="preserve">, </w:t>
      </w:r>
      <w:r w:rsidRPr="00FF1497">
        <w:rPr>
          <w:rFonts w:ascii="Arial" w:hAnsi="Arial" w:cs="Arial"/>
          <w:i/>
          <w:iCs/>
          <w:lang w:val="pt-BR"/>
        </w:rPr>
        <w:t>15</w:t>
      </w:r>
      <w:r w:rsidRPr="00FF1497">
        <w:rPr>
          <w:rFonts w:ascii="Arial" w:hAnsi="Arial" w:cs="Arial"/>
          <w:lang w:val="pt-BR"/>
        </w:rPr>
        <w:t xml:space="preserve">(3), e36317. </w:t>
      </w:r>
      <w:hyperlink r:id="rId34" w:history="1">
        <w:r w:rsidR="00435DF7" w:rsidRPr="00B14D1F">
          <w:rPr>
            <w:rStyle w:val="Hyperlink"/>
            <w:rFonts w:ascii="Arial" w:hAnsi="Arial" w:cs="Arial"/>
            <w:lang w:val="pt-BR"/>
          </w:rPr>
          <w:t>https://doi.org/10.7759/cureus.36317</w:t>
        </w:r>
      </w:hyperlink>
      <w:r w:rsidR="00435DF7">
        <w:rPr>
          <w:rFonts w:ascii="Arial" w:hAnsi="Arial" w:cs="Arial"/>
          <w:lang w:val="pt-BR"/>
        </w:rPr>
        <w:t xml:space="preserve"> </w:t>
      </w:r>
    </w:p>
    <w:p w14:paraId="32F98C2D" w14:textId="77777777" w:rsidR="009F2861" w:rsidRDefault="009F2861" w:rsidP="003A7418">
      <w:pPr>
        <w:pStyle w:val="Body"/>
        <w:numPr>
          <w:ilvl w:val="0"/>
          <w:numId w:val="32"/>
        </w:numPr>
        <w:spacing w:after="0"/>
        <w:rPr>
          <w:rFonts w:ascii="Arial" w:hAnsi="Arial" w:cs="Arial"/>
          <w:bCs/>
          <w:lang w:val="en-IN"/>
        </w:rPr>
      </w:pPr>
      <w:r w:rsidRPr="00FF1497">
        <w:rPr>
          <w:rFonts w:ascii="Arial" w:hAnsi="Arial" w:cs="Arial"/>
          <w:bCs/>
          <w:lang w:val="pt-BR"/>
        </w:rPr>
        <w:t xml:space="preserve">Singh, V. P., Jha, D., Rehman, B. U., Dhayal, V. S., Dhar, M. S., &amp; Sharma, N. (2024). </w:t>
      </w:r>
      <w:r w:rsidRPr="00EE399A">
        <w:rPr>
          <w:rFonts w:ascii="Arial" w:hAnsi="Arial" w:cs="Arial"/>
          <w:bCs/>
          <w:lang w:val="en-IN"/>
        </w:rPr>
        <w:t xml:space="preserve">A mini-review on the burden of antimicrobial resistance and its regulation across one health sectors in India. </w:t>
      </w:r>
      <w:r w:rsidRPr="00EE399A">
        <w:rPr>
          <w:rFonts w:ascii="Arial" w:hAnsi="Arial" w:cs="Arial"/>
          <w:bCs/>
          <w:i/>
          <w:iCs/>
          <w:lang w:val="en-IN"/>
        </w:rPr>
        <w:t>Journal of Agriculture and Food Research</w:t>
      </w:r>
      <w:r w:rsidRPr="00EE399A">
        <w:rPr>
          <w:rFonts w:ascii="Arial" w:hAnsi="Arial" w:cs="Arial"/>
          <w:bCs/>
          <w:lang w:val="en-IN"/>
        </w:rPr>
        <w:t xml:space="preserve">, </w:t>
      </w:r>
      <w:r w:rsidRPr="00EE399A">
        <w:rPr>
          <w:rFonts w:ascii="Arial" w:hAnsi="Arial" w:cs="Arial"/>
          <w:bCs/>
          <w:i/>
          <w:iCs/>
          <w:lang w:val="en-IN"/>
        </w:rPr>
        <w:t>15</w:t>
      </w:r>
      <w:r w:rsidRPr="00EE399A">
        <w:rPr>
          <w:rFonts w:ascii="Arial" w:hAnsi="Arial" w:cs="Arial"/>
          <w:bCs/>
          <w:lang w:val="en-IN"/>
        </w:rPr>
        <w:t xml:space="preserve">, 100973. </w:t>
      </w:r>
      <w:hyperlink r:id="rId35" w:history="1">
        <w:r w:rsidRPr="00EE399A">
          <w:rPr>
            <w:rStyle w:val="Hyperlink"/>
            <w:rFonts w:ascii="Arial" w:hAnsi="Arial" w:cs="Arial"/>
            <w:bCs/>
            <w:lang w:val="en-IN"/>
          </w:rPr>
          <w:t>https://doi.org/10.1016/j.jafr.2024.100973</w:t>
        </w:r>
      </w:hyperlink>
    </w:p>
    <w:p w14:paraId="112F7A0D" w14:textId="2E046D36" w:rsidR="009F2861" w:rsidRPr="00A5268A" w:rsidRDefault="009F2861" w:rsidP="003A7418">
      <w:pPr>
        <w:pStyle w:val="Body"/>
        <w:numPr>
          <w:ilvl w:val="0"/>
          <w:numId w:val="32"/>
        </w:numPr>
        <w:spacing w:after="0"/>
        <w:rPr>
          <w:rFonts w:ascii="Arial" w:hAnsi="Arial" w:cs="Arial"/>
          <w:lang w:val="en-IN"/>
        </w:rPr>
      </w:pPr>
      <w:proofErr w:type="spellStart"/>
      <w:r w:rsidRPr="00A5268A">
        <w:rPr>
          <w:rFonts w:ascii="Arial" w:hAnsi="Arial" w:cs="Arial"/>
          <w:lang w:val="en-IN"/>
        </w:rPr>
        <w:t>Veeraraghavan</w:t>
      </w:r>
      <w:proofErr w:type="spellEnd"/>
      <w:r w:rsidRPr="00A5268A">
        <w:rPr>
          <w:rFonts w:ascii="Arial" w:hAnsi="Arial" w:cs="Arial"/>
          <w:lang w:val="en-IN"/>
        </w:rPr>
        <w:t xml:space="preserve">, B., &amp; </w:t>
      </w:r>
      <w:proofErr w:type="spellStart"/>
      <w:r w:rsidRPr="00A5268A">
        <w:rPr>
          <w:rFonts w:ascii="Arial" w:hAnsi="Arial" w:cs="Arial"/>
          <w:lang w:val="en-IN"/>
        </w:rPr>
        <w:t>Walia</w:t>
      </w:r>
      <w:proofErr w:type="spellEnd"/>
      <w:r w:rsidRPr="00A5268A">
        <w:rPr>
          <w:rFonts w:ascii="Arial" w:hAnsi="Arial" w:cs="Arial"/>
          <w:lang w:val="en-IN"/>
        </w:rPr>
        <w:t xml:space="preserve">, K. (2019). Antimicrobial susceptibility profile &amp; resistance mechanisms of Global Antimicrobial Resistance Surveillance System (GLASS) priority pathogens from India. </w:t>
      </w:r>
      <w:r w:rsidRPr="00A5268A">
        <w:rPr>
          <w:rFonts w:ascii="Arial" w:hAnsi="Arial" w:cs="Arial"/>
          <w:i/>
          <w:iCs/>
          <w:lang w:val="en-IN"/>
        </w:rPr>
        <w:t>The Indian Journal of Medical Research</w:t>
      </w:r>
      <w:r w:rsidRPr="00A5268A">
        <w:rPr>
          <w:rFonts w:ascii="Arial" w:hAnsi="Arial" w:cs="Arial"/>
          <w:lang w:val="en-IN"/>
        </w:rPr>
        <w:t xml:space="preserve">, </w:t>
      </w:r>
      <w:r w:rsidRPr="00A5268A">
        <w:rPr>
          <w:rFonts w:ascii="Arial" w:hAnsi="Arial" w:cs="Arial"/>
          <w:i/>
          <w:iCs/>
          <w:lang w:val="en-IN"/>
        </w:rPr>
        <w:t>149</w:t>
      </w:r>
      <w:r w:rsidRPr="00A5268A">
        <w:rPr>
          <w:rFonts w:ascii="Arial" w:hAnsi="Arial" w:cs="Arial"/>
          <w:lang w:val="en-IN"/>
        </w:rPr>
        <w:t xml:space="preserve">(2), 87–96. </w:t>
      </w:r>
      <w:hyperlink r:id="rId36" w:history="1">
        <w:r w:rsidR="00435DF7" w:rsidRPr="00B14D1F">
          <w:rPr>
            <w:rStyle w:val="Hyperlink"/>
            <w:rFonts w:ascii="Arial" w:hAnsi="Arial" w:cs="Arial"/>
            <w:lang w:val="en-IN"/>
          </w:rPr>
          <w:t>https://doi.org/10.4103/ijmr.ijmr_214_18</w:t>
        </w:r>
      </w:hyperlink>
      <w:r w:rsidR="00435DF7">
        <w:rPr>
          <w:rFonts w:ascii="Arial" w:hAnsi="Arial" w:cs="Arial"/>
          <w:lang w:val="en-IN"/>
        </w:rPr>
        <w:t xml:space="preserve"> </w:t>
      </w:r>
    </w:p>
    <w:p w14:paraId="6569FD84" w14:textId="77777777" w:rsidR="009F2861" w:rsidRDefault="009F2861" w:rsidP="003A7418">
      <w:pPr>
        <w:pStyle w:val="Body"/>
        <w:numPr>
          <w:ilvl w:val="0"/>
          <w:numId w:val="32"/>
        </w:numPr>
        <w:spacing w:after="0"/>
        <w:rPr>
          <w:rFonts w:ascii="Arial" w:hAnsi="Arial" w:cs="Arial"/>
          <w:bCs/>
        </w:rPr>
      </w:pPr>
      <w:r w:rsidRPr="00224DFB">
        <w:rPr>
          <w:rFonts w:ascii="Arial" w:hAnsi="Arial" w:cs="Arial"/>
          <w:bCs/>
          <w:lang w:val="da-DK"/>
        </w:rPr>
        <w:t xml:space="preserve">Venkataraman, R., Divatia, J. V., Ramakrishnan, N., Chawla, R., Amin, P., Gopal, P., et al. </w:t>
      </w:r>
      <w:r w:rsidRPr="00FF1497">
        <w:rPr>
          <w:rFonts w:ascii="Arial" w:hAnsi="Arial" w:cs="Arial"/>
          <w:bCs/>
          <w:lang w:val="en-IN"/>
        </w:rPr>
        <w:t xml:space="preserve">(2018). </w:t>
      </w:r>
      <w:r w:rsidRPr="00224DFB">
        <w:rPr>
          <w:rFonts w:ascii="Arial" w:hAnsi="Arial" w:cs="Arial"/>
          <w:bCs/>
        </w:rPr>
        <w:t>Multicenter observational study to evaluate epidemiology and resistance patterns of common intensive care unit-infections. </w:t>
      </w:r>
      <w:r w:rsidRPr="00224DFB">
        <w:rPr>
          <w:rFonts w:ascii="Arial" w:hAnsi="Arial" w:cs="Arial"/>
          <w:bCs/>
          <w:i/>
          <w:iCs/>
        </w:rPr>
        <w:t>Indian Journal of Critical Care Medicine</w:t>
      </w:r>
      <w:r w:rsidRPr="00224DFB">
        <w:rPr>
          <w:rFonts w:ascii="Arial" w:hAnsi="Arial" w:cs="Arial"/>
          <w:bCs/>
        </w:rPr>
        <w:t>, </w:t>
      </w:r>
      <w:r w:rsidRPr="00224DFB">
        <w:rPr>
          <w:rFonts w:ascii="Arial" w:hAnsi="Arial" w:cs="Arial"/>
          <w:bCs/>
          <w:i/>
          <w:iCs/>
        </w:rPr>
        <w:t>22</w:t>
      </w:r>
      <w:r w:rsidRPr="00224DFB">
        <w:rPr>
          <w:rFonts w:ascii="Arial" w:hAnsi="Arial" w:cs="Arial"/>
          <w:bCs/>
        </w:rPr>
        <w:t>(1), 20–26. </w:t>
      </w:r>
      <w:hyperlink r:id="rId37" w:history="1">
        <w:r w:rsidRPr="00131893">
          <w:rPr>
            <w:rStyle w:val="Hyperlink"/>
            <w:rFonts w:ascii="Arial" w:hAnsi="Arial" w:cs="Arial"/>
            <w:bCs/>
          </w:rPr>
          <w:t>https://doi.org/10.4103/ijccm.ijccm_394_17</w:t>
        </w:r>
      </w:hyperlink>
    </w:p>
    <w:p w14:paraId="2E2FA505" w14:textId="77777777" w:rsidR="009F2861" w:rsidRPr="00DA3FB0" w:rsidRDefault="009F2861" w:rsidP="003A7418">
      <w:pPr>
        <w:pStyle w:val="Body"/>
        <w:numPr>
          <w:ilvl w:val="0"/>
          <w:numId w:val="32"/>
        </w:numPr>
        <w:spacing w:after="0"/>
        <w:rPr>
          <w:rFonts w:ascii="Arial" w:hAnsi="Arial" w:cs="Arial"/>
        </w:rPr>
      </w:pPr>
      <w:r w:rsidRPr="00DA3FB0">
        <w:rPr>
          <w:rFonts w:ascii="Arial" w:hAnsi="Arial" w:cs="Arial"/>
        </w:rPr>
        <w:t xml:space="preserve">Vincent, J. L., </w:t>
      </w:r>
      <w:proofErr w:type="spellStart"/>
      <w:r w:rsidRPr="00DA3FB0">
        <w:rPr>
          <w:rFonts w:ascii="Arial" w:hAnsi="Arial" w:cs="Arial"/>
        </w:rPr>
        <w:t>Rello</w:t>
      </w:r>
      <w:proofErr w:type="spellEnd"/>
      <w:r w:rsidRPr="00DA3FB0">
        <w:rPr>
          <w:rFonts w:ascii="Arial" w:hAnsi="Arial" w:cs="Arial"/>
        </w:rPr>
        <w:t xml:space="preserve">, J., Marshall, J., Silva, E., </w:t>
      </w:r>
      <w:proofErr w:type="spellStart"/>
      <w:r w:rsidRPr="00DA3FB0">
        <w:rPr>
          <w:rFonts w:ascii="Arial" w:hAnsi="Arial" w:cs="Arial"/>
        </w:rPr>
        <w:t>Anzueto</w:t>
      </w:r>
      <w:proofErr w:type="spellEnd"/>
      <w:r w:rsidRPr="00DA3FB0">
        <w:rPr>
          <w:rFonts w:ascii="Arial" w:hAnsi="Arial" w:cs="Arial"/>
        </w:rPr>
        <w:t>, A., Martin, C. D., et al. (1995). The prevalence of nosocomial infection in intensive care units in Europe</w:t>
      </w:r>
      <w:r w:rsidRPr="00DA3FB0">
        <w:rPr>
          <w:rFonts w:ascii="Arial" w:hAnsi="Arial" w:cs="Arial"/>
          <w:i/>
          <w:iCs/>
        </w:rPr>
        <w:t>. JAMA</w:t>
      </w:r>
      <w:r w:rsidRPr="00DA3FB0">
        <w:rPr>
          <w:rFonts w:ascii="Arial" w:hAnsi="Arial" w:cs="Arial"/>
        </w:rPr>
        <w:t>, 274(8), 639</w:t>
      </w:r>
      <w:r>
        <w:rPr>
          <w:rFonts w:ascii="Arial" w:hAnsi="Arial" w:cs="Arial"/>
        </w:rPr>
        <w:t>-</w:t>
      </w:r>
      <w:r w:rsidRPr="00DA3FB0">
        <w:rPr>
          <w:rFonts w:ascii="Arial" w:hAnsi="Arial" w:cs="Arial"/>
        </w:rPr>
        <w:t xml:space="preserve">644. </w:t>
      </w:r>
      <w:hyperlink r:id="rId38" w:history="1">
        <w:r w:rsidRPr="00DA3FB0">
          <w:rPr>
            <w:rStyle w:val="Hyperlink"/>
            <w:rFonts w:ascii="Arial" w:hAnsi="Arial" w:cs="Arial"/>
          </w:rPr>
          <w:t>https://doi.org/10.1001/jama.1995.03530080055041</w:t>
        </w:r>
      </w:hyperlink>
    </w:p>
    <w:p w14:paraId="74DA7227" w14:textId="77777777" w:rsidR="009F2861" w:rsidRPr="00DA3FB0" w:rsidRDefault="009F2861" w:rsidP="003A7418">
      <w:pPr>
        <w:pStyle w:val="Body"/>
        <w:numPr>
          <w:ilvl w:val="0"/>
          <w:numId w:val="32"/>
        </w:numPr>
        <w:spacing w:after="0"/>
        <w:rPr>
          <w:rFonts w:ascii="Arial" w:hAnsi="Arial" w:cs="Arial"/>
          <w:lang w:val="da-DK"/>
        </w:rPr>
      </w:pPr>
      <w:r w:rsidRPr="00DA3FB0">
        <w:rPr>
          <w:rFonts w:ascii="Arial" w:hAnsi="Arial" w:cs="Arial"/>
        </w:rPr>
        <w:t xml:space="preserve">Vincent, J. L., </w:t>
      </w:r>
      <w:proofErr w:type="spellStart"/>
      <w:r w:rsidRPr="00DA3FB0">
        <w:rPr>
          <w:rFonts w:ascii="Arial" w:hAnsi="Arial" w:cs="Arial"/>
        </w:rPr>
        <w:t>Sakr</w:t>
      </w:r>
      <w:proofErr w:type="spellEnd"/>
      <w:r w:rsidRPr="00DA3FB0">
        <w:rPr>
          <w:rFonts w:ascii="Arial" w:hAnsi="Arial" w:cs="Arial"/>
        </w:rPr>
        <w:t>, Y., Singer, M., Martin-</w:t>
      </w:r>
      <w:proofErr w:type="spellStart"/>
      <w:r w:rsidRPr="00DA3FB0">
        <w:rPr>
          <w:rFonts w:ascii="Arial" w:hAnsi="Arial" w:cs="Arial"/>
        </w:rPr>
        <w:t>Loeches</w:t>
      </w:r>
      <w:proofErr w:type="spellEnd"/>
      <w:r w:rsidRPr="00DA3FB0">
        <w:rPr>
          <w:rFonts w:ascii="Arial" w:hAnsi="Arial" w:cs="Arial"/>
        </w:rPr>
        <w:t xml:space="preserve">, I., Machado, F. R., Marshall, J. C., et al. (2020). Prevalence and outcomes of infection among patients in intensive care units in 2017. </w:t>
      </w:r>
      <w:r w:rsidRPr="004B50E3">
        <w:rPr>
          <w:rFonts w:ascii="Arial" w:hAnsi="Arial" w:cs="Arial"/>
          <w:i/>
          <w:iCs/>
          <w:lang w:val="da-DK"/>
        </w:rPr>
        <w:t>JAMA,</w:t>
      </w:r>
      <w:r w:rsidRPr="004B50E3">
        <w:rPr>
          <w:rFonts w:ascii="Arial" w:hAnsi="Arial" w:cs="Arial"/>
          <w:lang w:val="da-DK"/>
        </w:rPr>
        <w:t xml:space="preserve"> 323(15), 1478</w:t>
      </w:r>
      <w:r>
        <w:rPr>
          <w:rFonts w:ascii="Arial" w:hAnsi="Arial" w:cs="Arial"/>
          <w:lang w:val="da-DK"/>
        </w:rPr>
        <w:t>-</w:t>
      </w:r>
      <w:r w:rsidRPr="004B50E3">
        <w:rPr>
          <w:rFonts w:ascii="Arial" w:hAnsi="Arial" w:cs="Arial"/>
          <w:lang w:val="da-DK"/>
        </w:rPr>
        <w:t xml:space="preserve">1487. </w:t>
      </w:r>
      <w:hyperlink r:id="rId39" w:history="1">
        <w:r w:rsidRPr="00DA3FB0">
          <w:rPr>
            <w:rStyle w:val="Hyperlink"/>
            <w:rFonts w:ascii="Arial" w:hAnsi="Arial" w:cs="Arial"/>
            <w:lang w:val="da-DK"/>
          </w:rPr>
          <w:t>https://doi.org/10.1001/jama.2020.2717</w:t>
        </w:r>
      </w:hyperlink>
    </w:p>
    <w:p w14:paraId="7B5A2AFD" w14:textId="77777777" w:rsidR="009F2861" w:rsidRPr="00DA3FB0" w:rsidRDefault="009F2861" w:rsidP="003A7418">
      <w:pPr>
        <w:pStyle w:val="Body"/>
        <w:numPr>
          <w:ilvl w:val="0"/>
          <w:numId w:val="32"/>
        </w:numPr>
        <w:spacing w:after="0"/>
        <w:rPr>
          <w:rFonts w:ascii="Arial" w:hAnsi="Arial" w:cs="Arial"/>
          <w:lang w:val="en-IN"/>
        </w:rPr>
      </w:pPr>
      <w:r w:rsidRPr="003D1511">
        <w:rPr>
          <w:rFonts w:ascii="Arial" w:hAnsi="Arial" w:cs="Arial"/>
          <w:lang w:val="da-DK"/>
        </w:rPr>
        <w:t xml:space="preserve">Walia, K., Madhumathi, J., Veeraraghavan, B., Chakrabarti, A., Kapil, A., Ray, P., et al. </w:t>
      </w:r>
      <w:r w:rsidRPr="004B50E3">
        <w:rPr>
          <w:rFonts w:ascii="Arial" w:hAnsi="Arial" w:cs="Arial"/>
          <w:lang w:val="en-IN"/>
        </w:rPr>
        <w:t xml:space="preserve">(2019). </w:t>
      </w:r>
      <w:r w:rsidRPr="00DA3FB0">
        <w:rPr>
          <w:rFonts w:ascii="Arial" w:hAnsi="Arial" w:cs="Arial"/>
          <w:lang w:val="en-IN"/>
        </w:rPr>
        <w:t xml:space="preserve">Establishing Antimicrobial Resistance Surveillance &amp; Research Network in India. </w:t>
      </w:r>
      <w:r w:rsidRPr="00DA3FB0">
        <w:rPr>
          <w:rFonts w:ascii="Arial" w:hAnsi="Arial" w:cs="Arial"/>
          <w:i/>
          <w:iCs/>
          <w:lang w:val="en-IN"/>
        </w:rPr>
        <w:t>The Indian Journal of Medical Research,</w:t>
      </w:r>
      <w:r w:rsidRPr="00DA3FB0">
        <w:rPr>
          <w:rFonts w:ascii="Arial" w:hAnsi="Arial" w:cs="Arial"/>
          <w:lang w:val="en-IN"/>
        </w:rPr>
        <w:t xml:space="preserve"> 149(2), 164</w:t>
      </w:r>
      <w:r>
        <w:rPr>
          <w:rFonts w:ascii="Arial" w:hAnsi="Arial" w:cs="Arial"/>
          <w:lang w:val="en-IN"/>
        </w:rPr>
        <w:t>-</w:t>
      </w:r>
      <w:r w:rsidRPr="00DA3FB0">
        <w:rPr>
          <w:rFonts w:ascii="Arial" w:hAnsi="Arial" w:cs="Arial"/>
          <w:lang w:val="en-IN"/>
        </w:rPr>
        <w:t>179.</w:t>
      </w:r>
      <w:r>
        <w:rPr>
          <w:rFonts w:ascii="Arial" w:hAnsi="Arial" w:cs="Arial"/>
          <w:lang w:val="en-IN"/>
        </w:rPr>
        <w:t xml:space="preserve"> </w:t>
      </w:r>
      <w:hyperlink r:id="rId40" w:history="1">
        <w:r w:rsidRPr="00DA3FB0">
          <w:rPr>
            <w:rStyle w:val="Hyperlink"/>
            <w:rFonts w:ascii="Arial" w:hAnsi="Arial" w:cs="Arial"/>
            <w:lang w:val="en-IN"/>
          </w:rPr>
          <w:t>https://doi.org/10.4103/ijmr.ijmr_226_18</w:t>
        </w:r>
      </w:hyperlink>
    </w:p>
    <w:p w14:paraId="4D30309C" w14:textId="77777777" w:rsidR="009F2861" w:rsidRPr="00FF1497" w:rsidRDefault="009F2861" w:rsidP="003A7418">
      <w:pPr>
        <w:pStyle w:val="Body"/>
        <w:numPr>
          <w:ilvl w:val="0"/>
          <w:numId w:val="32"/>
        </w:numPr>
        <w:spacing w:after="0"/>
        <w:rPr>
          <w:rFonts w:ascii="Arial" w:hAnsi="Arial" w:cs="Arial"/>
          <w:bCs/>
          <w:lang w:val="en-IN"/>
        </w:rPr>
      </w:pPr>
      <w:r w:rsidRPr="00DA3FB0">
        <w:rPr>
          <w:rFonts w:ascii="Arial" w:hAnsi="Arial" w:cs="Arial"/>
          <w:bCs/>
          <w:lang w:val="en-IN"/>
        </w:rPr>
        <w:lastRenderedPageBreak/>
        <w:t xml:space="preserve">Walsh, T. R., Gales, A. C., </w:t>
      </w:r>
      <w:proofErr w:type="spellStart"/>
      <w:r w:rsidRPr="00DA3FB0">
        <w:rPr>
          <w:rFonts w:ascii="Arial" w:hAnsi="Arial" w:cs="Arial"/>
          <w:bCs/>
          <w:lang w:val="en-IN"/>
        </w:rPr>
        <w:t>Laxminarayan</w:t>
      </w:r>
      <w:proofErr w:type="spellEnd"/>
      <w:r w:rsidRPr="00DA3FB0">
        <w:rPr>
          <w:rFonts w:ascii="Arial" w:hAnsi="Arial" w:cs="Arial"/>
          <w:bCs/>
          <w:lang w:val="en-IN"/>
        </w:rPr>
        <w:t>, R.,</w:t>
      </w:r>
      <w:r>
        <w:rPr>
          <w:rFonts w:ascii="Arial" w:hAnsi="Arial" w:cs="Arial"/>
          <w:bCs/>
          <w:lang w:val="en-IN"/>
        </w:rPr>
        <w:t xml:space="preserve"> &amp;</w:t>
      </w:r>
      <w:r w:rsidRPr="00DA3FB0">
        <w:rPr>
          <w:rFonts w:ascii="Arial" w:hAnsi="Arial" w:cs="Arial"/>
          <w:bCs/>
          <w:lang w:val="en-IN"/>
        </w:rPr>
        <w:t xml:space="preserve"> Dodd, P. C., (2023). Antimicrobial resistance: addressing a global threat to humanity. </w:t>
      </w:r>
      <w:r w:rsidRPr="00DA3FB0">
        <w:rPr>
          <w:rFonts w:ascii="Arial" w:hAnsi="Arial" w:cs="Arial"/>
          <w:bCs/>
          <w:i/>
          <w:iCs/>
          <w:lang w:val="en-IN"/>
        </w:rPr>
        <w:t>PLOS Medicine,</w:t>
      </w:r>
      <w:r w:rsidRPr="00DA3FB0">
        <w:rPr>
          <w:rFonts w:ascii="Arial" w:hAnsi="Arial" w:cs="Arial"/>
          <w:bCs/>
          <w:lang w:val="en-IN"/>
        </w:rPr>
        <w:t xml:space="preserve"> 20(7), e1004264. </w:t>
      </w:r>
      <w:hyperlink r:id="rId41" w:history="1">
        <w:r w:rsidRPr="00FF1497">
          <w:rPr>
            <w:rStyle w:val="Hyperlink"/>
            <w:rFonts w:ascii="Arial" w:hAnsi="Arial" w:cs="Arial"/>
            <w:bCs/>
            <w:lang w:val="en-IN"/>
          </w:rPr>
          <w:t>https://doi.org/10.1371/journal.pmed.1004264</w:t>
        </w:r>
      </w:hyperlink>
    </w:p>
    <w:p w14:paraId="4CC59E86" w14:textId="77777777" w:rsidR="009F2861" w:rsidRDefault="009F2861" w:rsidP="003A7418">
      <w:pPr>
        <w:pStyle w:val="Body"/>
        <w:numPr>
          <w:ilvl w:val="0"/>
          <w:numId w:val="32"/>
        </w:numPr>
      </w:pPr>
      <w:r w:rsidRPr="00EE399A">
        <w:rPr>
          <w:rFonts w:ascii="Arial" w:hAnsi="Arial" w:cs="Arial"/>
          <w:bCs/>
          <w:lang w:val="en-IN"/>
        </w:rPr>
        <w:t xml:space="preserve">White, R. L., Friedrich, L. V., </w:t>
      </w:r>
      <w:proofErr w:type="spellStart"/>
      <w:r w:rsidRPr="00EE399A">
        <w:rPr>
          <w:rFonts w:ascii="Arial" w:hAnsi="Arial" w:cs="Arial"/>
          <w:bCs/>
          <w:lang w:val="en-IN"/>
        </w:rPr>
        <w:t>Mihm</w:t>
      </w:r>
      <w:proofErr w:type="spellEnd"/>
      <w:r w:rsidRPr="00EE399A">
        <w:rPr>
          <w:rFonts w:ascii="Arial" w:hAnsi="Arial" w:cs="Arial"/>
          <w:bCs/>
          <w:lang w:val="en-IN"/>
        </w:rPr>
        <w:t xml:space="preserve">, L. B., &amp; </w:t>
      </w:r>
      <w:proofErr w:type="spellStart"/>
      <w:r w:rsidRPr="00EE399A">
        <w:rPr>
          <w:rFonts w:ascii="Arial" w:hAnsi="Arial" w:cs="Arial"/>
          <w:bCs/>
          <w:lang w:val="en-IN"/>
        </w:rPr>
        <w:t>Bosso</w:t>
      </w:r>
      <w:proofErr w:type="spellEnd"/>
      <w:r w:rsidRPr="00EE399A">
        <w:rPr>
          <w:rFonts w:ascii="Arial" w:hAnsi="Arial" w:cs="Arial"/>
          <w:bCs/>
          <w:lang w:val="en-IN"/>
        </w:rPr>
        <w:t xml:space="preserve">, J. A. </w:t>
      </w:r>
      <w:r w:rsidRPr="00DA3FB0">
        <w:rPr>
          <w:rFonts w:ascii="Arial" w:hAnsi="Arial" w:cs="Arial"/>
          <w:bCs/>
          <w:lang w:val="en-IN"/>
        </w:rPr>
        <w:t xml:space="preserve">(2000). Assessment of the relationship between antimicrobial usage and susceptibility: differences between the hospital and specific patient-care areas. </w:t>
      </w:r>
      <w:r w:rsidRPr="00DA3FB0">
        <w:rPr>
          <w:rFonts w:ascii="Arial" w:hAnsi="Arial" w:cs="Arial"/>
          <w:bCs/>
          <w:i/>
          <w:iCs/>
          <w:lang w:val="en-IN"/>
        </w:rPr>
        <w:t>Clinical Infectious Diseases,</w:t>
      </w:r>
      <w:r w:rsidRPr="00DA3FB0">
        <w:rPr>
          <w:rFonts w:ascii="Arial" w:hAnsi="Arial" w:cs="Arial"/>
          <w:bCs/>
          <w:lang w:val="en-IN"/>
        </w:rPr>
        <w:t xml:space="preserve"> 31(1), 16</w:t>
      </w:r>
      <w:r>
        <w:rPr>
          <w:rFonts w:ascii="Arial" w:hAnsi="Arial" w:cs="Arial"/>
          <w:bCs/>
          <w:lang w:val="en-IN"/>
        </w:rPr>
        <w:t>-</w:t>
      </w:r>
      <w:r w:rsidRPr="00DA3FB0">
        <w:rPr>
          <w:rFonts w:ascii="Arial" w:hAnsi="Arial" w:cs="Arial"/>
          <w:bCs/>
          <w:lang w:val="en-IN"/>
        </w:rPr>
        <w:t xml:space="preserve">23. </w:t>
      </w:r>
      <w:hyperlink r:id="rId42" w:history="1">
        <w:r w:rsidRPr="00DA3FB0">
          <w:rPr>
            <w:rStyle w:val="Hyperlink"/>
            <w:rFonts w:ascii="Arial" w:hAnsi="Arial" w:cs="Arial"/>
            <w:bCs/>
            <w:lang w:val="en-IN"/>
          </w:rPr>
          <w:t>https://doi.org/10.1086/313916</w:t>
        </w:r>
      </w:hyperlink>
    </w:p>
    <w:p w14:paraId="2D6AC79C" w14:textId="77777777" w:rsidR="004D4277" w:rsidRPr="00FF1497" w:rsidRDefault="00B01FCD" w:rsidP="00441B6F">
      <w:pPr>
        <w:pStyle w:val="Appendix"/>
        <w:spacing w:after="0"/>
        <w:jc w:val="both"/>
        <w:rPr>
          <w:rFonts w:ascii="Arial" w:hAnsi="Arial" w:cs="Arial"/>
          <w:b w:val="0"/>
          <w:bCs/>
        </w:rPr>
      </w:pPr>
      <w:r w:rsidRPr="00DA3FB0">
        <w:rPr>
          <w:rFonts w:ascii="Arial" w:hAnsi="Arial" w:cs="Arial"/>
        </w:rPr>
        <w:t>APPENDIX</w:t>
      </w:r>
    </w:p>
    <w:p w14:paraId="2DFEA663" w14:textId="12E143BD" w:rsidR="00FF1497" w:rsidRPr="00FF1497" w:rsidRDefault="00FF1497" w:rsidP="00441B6F">
      <w:pPr>
        <w:pStyle w:val="Appendix"/>
        <w:spacing w:after="0"/>
        <w:jc w:val="both"/>
        <w:rPr>
          <w:rFonts w:ascii="Arial" w:hAnsi="Arial" w:cs="Arial"/>
          <w:b w:val="0"/>
          <w:bCs/>
        </w:rPr>
      </w:pPr>
      <w:r w:rsidRPr="00FF1497">
        <w:rPr>
          <w:rFonts w:ascii="Arial" w:hAnsi="Arial" w:cs="Arial"/>
          <w:b w:val="0"/>
          <w:bCs/>
        </w:rPr>
        <w:t>Table of Figure 1</w:t>
      </w:r>
    </w:p>
    <w:tbl>
      <w:tblPr>
        <w:tblpPr w:leftFromText="180" w:rightFromText="180" w:vertAnchor="text" w:horzAnchor="margin" w:tblpY="71"/>
        <w:tblW w:w="8989" w:type="dxa"/>
        <w:tblLook w:val="04A0" w:firstRow="1" w:lastRow="0" w:firstColumn="1" w:lastColumn="0" w:noHBand="0" w:noVBand="1"/>
      </w:tblPr>
      <w:tblGrid>
        <w:gridCol w:w="1333"/>
        <w:gridCol w:w="1591"/>
        <w:gridCol w:w="607"/>
        <w:gridCol w:w="781"/>
        <w:gridCol w:w="785"/>
        <w:gridCol w:w="849"/>
        <w:gridCol w:w="1452"/>
        <w:gridCol w:w="1591"/>
      </w:tblGrid>
      <w:tr w:rsidR="00FF1497" w:rsidRPr="00FF1497" w14:paraId="64B63106" w14:textId="77777777" w:rsidTr="00FF1497">
        <w:trPr>
          <w:trHeight w:val="288"/>
        </w:trPr>
        <w:tc>
          <w:tcPr>
            <w:tcW w:w="1333" w:type="dxa"/>
            <w:tcBorders>
              <w:top w:val="single" w:sz="4" w:space="0" w:color="auto"/>
              <w:left w:val="nil"/>
              <w:bottom w:val="single" w:sz="4" w:space="0" w:color="auto"/>
              <w:right w:val="nil"/>
            </w:tcBorders>
            <w:noWrap/>
            <w:vAlign w:val="bottom"/>
            <w:hideMark/>
          </w:tcPr>
          <w:p w14:paraId="28B2D20B"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Antibiotic</w:t>
            </w:r>
          </w:p>
        </w:tc>
        <w:tc>
          <w:tcPr>
            <w:tcW w:w="1591" w:type="dxa"/>
            <w:tcBorders>
              <w:top w:val="single" w:sz="4" w:space="0" w:color="auto"/>
              <w:left w:val="nil"/>
              <w:bottom w:val="single" w:sz="4" w:space="0" w:color="auto"/>
              <w:right w:val="nil"/>
            </w:tcBorders>
            <w:noWrap/>
            <w:vAlign w:val="bottom"/>
            <w:hideMark/>
          </w:tcPr>
          <w:p w14:paraId="6F30A5B8"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Organism</w:t>
            </w:r>
          </w:p>
        </w:tc>
        <w:tc>
          <w:tcPr>
            <w:tcW w:w="607" w:type="dxa"/>
            <w:tcBorders>
              <w:top w:val="single" w:sz="4" w:space="0" w:color="auto"/>
              <w:left w:val="nil"/>
              <w:bottom w:val="single" w:sz="4" w:space="0" w:color="auto"/>
              <w:right w:val="nil"/>
            </w:tcBorders>
            <w:noWrap/>
            <w:vAlign w:val="bottom"/>
            <w:hideMark/>
          </w:tcPr>
          <w:p w14:paraId="385266C0"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OR</w:t>
            </w:r>
          </w:p>
        </w:tc>
        <w:tc>
          <w:tcPr>
            <w:tcW w:w="781" w:type="dxa"/>
            <w:tcBorders>
              <w:top w:val="single" w:sz="4" w:space="0" w:color="auto"/>
              <w:left w:val="nil"/>
              <w:bottom w:val="single" w:sz="4" w:space="0" w:color="auto"/>
              <w:right w:val="nil"/>
            </w:tcBorders>
            <w:noWrap/>
            <w:vAlign w:val="bottom"/>
            <w:hideMark/>
          </w:tcPr>
          <w:p w14:paraId="4C3CA499"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Lower CI</w:t>
            </w:r>
          </w:p>
        </w:tc>
        <w:tc>
          <w:tcPr>
            <w:tcW w:w="785" w:type="dxa"/>
            <w:tcBorders>
              <w:top w:val="single" w:sz="4" w:space="0" w:color="auto"/>
              <w:left w:val="nil"/>
              <w:bottom w:val="single" w:sz="4" w:space="0" w:color="auto"/>
              <w:right w:val="nil"/>
            </w:tcBorders>
            <w:noWrap/>
            <w:vAlign w:val="bottom"/>
            <w:hideMark/>
          </w:tcPr>
          <w:p w14:paraId="4D835B0C"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Upper CI</w:t>
            </w:r>
          </w:p>
        </w:tc>
        <w:tc>
          <w:tcPr>
            <w:tcW w:w="849" w:type="dxa"/>
            <w:tcBorders>
              <w:top w:val="single" w:sz="4" w:space="0" w:color="auto"/>
              <w:left w:val="nil"/>
              <w:bottom w:val="single" w:sz="4" w:space="0" w:color="auto"/>
              <w:right w:val="nil"/>
            </w:tcBorders>
            <w:noWrap/>
            <w:vAlign w:val="bottom"/>
            <w:hideMark/>
          </w:tcPr>
          <w:p w14:paraId="4348B08E" w14:textId="77777777" w:rsidR="00FF1497" w:rsidRPr="00FF1497" w:rsidRDefault="00FF1497" w:rsidP="00FF1497">
            <w:pP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Error Minus (OR - Lower)</w:t>
            </w:r>
          </w:p>
        </w:tc>
        <w:tc>
          <w:tcPr>
            <w:tcW w:w="1452" w:type="dxa"/>
            <w:tcBorders>
              <w:top w:val="single" w:sz="4" w:space="0" w:color="auto"/>
              <w:left w:val="nil"/>
              <w:bottom w:val="single" w:sz="4" w:space="0" w:color="auto"/>
              <w:right w:val="nil"/>
            </w:tcBorders>
            <w:noWrap/>
            <w:vAlign w:val="bottom"/>
            <w:hideMark/>
          </w:tcPr>
          <w:p w14:paraId="56A9FF37" w14:textId="77777777" w:rsidR="00FF1497" w:rsidRPr="00FF1497" w:rsidRDefault="00FF1497" w:rsidP="00FF1497">
            <w:pP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Error Plus (Upper - OR)</w:t>
            </w:r>
          </w:p>
        </w:tc>
        <w:tc>
          <w:tcPr>
            <w:tcW w:w="1591" w:type="dxa"/>
            <w:tcBorders>
              <w:top w:val="single" w:sz="4" w:space="0" w:color="auto"/>
              <w:left w:val="nil"/>
              <w:bottom w:val="single" w:sz="4" w:space="0" w:color="auto"/>
              <w:right w:val="nil"/>
            </w:tcBorders>
            <w:noWrap/>
            <w:vAlign w:val="bottom"/>
            <w:hideMark/>
          </w:tcPr>
          <w:p w14:paraId="52B0D3B2"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Legend</w:t>
            </w:r>
          </w:p>
        </w:tc>
      </w:tr>
      <w:tr w:rsidR="00FF1497" w:rsidRPr="00FF1497" w14:paraId="69BCAF02" w14:textId="77777777" w:rsidTr="00FF1497">
        <w:trPr>
          <w:trHeight w:val="288"/>
        </w:trPr>
        <w:tc>
          <w:tcPr>
            <w:tcW w:w="1333" w:type="dxa"/>
            <w:tcBorders>
              <w:top w:val="single" w:sz="4" w:space="0" w:color="auto"/>
              <w:left w:val="nil"/>
              <w:bottom w:val="nil"/>
              <w:right w:val="nil"/>
            </w:tcBorders>
            <w:noWrap/>
            <w:vAlign w:val="bottom"/>
            <w:hideMark/>
          </w:tcPr>
          <w:p w14:paraId="3C839975"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Imipenem</w:t>
            </w:r>
          </w:p>
        </w:tc>
        <w:tc>
          <w:tcPr>
            <w:tcW w:w="1591" w:type="dxa"/>
            <w:tcBorders>
              <w:top w:val="single" w:sz="4" w:space="0" w:color="auto"/>
              <w:left w:val="nil"/>
              <w:bottom w:val="nil"/>
              <w:right w:val="nil"/>
            </w:tcBorders>
            <w:noWrap/>
            <w:vAlign w:val="bottom"/>
            <w:hideMark/>
          </w:tcPr>
          <w:p w14:paraId="1FA2F506"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w:t>
            </w:r>
          </w:p>
        </w:tc>
        <w:tc>
          <w:tcPr>
            <w:tcW w:w="607" w:type="dxa"/>
            <w:tcBorders>
              <w:top w:val="single" w:sz="4" w:space="0" w:color="auto"/>
              <w:left w:val="nil"/>
              <w:bottom w:val="nil"/>
              <w:right w:val="nil"/>
            </w:tcBorders>
            <w:noWrap/>
            <w:vAlign w:val="bottom"/>
            <w:hideMark/>
          </w:tcPr>
          <w:p w14:paraId="499EA0A6"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1" w:type="dxa"/>
            <w:tcBorders>
              <w:top w:val="single" w:sz="4" w:space="0" w:color="auto"/>
              <w:left w:val="nil"/>
              <w:bottom w:val="nil"/>
              <w:right w:val="nil"/>
            </w:tcBorders>
            <w:noWrap/>
            <w:vAlign w:val="bottom"/>
            <w:hideMark/>
          </w:tcPr>
          <w:p w14:paraId="6585E65B"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1.07</w:t>
            </w:r>
          </w:p>
        </w:tc>
        <w:tc>
          <w:tcPr>
            <w:tcW w:w="785" w:type="dxa"/>
            <w:tcBorders>
              <w:top w:val="single" w:sz="4" w:space="0" w:color="auto"/>
              <w:left w:val="nil"/>
              <w:bottom w:val="nil"/>
              <w:right w:val="nil"/>
            </w:tcBorders>
            <w:noWrap/>
            <w:vAlign w:val="bottom"/>
            <w:hideMark/>
          </w:tcPr>
          <w:p w14:paraId="5CE31A08"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w:t>
            </w:r>
          </w:p>
        </w:tc>
        <w:tc>
          <w:tcPr>
            <w:tcW w:w="849" w:type="dxa"/>
            <w:tcBorders>
              <w:top w:val="single" w:sz="4" w:space="0" w:color="auto"/>
              <w:left w:val="nil"/>
              <w:bottom w:val="nil"/>
              <w:right w:val="nil"/>
            </w:tcBorders>
            <w:noWrap/>
            <w:vAlign w:val="bottom"/>
            <w:hideMark/>
          </w:tcPr>
          <w:p w14:paraId="0F6A911B"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0.72</w:t>
            </w:r>
          </w:p>
        </w:tc>
        <w:tc>
          <w:tcPr>
            <w:tcW w:w="1452" w:type="dxa"/>
            <w:tcBorders>
              <w:top w:val="single" w:sz="4" w:space="0" w:color="auto"/>
              <w:left w:val="nil"/>
              <w:bottom w:val="nil"/>
              <w:right w:val="nil"/>
            </w:tcBorders>
            <w:noWrap/>
            <w:vAlign w:val="bottom"/>
            <w:hideMark/>
          </w:tcPr>
          <w:p w14:paraId="064D7761"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1.93</w:t>
            </w:r>
          </w:p>
        </w:tc>
        <w:tc>
          <w:tcPr>
            <w:tcW w:w="1591" w:type="dxa"/>
            <w:tcBorders>
              <w:top w:val="single" w:sz="4" w:space="0" w:color="auto"/>
              <w:left w:val="nil"/>
              <w:bottom w:val="nil"/>
              <w:right w:val="nil"/>
            </w:tcBorders>
            <w:noWrap/>
            <w:vAlign w:val="bottom"/>
            <w:hideMark/>
          </w:tcPr>
          <w:p w14:paraId="64E96B0D"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Imipenem</w:t>
            </w:r>
          </w:p>
        </w:tc>
      </w:tr>
      <w:tr w:rsidR="00FF1497" w:rsidRPr="00FF1497" w14:paraId="5010C1BF" w14:textId="77777777" w:rsidTr="00FF1497">
        <w:trPr>
          <w:trHeight w:val="288"/>
        </w:trPr>
        <w:tc>
          <w:tcPr>
            <w:tcW w:w="1333" w:type="dxa"/>
            <w:tcBorders>
              <w:top w:val="nil"/>
              <w:left w:val="nil"/>
              <w:bottom w:val="nil"/>
              <w:right w:val="nil"/>
            </w:tcBorders>
            <w:noWrap/>
            <w:vAlign w:val="bottom"/>
            <w:hideMark/>
          </w:tcPr>
          <w:p w14:paraId="0692BF0A"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Meropenem</w:t>
            </w:r>
          </w:p>
        </w:tc>
        <w:tc>
          <w:tcPr>
            <w:tcW w:w="1591" w:type="dxa"/>
            <w:tcBorders>
              <w:top w:val="nil"/>
              <w:left w:val="nil"/>
              <w:bottom w:val="nil"/>
              <w:right w:val="nil"/>
            </w:tcBorders>
            <w:noWrap/>
            <w:vAlign w:val="bottom"/>
            <w:hideMark/>
          </w:tcPr>
          <w:p w14:paraId="46B797E8"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w:t>
            </w:r>
          </w:p>
        </w:tc>
        <w:tc>
          <w:tcPr>
            <w:tcW w:w="607" w:type="dxa"/>
            <w:tcBorders>
              <w:top w:val="nil"/>
              <w:left w:val="nil"/>
              <w:bottom w:val="nil"/>
              <w:right w:val="nil"/>
            </w:tcBorders>
            <w:noWrap/>
            <w:vAlign w:val="bottom"/>
            <w:hideMark/>
          </w:tcPr>
          <w:p w14:paraId="0C4B7EB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1" w:type="dxa"/>
            <w:tcBorders>
              <w:top w:val="nil"/>
              <w:left w:val="nil"/>
              <w:bottom w:val="nil"/>
              <w:right w:val="nil"/>
            </w:tcBorders>
            <w:noWrap/>
            <w:vAlign w:val="bottom"/>
            <w:hideMark/>
          </w:tcPr>
          <w:p w14:paraId="474A023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1.07</w:t>
            </w:r>
          </w:p>
        </w:tc>
        <w:tc>
          <w:tcPr>
            <w:tcW w:w="785" w:type="dxa"/>
            <w:tcBorders>
              <w:top w:val="nil"/>
              <w:left w:val="nil"/>
              <w:bottom w:val="nil"/>
              <w:right w:val="nil"/>
            </w:tcBorders>
            <w:noWrap/>
            <w:vAlign w:val="bottom"/>
            <w:hideMark/>
          </w:tcPr>
          <w:p w14:paraId="7D448F0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w:t>
            </w:r>
          </w:p>
        </w:tc>
        <w:tc>
          <w:tcPr>
            <w:tcW w:w="849" w:type="dxa"/>
            <w:tcBorders>
              <w:top w:val="nil"/>
              <w:left w:val="nil"/>
              <w:bottom w:val="nil"/>
              <w:right w:val="nil"/>
            </w:tcBorders>
            <w:noWrap/>
            <w:vAlign w:val="bottom"/>
            <w:hideMark/>
          </w:tcPr>
          <w:p w14:paraId="4A2F506A"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0.72</w:t>
            </w:r>
          </w:p>
        </w:tc>
        <w:tc>
          <w:tcPr>
            <w:tcW w:w="1452" w:type="dxa"/>
            <w:tcBorders>
              <w:top w:val="nil"/>
              <w:left w:val="nil"/>
              <w:bottom w:val="nil"/>
              <w:right w:val="nil"/>
            </w:tcBorders>
            <w:noWrap/>
            <w:vAlign w:val="bottom"/>
            <w:hideMark/>
          </w:tcPr>
          <w:p w14:paraId="142CC2C2"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1.93</w:t>
            </w:r>
          </w:p>
        </w:tc>
        <w:tc>
          <w:tcPr>
            <w:tcW w:w="1591" w:type="dxa"/>
            <w:tcBorders>
              <w:top w:val="nil"/>
              <w:left w:val="nil"/>
              <w:bottom w:val="nil"/>
              <w:right w:val="nil"/>
            </w:tcBorders>
            <w:noWrap/>
            <w:vAlign w:val="bottom"/>
            <w:hideMark/>
          </w:tcPr>
          <w:p w14:paraId="14385490"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Meropenem</w:t>
            </w:r>
          </w:p>
        </w:tc>
      </w:tr>
      <w:tr w:rsidR="00FF1497" w:rsidRPr="00FF1497" w14:paraId="0D72BE9B" w14:textId="77777777" w:rsidTr="00FF1497">
        <w:trPr>
          <w:trHeight w:val="288"/>
        </w:trPr>
        <w:tc>
          <w:tcPr>
            <w:tcW w:w="1333" w:type="dxa"/>
            <w:tcBorders>
              <w:top w:val="nil"/>
              <w:left w:val="nil"/>
              <w:bottom w:val="nil"/>
              <w:right w:val="nil"/>
            </w:tcBorders>
            <w:noWrap/>
            <w:vAlign w:val="bottom"/>
            <w:hideMark/>
          </w:tcPr>
          <w:p w14:paraId="2DE5A76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Piperacillin–Tazobactam</w:t>
            </w:r>
          </w:p>
        </w:tc>
        <w:tc>
          <w:tcPr>
            <w:tcW w:w="1591" w:type="dxa"/>
            <w:tcBorders>
              <w:top w:val="nil"/>
              <w:left w:val="nil"/>
              <w:bottom w:val="nil"/>
              <w:right w:val="nil"/>
            </w:tcBorders>
            <w:noWrap/>
            <w:vAlign w:val="bottom"/>
            <w:hideMark/>
          </w:tcPr>
          <w:p w14:paraId="5E53432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3B430B6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2.06</w:t>
            </w:r>
          </w:p>
        </w:tc>
        <w:tc>
          <w:tcPr>
            <w:tcW w:w="781" w:type="dxa"/>
            <w:tcBorders>
              <w:top w:val="nil"/>
              <w:left w:val="nil"/>
              <w:bottom w:val="nil"/>
              <w:right w:val="nil"/>
            </w:tcBorders>
            <w:noWrap/>
            <w:vAlign w:val="bottom"/>
            <w:hideMark/>
          </w:tcPr>
          <w:p w14:paraId="1618392B"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1.23</w:t>
            </w:r>
          </w:p>
        </w:tc>
        <w:tc>
          <w:tcPr>
            <w:tcW w:w="785" w:type="dxa"/>
            <w:tcBorders>
              <w:top w:val="nil"/>
              <w:left w:val="nil"/>
              <w:bottom w:val="nil"/>
              <w:right w:val="nil"/>
            </w:tcBorders>
            <w:noWrap/>
            <w:vAlign w:val="bottom"/>
            <w:hideMark/>
          </w:tcPr>
          <w:p w14:paraId="3A55F18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3.45</w:t>
            </w:r>
          </w:p>
        </w:tc>
        <w:tc>
          <w:tcPr>
            <w:tcW w:w="849" w:type="dxa"/>
            <w:tcBorders>
              <w:top w:val="nil"/>
              <w:left w:val="nil"/>
              <w:bottom w:val="nil"/>
              <w:right w:val="nil"/>
            </w:tcBorders>
            <w:noWrap/>
            <w:vAlign w:val="bottom"/>
            <w:hideMark/>
          </w:tcPr>
          <w:p w14:paraId="0E207A47"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0.83</w:t>
            </w:r>
          </w:p>
        </w:tc>
        <w:tc>
          <w:tcPr>
            <w:tcW w:w="1452" w:type="dxa"/>
            <w:tcBorders>
              <w:top w:val="nil"/>
              <w:left w:val="nil"/>
              <w:bottom w:val="nil"/>
              <w:right w:val="nil"/>
            </w:tcBorders>
            <w:noWrap/>
            <w:vAlign w:val="bottom"/>
            <w:hideMark/>
          </w:tcPr>
          <w:p w14:paraId="0EFFB74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2.22</w:t>
            </w:r>
          </w:p>
        </w:tc>
        <w:tc>
          <w:tcPr>
            <w:tcW w:w="1591" w:type="dxa"/>
            <w:tcBorders>
              <w:top w:val="nil"/>
              <w:left w:val="nil"/>
              <w:bottom w:val="nil"/>
              <w:right w:val="nil"/>
            </w:tcBorders>
            <w:noWrap/>
            <w:vAlign w:val="bottom"/>
            <w:hideMark/>
          </w:tcPr>
          <w:p w14:paraId="0327158F"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Piperacillin -Tazobactam</w:t>
            </w:r>
          </w:p>
        </w:tc>
      </w:tr>
      <w:tr w:rsidR="00FF1497" w:rsidRPr="00FF1497" w14:paraId="2B3D3082" w14:textId="77777777" w:rsidTr="00FF1497">
        <w:trPr>
          <w:trHeight w:val="288"/>
        </w:trPr>
        <w:tc>
          <w:tcPr>
            <w:tcW w:w="1333" w:type="dxa"/>
            <w:tcBorders>
              <w:top w:val="nil"/>
              <w:left w:val="nil"/>
              <w:bottom w:val="nil"/>
              <w:right w:val="nil"/>
            </w:tcBorders>
            <w:noWrap/>
            <w:vAlign w:val="bottom"/>
            <w:hideMark/>
          </w:tcPr>
          <w:p w14:paraId="060707D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Imipenem</w:t>
            </w:r>
          </w:p>
        </w:tc>
        <w:tc>
          <w:tcPr>
            <w:tcW w:w="1591" w:type="dxa"/>
            <w:tcBorders>
              <w:top w:val="nil"/>
              <w:left w:val="nil"/>
              <w:bottom w:val="nil"/>
              <w:right w:val="nil"/>
            </w:tcBorders>
            <w:noWrap/>
            <w:vAlign w:val="bottom"/>
            <w:hideMark/>
          </w:tcPr>
          <w:p w14:paraId="56C5AC0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7865ADA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3.01</w:t>
            </w:r>
          </w:p>
        </w:tc>
        <w:tc>
          <w:tcPr>
            <w:tcW w:w="781" w:type="dxa"/>
            <w:tcBorders>
              <w:top w:val="nil"/>
              <w:left w:val="nil"/>
              <w:bottom w:val="nil"/>
              <w:right w:val="nil"/>
            </w:tcBorders>
            <w:noWrap/>
            <w:vAlign w:val="bottom"/>
            <w:hideMark/>
          </w:tcPr>
          <w:p w14:paraId="6FC4F9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5" w:type="dxa"/>
            <w:tcBorders>
              <w:top w:val="nil"/>
              <w:left w:val="nil"/>
              <w:bottom w:val="nil"/>
              <w:right w:val="nil"/>
            </w:tcBorders>
            <w:noWrap/>
            <w:vAlign w:val="bottom"/>
            <w:hideMark/>
          </w:tcPr>
          <w:p w14:paraId="729CDA0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5.08</w:t>
            </w:r>
          </w:p>
        </w:tc>
        <w:tc>
          <w:tcPr>
            <w:tcW w:w="849" w:type="dxa"/>
            <w:tcBorders>
              <w:top w:val="nil"/>
              <w:left w:val="nil"/>
              <w:bottom w:val="nil"/>
              <w:right w:val="nil"/>
            </w:tcBorders>
            <w:noWrap/>
            <w:vAlign w:val="bottom"/>
            <w:hideMark/>
          </w:tcPr>
          <w:p w14:paraId="0664733E"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1.22</w:t>
            </w:r>
          </w:p>
        </w:tc>
        <w:tc>
          <w:tcPr>
            <w:tcW w:w="1452" w:type="dxa"/>
            <w:tcBorders>
              <w:top w:val="nil"/>
              <w:left w:val="nil"/>
              <w:bottom w:val="nil"/>
              <w:right w:val="nil"/>
            </w:tcBorders>
            <w:noWrap/>
            <w:vAlign w:val="bottom"/>
            <w:hideMark/>
          </w:tcPr>
          <w:p w14:paraId="56A5D662"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3.29</w:t>
            </w:r>
          </w:p>
        </w:tc>
        <w:tc>
          <w:tcPr>
            <w:tcW w:w="1591" w:type="dxa"/>
            <w:tcBorders>
              <w:top w:val="nil"/>
              <w:left w:val="nil"/>
              <w:bottom w:val="nil"/>
              <w:right w:val="nil"/>
            </w:tcBorders>
            <w:noWrap/>
            <w:vAlign w:val="bottom"/>
            <w:hideMark/>
          </w:tcPr>
          <w:p w14:paraId="331E44AB"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Imipenem</w:t>
            </w:r>
          </w:p>
        </w:tc>
      </w:tr>
      <w:tr w:rsidR="00FF1497" w:rsidRPr="00FF1497" w14:paraId="198AFDF6" w14:textId="77777777" w:rsidTr="00FF1497">
        <w:trPr>
          <w:trHeight w:val="288"/>
        </w:trPr>
        <w:tc>
          <w:tcPr>
            <w:tcW w:w="1333" w:type="dxa"/>
            <w:tcBorders>
              <w:top w:val="nil"/>
              <w:left w:val="nil"/>
              <w:bottom w:val="nil"/>
              <w:right w:val="nil"/>
            </w:tcBorders>
            <w:noWrap/>
            <w:vAlign w:val="bottom"/>
            <w:hideMark/>
          </w:tcPr>
          <w:p w14:paraId="657AC3A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Meropenem</w:t>
            </w:r>
          </w:p>
        </w:tc>
        <w:tc>
          <w:tcPr>
            <w:tcW w:w="1591" w:type="dxa"/>
            <w:tcBorders>
              <w:top w:val="nil"/>
              <w:left w:val="nil"/>
              <w:bottom w:val="nil"/>
              <w:right w:val="nil"/>
            </w:tcBorders>
            <w:noWrap/>
            <w:vAlign w:val="bottom"/>
            <w:hideMark/>
          </w:tcPr>
          <w:p w14:paraId="31B0514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542BF8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2.98</w:t>
            </w:r>
          </w:p>
        </w:tc>
        <w:tc>
          <w:tcPr>
            <w:tcW w:w="781" w:type="dxa"/>
            <w:tcBorders>
              <w:top w:val="nil"/>
              <w:left w:val="nil"/>
              <w:bottom w:val="nil"/>
              <w:right w:val="nil"/>
            </w:tcBorders>
            <w:noWrap/>
            <w:vAlign w:val="bottom"/>
            <w:hideMark/>
          </w:tcPr>
          <w:p w14:paraId="35E16915"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1.78</w:t>
            </w:r>
          </w:p>
        </w:tc>
        <w:tc>
          <w:tcPr>
            <w:tcW w:w="785" w:type="dxa"/>
            <w:tcBorders>
              <w:top w:val="nil"/>
              <w:left w:val="nil"/>
              <w:bottom w:val="nil"/>
              <w:right w:val="nil"/>
            </w:tcBorders>
            <w:noWrap/>
            <w:vAlign w:val="bottom"/>
            <w:hideMark/>
          </w:tcPr>
          <w:p w14:paraId="23890C9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w:t>
            </w:r>
          </w:p>
        </w:tc>
        <w:tc>
          <w:tcPr>
            <w:tcW w:w="849" w:type="dxa"/>
            <w:tcBorders>
              <w:top w:val="nil"/>
              <w:left w:val="nil"/>
              <w:bottom w:val="nil"/>
              <w:right w:val="nil"/>
            </w:tcBorders>
            <w:noWrap/>
            <w:vAlign w:val="bottom"/>
            <w:hideMark/>
          </w:tcPr>
          <w:p w14:paraId="5BB3EA85"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w:t>
            </w:r>
          </w:p>
        </w:tc>
        <w:tc>
          <w:tcPr>
            <w:tcW w:w="1452" w:type="dxa"/>
            <w:tcBorders>
              <w:top w:val="nil"/>
              <w:left w:val="nil"/>
              <w:bottom w:val="nil"/>
              <w:right w:val="nil"/>
            </w:tcBorders>
            <w:noWrap/>
            <w:vAlign w:val="bottom"/>
            <w:hideMark/>
          </w:tcPr>
          <w:p w14:paraId="2038D3F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3.22</w:t>
            </w:r>
          </w:p>
        </w:tc>
        <w:tc>
          <w:tcPr>
            <w:tcW w:w="1591" w:type="dxa"/>
            <w:tcBorders>
              <w:top w:val="nil"/>
              <w:left w:val="nil"/>
              <w:bottom w:val="nil"/>
              <w:right w:val="nil"/>
            </w:tcBorders>
            <w:noWrap/>
            <w:vAlign w:val="bottom"/>
            <w:hideMark/>
          </w:tcPr>
          <w:p w14:paraId="3F28C143"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Meropenem</w:t>
            </w:r>
          </w:p>
        </w:tc>
      </w:tr>
      <w:tr w:rsidR="00FF1497" w:rsidRPr="00FF1497" w14:paraId="4BC40DF1" w14:textId="77777777" w:rsidTr="00FF1497">
        <w:trPr>
          <w:trHeight w:val="288"/>
        </w:trPr>
        <w:tc>
          <w:tcPr>
            <w:tcW w:w="1333" w:type="dxa"/>
            <w:tcBorders>
              <w:top w:val="nil"/>
              <w:left w:val="nil"/>
              <w:bottom w:val="single" w:sz="4" w:space="0" w:color="auto"/>
              <w:right w:val="nil"/>
            </w:tcBorders>
            <w:noWrap/>
            <w:vAlign w:val="bottom"/>
            <w:hideMark/>
          </w:tcPr>
          <w:p w14:paraId="043D78F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Cefoxitin (MRSA)</w:t>
            </w:r>
          </w:p>
        </w:tc>
        <w:tc>
          <w:tcPr>
            <w:tcW w:w="1591" w:type="dxa"/>
            <w:tcBorders>
              <w:top w:val="nil"/>
              <w:left w:val="nil"/>
              <w:bottom w:val="single" w:sz="4" w:space="0" w:color="auto"/>
              <w:right w:val="nil"/>
            </w:tcBorders>
            <w:noWrap/>
            <w:vAlign w:val="bottom"/>
            <w:hideMark/>
          </w:tcPr>
          <w:p w14:paraId="4555A6B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w:t>
            </w:r>
          </w:p>
        </w:tc>
        <w:tc>
          <w:tcPr>
            <w:tcW w:w="607" w:type="dxa"/>
            <w:tcBorders>
              <w:top w:val="nil"/>
              <w:left w:val="nil"/>
              <w:bottom w:val="single" w:sz="4" w:space="0" w:color="auto"/>
              <w:right w:val="nil"/>
            </w:tcBorders>
            <w:noWrap/>
            <w:vAlign w:val="bottom"/>
            <w:hideMark/>
          </w:tcPr>
          <w:p w14:paraId="01E8B8C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1.74</w:t>
            </w:r>
          </w:p>
        </w:tc>
        <w:tc>
          <w:tcPr>
            <w:tcW w:w="781" w:type="dxa"/>
            <w:tcBorders>
              <w:top w:val="nil"/>
              <w:left w:val="nil"/>
              <w:bottom w:val="single" w:sz="4" w:space="0" w:color="auto"/>
              <w:right w:val="nil"/>
            </w:tcBorders>
            <w:noWrap/>
            <w:vAlign w:val="bottom"/>
            <w:hideMark/>
          </w:tcPr>
          <w:p w14:paraId="58059A6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1.06</w:t>
            </w:r>
          </w:p>
        </w:tc>
        <w:tc>
          <w:tcPr>
            <w:tcW w:w="785" w:type="dxa"/>
            <w:tcBorders>
              <w:top w:val="nil"/>
              <w:left w:val="nil"/>
              <w:bottom w:val="single" w:sz="4" w:space="0" w:color="auto"/>
              <w:right w:val="nil"/>
            </w:tcBorders>
            <w:noWrap/>
            <w:vAlign w:val="bottom"/>
            <w:hideMark/>
          </w:tcPr>
          <w:p w14:paraId="6A00979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2.87</w:t>
            </w:r>
          </w:p>
        </w:tc>
        <w:tc>
          <w:tcPr>
            <w:tcW w:w="849" w:type="dxa"/>
            <w:tcBorders>
              <w:top w:val="nil"/>
              <w:left w:val="nil"/>
              <w:bottom w:val="single" w:sz="4" w:space="0" w:color="auto"/>
              <w:right w:val="nil"/>
            </w:tcBorders>
            <w:noWrap/>
            <w:vAlign w:val="bottom"/>
            <w:hideMark/>
          </w:tcPr>
          <w:p w14:paraId="33C5561A"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0.68</w:t>
            </w:r>
          </w:p>
        </w:tc>
        <w:tc>
          <w:tcPr>
            <w:tcW w:w="1452" w:type="dxa"/>
            <w:tcBorders>
              <w:top w:val="nil"/>
              <w:left w:val="nil"/>
              <w:bottom w:val="single" w:sz="4" w:space="0" w:color="auto"/>
              <w:right w:val="nil"/>
            </w:tcBorders>
            <w:noWrap/>
            <w:vAlign w:val="bottom"/>
            <w:hideMark/>
          </w:tcPr>
          <w:p w14:paraId="3484E4C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1.81</w:t>
            </w:r>
          </w:p>
        </w:tc>
        <w:tc>
          <w:tcPr>
            <w:tcW w:w="1591" w:type="dxa"/>
            <w:tcBorders>
              <w:top w:val="nil"/>
              <w:left w:val="nil"/>
              <w:bottom w:val="single" w:sz="4" w:space="0" w:color="auto"/>
              <w:right w:val="nil"/>
            </w:tcBorders>
            <w:noWrap/>
            <w:vAlign w:val="bottom"/>
            <w:hideMark/>
          </w:tcPr>
          <w:p w14:paraId="6949B57B"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 - Cefoxitin (MRSA)</w:t>
            </w:r>
          </w:p>
        </w:tc>
      </w:tr>
    </w:tbl>
    <w:p w14:paraId="4200AE7E" w14:textId="77777777" w:rsidR="00FF1497" w:rsidRPr="00FF1497" w:rsidRDefault="00FF1497" w:rsidP="00FF1497">
      <w:pPr>
        <w:pStyle w:val="Appendix"/>
        <w:spacing w:after="0"/>
        <w:jc w:val="both"/>
        <w:rPr>
          <w:rFonts w:ascii="Arial" w:hAnsi="Arial" w:cs="Arial"/>
          <w:b w:val="0"/>
          <w:bCs/>
        </w:rPr>
      </w:pPr>
    </w:p>
    <w:p w14:paraId="75E1FF7C" w14:textId="46268A7F" w:rsidR="00FF1497" w:rsidRDefault="00FF1497" w:rsidP="00441B6F">
      <w:pPr>
        <w:pStyle w:val="Appendix"/>
        <w:spacing w:after="0"/>
        <w:jc w:val="both"/>
        <w:rPr>
          <w:rFonts w:ascii="Arial" w:hAnsi="Arial" w:cs="Arial"/>
          <w:b w:val="0"/>
          <w:bCs/>
        </w:rPr>
      </w:pPr>
      <w:r w:rsidRPr="00FF1497">
        <w:rPr>
          <w:rFonts w:ascii="Arial" w:hAnsi="Arial" w:cs="Arial"/>
          <w:b w:val="0"/>
          <w:bCs/>
        </w:rPr>
        <w:t xml:space="preserve">Table of Figure </w:t>
      </w:r>
      <w:r>
        <w:rPr>
          <w:rFonts w:ascii="Arial" w:hAnsi="Arial" w:cs="Arial"/>
          <w:b w:val="0"/>
          <w:bCs/>
        </w:rPr>
        <w:t>2</w:t>
      </w:r>
    </w:p>
    <w:p w14:paraId="5C38FE9B" w14:textId="77777777" w:rsidR="00FF1497" w:rsidRDefault="00FF1497" w:rsidP="00441B6F">
      <w:pPr>
        <w:pStyle w:val="Appendix"/>
        <w:spacing w:after="0"/>
        <w:jc w:val="both"/>
        <w:rPr>
          <w:rFonts w:ascii="Arial" w:hAnsi="Arial" w:cs="Arial"/>
          <w:b w:val="0"/>
          <w:bCs/>
        </w:rPr>
      </w:pPr>
    </w:p>
    <w:tbl>
      <w:tblPr>
        <w:tblW w:w="7680" w:type="dxa"/>
        <w:tblInd w:w="108" w:type="dxa"/>
        <w:tblLook w:val="04A0" w:firstRow="1" w:lastRow="0" w:firstColumn="1" w:lastColumn="0" w:noHBand="0" w:noVBand="1"/>
      </w:tblPr>
      <w:tblGrid>
        <w:gridCol w:w="4460"/>
        <w:gridCol w:w="2260"/>
        <w:gridCol w:w="960"/>
      </w:tblGrid>
      <w:tr w:rsidR="00FF1497" w:rsidRPr="00FF1497" w14:paraId="1CA51BBC" w14:textId="77777777" w:rsidTr="00FF1497">
        <w:trPr>
          <w:trHeight w:val="288"/>
        </w:trPr>
        <w:tc>
          <w:tcPr>
            <w:tcW w:w="4460" w:type="dxa"/>
            <w:tcBorders>
              <w:top w:val="single" w:sz="4" w:space="0" w:color="auto"/>
              <w:left w:val="nil"/>
              <w:bottom w:val="single" w:sz="4" w:space="0" w:color="auto"/>
              <w:right w:val="nil"/>
            </w:tcBorders>
            <w:noWrap/>
            <w:vAlign w:val="bottom"/>
            <w:hideMark/>
          </w:tcPr>
          <w:p w14:paraId="07E76E01"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Antibiotic</w:t>
            </w:r>
          </w:p>
        </w:tc>
        <w:tc>
          <w:tcPr>
            <w:tcW w:w="2260" w:type="dxa"/>
            <w:tcBorders>
              <w:top w:val="single" w:sz="4" w:space="0" w:color="auto"/>
              <w:left w:val="nil"/>
              <w:bottom w:val="single" w:sz="4" w:space="0" w:color="auto"/>
              <w:right w:val="nil"/>
            </w:tcBorders>
            <w:noWrap/>
            <w:vAlign w:val="bottom"/>
            <w:hideMark/>
          </w:tcPr>
          <w:p w14:paraId="5473D6A8"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ICU %R</w:t>
            </w:r>
          </w:p>
        </w:tc>
        <w:tc>
          <w:tcPr>
            <w:tcW w:w="960" w:type="dxa"/>
            <w:tcBorders>
              <w:top w:val="single" w:sz="4" w:space="0" w:color="auto"/>
              <w:left w:val="nil"/>
              <w:bottom w:val="single" w:sz="4" w:space="0" w:color="auto"/>
              <w:right w:val="nil"/>
            </w:tcBorders>
            <w:noWrap/>
            <w:vAlign w:val="bottom"/>
            <w:hideMark/>
          </w:tcPr>
          <w:p w14:paraId="7AFED101"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IPD %R</w:t>
            </w:r>
          </w:p>
        </w:tc>
      </w:tr>
      <w:tr w:rsidR="00FF1497" w:rsidRPr="00FF1497" w14:paraId="1314524D" w14:textId="77777777" w:rsidTr="00FF1497">
        <w:trPr>
          <w:trHeight w:val="288"/>
        </w:trPr>
        <w:tc>
          <w:tcPr>
            <w:tcW w:w="4460" w:type="dxa"/>
            <w:tcBorders>
              <w:top w:val="single" w:sz="4" w:space="0" w:color="auto"/>
              <w:left w:val="nil"/>
              <w:bottom w:val="nil"/>
              <w:right w:val="nil"/>
            </w:tcBorders>
            <w:noWrap/>
            <w:vAlign w:val="bottom"/>
            <w:hideMark/>
          </w:tcPr>
          <w:p w14:paraId="0525C54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Imipenem</w:t>
            </w:r>
          </w:p>
        </w:tc>
        <w:tc>
          <w:tcPr>
            <w:tcW w:w="2260" w:type="dxa"/>
            <w:tcBorders>
              <w:top w:val="single" w:sz="4" w:space="0" w:color="auto"/>
              <w:left w:val="nil"/>
              <w:bottom w:val="nil"/>
              <w:right w:val="nil"/>
            </w:tcBorders>
            <w:noWrap/>
            <w:vAlign w:val="bottom"/>
            <w:hideMark/>
          </w:tcPr>
          <w:p w14:paraId="150D0CC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41</w:t>
            </w:r>
          </w:p>
        </w:tc>
        <w:tc>
          <w:tcPr>
            <w:tcW w:w="960" w:type="dxa"/>
            <w:tcBorders>
              <w:top w:val="single" w:sz="4" w:space="0" w:color="auto"/>
              <w:left w:val="nil"/>
              <w:bottom w:val="nil"/>
              <w:right w:val="nil"/>
            </w:tcBorders>
            <w:noWrap/>
            <w:vAlign w:val="bottom"/>
            <w:hideMark/>
          </w:tcPr>
          <w:p w14:paraId="30B10B8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27.9</w:t>
            </w:r>
          </w:p>
        </w:tc>
      </w:tr>
      <w:tr w:rsidR="00FF1497" w:rsidRPr="00FF1497" w14:paraId="76554293" w14:textId="77777777" w:rsidTr="00FF1497">
        <w:trPr>
          <w:trHeight w:val="288"/>
        </w:trPr>
        <w:tc>
          <w:tcPr>
            <w:tcW w:w="4460" w:type="dxa"/>
            <w:tcBorders>
              <w:top w:val="nil"/>
              <w:left w:val="nil"/>
              <w:bottom w:val="nil"/>
              <w:right w:val="nil"/>
            </w:tcBorders>
            <w:noWrap/>
            <w:vAlign w:val="bottom"/>
            <w:hideMark/>
          </w:tcPr>
          <w:p w14:paraId="0DA60B0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Meropenem</w:t>
            </w:r>
          </w:p>
        </w:tc>
        <w:tc>
          <w:tcPr>
            <w:tcW w:w="2260" w:type="dxa"/>
            <w:tcBorders>
              <w:top w:val="nil"/>
              <w:left w:val="nil"/>
              <w:bottom w:val="nil"/>
              <w:right w:val="nil"/>
            </w:tcBorders>
            <w:noWrap/>
            <w:vAlign w:val="bottom"/>
            <w:hideMark/>
          </w:tcPr>
          <w:p w14:paraId="3602923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41</w:t>
            </w:r>
          </w:p>
        </w:tc>
        <w:tc>
          <w:tcPr>
            <w:tcW w:w="960" w:type="dxa"/>
            <w:tcBorders>
              <w:top w:val="nil"/>
              <w:left w:val="nil"/>
              <w:bottom w:val="nil"/>
              <w:right w:val="nil"/>
            </w:tcBorders>
            <w:noWrap/>
            <w:vAlign w:val="bottom"/>
            <w:hideMark/>
          </w:tcPr>
          <w:p w14:paraId="1BB127E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27.9</w:t>
            </w:r>
          </w:p>
        </w:tc>
      </w:tr>
      <w:tr w:rsidR="00FF1497" w:rsidRPr="00FF1497" w14:paraId="5A921D0A" w14:textId="77777777" w:rsidTr="00FF1497">
        <w:trPr>
          <w:trHeight w:val="288"/>
        </w:trPr>
        <w:tc>
          <w:tcPr>
            <w:tcW w:w="4460" w:type="dxa"/>
            <w:tcBorders>
              <w:top w:val="nil"/>
              <w:left w:val="nil"/>
              <w:bottom w:val="nil"/>
              <w:right w:val="nil"/>
            </w:tcBorders>
            <w:noWrap/>
            <w:vAlign w:val="bottom"/>
            <w:hideMark/>
          </w:tcPr>
          <w:p w14:paraId="3FE80A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Piperacillin -Tazobactam</w:t>
            </w:r>
          </w:p>
        </w:tc>
        <w:tc>
          <w:tcPr>
            <w:tcW w:w="2260" w:type="dxa"/>
            <w:tcBorders>
              <w:top w:val="nil"/>
              <w:left w:val="nil"/>
              <w:bottom w:val="nil"/>
              <w:right w:val="nil"/>
            </w:tcBorders>
            <w:noWrap/>
            <w:vAlign w:val="bottom"/>
            <w:hideMark/>
          </w:tcPr>
          <w:p w14:paraId="43DFDA0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69</w:t>
            </w:r>
          </w:p>
        </w:tc>
        <w:tc>
          <w:tcPr>
            <w:tcW w:w="960" w:type="dxa"/>
            <w:tcBorders>
              <w:top w:val="nil"/>
              <w:left w:val="nil"/>
              <w:bottom w:val="nil"/>
              <w:right w:val="nil"/>
            </w:tcBorders>
            <w:noWrap/>
            <w:vAlign w:val="bottom"/>
            <w:hideMark/>
          </w:tcPr>
          <w:p w14:paraId="7DBD19C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52</w:t>
            </w:r>
          </w:p>
        </w:tc>
      </w:tr>
      <w:tr w:rsidR="00FF1497" w:rsidRPr="00FF1497" w14:paraId="52728F8F" w14:textId="77777777" w:rsidTr="00FF1497">
        <w:trPr>
          <w:trHeight w:val="288"/>
        </w:trPr>
        <w:tc>
          <w:tcPr>
            <w:tcW w:w="4460" w:type="dxa"/>
            <w:tcBorders>
              <w:top w:val="nil"/>
              <w:left w:val="nil"/>
              <w:bottom w:val="nil"/>
              <w:right w:val="nil"/>
            </w:tcBorders>
            <w:noWrap/>
            <w:vAlign w:val="bottom"/>
            <w:hideMark/>
          </w:tcPr>
          <w:p w14:paraId="3270E25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Imipenem</w:t>
            </w:r>
          </w:p>
        </w:tc>
        <w:tc>
          <w:tcPr>
            <w:tcW w:w="2260" w:type="dxa"/>
            <w:tcBorders>
              <w:top w:val="nil"/>
              <w:left w:val="nil"/>
              <w:bottom w:val="nil"/>
              <w:right w:val="nil"/>
            </w:tcBorders>
            <w:noWrap/>
            <w:vAlign w:val="bottom"/>
            <w:hideMark/>
          </w:tcPr>
          <w:p w14:paraId="2FA74DE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48</w:t>
            </w:r>
          </w:p>
        </w:tc>
        <w:tc>
          <w:tcPr>
            <w:tcW w:w="960" w:type="dxa"/>
            <w:tcBorders>
              <w:top w:val="nil"/>
              <w:left w:val="nil"/>
              <w:bottom w:val="nil"/>
              <w:right w:val="nil"/>
            </w:tcBorders>
            <w:noWrap/>
            <w:vAlign w:val="bottom"/>
            <w:hideMark/>
          </w:tcPr>
          <w:p w14:paraId="4063DF1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23.5</w:t>
            </w:r>
          </w:p>
        </w:tc>
      </w:tr>
      <w:tr w:rsidR="00FF1497" w:rsidRPr="00FF1497" w14:paraId="5A76BE7C" w14:textId="77777777" w:rsidTr="00FF1497">
        <w:trPr>
          <w:trHeight w:val="288"/>
        </w:trPr>
        <w:tc>
          <w:tcPr>
            <w:tcW w:w="4460" w:type="dxa"/>
            <w:tcBorders>
              <w:top w:val="nil"/>
              <w:left w:val="nil"/>
              <w:bottom w:val="nil"/>
              <w:right w:val="nil"/>
            </w:tcBorders>
            <w:noWrap/>
            <w:vAlign w:val="bottom"/>
            <w:hideMark/>
          </w:tcPr>
          <w:p w14:paraId="0FFA33C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Meropenem</w:t>
            </w:r>
          </w:p>
        </w:tc>
        <w:tc>
          <w:tcPr>
            <w:tcW w:w="2260" w:type="dxa"/>
            <w:tcBorders>
              <w:top w:val="nil"/>
              <w:left w:val="nil"/>
              <w:bottom w:val="nil"/>
              <w:right w:val="nil"/>
            </w:tcBorders>
            <w:noWrap/>
            <w:vAlign w:val="bottom"/>
            <w:hideMark/>
          </w:tcPr>
          <w:p w14:paraId="0C9FF537"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50</w:t>
            </w:r>
          </w:p>
        </w:tc>
        <w:tc>
          <w:tcPr>
            <w:tcW w:w="960" w:type="dxa"/>
            <w:tcBorders>
              <w:top w:val="nil"/>
              <w:left w:val="nil"/>
              <w:bottom w:val="nil"/>
              <w:right w:val="nil"/>
            </w:tcBorders>
            <w:noWrap/>
            <w:vAlign w:val="bottom"/>
            <w:hideMark/>
          </w:tcPr>
          <w:p w14:paraId="6F8EF5C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25.1</w:t>
            </w:r>
          </w:p>
        </w:tc>
      </w:tr>
      <w:tr w:rsidR="00FF1497" w:rsidRPr="00FF1497" w14:paraId="1772779D" w14:textId="77777777" w:rsidTr="00FF1497">
        <w:trPr>
          <w:trHeight w:val="288"/>
        </w:trPr>
        <w:tc>
          <w:tcPr>
            <w:tcW w:w="4460" w:type="dxa"/>
            <w:tcBorders>
              <w:top w:val="nil"/>
              <w:left w:val="nil"/>
              <w:bottom w:val="single" w:sz="4" w:space="0" w:color="auto"/>
              <w:right w:val="nil"/>
            </w:tcBorders>
            <w:noWrap/>
            <w:vAlign w:val="bottom"/>
            <w:hideMark/>
          </w:tcPr>
          <w:p w14:paraId="18767F1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 - Cefoxitin (MRSA)</w:t>
            </w:r>
          </w:p>
        </w:tc>
        <w:tc>
          <w:tcPr>
            <w:tcW w:w="2260" w:type="dxa"/>
            <w:tcBorders>
              <w:top w:val="nil"/>
              <w:left w:val="nil"/>
              <w:bottom w:val="single" w:sz="4" w:space="0" w:color="auto"/>
              <w:right w:val="nil"/>
            </w:tcBorders>
            <w:noWrap/>
            <w:vAlign w:val="bottom"/>
            <w:hideMark/>
          </w:tcPr>
          <w:p w14:paraId="14F5E88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48</w:t>
            </w:r>
          </w:p>
        </w:tc>
        <w:tc>
          <w:tcPr>
            <w:tcW w:w="960" w:type="dxa"/>
            <w:tcBorders>
              <w:top w:val="nil"/>
              <w:left w:val="nil"/>
              <w:bottom w:val="single" w:sz="4" w:space="0" w:color="auto"/>
              <w:right w:val="nil"/>
            </w:tcBorders>
            <w:noWrap/>
            <w:vAlign w:val="bottom"/>
            <w:hideMark/>
          </w:tcPr>
          <w:p w14:paraId="38E72B3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34.6</w:t>
            </w:r>
          </w:p>
        </w:tc>
      </w:tr>
    </w:tbl>
    <w:p w14:paraId="0DD3EEB6" w14:textId="77777777" w:rsidR="00FF1497" w:rsidRPr="00FF1497" w:rsidRDefault="00FF1497" w:rsidP="00441B6F">
      <w:pPr>
        <w:pStyle w:val="Appendix"/>
        <w:spacing w:after="0"/>
        <w:jc w:val="both"/>
        <w:rPr>
          <w:rFonts w:ascii="Arial" w:hAnsi="Arial" w:cs="Arial"/>
          <w:b w:val="0"/>
          <w:bCs/>
        </w:rPr>
      </w:pPr>
    </w:p>
    <w:p w14:paraId="544DE893" w14:textId="77777777" w:rsidR="00FF1497" w:rsidRPr="00DA3FB0" w:rsidRDefault="00FF1497" w:rsidP="00441B6F">
      <w:pPr>
        <w:pStyle w:val="Appendix"/>
        <w:spacing w:after="0"/>
        <w:jc w:val="both"/>
        <w:rPr>
          <w:rFonts w:ascii="Arial" w:hAnsi="Arial" w:cs="Arial"/>
          <w:b w:val="0"/>
        </w:rPr>
        <w:sectPr w:rsidR="00FF1497" w:rsidRPr="00DA3FB0" w:rsidSect="00744284">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4BE042A4" w14:textId="77777777" w:rsidR="00B01FCD" w:rsidRPr="00DA3FB0" w:rsidRDefault="00B01FCD" w:rsidP="00441B6F">
      <w:pPr>
        <w:pStyle w:val="Appendix"/>
        <w:spacing w:after="0"/>
        <w:jc w:val="both"/>
        <w:rPr>
          <w:rFonts w:ascii="Arial" w:hAnsi="Arial" w:cs="Arial"/>
          <w:b w:val="0"/>
        </w:rPr>
      </w:pPr>
    </w:p>
    <w:sectPr w:rsidR="00B01FCD" w:rsidRPr="00DA3FB0" w:rsidSect="007442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B7017" w14:textId="77777777" w:rsidR="00F95B1B" w:rsidRDefault="00F95B1B" w:rsidP="00C37E61">
      <w:r>
        <w:separator/>
      </w:r>
    </w:p>
  </w:endnote>
  <w:endnote w:type="continuationSeparator" w:id="0">
    <w:p w14:paraId="381B4BB0" w14:textId="77777777" w:rsidR="00F95B1B" w:rsidRDefault="00F95B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0D19" w14:textId="77777777" w:rsidR="00744284" w:rsidRDefault="0074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AE2E" w14:textId="77777777" w:rsidR="00744284" w:rsidRDefault="00744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428B" w14:textId="77777777" w:rsidR="009E048A" w:rsidRDefault="009E048A">
    <w:pPr>
      <w:pStyle w:val="Footer"/>
      <w:rPr>
        <w:rFonts w:ascii="Arial" w:hAnsi="Arial" w:cs="Arial"/>
        <w:sz w:val="16"/>
      </w:rPr>
    </w:pPr>
  </w:p>
  <w:p w14:paraId="6FC0BC3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07AA4" w14:textId="77777777" w:rsidR="009E048A" w:rsidRDefault="009E048A">
    <w:pPr>
      <w:pStyle w:val="Footer"/>
      <w:rPr>
        <w:rFonts w:ascii="Arial" w:hAnsi="Arial" w:cs="Arial"/>
        <w:sz w:val="16"/>
      </w:rPr>
    </w:pPr>
  </w:p>
  <w:p w14:paraId="3D6DD38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B1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AADFE" w14:textId="77777777" w:rsidR="00F95B1B" w:rsidRDefault="00F95B1B" w:rsidP="00C37E61">
      <w:r>
        <w:separator/>
      </w:r>
    </w:p>
  </w:footnote>
  <w:footnote w:type="continuationSeparator" w:id="0">
    <w:p w14:paraId="37A14BDE" w14:textId="77777777" w:rsidR="00F95B1B" w:rsidRDefault="00F95B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A79" w14:textId="1B57B626" w:rsidR="00744284" w:rsidRDefault="00744284">
    <w:pPr>
      <w:pStyle w:val="Header"/>
    </w:pPr>
    <w:r>
      <w:rPr>
        <w:noProof/>
      </w:rPr>
      <w:pict w14:anchorId="24E90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136A" w14:textId="09415924" w:rsidR="00744284" w:rsidRDefault="00744284">
    <w:pPr>
      <w:pStyle w:val="Header"/>
    </w:pPr>
    <w:r>
      <w:rPr>
        <w:noProof/>
      </w:rPr>
      <w:pict w14:anchorId="4D387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A7A2" w14:textId="73C799DA" w:rsidR="00296529" w:rsidRPr="00296529" w:rsidRDefault="00744284" w:rsidP="00296529">
    <w:pPr>
      <w:ind w:left="2160"/>
      <w:jc w:val="center"/>
      <w:rPr>
        <w:rFonts w:ascii="Times New Roman" w:eastAsia="Calibri" w:hAnsi="Times New Roman"/>
        <w:i/>
        <w:sz w:val="18"/>
        <w:szCs w:val="22"/>
      </w:rPr>
    </w:pPr>
    <w:r>
      <w:rPr>
        <w:noProof/>
      </w:rPr>
      <w:pict w14:anchorId="75B67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83D7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8E2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08C0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C3EE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A943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9397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8CED" w14:textId="6374DDEC" w:rsidR="00744284" w:rsidRDefault="00744284">
    <w:pPr>
      <w:pStyle w:val="Header"/>
    </w:pPr>
    <w:r>
      <w:rPr>
        <w:noProof/>
      </w:rPr>
      <w:pict w14:anchorId="7D9B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3D23" w14:textId="1AFC8B8D" w:rsidR="00744284" w:rsidRDefault="00744284">
    <w:pPr>
      <w:pStyle w:val="Header"/>
    </w:pPr>
    <w:r>
      <w:rPr>
        <w:noProof/>
      </w:rPr>
      <w:pict w14:anchorId="72936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2D8D" w14:textId="58419AB3" w:rsidR="00744284" w:rsidRDefault="00744284">
    <w:pPr>
      <w:pStyle w:val="Header"/>
    </w:pPr>
    <w:r>
      <w:rPr>
        <w:noProof/>
      </w:rPr>
      <w:pict w14:anchorId="44B11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540264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C51A3D"/>
    <w:multiLevelType w:val="hybridMultilevel"/>
    <w:tmpl w:val="8828D1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DE0"/>
    <w:rsid w:val="0004579C"/>
    <w:rsid w:val="00075C78"/>
    <w:rsid w:val="00092527"/>
    <w:rsid w:val="000A47FA"/>
    <w:rsid w:val="000A65D3"/>
    <w:rsid w:val="000B1E33"/>
    <w:rsid w:val="000C1A2E"/>
    <w:rsid w:val="000D079E"/>
    <w:rsid w:val="000D689F"/>
    <w:rsid w:val="000E7B7B"/>
    <w:rsid w:val="000E7D62"/>
    <w:rsid w:val="00103357"/>
    <w:rsid w:val="00123C9F"/>
    <w:rsid w:val="00126190"/>
    <w:rsid w:val="00130F17"/>
    <w:rsid w:val="001320BF"/>
    <w:rsid w:val="00161B76"/>
    <w:rsid w:val="00163BC4"/>
    <w:rsid w:val="00191062"/>
    <w:rsid w:val="00192B72"/>
    <w:rsid w:val="001A29D8"/>
    <w:rsid w:val="001A5CAA"/>
    <w:rsid w:val="001B0427"/>
    <w:rsid w:val="001B20FB"/>
    <w:rsid w:val="001D3A51"/>
    <w:rsid w:val="001E10D2"/>
    <w:rsid w:val="001E25B4"/>
    <w:rsid w:val="001E44FE"/>
    <w:rsid w:val="00200595"/>
    <w:rsid w:val="00204835"/>
    <w:rsid w:val="00216CA7"/>
    <w:rsid w:val="00224DFB"/>
    <w:rsid w:val="00225664"/>
    <w:rsid w:val="00231920"/>
    <w:rsid w:val="0023195C"/>
    <w:rsid w:val="0024282C"/>
    <w:rsid w:val="002460DC"/>
    <w:rsid w:val="00250985"/>
    <w:rsid w:val="002556F6"/>
    <w:rsid w:val="00283105"/>
    <w:rsid w:val="00284C4C"/>
    <w:rsid w:val="00287E68"/>
    <w:rsid w:val="00296529"/>
    <w:rsid w:val="002A46E0"/>
    <w:rsid w:val="002B27FB"/>
    <w:rsid w:val="002B685A"/>
    <w:rsid w:val="002C57D2"/>
    <w:rsid w:val="002E0D56"/>
    <w:rsid w:val="003047E6"/>
    <w:rsid w:val="00315186"/>
    <w:rsid w:val="0031633D"/>
    <w:rsid w:val="003232AA"/>
    <w:rsid w:val="0033343E"/>
    <w:rsid w:val="003347F2"/>
    <w:rsid w:val="00343CE9"/>
    <w:rsid w:val="003512C2"/>
    <w:rsid w:val="00371FB6"/>
    <w:rsid w:val="003763C1"/>
    <w:rsid w:val="00376BBE"/>
    <w:rsid w:val="00380EE5"/>
    <w:rsid w:val="003873BD"/>
    <w:rsid w:val="0039224F"/>
    <w:rsid w:val="003A43A4"/>
    <w:rsid w:val="003A7418"/>
    <w:rsid w:val="003A7E18"/>
    <w:rsid w:val="003C4C86"/>
    <w:rsid w:val="003C6258"/>
    <w:rsid w:val="003D1511"/>
    <w:rsid w:val="003E2904"/>
    <w:rsid w:val="00401927"/>
    <w:rsid w:val="00406AB0"/>
    <w:rsid w:val="0041027F"/>
    <w:rsid w:val="00412475"/>
    <w:rsid w:val="00423789"/>
    <w:rsid w:val="00435DF7"/>
    <w:rsid w:val="00440F43"/>
    <w:rsid w:val="00441B6F"/>
    <w:rsid w:val="00446221"/>
    <w:rsid w:val="00450E62"/>
    <w:rsid w:val="004539DB"/>
    <w:rsid w:val="00471A80"/>
    <w:rsid w:val="00483B27"/>
    <w:rsid w:val="004B50E3"/>
    <w:rsid w:val="004C095B"/>
    <w:rsid w:val="004C45B8"/>
    <w:rsid w:val="004D231E"/>
    <w:rsid w:val="004D305E"/>
    <w:rsid w:val="004D4277"/>
    <w:rsid w:val="004D7614"/>
    <w:rsid w:val="004E398F"/>
    <w:rsid w:val="00502516"/>
    <w:rsid w:val="00505F06"/>
    <w:rsid w:val="00506828"/>
    <w:rsid w:val="0053056E"/>
    <w:rsid w:val="00554FDA"/>
    <w:rsid w:val="005C0732"/>
    <w:rsid w:val="005C784C"/>
    <w:rsid w:val="005D17F6"/>
    <w:rsid w:val="005E016B"/>
    <w:rsid w:val="005E5539"/>
    <w:rsid w:val="00602BF5"/>
    <w:rsid w:val="006033DD"/>
    <w:rsid w:val="00617FDD"/>
    <w:rsid w:val="00622FA9"/>
    <w:rsid w:val="00633614"/>
    <w:rsid w:val="00633F68"/>
    <w:rsid w:val="00636EB2"/>
    <w:rsid w:val="006375B8"/>
    <w:rsid w:val="00661FC5"/>
    <w:rsid w:val="0066510A"/>
    <w:rsid w:val="00667123"/>
    <w:rsid w:val="00673F9F"/>
    <w:rsid w:val="00686953"/>
    <w:rsid w:val="00687DEA"/>
    <w:rsid w:val="00687E67"/>
    <w:rsid w:val="006967F7"/>
    <w:rsid w:val="006A250C"/>
    <w:rsid w:val="006B21D3"/>
    <w:rsid w:val="006B46D1"/>
    <w:rsid w:val="006B57D0"/>
    <w:rsid w:val="006B5910"/>
    <w:rsid w:val="006D30FF"/>
    <w:rsid w:val="006D6940"/>
    <w:rsid w:val="006F11EC"/>
    <w:rsid w:val="006F61D5"/>
    <w:rsid w:val="0070082C"/>
    <w:rsid w:val="00701FE4"/>
    <w:rsid w:val="00702D48"/>
    <w:rsid w:val="007369E6"/>
    <w:rsid w:val="00744284"/>
    <w:rsid w:val="00746E59"/>
    <w:rsid w:val="00754C9A"/>
    <w:rsid w:val="0075599A"/>
    <w:rsid w:val="00761D52"/>
    <w:rsid w:val="0076604B"/>
    <w:rsid w:val="0077749E"/>
    <w:rsid w:val="00790ADA"/>
    <w:rsid w:val="007D2288"/>
    <w:rsid w:val="007D30BA"/>
    <w:rsid w:val="007E088F"/>
    <w:rsid w:val="007F7B32"/>
    <w:rsid w:val="00804BC2"/>
    <w:rsid w:val="00806CED"/>
    <w:rsid w:val="0081431A"/>
    <w:rsid w:val="0083216F"/>
    <w:rsid w:val="00851DB9"/>
    <w:rsid w:val="00855A26"/>
    <w:rsid w:val="00860000"/>
    <w:rsid w:val="00861642"/>
    <w:rsid w:val="00863BD3"/>
    <w:rsid w:val="008641ED"/>
    <w:rsid w:val="00866D66"/>
    <w:rsid w:val="008671C6"/>
    <w:rsid w:val="00875803"/>
    <w:rsid w:val="008A1B4D"/>
    <w:rsid w:val="008B459E"/>
    <w:rsid w:val="008C1C9B"/>
    <w:rsid w:val="008C2341"/>
    <w:rsid w:val="008E13AE"/>
    <w:rsid w:val="008E1506"/>
    <w:rsid w:val="008E710C"/>
    <w:rsid w:val="008F69D6"/>
    <w:rsid w:val="00902823"/>
    <w:rsid w:val="00915CA6"/>
    <w:rsid w:val="00927834"/>
    <w:rsid w:val="009500A6"/>
    <w:rsid w:val="00957C18"/>
    <w:rsid w:val="00965429"/>
    <w:rsid w:val="009659BA"/>
    <w:rsid w:val="00983040"/>
    <w:rsid w:val="00990295"/>
    <w:rsid w:val="0099409C"/>
    <w:rsid w:val="009B3FB9"/>
    <w:rsid w:val="009C2465"/>
    <w:rsid w:val="009C31EF"/>
    <w:rsid w:val="009D35A0"/>
    <w:rsid w:val="009D7EB7"/>
    <w:rsid w:val="009E048A"/>
    <w:rsid w:val="009E08E9"/>
    <w:rsid w:val="009E3DB9"/>
    <w:rsid w:val="009E6E35"/>
    <w:rsid w:val="009F0EDA"/>
    <w:rsid w:val="009F2861"/>
    <w:rsid w:val="00A03B96"/>
    <w:rsid w:val="00A05B19"/>
    <w:rsid w:val="00A1134E"/>
    <w:rsid w:val="00A20B60"/>
    <w:rsid w:val="00A24E7E"/>
    <w:rsid w:val="00A258C3"/>
    <w:rsid w:val="00A347C0"/>
    <w:rsid w:val="00A51431"/>
    <w:rsid w:val="00A5268A"/>
    <w:rsid w:val="00A531FF"/>
    <w:rsid w:val="00A539AD"/>
    <w:rsid w:val="00A94063"/>
    <w:rsid w:val="00AA6219"/>
    <w:rsid w:val="00AA74E0"/>
    <w:rsid w:val="00AB703F"/>
    <w:rsid w:val="00AC6BB8"/>
    <w:rsid w:val="00AE008F"/>
    <w:rsid w:val="00AE431C"/>
    <w:rsid w:val="00AF233C"/>
    <w:rsid w:val="00B01FCD"/>
    <w:rsid w:val="00B1776C"/>
    <w:rsid w:val="00B52583"/>
    <w:rsid w:val="00B52896"/>
    <w:rsid w:val="00B95236"/>
    <w:rsid w:val="00B96BD9"/>
    <w:rsid w:val="00BA1B01"/>
    <w:rsid w:val="00BA2641"/>
    <w:rsid w:val="00BB37AA"/>
    <w:rsid w:val="00BC53A0"/>
    <w:rsid w:val="00BD67F8"/>
    <w:rsid w:val="00BE62AD"/>
    <w:rsid w:val="00BF121F"/>
    <w:rsid w:val="00BF1F80"/>
    <w:rsid w:val="00C166EF"/>
    <w:rsid w:val="00C17EB0"/>
    <w:rsid w:val="00C27F5F"/>
    <w:rsid w:val="00C30A0F"/>
    <w:rsid w:val="00C37E61"/>
    <w:rsid w:val="00C37EAD"/>
    <w:rsid w:val="00C70F1B"/>
    <w:rsid w:val="00C71A47"/>
    <w:rsid w:val="00C7464C"/>
    <w:rsid w:val="00C85588"/>
    <w:rsid w:val="00CD6755"/>
    <w:rsid w:val="00CD6856"/>
    <w:rsid w:val="00CE0089"/>
    <w:rsid w:val="00CE793C"/>
    <w:rsid w:val="00CF0D36"/>
    <w:rsid w:val="00CF193C"/>
    <w:rsid w:val="00D173F1"/>
    <w:rsid w:val="00D74CB0"/>
    <w:rsid w:val="00D8295D"/>
    <w:rsid w:val="00D84876"/>
    <w:rsid w:val="00D87469"/>
    <w:rsid w:val="00DA3FB0"/>
    <w:rsid w:val="00DC2A65"/>
    <w:rsid w:val="00DD75A0"/>
    <w:rsid w:val="00DE15F0"/>
    <w:rsid w:val="00DE5663"/>
    <w:rsid w:val="00DE78AA"/>
    <w:rsid w:val="00DF5E0F"/>
    <w:rsid w:val="00E053D0"/>
    <w:rsid w:val="00E15994"/>
    <w:rsid w:val="00E3114E"/>
    <w:rsid w:val="00E31A70"/>
    <w:rsid w:val="00E34ABB"/>
    <w:rsid w:val="00E35B02"/>
    <w:rsid w:val="00E524D5"/>
    <w:rsid w:val="00E66496"/>
    <w:rsid w:val="00E66B35"/>
    <w:rsid w:val="00E66E10"/>
    <w:rsid w:val="00E769F6"/>
    <w:rsid w:val="00E8407C"/>
    <w:rsid w:val="00E84F3C"/>
    <w:rsid w:val="00EA012C"/>
    <w:rsid w:val="00EA0A06"/>
    <w:rsid w:val="00EC6A55"/>
    <w:rsid w:val="00ED0288"/>
    <w:rsid w:val="00EE399A"/>
    <w:rsid w:val="00EE52CB"/>
    <w:rsid w:val="00EF400D"/>
    <w:rsid w:val="00EF581D"/>
    <w:rsid w:val="00EF7FD8"/>
    <w:rsid w:val="00F01026"/>
    <w:rsid w:val="00F06F59"/>
    <w:rsid w:val="00F17988"/>
    <w:rsid w:val="00F42444"/>
    <w:rsid w:val="00F469F0"/>
    <w:rsid w:val="00F53273"/>
    <w:rsid w:val="00F755E4"/>
    <w:rsid w:val="00F77D02"/>
    <w:rsid w:val="00F834D4"/>
    <w:rsid w:val="00F9065F"/>
    <w:rsid w:val="00F95B1B"/>
    <w:rsid w:val="00FB3A86"/>
    <w:rsid w:val="00FD36C8"/>
    <w:rsid w:val="00FF149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6761D3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5C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F40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F400D"/>
    <w:pPr>
      <w:spacing w:after="120"/>
    </w:pPr>
  </w:style>
  <w:style w:type="character" w:customStyle="1" w:styleId="BodyTextChar">
    <w:name w:val="Body Text Char"/>
    <w:basedOn w:val="DefaultParagraphFont"/>
    <w:link w:val="BodyText"/>
    <w:semiHidden/>
    <w:rsid w:val="00EF400D"/>
    <w:rPr>
      <w:rFonts w:ascii="Helvetica" w:hAnsi="Helvetica"/>
    </w:rPr>
  </w:style>
  <w:style w:type="character" w:customStyle="1" w:styleId="Heading2Char">
    <w:name w:val="Heading 2 Char"/>
    <w:basedOn w:val="DefaultParagraphFont"/>
    <w:link w:val="Heading2"/>
    <w:semiHidden/>
    <w:rsid w:val="00EF400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A7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svg"/><Relationship Id="rId26" Type="http://schemas.openxmlformats.org/officeDocument/2006/relationships/hyperlink" Target="https://doi.org/10.1093/infdis/jiw282" TargetMode="External"/><Relationship Id="rId39" Type="http://schemas.openxmlformats.org/officeDocument/2006/relationships/hyperlink" Target="https://doi.org/10.1001/jama.2020.2717" TargetMode="External"/><Relationship Id="rId21" Type="http://schemas.openxmlformats.org/officeDocument/2006/relationships/hyperlink" Target="https://doi.org/10.1310/hpj4804-295" TargetMode="External"/><Relationship Id="rId34" Type="http://schemas.openxmlformats.org/officeDocument/2006/relationships/hyperlink" Target="https://doi.org/10.7759/cureus.36317" TargetMode="External"/><Relationship Id="rId42" Type="http://schemas.openxmlformats.org/officeDocument/2006/relationships/hyperlink" Target="https://doi.org/10.1086/31391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svg"/><Relationship Id="rId29" Type="http://schemas.openxmlformats.org/officeDocument/2006/relationships/hyperlink" Target="https://doi.org/10.1136/bmjgh-2019-002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16926463/" TargetMode="External"/><Relationship Id="rId32" Type="http://schemas.openxmlformats.org/officeDocument/2006/relationships/hyperlink" Target="https://doi.org/10.1016/j.diagmicrobio.2013.11.025" TargetMode="External"/><Relationship Id="rId37" Type="http://schemas.openxmlformats.org/officeDocument/2006/relationships/hyperlink" Target="https://doi.org/10.4103/ijccm.ijccm_394_17" TargetMode="External"/><Relationship Id="rId40" Type="http://schemas.openxmlformats.org/officeDocument/2006/relationships/hyperlink" Target="https://doi.org/10.4103/ijmr.ijmr_226_18"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16/j.ijid.2016.08.002" TargetMode="External"/><Relationship Id="rId28" Type="http://schemas.openxmlformats.org/officeDocument/2006/relationships/hyperlink" Target="https://doi.org/10.2147/idr.s30043" TargetMode="External"/><Relationship Id="rId36" Type="http://schemas.openxmlformats.org/officeDocument/2006/relationships/hyperlink" Target="https://doi.org/10.4103/ijmr.ijmr_214_18" TargetMode="External"/><Relationship Id="rId10" Type="http://schemas.openxmlformats.org/officeDocument/2006/relationships/footer" Target="footer1.xml"/><Relationship Id="rId19" Type="http://schemas.openxmlformats.org/officeDocument/2006/relationships/hyperlink" Target="https://doi.org/10.1016/S0140-6736(21)02724-0" TargetMode="External"/><Relationship Id="rId31" Type="http://schemas.openxmlformats.org/officeDocument/2006/relationships/hyperlink" Target="https://doi.org/10.1016/j.jiph.2014.05.002"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37077586/?utm_source=chatgpt.com" TargetMode="External"/><Relationship Id="rId22" Type="http://schemas.openxmlformats.org/officeDocument/2006/relationships/hyperlink" Target="https://doi.org/10.1001/jama.282.18.1745" TargetMode="External"/><Relationship Id="rId27" Type="http://schemas.openxmlformats.org/officeDocument/2006/relationships/hyperlink" Target="https://ncdc.mohfw.gov.in/index1.php?lang=1&amp;level=2&amp;sublinkid=820&amp;lid=677" TargetMode="External"/><Relationship Id="rId30" Type="http://schemas.openxmlformats.org/officeDocument/2006/relationships/hyperlink" Target="https://doi.org/10.3389/fmicb.2016.02135" TargetMode="External"/><Relationship Id="rId35" Type="http://schemas.openxmlformats.org/officeDocument/2006/relationships/hyperlink" Target="https://doi.org/10.1016/j.jafr.2024.100973"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doi.org/10.4103/0971-5916.110914" TargetMode="External"/><Relationship Id="rId33" Type="http://schemas.openxmlformats.org/officeDocument/2006/relationships/hyperlink" Target="https://doi.org/10.31032/ijbpas/2023/12.6.1055" TargetMode="External"/><Relationship Id="rId38" Type="http://schemas.openxmlformats.org/officeDocument/2006/relationships/hyperlink" Target="https://doi.org/10.1001/jama.1995.03530080055041" TargetMode="External"/><Relationship Id="rId46" Type="http://schemas.openxmlformats.org/officeDocument/2006/relationships/header" Target="header6.xml"/><Relationship Id="rId20" Type="http://schemas.openxmlformats.org/officeDocument/2006/relationships/hyperlink" Target="https://doi.org/10.1093/clinids/24.2.211" TargetMode="External"/><Relationship Id="rId41" Type="http://schemas.openxmlformats.org/officeDocument/2006/relationships/hyperlink" Target="https://doi.org/10.1371/journal.pmed.10042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71E6-7914-4715-BECA-9A473231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1476</TotalTime>
  <Pages>12</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2025-12-22T10:34:00Z</dcterms:modified>
</cp:coreProperties>
</file>