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BE46E" w14:textId="6C0BCFF7" w:rsidR="0027743E" w:rsidRPr="00962EC8" w:rsidRDefault="0027743E" w:rsidP="004A24F6">
      <w:pPr>
        <w:spacing w:line="276" w:lineRule="auto"/>
        <w:ind w:right="-244"/>
        <w:jc w:val="center"/>
        <w:rPr>
          <w:rFonts w:ascii="Arial" w:hAnsi="Arial" w:cs="Arial"/>
          <w:b/>
          <w:sz w:val="28"/>
        </w:rPr>
      </w:pPr>
      <w:r w:rsidRPr="00962EC8">
        <w:rPr>
          <w:rFonts w:ascii="Arial" w:hAnsi="Arial" w:cs="Arial"/>
          <w:b/>
          <w:sz w:val="28"/>
        </w:rPr>
        <w:t>Bioconversion of Agricultural Residues into Nutrient-Rich Compost: A Sustainable Approach to Waste Valor</w:t>
      </w:r>
      <w:r>
        <w:rPr>
          <w:rFonts w:ascii="Arial" w:hAnsi="Arial" w:cs="Arial"/>
          <w:b/>
          <w:sz w:val="28"/>
        </w:rPr>
        <w:t>i</w:t>
      </w:r>
      <w:r w:rsidR="002311A0">
        <w:rPr>
          <w:rFonts w:ascii="Arial" w:hAnsi="Arial" w:cs="Arial"/>
          <w:b/>
          <w:sz w:val="28"/>
        </w:rPr>
        <w:t>z</w:t>
      </w:r>
      <w:r>
        <w:rPr>
          <w:rFonts w:ascii="Arial" w:hAnsi="Arial" w:cs="Arial"/>
          <w:b/>
          <w:sz w:val="28"/>
        </w:rPr>
        <w:t>ation</w:t>
      </w:r>
    </w:p>
    <w:p w14:paraId="404E596B" w14:textId="77777777" w:rsidR="0027743E" w:rsidRPr="00790ADA" w:rsidRDefault="0027743E" w:rsidP="0027743E">
      <w:pPr>
        <w:pStyle w:val="Author"/>
        <w:spacing w:line="240" w:lineRule="auto"/>
        <w:jc w:val="both"/>
        <w:rPr>
          <w:rFonts w:ascii="Arial" w:hAnsi="Arial" w:cs="Arial"/>
          <w:sz w:val="36"/>
        </w:rPr>
      </w:pPr>
    </w:p>
    <w:p w14:paraId="252924AA" w14:textId="617E5C2E" w:rsidR="0027743E" w:rsidRPr="00FB3A86" w:rsidRDefault="0027743E" w:rsidP="0027743E">
      <w:pPr>
        <w:pStyle w:val="Copyright"/>
        <w:spacing w:after="0" w:line="240" w:lineRule="auto"/>
        <w:jc w:val="both"/>
        <w:rPr>
          <w:rFonts w:ascii="Arial" w:hAnsi="Arial" w:cs="Arial"/>
        </w:rPr>
        <w:sectPr w:rsidR="0027743E" w:rsidRPr="00FB3A86" w:rsidSect="007A2FB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36705CE2" w14:textId="77777777" w:rsidR="0027743E" w:rsidRDefault="0027743E" w:rsidP="0027743E">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0FA81CC0" w14:textId="77777777" w:rsidR="0027743E" w:rsidRPr="00FB3A86" w:rsidRDefault="0027743E" w:rsidP="0027743E">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7743E" w:rsidRPr="001E44FE" w14:paraId="2F8F23D8" w14:textId="77777777" w:rsidTr="00070081">
        <w:tc>
          <w:tcPr>
            <w:tcW w:w="9576" w:type="dxa"/>
            <w:shd w:val="clear" w:color="auto" w:fill="F2F2F2"/>
          </w:tcPr>
          <w:p w14:paraId="3F63B2A3" w14:textId="387B2EC0" w:rsidR="0027743E" w:rsidRPr="00DB3E41" w:rsidRDefault="00DB3E41" w:rsidP="00DB3E41">
            <w:pPr>
              <w:spacing w:line="360" w:lineRule="auto"/>
              <w:jc w:val="both"/>
            </w:pPr>
            <w:r w:rsidRPr="00C97434">
              <w:t xml:space="preserve">The rapid expansion of </w:t>
            </w:r>
            <w:proofErr w:type="spellStart"/>
            <w:r w:rsidRPr="00C97434">
              <w:t>agro</w:t>
            </w:r>
            <w:proofErr w:type="spellEnd"/>
            <w:r w:rsidRPr="00C97434">
              <w:t>-industrial activities has led to the accumulation of vast quantities of lignocellulosic agricultural residues, much of which remain underutilized or is openly burned, contributing to nutrient loss, air pollution and soil degradation. Composting offers an efficient and environmentally</w:t>
            </w:r>
            <w:r>
              <w:t xml:space="preserve"> friendly</w:t>
            </w:r>
            <w:r w:rsidRPr="00C97434">
              <w:t xml:space="preserve"> approach for converting these residues into stable, nutrient-rich organic amendments. However, the intrinsic recalcitrance of structural polymers such as cellulose, hemicellulose and lignin often slow decomposition and limits compost quality. Recent </w:t>
            </w:r>
            <w:r>
              <w:t>studies</w:t>
            </w:r>
            <w:r w:rsidRPr="00C97434">
              <w:t xml:space="preserve"> </w:t>
            </w:r>
            <w:r>
              <w:t>show</w:t>
            </w:r>
            <w:r w:rsidRPr="00C97434">
              <w:t xml:space="preserve"> the effectiveness of microbial consortia composed of lignocellulolytic, thermotolerant and nutrient-solubilizing microorganisms that act synergistically to enhance biomass degradation an</w:t>
            </w:r>
            <w:bookmarkStart w:id="0" w:name="_GoBack"/>
            <w:bookmarkEnd w:id="0"/>
            <w:r w:rsidRPr="00C97434">
              <w:t>d accelerate compost maturity. The</w:t>
            </w:r>
            <w:r w:rsidR="00E42B5D">
              <w:t xml:space="preserve"> microorganisms in these</w:t>
            </w:r>
            <w:r w:rsidRPr="00C97434">
              <w:t xml:space="preserve"> consortia secrete </w:t>
            </w:r>
            <w:r w:rsidR="00E42B5D">
              <w:t>distinct</w:t>
            </w:r>
            <w:r w:rsidR="00E071D3">
              <w:t xml:space="preserve"> </w:t>
            </w:r>
            <w:r w:rsidRPr="00C97434">
              <w:t>hydrolytic and oxidative enzymes, including cellulases, xylanases, lignin peroxidases, manganese peroxidases and laccases, which collectively improve organic matter transformation and humus formation. Optimizing composting parameters</w:t>
            </w:r>
            <w:r>
              <w:t xml:space="preserve"> like</w:t>
            </w:r>
            <w:r w:rsidRPr="00C97434">
              <w:t xml:space="preserve"> temperature dynamics, aeration, moisture content and C:N ratio</w:t>
            </w:r>
            <w:r>
              <w:t xml:space="preserve"> will </w:t>
            </w:r>
            <w:r w:rsidRPr="00C97434">
              <w:t xml:space="preserve">further strengthen microbial performance and enzymatic efficiency. The resulting compost enhances soil organic carbon, nutrient availability, microbial diversity, structural stability and heavy-metal immobilization, thereby improving soil fertility while mitigating environmental risks. </w:t>
            </w:r>
            <w:r>
              <w:t>Altogether</w:t>
            </w:r>
            <w:r w:rsidRPr="00C97434">
              <w:t>, accelerated composting using lignocellulolytic microbial consortia represents a promising, cost-effective strategy for converting agricultural residues into high-quality organic fertilizers that support long-term soil management.</w:t>
            </w:r>
          </w:p>
          <w:p w14:paraId="6EC8FC97" w14:textId="77777777" w:rsidR="0027743E" w:rsidRPr="00BA1B01" w:rsidRDefault="0027743E" w:rsidP="00070081">
            <w:pPr>
              <w:pStyle w:val="Body"/>
              <w:spacing w:after="0"/>
              <w:rPr>
                <w:rFonts w:ascii="Arial" w:eastAsia="Calibri" w:hAnsi="Arial" w:cs="Arial"/>
                <w:szCs w:val="22"/>
              </w:rPr>
            </w:pPr>
          </w:p>
        </w:tc>
      </w:tr>
    </w:tbl>
    <w:p w14:paraId="215EDA08" w14:textId="77777777" w:rsidR="0027743E" w:rsidRDefault="0027743E" w:rsidP="0027743E">
      <w:pPr>
        <w:pStyle w:val="Body"/>
        <w:spacing w:after="0"/>
        <w:rPr>
          <w:rFonts w:ascii="Arial" w:hAnsi="Arial" w:cs="Arial"/>
          <w:i/>
        </w:rPr>
      </w:pPr>
    </w:p>
    <w:p w14:paraId="4EDF2019" w14:textId="77777777" w:rsidR="0027743E" w:rsidRPr="00760E4A" w:rsidRDefault="0027743E" w:rsidP="0027743E">
      <w:pPr>
        <w:spacing w:line="276" w:lineRule="auto"/>
        <w:jc w:val="both"/>
        <w:rPr>
          <w:rFonts w:ascii="Arial" w:hAnsi="Arial" w:cs="Arial"/>
          <w:i/>
          <w:szCs w:val="24"/>
        </w:rPr>
      </w:pPr>
      <w:r>
        <w:rPr>
          <w:rFonts w:ascii="Arial" w:hAnsi="Arial" w:cs="Arial"/>
          <w:i/>
        </w:rPr>
        <w:t xml:space="preserve">Keywords: </w:t>
      </w:r>
      <w:r w:rsidRPr="00760E4A">
        <w:rPr>
          <w:rFonts w:ascii="Arial" w:hAnsi="Arial" w:cs="Arial"/>
          <w:i/>
          <w:szCs w:val="24"/>
        </w:rPr>
        <w:t>Agricultural residues, Lignocellulosic biomass, Microbial consortium, Composting</w:t>
      </w:r>
    </w:p>
    <w:p w14:paraId="5F3D4BC9" w14:textId="6E9E5E23" w:rsidR="0027743E" w:rsidRPr="00A24E7E" w:rsidRDefault="0027743E" w:rsidP="0027743E">
      <w:pPr>
        <w:pStyle w:val="Body"/>
        <w:spacing w:after="0"/>
        <w:rPr>
          <w:rFonts w:ascii="Arial" w:hAnsi="Arial" w:cs="Arial"/>
          <w:i/>
        </w:rPr>
      </w:pPr>
      <w:r>
        <w:rPr>
          <w:rFonts w:ascii="Arial" w:hAnsi="Arial" w:cs="Arial"/>
          <w:i/>
        </w:rPr>
        <w:t xml:space="preserve"> </w:t>
      </w:r>
    </w:p>
    <w:p w14:paraId="4D914AF7" w14:textId="77777777" w:rsidR="0027743E" w:rsidRDefault="0027743E" w:rsidP="0027743E">
      <w:pPr>
        <w:pStyle w:val="AbstHead"/>
        <w:numPr>
          <w:ilvl w:val="0"/>
          <w:numId w:val="35"/>
        </w:numPr>
        <w:spacing w:after="0"/>
        <w:jc w:val="both"/>
        <w:rPr>
          <w:rFonts w:ascii="Arial" w:hAnsi="Arial" w:cs="Arial"/>
        </w:rPr>
      </w:pPr>
      <w:r w:rsidRPr="00FB3A86">
        <w:rPr>
          <w:rFonts w:ascii="Arial" w:hAnsi="Arial" w:cs="Arial"/>
        </w:rPr>
        <w:t>INTRODUCTION</w:t>
      </w:r>
      <w:r>
        <w:rPr>
          <w:rFonts w:ascii="Arial" w:hAnsi="Arial" w:cs="Arial"/>
        </w:rPr>
        <w:t xml:space="preserve"> </w:t>
      </w:r>
    </w:p>
    <w:p w14:paraId="59F5C39D" w14:textId="77777777" w:rsidR="0027743E" w:rsidRDefault="0027743E" w:rsidP="0027743E">
      <w:pPr>
        <w:pStyle w:val="AbstHead"/>
        <w:spacing w:after="0"/>
        <w:ind w:left="720"/>
        <w:jc w:val="both"/>
        <w:rPr>
          <w:rFonts w:ascii="Arial" w:hAnsi="Arial" w:cs="Arial"/>
        </w:rPr>
      </w:pPr>
    </w:p>
    <w:p w14:paraId="2C2D8F33" w14:textId="07F4A9F4" w:rsidR="008E1763" w:rsidRPr="006A0C7B" w:rsidRDefault="008E1763" w:rsidP="008E1763">
      <w:pPr>
        <w:spacing w:line="360" w:lineRule="auto"/>
        <w:ind w:firstLine="720"/>
        <w:jc w:val="both"/>
      </w:pPr>
      <w:r w:rsidRPr="006A0C7B">
        <w:t xml:space="preserve">The rapid growth of </w:t>
      </w:r>
      <w:proofErr w:type="spellStart"/>
      <w:r w:rsidRPr="006A0C7B">
        <w:t>agro</w:t>
      </w:r>
      <w:proofErr w:type="spellEnd"/>
      <w:r w:rsidRPr="006A0C7B">
        <w:t xml:space="preserve">-industrial activities has resulted in the accumulation of huge quantities of agricultural residues in India, estimated at around 620 million </w:t>
      </w:r>
      <w:proofErr w:type="spellStart"/>
      <w:r w:rsidRPr="006A0C7B">
        <w:t>tonnes</w:t>
      </w:r>
      <w:proofErr w:type="spellEnd"/>
      <w:r w:rsidRPr="006A0C7B">
        <w:t xml:space="preserve"> annually (</w:t>
      </w:r>
      <w:proofErr w:type="spellStart"/>
      <w:r w:rsidRPr="006A0C7B">
        <w:t>Korav</w:t>
      </w:r>
      <w:proofErr w:type="spellEnd"/>
      <w:r w:rsidRPr="006A0C7B">
        <w:t xml:space="preserve"> </w:t>
      </w:r>
      <w:r w:rsidRPr="00CD6D6E">
        <w:rPr>
          <w:i/>
        </w:rPr>
        <w:t>et al</w:t>
      </w:r>
      <w:r w:rsidRPr="006A0C7B">
        <w:t xml:space="preserve">., 2022). Approximately half of this biomass is </w:t>
      </w:r>
      <w:proofErr w:type="spellStart"/>
      <w:r w:rsidRPr="006A0C7B">
        <w:t>utilised</w:t>
      </w:r>
      <w:proofErr w:type="spellEnd"/>
      <w:r w:rsidRPr="006A0C7B">
        <w:t xml:space="preserve"> for purposes such as animal feed, fuel and packaging, while the remainder is commonly burned in fields </w:t>
      </w:r>
      <w:r>
        <w:t xml:space="preserve">which </w:t>
      </w:r>
      <w:r w:rsidRPr="006A0C7B">
        <w:t>contributes to air pollution, nutrient depletion and soil degradation (</w:t>
      </w:r>
      <w:proofErr w:type="spellStart"/>
      <w:r w:rsidRPr="006A0C7B">
        <w:t>Korav</w:t>
      </w:r>
      <w:proofErr w:type="spellEnd"/>
      <w:r w:rsidRPr="006A0C7B">
        <w:t xml:space="preserve"> </w:t>
      </w:r>
      <w:r w:rsidRPr="00CD6D6E">
        <w:rPr>
          <w:i/>
        </w:rPr>
        <w:t>et al</w:t>
      </w:r>
      <w:r w:rsidRPr="006A0C7B">
        <w:t xml:space="preserve">., 2022; Jain </w:t>
      </w:r>
      <w:r w:rsidRPr="00CD6D6E">
        <w:rPr>
          <w:i/>
        </w:rPr>
        <w:t>et al</w:t>
      </w:r>
      <w:r w:rsidRPr="006A0C7B">
        <w:t xml:space="preserve">., 2014). Major crops such as rice, wheat and oilseeds account for about half of these residues, which collectively represent a large but </w:t>
      </w:r>
      <w:r w:rsidR="001102E9" w:rsidRPr="006A0C7B">
        <w:t>under-utilized</w:t>
      </w:r>
      <w:r w:rsidRPr="006A0C7B">
        <w:t xml:space="preserve"> reservoir of renewable nutrients. </w:t>
      </w:r>
      <w:r w:rsidRPr="00BC2026">
        <w:t xml:space="preserve">These wastes contain several million </w:t>
      </w:r>
      <w:proofErr w:type="spellStart"/>
      <w:r w:rsidRPr="00BC2026">
        <w:t>tonnes</w:t>
      </w:r>
      <w:proofErr w:type="spellEnd"/>
      <w:r w:rsidRPr="00BC2026">
        <w:t xml:space="preserve"> of N, P₂O₅ and K₂O equivalents annually, depending on which </w:t>
      </w:r>
      <w:r w:rsidRPr="00BC2026">
        <w:lastRenderedPageBreak/>
        <w:t xml:space="preserve">residues are counted and the nutrient coefficients used (Singh </w:t>
      </w:r>
      <w:r w:rsidRPr="00CD6D6E">
        <w:rPr>
          <w:i/>
        </w:rPr>
        <w:t>et al</w:t>
      </w:r>
      <w:r w:rsidRPr="00BC2026">
        <w:t>., 2022).</w:t>
      </w:r>
      <w:r>
        <w:t xml:space="preserve"> </w:t>
      </w:r>
      <w:r w:rsidRPr="006A0C7B">
        <w:t>Therefore, recycling agricultural residues is essential not only for environmental protection but also for long-term agricultural and economic sustainability.</w:t>
      </w:r>
    </w:p>
    <w:p w14:paraId="12E3A877" w14:textId="77777777" w:rsidR="00387B95" w:rsidRPr="006A0C7B" w:rsidRDefault="00387B95" w:rsidP="00387B95">
      <w:pPr>
        <w:spacing w:line="360" w:lineRule="auto"/>
        <w:ind w:firstLine="720"/>
        <w:jc w:val="both"/>
      </w:pPr>
      <w:r w:rsidRPr="006A0C7B">
        <w:t xml:space="preserve">Composting is widely </w:t>
      </w:r>
      <w:proofErr w:type="spellStart"/>
      <w:r w:rsidRPr="006A0C7B">
        <w:t>recognised</w:t>
      </w:r>
      <w:proofErr w:type="spellEnd"/>
      <w:r w:rsidRPr="006A0C7B">
        <w:t xml:space="preserve"> as one of the most efficient and environmentally sustainable methods for converting lignocellulosic agricultural residues into stable, nutrient-rich organic </w:t>
      </w:r>
      <w:proofErr w:type="spellStart"/>
      <w:r w:rsidRPr="006A0C7B">
        <w:t>fertilisers</w:t>
      </w:r>
      <w:proofErr w:type="spellEnd"/>
      <w:r w:rsidRPr="006A0C7B">
        <w:t xml:space="preserve"> (Rao </w:t>
      </w:r>
      <w:r w:rsidRPr="00CD6D6E">
        <w:rPr>
          <w:i/>
        </w:rPr>
        <w:t>et al</w:t>
      </w:r>
      <w:r w:rsidRPr="006A0C7B">
        <w:t>., 2024). Aerobic composting is a biodegradation process that proceeds through distinct mesophilic, thermophilic and maturation phases, driven by diverse microbial communities.</w:t>
      </w:r>
      <w:r>
        <w:t xml:space="preserve"> </w:t>
      </w:r>
      <w:r w:rsidRPr="006A0C7B">
        <w:t xml:space="preserve">However, the breakdown of recalcitrant polymers such as cellulose, hemicellulose and lignin often limit both the rate of decomposition and the quality of the resulting compost (Chen </w:t>
      </w:r>
      <w:r w:rsidRPr="00CD6D6E">
        <w:rPr>
          <w:i/>
        </w:rPr>
        <w:t>et al</w:t>
      </w:r>
      <w:r w:rsidRPr="006A0C7B">
        <w:t xml:space="preserve">., 2025). To address these challenges, several strategies have been explored, including the </w:t>
      </w:r>
      <w:proofErr w:type="spellStart"/>
      <w:r w:rsidRPr="006A0C7B">
        <w:t>optimisation</w:t>
      </w:r>
      <w:proofErr w:type="spellEnd"/>
      <w:r w:rsidRPr="006A0C7B">
        <w:t xml:space="preserve"> of process parameters </w:t>
      </w:r>
      <w:r>
        <w:t xml:space="preserve">including </w:t>
      </w:r>
      <w:r w:rsidRPr="006A0C7B">
        <w:t>the C:N ratio, aeration and moisture along with the pre-treatment of feedstock. Nonetheless, chemical and thermal pre-treatments are frequently energy-demanding and environmentally unsustainable.</w:t>
      </w:r>
    </w:p>
    <w:p w14:paraId="42C2A251" w14:textId="77777777" w:rsidR="00387B95" w:rsidRDefault="00387B95" w:rsidP="00387B95">
      <w:pPr>
        <w:spacing w:line="360" w:lineRule="auto"/>
        <w:ind w:firstLine="720"/>
        <w:jc w:val="both"/>
      </w:pPr>
      <w:r w:rsidRPr="006A0C7B">
        <w:t>A promising and sustainable alternative is the use of microbial consortia comprising carefully selected combinations of lignocellulolytic, thermotolerant and nutrient-</w:t>
      </w:r>
      <w:proofErr w:type="spellStart"/>
      <w:r w:rsidRPr="006A0C7B">
        <w:t>solubilising</w:t>
      </w:r>
      <w:proofErr w:type="spellEnd"/>
      <w:r w:rsidRPr="006A0C7B">
        <w:t xml:space="preserve"> microorganisms that act synergistically to accelerate organic matter degradation and enhance compost maturity (López-González </w:t>
      </w:r>
      <w:r w:rsidRPr="00CD6D6E">
        <w:rPr>
          <w:i/>
        </w:rPr>
        <w:t>et al</w:t>
      </w:r>
      <w:r w:rsidRPr="006A0C7B">
        <w:t xml:space="preserve">., 2024). This biologically-driven approach offers a safe, economical and eco-friendly solution for recycling agricultural residues into high-quality, bio-enriched compost. The present review highlights recent advancements in composting technologies, the role of microbial consortium supplementation, and their integrated potential in transforming </w:t>
      </w:r>
      <w:proofErr w:type="spellStart"/>
      <w:r w:rsidRPr="006A0C7B">
        <w:t>agro</w:t>
      </w:r>
      <w:proofErr w:type="spellEnd"/>
      <w:r w:rsidRPr="006A0C7B">
        <w:t>-industrial waste into value-added soil amendments.</w:t>
      </w:r>
    </w:p>
    <w:p w14:paraId="2B6163DC" w14:textId="77777777" w:rsidR="0027743E" w:rsidRPr="00FB3A86" w:rsidRDefault="0027743E" w:rsidP="0027743E">
      <w:pPr>
        <w:pStyle w:val="Body"/>
        <w:spacing w:after="0"/>
        <w:rPr>
          <w:rFonts w:ascii="Arial" w:hAnsi="Arial" w:cs="Arial"/>
        </w:rPr>
      </w:pPr>
    </w:p>
    <w:p w14:paraId="5240B9A0" w14:textId="77777777" w:rsidR="0027743E" w:rsidRPr="00064BF9" w:rsidRDefault="0027743E" w:rsidP="0027743E">
      <w:pPr>
        <w:pStyle w:val="ListParagraph"/>
        <w:numPr>
          <w:ilvl w:val="0"/>
          <w:numId w:val="35"/>
        </w:numPr>
        <w:spacing w:line="276" w:lineRule="auto"/>
        <w:jc w:val="both"/>
        <w:rPr>
          <w:rFonts w:ascii="Arial" w:hAnsi="Arial" w:cs="Arial"/>
          <w:b/>
          <w:szCs w:val="24"/>
        </w:rPr>
      </w:pPr>
      <w:r w:rsidRPr="00064BF9">
        <w:rPr>
          <w:rFonts w:ascii="Arial" w:hAnsi="Arial" w:cs="Arial"/>
          <w:b/>
          <w:szCs w:val="24"/>
        </w:rPr>
        <w:t>AGRICULTURAL RESIDUES AS COMPOSTING SUBSTRATES</w:t>
      </w:r>
    </w:p>
    <w:p w14:paraId="512B8740" w14:textId="77777777" w:rsidR="00387B95" w:rsidRPr="00131287" w:rsidRDefault="00387B95" w:rsidP="00387B95">
      <w:pPr>
        <w:spacing w:line="360" w:lineRule="auto"/>
        <w:ind w:firstLine="720"/>
        <w:jc w:val="both"/>
      </w:pPr>
      <w:r w:rsidRPr="00131287">
        <w:t xml:space="preserve">Agricultural residues constitute a diverse group of organic by-products that can be broadly categorized into highly lignified lignocellulosic materials (e.g., rice straw, maize/corn </w:t>
      </w:r>
      <w:proofErr w:type="spellStart"/>
      <w:r w:rsidRPr="00131287">
        <w:t>stover</w:t>
      </w:r>
      <w:proofErr w:type="spellEnd"/>
      <w:r w:rsidRPr="00131287">
        <w:t xml:space="preserve">, banana </w:t>
      </w:r>
      <w:proofErr w:type="spellStart"/>
      <w:r w:rsidRPr="00131287">
        <w:t>pseudostem</w:t>
      </w:r>
      <w:proofErr w:type="spellEnd"/>
      <w:r w:rsidRPr="00131287">
        <w:t>, sugarcane trash) and less recalcitrant residues such as vegetable wastes and green manures. Their chemical composition</w:t>
      </w:r>
      <w:r>
        <w:t xml:space="preserve"> including</w:t>
      </w:r>
      <w:r w:rsidRPr="00131287">
        <w:t xml:space="preserve"> the C:N ratio</w:t>
      </w:r>
      <w:r>
        <w:t xml:space="preserve"> </w:t>
      </w:r>
      <w:r w:rsidRPr="00131287">
        <w:t>and the relative proportions of cellulose, hemicellulose, lignin, ash and silica largely determine biodegradability and nutrient-release potential during composting. To enhance decomposition efficiency, pre-treatments such as particle-size reduction, co-substrate blending, moisture regulation and microbial inoculation are commonly employed; physical, chemical and biological pretreatments differ in energy demand, enzymatic efficiency and environmental footprint (Abo-</w:t>
      </w:r>
      <w:proofErr w:type="spellStart"/>
      <w:r w:rsidRPr="00131287">
        <w:t>Donia</w:t>
      </w:r>
      <w:proofErr w:type="spellEnd"/>
      <w:r w:rsidRPr="00131287">
        <w:t xml:space="preserve"> </w:t>
      </w:r>
      <w:r w:rsidRPr="00CD6D6E">
        <w:rPr>
          <w:i/>
        </w:rPr>
        <w:t>et al</w:t>
      </w:r>
      <w:r w:rsidRPr="00131287">
        <w:t xml:space="preserve">., 2022; </w:t>
      </w:r>
      <w:proofErr w:type="spellStart"/>
      <w:r w:rsidRPr="00131287">
        <w:t>Zoghlami</w:t>
      </w:r>
      <w:proofErr w:type="spellEnd"/>
      <w:r w:rsidRPr="00131287">
        <w:t xml:space="preserve"> </w:t>
      </w:r>
      <w:r>
        <w:t>and</w:t>
      </w:r>
      <w:r w:rsidRPr="00131287">
        <w:t xml:space="preserve"> </w:t>
      </w:r>
      <w:proofErr w:type="spellStart"/>
      <w:r w:rsidRPr="00131287">
        <w:t>Paës</w:t>
      </w:r>
      <w:proofErr w:type="spellEnd"/>
      <w:r w:rsidRPr="00131287">
        <w:t xml:space="preserve">, 2019). Residues with high lignin and silica contents typically decompose more slowly and therefore require the activity of specialized lignocellulolytic microorganisms and their extracellular enzymes for efficient biotransformation (Sharma </w:t>
      </w:r>
      <w:r w:rsidRPr="00CD6D6E">
        <w:rPr>
          <w:i/>
        </w:rPr>
        <w:t>et al</w:t>
      </w:r>
      <w:r w:rsidRPr="00131287">
        <w:t>., 2019).</w:t>
      </w:r>
    </w:p>
    <w:p w14:paraId="0DF08B01" w14:textId="77777777" w:rsidR="00387B95" w:rsidRPr="00131287" w:rsidRDefault="00387B95" w:rsidP="00387B95">
      <w:pPr>
        <w:spacing w:line="360" w:lineRule="auto"/>
        <w:ind w:firstLine="720"/>
        <w:jc w:val="both"/>
      </w:pPr>
      <w:r w:rsidRPr="00131287">
        <w:lastRenderedPageBreak/>
        <w:t xml:space="preserve">Among common residues, rice straw, corn </w:t>
      </w:r>
      <w:proofErr w:type="spellStart"/>
      <w:r w:rsidRPr="00131287">
        <w:t>stover</w:t>
      </w:r>
      <w:proofErr w:type="spellEnd"/>
      <w:r w:rsidRPr="00131287">
        <w:t xml:space="preserve"> and cereal straws are abundant and widely used as lignocellulosic substrates for composting and bioconversion. Rice straw</w:t>
      </w:r>
      <w:r>
        <w:t>,</w:t>
      </w:r>
      <w:r w:rsidRPr="003A3663">
        <w:t xml:space="preserve"> </w:t>
      </w:r>
      <w:r>
        <w:t xml:space="preserve">a major agricultural residue </w:t>
      </w:r>
      <w:r w:rsidRPr="00131287">
        <w:t>produced in very large quantities across Asian rice-growing regions</w:t>
      </w:r>
      <w:r>
        <w:t xml:space="preserve">, </w:t>
      </w:r>
      <w:r w:rsidRPr="00131287">
        <w:t>is rich in structural carbohydrates (cellulose and hemicellulose) and lignin</w:t>
      </w:r>
      <w:r>
        <w:t>. It contains</w:t>
      </w:r>
      <w:r w:rsidRPr="00131287">
        <w:t xml:space="preserve"> about 28–45% cellulose, 12–32% hemicellulose and 5–24% lignin, and </w:t>
      </w:r>
      <w:r>
        <w:t xml:space="preserve">3-6% </w:t>
      </w:r>
      <w:r w:rsidRPr="00131287">
        <w:t>crude protein depending on</w:t>
      </w:r>
      <w:r>
        <w:t xml:space="preserve"> the</w:t>
      </w:r>
      <w:r w:rsidRPr="00131287">
        <w:t xml:space="preserve"> variety, growing conditions and </w:t>
      </w:r>
      <w:r>
        <w:t xml:space="preserve">other factors </w:t>
      </w:r>
      <w:r w:rsidRPr="00131287">
        <w:t xml:space="preserve">(Ramos </w:t>
      </w:r>
      <w:r w:rsidRPr="00CD6D6E">
        <w:rPr>
          <w:i/>
        </w:rPr>
        <w:t>et al</w:t>
      </w:r>
      <w:r w:rsidRPr="00131287">
        <w:t>., 2023</w:t>
      </w:r>
      <w:r>
        <w:t xml:space="preserve">; </w:t>
      </w:r>
      <w:proofErr w:type="spellStart"/>
      <w:r w:rsidRPr="00131287">
        <w:t>Sarnklong</w:t>
      </w:r>
      <w:proofErr w:type="spellEnd"/>
      <w:r w:rsidRPr="00131287">
        <w:t xml:space="preserve"> </w:t>
      </w:r>
      <w:r w:rsidRPr="00CD6D6E">
        <w:rPr>
          <w:i/>
        </w:rPr>
        <w:t>et al</w:t>
      </w:r>
      <w:r w:rsidRPr="00131287">
        <w:t>., 2010). These features make rice straw carbon-rich but relatively recalcitrant for biological degradation without pretreatment.</w:t>
      </w:r>
    </w:p>
    <w:p w14:paraId="6011564A" w14:textId="77777777" w:rsidR="00387B95" w:rsidRPr="00131287" w:rsidRDefault="00387B95" w:rsidP="00387B95">
      <w:pPr>
        <w:spacing w:line="360" w:lineRule="auto"/>
        <w:ind w:firstLine="720"/>
        <w:jc w:val="both"/>
      </w:pPr>
      <w:r w:rsidRPr="00131287">
        <w:t xml:space="preserve">Corn </w:t>
      </w:r>
      <w:proofErr w:type="spellStart"/>
      <w:r w:rsidRPr="00131287">
        <w:t>stover</w:t>
      </w:r>
      <w:proofErr w:type="spellEnd"/>
      <w:r w:rsidRPr="00131287">
        <w:t xml:space="preserve"> is frequently reported to contain approximately 35–37% cellulose, 20–22% hemicellulose and variable lignin </w:t>
      </w:r>
      <w:r>
        <w:t xml:space="preserve">content </w:t>
      </w:r>
      <w:r w:rsidRPr="00131287">
        <w:t xml:space="preserve">depending on genotype and fraction. High global production and typical harvest indices make corn </w:t>
      </w:r>
      <w:proofErr w:type="spellStart"/>
      <w:r w:rsidRPr="00131287">
        <w:t>stover</w:t>
      </w:r>
      <w:proofErr w:type="spellEnd"/>
      <w:r w:rsidRPr="00131287">
        <w:t xml:space="preserve"> one of the largest crop-residue streams worldwide (</w:t>
      </w:r>
      <w:proofErr w:type="spellStart"/>
      <w:r w:rsidRPr="00131287">
        <w:t>Alavijeh</w:t>
      </w:r>
      <w:proofErr w:type="spellEnd"/>
      <w:r w:rsidRPr="00131287">
        <w:t xml:space="preserve"> </w:t>
      </w:r>
      <w:r w:rsidRPr="00CD6D6E">
        <w:rPr>
          <w:i/>
        </w:rPr>
        <w:t>et al</w:t>
      </w:r>
      <w:r w:rsidRPr="00131287">
        <w:t xml:space="preserve">., 2023; Yang </w:t>
      </w:r>
      <w:r w:rsidRPr="00CD6D6E">
        <w:rPr>
          <w:i/>
        </w:rPr>
        <w:t>et al</w:t>
      </w:r>
      <w:r w:rsidRPr="00131287">
        <w:t xml:space="preserve">., 2016). </w:t>
      </w:r>
      <w:r>
        <w:t>Likewise, b</w:t>
      </w:r>
      <w:r w:rsidRPr="00131287">
        <w:t xml:space="preserve">arley straw and other cereal straws are also valuable lignocellulosic feedstocks. </w:t>
      </w:r>
      <w:r>
        <w:t>Approximate</w:t>
      </w:r>
      <w:r w:rsidRPr="00131287">
        <w:t xml:space="preserve"> values reported for barley straw include 90.9% dry matter, 3.8% crude protein and metabolizable energy of approximately 5–6 MJ/kg DM, with high </w:t>
      </w:r>
      <w:proofErr w:type="spellStart"/>
      <w:r w:rsidRPr="00131287">
        <w:t>fibre</w:t>
      </w:r>
      <w:proofErr w:type="spellEnd"/>
      <w:r w:rsidRPr="00131287">
        <w:t xml:space="preserve"> fractions that reflect its substantial cellulose and hemicellulose content (Keno</w:t>
      </w:r>
      <w:r>
        <w:t xml:space="preserve"> </w:t>
      </w:r>
      <w:r w:rsidRPr="00CD6D6E">
        <w:rPr>
          <w:i/>
        </w:rPr>
        <w:t>et al</w:t>
      </w:r>
      <w:r>
        <w:t>.</w:t>
      </w:r>
      <w:r w:rsidRPr="00131287">
        <w:t xml:space="preserve">, 2021). Straw-to-grain ratios commonly used in residue accounting place many cereal residues at roughly 1.1–1.2 </w:t>
      </w:r>
      <w:proofErr w:type="spellStart"/>
      <w:r w:rsidRPr="00131287">
        <w:t>tonnes</w:t>
      </w:r>
      <w:proofErr w:type="spellEnd"/>
      <w:r w:rsidRPr="00131287">
        <w:t xml:space="preserve"> of straw per </w:t>
      </w:r>
      <w:proofErr w:type="spellStart"/>
      <w:r w:rsidRPr="00131287">
        <w:t>tonne</w:t>
      </w:r>
      <w:proofErr w:type="spellEnd"/>
      <w:r w:rsidRPr="00131287">
        <w:t xml:space="preserve"> of grain under average agronomic conditions (Becerra-Pérez </w:t>
      </w:r>
      <w:r w:rsidRPr="00CD6D6E">
        <w:rPr>
          <w:i/>
        </w:rPr>
        <w:t>et al</w:t>
      </w:r>
      <w:r w:rsidRPr="00131287">
        <w:t>., 2022).</w:t>
      </w:r>
    </w:p>
    <w:p w14:paraId="1428462D" w14:textId="77777777" w:rsidR="00387B95" w:rsidRDefault="00387B95" w:rsidP="00387B95">
      <w:pPr>
        <w:spacing w:line="360" w:lineRule="auto"/>
        <w:ind w:firstLine="720"/>
        <w:jc w:val="both"/>
      </w:pPr>
      <w:r w:rsidRPr="00131287">
        <w:t>Collectively, these agricultural residues are rich in structural polysaccharides yet resistant to rapid degradation, making them suitable substrates for microbial-consortium-based composting. The complementary activities of fungi</w:t>
      </w:r>
      <w:r>
        <w:t xml:space="preserve">, </w:t>
      </w:r>
      <w:r w:rsidRPr="00131287">
        <w:t>bacteria and actinomycetes, particularly under thermophilic conditions, enhance the breakdown of cellulose, hemicellulose and lignin and convert crop wastes into stable, nutrient-enriched organic amendments that contribute to soil fertility and sustainable agricultural productivity (</w:t>
      </w:r>
      <w:proofErr w:type="spellStart"/>
      <w:r w:rsidRPr="00131287">
        <w:t>Zoghlami</w:t>
      </w:r>
      <w:proofErr w:type="spellEnd"/>
      <w:r w:rsidRPr="00131287">
        <w:t xml:space="preserve"> </w:t>
      </w:r>
      <w:r>
        <w:t>and</w:t>
      </w:r>
      <w:r w:rsidRPr="00131287">
        <w:t xml:space="preserve"> </w:t>
      </w:r>
      <w:proofErr w:type="spellStart"/>
      <w:r w:rsidRPr="00131287">
        <w:t>Paës</w:t>
      </w:r>
      <w:proofErr w:type="spellEnd"/>
      <w:r w:rsidRPr="00131287">
        <w:t xml:space="preserve">, 2019; López-González </w:t>
      </w:r>
      <w:r w:rsidRPr="00CD6D6E">
        <w:rPr>
          <w:i/>
        </w:rPr>
        <w:t>et al</w:t>
      </w:r>
      <w:r w:rsidRPr="00131287">
        <w:t>., 2024).</w:t>
      </w:r>
    </w:p>
    <w:p w14:paraId="5EF4BA5C" w14:textId="77777777" w:rsidR="0027743E" w:rsidRPr="00C02590" w:rsidRDefault="0027743E" w:rsidP="0027743E">
      <w:pPr>
        <w:pStyle w:val="NormalWeb"/>
        <w:numPr>
          <w:ilvl w:val="0"/>
          <w:numId w:val="35"/>
        </w:numPr>
        <w:spacing w:line="276" w:lineRule="auto"/>
        <w:jc w:val="both"/>
        <w:rPr>
          <w:rFonts w:ascii="Arial" w:hAnsi="Arial" w:cs="Arial"/>
          <w:b/>
          <w:sz w:val="20"/>
        </w:rPr>
      </w:pPr>
      <w:r w:rsidRPr="00C02590">
        <w:rPr>
          <w:rFonts w:ascii="Arial" w:hAnsi="Arial" w:cs="Arial"/>
          <w:b/>
          <w:sz w:val="20"/>
        </w:rPr>
        <w:t>MICROBIAL ECOLOGY OF COMPOSTING</w:t>
      </w:r>
    </w:p>
    <w:p w14:paraId="5A1D89B7" w14:textId="77777777" w:rsidR="00387B95" w:rsidRPr="00AC38B3" w:rsidRDefault="00387B95" w:rsidP="00387B95">
      <w:pPr>
        <w:spacing w:line="360" w:lineRule="auto"/>
        <w:ind w:firstLine="720"/>
        <w:jc w:val="both"/>
      </w:pPr>
      <w:r w:rsidRPr="00AC38B3">
        <w:t>The composting process is primarily driven by bacterial groups commonly reported as Firmicutes, Actinobacteria, Proteobacteria, Bacteroidetes (</w:t>
      </w:r>
      <w:proofErr w:type="spellStart"/>
      <w:r w:rsidRPr="00AC38B3">
        <w:t>Bacteroidota</w:t>
      </w:r>
      <w:proofErr w:type="spellEnd"/>
      <w:r w:rsidRPr="00AC38B3">
        <w:t xml:space="preserve">) and </w:t>
      </w:r>
      <w:proofErr w:type="spellStart"/>
      <w:r w:rsidRPr="00AC38B3">
        <w:t>Chloroflexi</w:t>
      </w:r>
      <w:proofErr w:type="spellEnd"/>
      <w:r w:rsidRPr="00AC38B3">
        <w:t xml:space="preserve"> (</w:t>
      </w:r>
      <w:proofErr w:type="spellStart"/>
      <w:r w:rsidRPr="00AC38B3">
        <w:t>Chloroflexota</w:t>
      </w:r>
      <w:proofErr w:type="spellEnd"/>
      <w:r w:rsidRPr="00AC38B3">
        <w:t xml:space="preserve">) in high-throughput sequencing studies of diverse composting substrates (Meng </w:t>
      </w:r>
      <w:r w:rsidRPr="00CD6D6E">
        <w:rPr>
          <w:i/>
        </w:rPr>
        <w:t>et al</w:t>
      </w:r>
      <w:r w:rsidRPr="00AC38B3">
        <w:t>., 2019). Firmicutes</w:t>
      </w:r>
      <w:r>
        <w:t>,</w:t>
      </w:r>
      <w:r w:rsidRPr="00AC38B3">
        <w:t xml:space="preserve"> </w:t>
      </w:r>
      <w:r>
        <w:t xml:space="preserve">predominantly </w:t>
      </w:r>
      <w:r w:rsidRPr="00A2038F">
        <w:rPr>
          <w:i/>
          <w:iCs/>
        </w:rPr>
        <w:t>Bacillus</w:t>
      </w:r>
      <w:r w:rsidRPr="00AC38B3">
        <w:t xml:space="preserve"> and related genera frequently dominate early stages and contribute strongly to initial plant-biomass breakdown because many members produce extracellular hydrolases and tolerate a wide temperature range (</w:t>
      </w:r>
      <w:proofErr w:type="spellStart"/>
      <w:r w:rsidRPr="00AC38B3">
        <w:t>Niu</w:t>
      </w:r>
      <w:proofErr w:type="spellEnd"/>
      <w:r w:rsidRPr="00AC38B3">
        <w:t xml:space="preserve"> </w:t>
      </w:r>
      <w:r w:rsidRPr="00CD6D6E">
        <w:rPr>
          <w:i/>
        </w:rPr>
        <w:t>et al</w:t>
      </w:r>
      <w:r w:rsidRPr="00AC38B3">
        <w:t xml:space="preserve">., 2022). Proteobacteria are often associated with mineralization processes and are relatively more abundant during mesophilic stages when labile organics are available. </w:t>
      </w:r>
      <w:r w:rsidRPr="00AC38B3">
        <w:lastRenderedPageBreak/>
        <w:t xml:space="preserve">Bacteroidetes are important degraders of complex polysaccharides and are commonly implicated in carbohydrate turnover; their role in producing short-chain fatty acids during later phases has been documented in several studies (Aguilar-Paredes </w:t>
      </w:r>
      <w:r w:rsidRPr="00CD6D6E">
        <w:rPr>
          <w:i/>
        </w:rPr>
        <w:t>et al.,</w:t>
      </w:r>
      <w:r w:rsidRPr="00AC38B3">
        <w:t xml:space="preserve"> 2023). Actinobacteria are key producers of hydrolytic and oxidative enzymes that attack recalcitrant components and contribute to humification and pathogen suppression through antibiotic production (Silva </w:t>
      </w:r>
      <w:r w:rsidRPr="00CD6D6E">
        <w:rPr>
          <w:i/>
        </w:rPr>
        <w:t>et al</w:t>
      </w:r>
      <w:r w:rsidRPr="00AC38B3">
        <w:t xml:space="preserve">., 2022). </w:t>
      </w:r>
      <w:proofErr w:type="spellStart"/>
      <w:r w:rsidRPr="00AC38B3">
        <w:t>Chloroflexi</w:t>
      </w:r>
      <w:proofErr w:type="spellEnd"/>
      <w:r w:rsidRPr="00AC38B3">
        <w:t xml:space="preserve"> members are frequently reported in composting and maturation phases and have been associated with the degradation of soluble microbial products and </w:t>
      </w:r>
      <w:proofErr w:type="spellStart"/>
      <w:r w:rsidRPr="00AC38B3">
        <w:t>hemicellulosic</w:t>
      </w:r>
      <w:proofErr w:type="spellEnd"/>
      <w:r w:rsidRPr="00AC38B3">
        <w:t xml:space="preserve"> components in thermophilic environments (</w:t>
      </w:r>
      <w:proofErr w:type="spellStart"/>
      <w:r w:rsidRPr="00AC38B3">
        <w:t>Freches</w:t>
      </w:r>
      <w:proofErr w:type="spellEnd"/>
      <w:r w:rsidRPr="00AC38B3">
        <w:t xml:space="preserve"> </w:t>
      </w:r>
      <w:r w:rsidRPr="00CD6D6E">
        <w:rPr>
          <w:i/>
        </w:rPr>
        <w:t>et al</w:t>
      </w:r>
      <w:r w:rsidRPr="00AC38B3">
        <w:t>., 2024).</w:t>
      </w:r>
    </w:p>
    <w:p w14:paraId="3A390BD8" w14:textId="77777777" w:rsidR="00387B95" w:rsidRPr="00AC38B3" w:rsidRDefault="00387B95" w:rsidP="00387B95">
      <w:pPr>
        <w:spacing w:line="360" w:lineRule="auto"/>
        <w:ind w:firstLine="720"/>
        <w:jc w:val="both"/>
      </w:pPr>
      <w:r w:rsidRPr="00AC38B3">
        <w:t xml:space="preserve">Firmicutes commonly dominate the early mesophilic phase because of their capacity to utilize readily available plant polymers and to grow rapidly at moderate temperatures (Sun </w:t>
      </w:r>
      <w:r w:rsidRPr="00CD6D6E">
        <w:rPr>
          <w:i/>
        </w:rPr>
        <w:t>et al</w:t>
      </w:r>
      <w:r w:rsidRPr="00AC38B3">
        <w:t xml:space="preserve">., 2021). Several genera (e.g., </w:t>
      </w:r>
      <w:r w:rsidRPr="00AC38B3">
        <w:rPr>
          <w:i/>
          <w:iCs/>
        </w:rPr>
        <w:t>Bacillus</w:t>
      </w:r>
      <w:r w:rsidRPr="00AC38B3">
        <w:t xml:space="preserve">, </w:t>
      </w:r>
      <w:proofErr w:type="spellStart"/>
      <w:r w:rsidRPr="00AC38B3">
        <w:rPr>
          <w:i/>
          <w:iCs/>
        </w:rPr>
        <w:t>Geobacillus</w:t>
      </w:r>
      <w:proofErr w:type="spellEnd"/>
      <w:r w:rsidRPr="00AC38B3">
        <w:t xml:space="preserve">) include thermotolerant or thermophilic species active across ~30–60°C, and they secrete enzymes </w:t>
      </w:r>
      <w:r>
        <w:t xml:space="preserve">like </w:t>
      </w:r>
      <w:r w:rsidRPr="00AC38B3">
        <w:t>cellulases, proteases, pectinases, amylases that accelerate decomposition (</w:t>
      </w:r>
      <w:proofErr w:type="spellStart"/>
      <w:r w:rsidRPr="00AC38B3">
        <w:t>Finore</w:t>
      </w:r>
      <w:proofErr w:type="spellEnd"/>
      <w:r w:rsidRPr="00AC38B3">
        <w:t xml:space="preserve"> </w:t>
      </w:r>
      <w:r w:rsidRPr="00CD6D6E">
        <w:rPr>
          <w:i/>
        </w:rPr>
        <w:t>et al</w:t>
      </w:r>
      <w:r w:rsidRPr="00AC38B3">
        <w:t xml:space="preserve">., 2023). Some thermophilic actinomycetes </w:t>
      </w:r>
      <w:r>
        <w:t>like</w:t>
      </w:r>
      <w:r w:rsidRPr="00AC38B3">
        <w:t xml:space="preserve"> </w:t>
      </w:r>
      <w:proofErr w:type="spellStart"/>
      <w:r w:rsidRPr="00AC38B3">
        <w:rPr>
          <w:i/>
          <w:iCs/>
        </w:rPr>
        <w:t>Thermoactinomyces</w:t>
      </w:r>
      <w:proofErr w:type="spellEnd"/>
      <w:r w:rsidRPr="00AC38B3">
        <w:t xml:space="preserve"> spp. have been repeatedly isolated from composts and are implicated in late-stage stabilization and biopolymer turnover (</w:t>
      </w:r>
      <w:proofErr w:type="spellStart"/>
      <w:r w:rsidRPr="00AC38B3">
        <w:t>Oumaima</w:t>
      </w:r>
      <w:proofErr w:type="spellEnd"/>
      <w:r w:rsidRPr="00AC38B3">
        <w:t xml:space="preserve"> </w:t>
      </w:r>
      <w:r w:rsidRPr="00CD6D6E">
        <w:rPr>
          <w:i/>
        </w:rPr>
        <w:t>et al</w:t>
      </w:r>
      <w:r w:rsidRPr="00AC38B3">
        <w:t>., 2024</w:t>
      </w:r>
      <w:r>
        <w:t>).</w:t>
      </w:r>
    </w:p>
    <w:p w14:paraId="3988398E" w14:textId="77777777" w:rsidR="00387B95" w:rsidRPr="00AC38B3" w:rsidRDefault="00387B95" w:rsidP="00387B95">
      <w:pPr>
        <w:spacing w:line="360" w:lineRule="auto"/>
        <w:ind w:firstLine="720"/>
        <w:jc w:val="both"/>
      </w:pPr>
      <w:r w:rsidRPr="00AC38B3">
        <w:t xml:space="preserve">Proteobacteria frequently participate in organic-matter mineralization and nutrient cycling; genera such as </w:t>
      </w:r>
      <w:r w:rsidRPr="00AC38B3">
        <w:rPr>
          <w:i/>
          <w:iCs/>
        </w:rPr>
        <w:t>Pseudomonas</w:t>
      </w:r>
      <w:r w:rsidRPr="00AC38B3">
        <w:t xml:space="preserve">, </w:t>
      </w:r>
      <w:r w:rsidRPr="00AC38B3">
        <w:rPr>
          <w:i/>
          <w:iCs/>
        </w:rPr>
        <w:t>Acinetobacter</w:t>
      </w:r>
      <w:r w:rsidRPr="00AC38B3">
        <w:t xml:space="preserve"> and </w:t>
      </w:r>
      <w:r w:rsidRPr="00AC38B3">
        <w:rPr>
          <w:i/>
          <w:iCs/>
        </w:rPr>
        <w:t>Stenotrophomonas</w:t>
      </w:r>
      <w:r w:rsidRPr="00AC38B3">
        <w:t xml:space="preserve"> are commonly detected in early pile stages where they contribute to labile-substrate turnover and to </w:t>
      </w:r>
      <w:proofErr w:type="spellStart"/>
      <w:r w:rsidRPr="00AC38B3">
        <w:t>signalling</w:t>
      </w:r>
      <w:proofErr w:type="spellEnd"/>
      <w:r w:rsidRPr="00AC38B3">
        <w:t xml:space="preserve"> interactions that structure the community (Sun </w:t>
      </w:r>
      <w:r w:rsidRPr="00CD6D6E">
        <w:rPr>
          <w:i/>
        </w:rPr>
        <w:t>et al</w:t>
      </w:r>
      <w:r w:rsidRPr="00AC38B3">
        <w:t xml:space="preserve">., 2021). Bacteroidetes (e.g., </w:t>
      </w:r>
      <w:r w:rsidRPr="00AC38B3">
        <w:rPr>
          <w:i/>
          <w:iCs/>
        </w:rPr>
        <w:t>Flavobacterium</w:t>
      </w:r>
      <w:r w:rsidRPr="00AC38B3">
        <w:t xml:space="preserve">, </w:t>
      </w:r>
      <w:proofErr w:type="spellStart"/>
      <w:r w:rsidRPr="00AC38B3">
        <w:rPr>
          <w:i/>
          <w:iCs/>
        </w:rPr>
        <w:t>Pedobacter</w:t>
      </w:r>
      <w:proofErr w:type="spellEnd"/>
      <w:r w:rsidRPr="00AC38B3">
        <w:t xml:space="preserve">, </w:t>
      </w:r>
      <w:proofErr w:type="spellStart"/>
      <w:r w:rsidRPr="00AC38B3">
        <w:rPr>
          <w:i/>
          <w:iCs/>
        </w:rPr>
        <w:t>Cytophaga</w:t>
      </w:r>
      <w:proofErr w:type="spellEnd"/>
      <w:r w:rsidRPr="00AC38B3">
        <w:t xml:space="preserve"> and related taxa) are well known for polysaccharide degradation in environmental systems and appear in cooling and maturation phases in many compost studies, where they contribute to further decomposition of partially degraded plant material and to the production of short-chain fatty acids and simpler metabolites (Aguilar-Paredes </w:t>
      </w:r>
      <w:r w:rsidRPr="00CD6D6E">
        <w:rPr>
          <w:i/>
        </w:rPr>
        <w:t>et al</w:t>
      </w:r>
      <w:r w:rsidRPr="00AC38B3">
        <w:t>., 2023)</w:t>
      </w:r>
      <w:r>
        <w:t>.</w:t>
      </w:r>
    </w:p>
    <w:p w14:paraId="3A14DF7E" w14:textId="77777777" w:rsidR="00387B95" w:rsidRPr="00AC38B3" w:rsidRDefault="00387B95" w:rsidP="00387B95">
      <w:pPr>
        <w:spacing w:line="360" w:lineRule="auto"/>
        <w:ind w:firstLine="720"/>
        <w:jc w:val="both"/>
      </w:pPr>
      <w:proofErr w:type="spellStart"/>
      <w:r w:rsidRPr="00AC38B3">
        <w:t>Chloroflexi</w:t>
      </w:r>
      <w:proofErr w:type="spellEnd"/>
      <w:r w:rsidRPr="00AC38B3">
        <w:t xml:space="preserve"> are regularly detected in mature compost and have been linked to the degradation of soluble microbial products, hemicellulose fractions and other relatively recalcitrant organic</w:t>
      </w:r>
      <w:r>
        <w:t xml:space="preserve"> compound</w:t>
      </w:r>
      <w:r w:rsidRPr="00AC38B3">
        <w:t xml:space="preserve">s under warm conditions (Aguilar-Paredes </w:t>
      </w:r>
      <w:r w:rsidRPr="00CD6D6E">
        <w:rPr>
          <w:i/>
        </w:rPr>
        <w:t>et al</w:t>
      </w:r>
      <w:r w:rsidRPr="00AC38B3">
        <w:t xml:space="preserve">., 2023; </w:t>
      </w:r>
      <w:proofErr w:type="spellStart"/>
      <w:r w:rsidRPr="00AC38B3">
        <w:t>Freches</w:t>
      </w:r>
      <w:proofErr w:type="spellEnd"/>
      <w:r w:rsidRPr="00AC38B3">
        <w:t xml:space="preserve"> </w:t>
      </w:r>
      <w:r w:rsidRPr="00CD6D6E">
        <w:rPr>
          <w:i/>
        </w:rPr>
        <w:t>et al</w:t>
      </w:r>
      <w:r w:rsidRPr="00AC38B3">
        <w:t>., 2024). Their ecological role is still being resolved, but recent genomic and sequencing work indicates they contribute to carbon cycling in late stages of composting and to the transformation of intermediate compounds.</w:t>
      </w:r>
    </w:p>
    <w:p w14:paraId="4DCEB59F" w14:textId="77777777" w:rsidR="00387B95" w:rsidRDefault="00387B95" w:rsidP="00387B95">
      <w:pPr>
        <w:spacing w:line="360" w:lineRule="auto"/>
        <w:ind w:firstLine="720"/>
        <w:jc w:val="both"/>
      </w:pPr>
      <w:r w:rsidRPr="00AC38B3">
        <w:t xml:space="preserve">Fungi are essential decomposers in compost systems. Yeasts and fast-growing saprophytes (e.g., </w:t>
      </w:r>
      <w:r w:rsidRPr="00AC38B3">
        <w:rPr>
          <w:i/>
          <w:iCs/>
        </w:rPr>
        <w:t>Candida</w:t>
      </w:r>
      <w:r w:rsidRPr="00AC38B3">
        <w:t xml:space="preserve">, </w:t>
      </w:r>
      <w:r w:rsidRPr="00AC38B3">
        <w:rPr>
          <w:i/>
          <w:iCs/>
        </w:rPr>
        <w:t>Pichia</w:t>
      </w:r>
      <w:r w:rsidRPr="00AC38B3">
        <w:t xml:space="preserve">) often appear at early, moist stages; thermophilic filamentous fungi such as </w:t>
      </w:r>
      <w:proofErr w:type="spellStart"/>
      <w:r w:rsidRPr="00AC38B3">
        <w:rPr>
          <w:i/>
          <w:iCs/>
        </w:rPr>
        <w:t>Thermomyces</w:t>
      </w:r>
      <w:proofErr w:type="spellEnd"/>
      <w:r w:rsidRPr="00AC38B3">
        <w:t xml:space="preserve"> spp. and </w:t>
      </w:r>
      <w:proofErr w:type="spellStart"/>
      <w:r w:rsidRPr="00AC38B3">
        <w:rPr>
          <w:i/>
          <w:iCs/>
        </w:rPr>
        <w:t>Mycothermus</w:t>
      </w:r>
      <w:proofErr w:type="spellEnd"/>
      <w:r w:rsidRPr="00AC38B3">
        <w:t xml:space="preserve"> become abundant in high-temperature phases and secrete thermotolerant </w:t>
      </w:r>
      <w:proofErr w:type="spellStart"/>
      <w:r w:rsidRPr="00AC38B3">
        <w:t>hemicellulases</w:t>
      </w:r>
      <w:proofErr w:type="spellEnd"/>
      <w:r w:rsidRPr="00AC38B3">
        <w:t xml:space="preserve"> and other hydrolases </w:t>
      </w:r>
      <w:r>
        <w:t>(</w:t>
      </w:r>
      <w:proofErr w:type="spellStart"/>
      <w:r w:rsidRPr="00AC38B3">
        <w:t>Suwannarach</w:t>
      </w:r>
      <w:proofErr w:type="spellEnd"/>
      <w:r w:rsidRPr="00AC38B3">
        <w:t xml:space="preserve"> </w:t>
      </w:r>
      <w:r w:rsidRPr="00CD6D6E">
        <w:rPr>
          <w:i/>
        </w:rPr>
        <w:t>et al</w:t>
      </w:r>
      <w:r w:rsidRPr="00AC38B3">
        <w:t xml:space="preserve">., 2022; </w:t>
      </w:r>
      <w:proofErr w:type="spellStart"/>
      <w:r w:rsidRPr="00AC38B3">
        <w:t>Finore</w:t>
      </w:r>
      <w:proofErr w:type="spellEnd"/>
      <w:r w:rsidRPr="00AC38B3">
        <w:t xml:space="preserve"> </w:t>
      </w:r>
      <w:r w:rsidRPr="00CD6D6E">
        <w:rPr>
          <w:i/>
        </w:rPr>
        <w:t>et al</w:t>
      </w:r>
      <w:r w:rsidRPr="00AC38B3">
        <w:t>., 2023). Fungal activity typically declines above ~60–</w:t>
      </w:r>
      <w:r w:rsidRPr="00AC38B3">
        <w:lastRenderedPageBreak/>
        <w:t xml:space="preserve">65 °C but resurges during cooling and maturation, when filamentous fungi </w:t>
      </w:r>
      <w:r>
        <w:t>like</w:t>
      </w:r>
      <w:r w:rsidRPr="00AC38B3">
        <w:t xml:space="preserve"> </w:t>
      </w:r>
      <w:proofErr w:type="spellStart"/>
      <w:r w:rsidRPr="00AC38B3">
        <w:rPr>
          <w:i/>
          <w:iCs/>
        </w:rPr>
        <w:t>Mortierella</w:t>
      </w:r>
      <w:proofErr w:type="spellEnd"/>
      <w:r w:rsidRPr="00AC38B3">
        <w:t xml:space="preserve">, </w:t>
      </w:r>
      <w:r w:rsidRPr="00AC38B3">
        <w:rPr>
          <w:i/>
          <w:iCs/>
        </w:rPr>
        <w:t>Trichoderma</w:t>
      </w:r>
      <w:r>
        <w:t xml:space="preserve"> and</w:t>
      </w:r>
      <w:r w:rsidRPr="00AC38B3">
        <w:t xml:space="preserve"> </w:t>
      </w:r>
      <w:r w:rsidRPr="00AC38B3">
        <w:rPr>
          <w:i/>
          <w:iCs/>
        </w:rPr>
        <w:t>Aspergillus</w:t>
      </w:r>
      <w:r w:rsidRPr="00AC38B3">
        <w:t xml:space="preserve"> contribute to cellulose and lignin turnover and to humification. The extensive hyphal networks of fungi enable access to substrates that are physically inaccessible to bacteria and are therefore especially important for the depolymerization of complex plant cell-wall polymers under low-nitrogen or high-</w:t>
      </w:r>
      <w:r>
        <w:t>carbon</w:t>
      </w:r>
      <w:r w:rsidRPr="00AC38B3">
        <w:t xml:space="preserve"> conditions (Aguilar-Paredes </w:t>
      </w:r>
      <w:r w:rsidRPr="00CD6D6E">
        <w:rPr>
          <w:i/>
        </w:rPr>
        <w:t>et al</w:t>
      </w:r>
      <w:r w:rsidRPr="00AC38B3">
        <w:t>., 2023)</w:t>
      </w:r>
      <w:r>
        <w:t>.</w:t>
      </w:r>
    </w:p>
    <w:p w14:paraId="01AE1BC6" w14:textId="77777777" w:rsidR="0027743E" w:rsidRDefault="0027743E" w:rsidP="0027743E">
      <w:pPr>
        <w:pStyle w:val="NormalWeb"/>
        <w:spacing w:line="276" w:lineRule="auto"/>
        <w:jc w:val="both"/>
        <w:rPr>
          <w:rFonts w:ascii="Arial" w:hAnsi="Arial" w:cs="Arial"/>
          <w:b/>
          <w:sz w:val="20"/>
          <w:szCs w:val="20"/>
        </w:rPr>
      </w:pPr>
      <w:r w:rsidRPr="00C02590">
        <w:rPr>
          <w:rFonts w:ascii="Arial" w:hAnsi="Arial" w:cs="Arial"/>
          <w:b/>
          <w:sz w:val="20"/>
          <w:szCs w:val="20"/>
        </w:rPr>
        <w:t>T</w:t>
      </w:r>
      <w:r>
        <w:rPr>
          <w:rFonts w:ascii="Arial" w:hAnsi="Arial" w:cs="Arial"/>
          <w:b/>
          <w:sz w:val="20"/>
          <w:szCs w:val="20"/>
        </w:rPr>
        <w:t xml:space="preserve">able </w:t>
      </w:r>
      <w:r w:rsidRPr="00C02590">
        <w:rPr>
          <w:rFonts w:ascii="Arial" w:hAnsi="Arial" w:cs="Arial"/>
          <w:b/>
          <w:sz w:val="20"/>
          <w:szCs w:val="20"/>
        </w:rPr>
        <w:t>1. Microorganisms and their functional roles during different phases of composting</w:t>
      </w:r>
    </w:p>
    <w:tbl>
      <w:tblPr>
        <w:tblStyle w:val="TableGrid"/>
        <w:tblW w:w="10065" w:type="dxa"/>
        <w:tblInd w:w="-289" w:type="dxa"/>
        <w:tblLayout w:type="fixed"/>
        <w:tblLook w:val="04A0" w:firstRow="1" w:lastRow="0" w:firstColumn="1" w:lastColumn="0" w:noHBand="0" w:noVBand="1"/>
      </w:tblPr>
      <w:tblGrid>
        <w:gridCol w:w="1560"/>
        <w:gridCol w:w="2533"/>
        <w:gridCol w:w="1578"/>
        <w:gridCol w:w="1417"/>
        <w:gridCol w:w="1701"/>
        <w:gridCol w:w="1276"/>
      </w:tblGrid>
      <w:tr w:rsidR="001F5A01" w14:paraId="7FF94AD7" w14:textId="77777777" w:rsidTr="001F5A01">
        <w:trPr>
          <w:trHeight w:val="567"/>
        </w:trPr>
        <w:tc>
          <w:tcPr>
            <w:tcW w:w="1560" w:type="dxa"/>
          </w:tcPr>
          <w:p w14:paraId="3CBA7A37" w14:textId="77777777" w:rsidR="001F5A01" w:rsidRDefault="001F5A01" w:rsidP="00B3235E">
            <w:pPr>
              <w:spacing w:line="360" w:lineRule="auto"/>
              <w:jc w:val="center"/>
            </w:pPr>
            <w:r>
              <w:rPr>
                <w:b/>
                <w:bCs/>
              </w:rPr>
              <w:t>Microbial group</w:t>
            </w:r>
          </w:p>
        </w:tc>
        <w:tc>
          <w:tcPr>
            <w:tcW w:w="2533" w:type="dxa"/>
          </w:tcPr>
          <w:p w14:paraId="58EF58A9" w14:textId="77777777" w:rsidR="001F5A01" w:rsidRDefault="001F5A01" w:rsidP="00B3235E">
            <w:pPr>
              <w:spacing w:line="360" w:lineRule="auto"/>
              <w:jc w:val="center"/>
            </w:pPr>
            <w:r>
              <w:rPr>
                <w:b/>
                <w:bCs/>
              </w:rPr>
              <w:t>Representative genera / species</w:t>
            </w:r>
          </w:p>
        </w:tc>
        <w:tc>
          <w:tcPr>
            <w:tcW w:w="1578" w:type="dxa"/>
          </w:tcPr>
          <w:p w14:paraId="71292C93" w14:textId="77777777" w:rsidR="001F5A01" w:rsidRDefault="001F5A01" w:rsidP="00B3235E">
            <w:pPr>
              <w:spacing w:line="360" w:lineRule="auto"/>
              <w:jc w:val="center"/>
            </w:pPr>
            <w:r>
              <w:rPr>
                <w:b/>
                <w:bCs/>
              </w:rPr>
              <w:t>Predominant composting phase</w:t>
            </w:r>
          </w:p>
        </w:tc>
        <w:tc>
          <w:tcPr>
            <w:tcW w:w="1417" w:type="dxa"/>
          </w:tcPr>
          <w:p w14:paraId="539FF3CB" w14:textId="77777777" w:rsidR="001F5A01" w:rsidRDefault="001F5A01" w:rsidP="00B3235E">
            <w:pPr>
              <w:spacing w:line="360" w:lineRule="auto"/>
              <w:jc w:val="center"/>
            </w:pPr>
            <w:r>
              <w:rPr>
                <w:b/>
                <w:bCs/>
              </w:rPr>
              <w:t>Temperature range (°C)</w:t>
            </w:r>
          </w:p>
        </w:tc>
        <w:tc>
          <w:tcPr>
            <w:tcW w:w="1701" w:type="dxa"/>
          </w:tcPr>
          <w:p w14:paraId="3A589E45" w14:textId="77777777" w:rsidR="001F5A01" w:rsidRDefault="001F5A01" w:rsidP="00B3235E">
            <w:pPr>
              <w:spacing w:line="360" w:lineRule="auto"/>
              <w:jc w:val="center"/>
            </w:pPr>
            <w:r>
              <w:rPr>
                <w:b/>
                <w:bCs/>
              </w:rPr>
              <w:t>Key functional roles</w:t>
            </w:r>
          </w:p>
        </w:tc>
        <w:tc>
          <w:tcPr>
            <w:tcW w:w="1276" w:type="dxa"/>
          </w:tcPr>
          <w:p w14:paraId="74BC89A4" w14:textId="77777777" w:rsidR="001F5A01" w:rsidRDefault="001F5A01" w:rsidP="00B3235E">
            <w:pPr>
              <w:spacing w:line="360" w:lineRule="auto"/>
              <w:jc w:val="center"/>
            </w:pPr>
            <w:r>
              <w:rPr>
                <w:b/>
                <w:bCs/>
              </w:rPr>
              <w:t>References</w:t>
            </w:r>
          </w:p>
        </w:tc>
      </w:tr>
      <w:tr w:rsidR="001F5A01" w14:paraId="74F1D0E2" w14:textId="77777777" w:rsidTr="001F5A01">
        <w:trPr>
          <w:trHeight w:val="567"/>
        </w:trPr>
        <w:tc>
          <w:tcPr>
            <w:tcW w:w="1560" w:type="dxa"/>
          </w:tcPr>
          <w:p w14:paraId="19B91A76" w14:textId="77777777" w:rsidR="001F5A01" w:rsidRDefault="001F5A01" w:rsidP="00B3235E">
            <w:pPr>
              <w:spacing w:line="360" w:lineRule="auto"/>
              <w:jc w:val="center"/>
            </w:pPr>
            <w:r>
              <w:t>Firmicutes</w:t>
            </w:r>
          </w:p>
        </w:tc>
        <w:tc>
          <w:tcPr>
            <w:tcW w:w="2533" w:type="dxa"/>
          </w:tcPr>
          <w:p w14:paraId="6D38DA2F" w14:textId="77777777" w:rsidR="001F5A01" w:rsidRDefault="001F5A01" w:rsidP="00B3235E">
            <w:pPr>
              <w:spacing w:line="360" w:lineRule="auto"/>
              <w:jc w:val="center"/>
            </w:pPr>
            <w:r>
              <w:rPr>
                <w:rStyle w:val="Emphasis"/>
              </w:rPr>
              <w:t>Bacillus</w:t>
            </w:r>
            <w:r>
              <w:t xml:space="preserve">, </w:t>
            </w:r>
            <w:proofErr w:type="spellStart"/>
            <w:r>
              <w:rPr>
                <w:rStyle w:val="Emphasis"/>
              </w:rPr>
              <w:t>Geobacillus</w:t>
            </w:r>
            <w:proofErr w:type="spellEnd"/>
            <w:r>
              <w:t xml:space="preserve">, </w:t>
            </w:r>
            <w:proofErr w:type="spellStart"/>
            <w:r>
              <w:rPr>
                <w:rStyle w:val="Emphasis"/>
              </w:rPr>
              <w:t>Aeribacillus</w:t>
            </w:r>
            <w:proofErr w:type="spellEnd"/>
          </w:p>
        </w:tc>
        <w:tc>
          <w:tcPr>
            <w:tcW w:w="1578" w:type="dxa"/>
          </w:tcPr>
          <w:p w14:paraId="39173B8E" w14:textId="77777777" w:rsidR="001F5A01" w:rsidRDefault="001F5A01" w:rsidP="00B3235E">
            <w:pPr>
              <w:spacing w:line="360" w:lineRule="auto"/>
              <w:jc w:val="center"/>
            </w:pPr>
            <w:r>
              <w:t>Mesophilic to Thermophilic</w:t>
            </w:r>
          </w:p>
        </w:tc>
        <w:tc>
          <w:tcPr>
            <w:tcW w:w="1417" w:type="dxa"/>
          </w:tcPr>
          <w:p w14:paraId="4B548170" w14:textId="77777777" w:rsidR="001F5A01" w:rsidRDefault="001F5A01" w:rsidP="00B3235E">
            <w:pPr>
              <w:spacing w:line="360" w:lineRule="auto"/>
              <w:jc w:val="center"/>
            </w:pPr>
            <w:r>
              <w:t>~25–60</w:t>
            </w:r>
          </w:p>
        </w:tc>
        <w:tc>
          <w:tcPr>
            <w:tcW w:w="1701" w:type="dxa"/>
          </w:tcPr>
          <w:p w14:paraId="03F69123" w14:textId="77777777" w:rsidR="001F5A01" w:rsidRDefault="001F5A01" w:rsidP="00B3235E">
            <w:pPr>
              <w:spacing w:line="360" w:lineRule="auto"/>
              <w:jc w:val="both"/>
            </w:pPr>
            <w:r>
              <w:t>Decomposition of labile and some structural polymers; production of cellulases, proteases, pectinases; rapid growth in early phase.</w:t>
            </w:r>
          </w:p>
        </w:tc>
        <w:tc>
          <w:tcPr>
            <w:tcW w:w="1276" w:type="dxa"/>
          </w:tcPr>
          <w:p w14:paraId="252AB153" w14:textId="77777777" w:rsidR="001F5A01" w:rsidRDefault="001F5A01" w:rsidP="00B3235E">
            <w:pPr>
              <w:spacing w:line="360" w:lineRule="auto"/>
              <w:jc w:val="center"/>
            </w:pPr>
            <w:r>
              <w:t xml:space="preserve">Sun </w:t>
            </w:r>
            <w:r w:rsidRPr="00CD6D6E">
              <w:rPr>
                <w:i/>
              </w:rPr>
              <w:t>et al</w:t>
            </w:r>
            <w:r>
              <w:t xml:space="preserve">., 2021; </w:t>
            </w:r>
          </w:p>
          <w:p w14:paraId="71E18D2C" w14:textId="77777777" w:rsidR="001F5A01" w:rsidRDefault="001F5A01" w:rsidP="00B3235E">
            <w:pPr>
              <w:spacing w:line="360" w:lineRule="auto"/>
              <w:jc w:val="center"/>
            </w:pPr>
            <w:proofErr w:type="spellStart"/>
            <w:r>
              <w:t>Niu</w:t>
            </w:r>
            <w:proofErr w:type="spellEnd"/>
            <w:r>
              <w:t xml:space="preserve"> </w:t>
            </w:r>
            <w:r w:rsidRPr="00CD6D6E">
              <w:rPr>
                <w:i/>
              </w:rPr>
              <w:t>et al</w:t>
            </w:r>
            <w:r>
              <w:t>., 2022</w:t>
            </w:r>
          </w:p>
        </w:tc>
      </w:tr>
      <w:tr w:rsidR="001F5A01" w14:paraId="7A835D19" w14:textId="77777777" w:rsidTr="001F5A01">
        <w:trPr>
          <w:trHeight w:val="567"/>
        </w:trPr>
        <w:tc>
          <w:tcPr>
            <w:tcW w:w="1560" w:type="dxa"/>
          </w:tcPr>
          <w:p w14:paraId="7BE770B3" w14:textId="77777777" w:rsidR="001F5A01" w:rsidRDefault="001F5A01" w:rsidP="00B3235E">
            <w:pPr>
              <w:spacing w:line="360" w:lineRule="auto"/>
              <w:jc w:val="center"/>
            </w:pPr>
            <w:r>
              <w:t>Actinobacteria</w:t>
            </w:r>
          </w:p>
        </w:tc>
        <w:tc>
          <w:tcPr>
            <w:tcW w:w="2533" w:type="dxa"/>
          </w:tcPr>
          <w:p w14:paraId="78DB73F1" w14:textId="77777777" w:rsidR="001F5A01" w:rsidRDefault="001F5A01" w:rsidP="00B3235E">
            <w:pPr>
              <w:spacing w:line="360" w:lineRule="auto"/>
              <w:jc w:val="center"/>
            </w:pPr>
            <w:r>
              <w:rPr>
                <w:rStyle w:val="Emphasis"/>
              </w:rPr>
              <w:t>Streptomyces</w:t>
            </w:r>
            <w:r>
              <w:t xml:space="preserve">, </w:t>
            </w:r>
            <w:proofErr w:type="spellStart"/>
            <w:r>
              <w:rPr>
                <w:rStyle w:val="Emphasis"/>
              </w:rPr>
              <w:t>Thermoactinomyces</w:t>
            </w:r>
            <w:proofErr w:type="spellEnd"/>
            <w:r>
              <w:t xml:space="preserve">, </w:t>
            </w:r>
            <w:proofErr w:type="spellStart"/>
            <w:r>
              <w:rPr>
                <w:rStyle w:val="Emphasis"/>
              </w:rPr>
              <w:t>Micromonospora</w:t>
            </w:r>
            <w:proofErr w:type="spellEnd"/>
          </w:p>
        </w:tc>
        <w:tc>
          <w:tcPr>
            <w:tcW w:w="1578" w:type="dxa"/>
          </w:tcPr>
          <w:p w14:paraId="15FBDA91" w14:textId="77777777" w:rsidR="001F5A01" w:rsidRDefault="001F5A01" w:rsidP="00B3235E">
            <w:pPr>
              <w:spacing w:line="360" w:lineRule="auto"/>
              <w:jc w:val="center"/>
            </w:pPr>
            <w:r>
              <w:t>Thermophilic to Maturation</w:t>
            </w:r>
          </w:p>
        </w:tc>
        <w:tc>
          <w:tcPr>
            <w:tcW w:w="1417" w:type="dxa"/>
          </w:tcPr>
          <w:p w14:paraId="79FCA372" w14:textId="77777777" w:rsidR="001F5A01" w:rsidRDefault="001F5A01" w:rsidP="00B3235E">
            <w:pPr>
              <w:spacing w:line="360" w:lineRule="auto"/>
              <w:jc w:val="center"/>
            </w:pPr>
            <w:r>
              <w:t>~40–60</w:t>
            </w:r>
          </w:p>
        </w:tc>
        <w:tc>
          <w:tcPr>
            <w:tcW w:w="1701" w:type="dxa"/>
          </w:tcPr>
          <w:p w14:paraId="6C174426" w14:textId="77777777" w:rsidR="001F5A01" w:rsidRDefault="001F5A01" w:rsidP="00B3235E">
            <w:pPr>
              <w:spacing w:line="360" w:lineRule="auto"/>
              <w:jc w:val="both"/>
            </w:pPr>
            <w:r>
              <w:t>Degradation of lignin and recalcitrant cellulose; extracellular hydrolytic and oxidative enzymes; humus formation; antibiotic production.</w:t>
            </w:r>
          </w:p>
        </w:tc>
        <w:tc>
          <w:tcPr>
            <w:tcW w:w="1276" w:type="dxa"/>
          </w:tcPr>
          <w:p w14:paraId="539E49D5" w14:textId="77777777" w:rsidR="001F5A01" w:rsidRDefault="001F5A01" w:rsidP="00B3235E">
            <w:pPr>
              <w:spacing w:line="360" w:lineRule="auto"/>
              <w:jc w:val="center"/>
            </w:pPr>
            <w:r>
              <w:t xml:space="preserve">Saini </w:t>
            </w:r>
            <w:r w:rsidRPr="00CD6D6E">
              <w:rPr>
                <w:i/>
              </w:rPr>
              <w:t>et al</w:t>
            </w:r>
            <w:r>
              <w:t xml:space="preserve">., 2015; Silva </w:t>
            </w:r>
            <w:r w:rsidRPr="00CD6D6E">
              <w:rPr>
                <w:i/>
              </w:rPr>
              <w:t>et al</w:t>
            </w:r>
            <w:r>
              <w:t>., 2022</w:t>
            </w:r>
          </w:p>
        </w:tc>
      </w:tr>
      <w:tr w:rsidR="001F5A01" w14:paraId="7975AA94" w14:textId="77777777" w:rsidTr="001F5A01">
        <w:trPr>
          <w:trHeight w:val="567"/>
        </w:trPr>
        <w:tc>
          <w:tcPr>
            <w:tcW w:w="1560" w:type="dxa"/>
          </w:tcPr>
          <w:p w14:paraId="1C97776E" w14:textId="77777777" w:rsidR="001F5A01" w:rsidRDefault="001F5A01" w:rsidP="00B3235E">
            <w:pPr>
              <w:spacing w:line="360" w:lineRule="auto"/>
              <w:jc w:val="center"/>
            </w:pPr>
            <w:r>
              <w:lastRenderedPageBreak/>
              <w:t>Proteobacteria</w:t>
            </w:r>
          </w:p>
        </w:tc>
        <w:tc>
          <w:tcPr>
            <w:tcW w:w="2533" w:type="dxa"/>
          </w:tcPr>
          <w:p w14:paraId="79CD6770" w14:textId="77777777" w:rsidR="001F5A01" w:rsidRDefault="001F5A01" w:rsidP="00B3235E">
            <w:pPr>
              <w:spacing w:line="360" w:lineRule="auto"/>
              <w:jc w:val="center"/>
            </w:pPr>
            <w:r>
              <w:rPr>
                <w:rStyle w:val="Emphasis"/>
              </w:rPr>
              <w:t>Pseudomonas</w:t>
            </w:r>
            <w:r>
              <w:t xml:space="preserve">, </w:t>
            </w:r>
            <w:r>
              <w:rPr>
                <w:rStyle w:val="Emphasis"/>
              </w:rPr>
              <w:t>Acinetobacter</w:t>
            </w:r>
            <w:r>
              <w:t xml:space="preserve">, </w:t>
            </w:r>
            <w:r>
              <w:rPr>
                <w:rStyle w:val="Emphasis"/>
              </w:rPr>
              <w:t>Stenotrophomonas</w:t>
            </w:r>
          </w:p>
        </w:tc>
        <w:tc>
          <w:tcPr>
            <w:tcW w:w="1578" w:type="dxa"/>
          </w:tcPr>
          <w:p w14:paraId="58062188" w14:textId="77777777" w:rsidR="001F5A01" w:rsidRDefault="001F5A01" w:rsidP="00B3235E">
            <w:pPr>
              <w:spacing w:line="360" w:lineRule="auto"/>
              <w:jc w:val="center"/>
            </w:pPr>
            <w:r>
              <w:t>Mesophilic</w:t>
            </w:r>
          </w:p>
        </w:tc>
        <w:tc>
          <w:tcPr>
            <w:tcW w:w="1417" w:type="dxa"/>
          </w:tcPr>
          <w:p w14:paraId="7E414355" w14:textId="77777777" w:rsidR="001F5A01" w:rsidRDefault="001F5A01" w:rsidP="00B3235E">
            <w:pPr>
              <w:spacing w:line="360" w:lineRule="auto"/>
              <w:jc w:val="center"/>
            </w:pPr>
            <w:r>
              <w:t>~25–40</w:t>
            </w:r>
          </w:p>
        </w:tc>
        <w:tc>
          <w:tcPr>
            <w:tcW w:w="1701" w:type="dxa"/>
          </w:tcPr>
          <w:p w14:paraId="28C1076C" w14:textId="77777777" w:rsidR="001F5A01" w:rsidRDefault="001F5A01" w:rsidP="00B3235E">
            <w:pPr>
              <w:spacing w:line="360" w:lineRule="auto"/>
              <w:jc w:val="both"/>
            </w:pPr>
            <w:r>
              <w:t xml:space="preserve">Mineralization of N/S compounds; decomposition of simple organics; </w:t>
            </w:r>
            <w:proofErr w:type="spellStart"/>
            <w:r>
              <w:t>signalling</w:t>
            </w:r>
            <w:proofErr w:type="spellEnd"/>
            <w:r>
              <w:t xml:space="preserve"> and biotransformation.</w:t>
            </w:r>
          </w:p>
        </w:tc>
        <w:tc>
          <w:tcPr>
            <w:tcW w:w="1276" w:type="dxa"/>
          </w:tcPr>
          <w:p w14:paraId="1046714F" w14:textId="77777777" w:rsidR="001F5A01" w:rsidRDefault="001F5A01" w:rsidP="00B3235E">
            <w:pPr>
              <w:spacing w:line="360" w:lineRule="auto"/>
              <w:jc w:val="center"/>
            </w:pPr>
            <w:r>
              <w:t xml:space="preserve">Sun </w:t>
            </w:r>
            <w:r w:rsidRPr="00CD6D6E">
              <w:rPr>
                <w:i/>
              </w:rPr>
              <w:t>et al</w:t>
            </w:r>
            <w:r>
              <w:t xml:space="preserve">., 2021; Zhao </w:t>
            </w:r>
            <w:r w:rsidRPr="00CD6D6E">
              <w:rPr>
                <w:i/>
              </w:rPr>
              <w:t>et al</w:t>
            </w:r>
            <w:r>
              <w:t>., 2022</w:t>
            </w:r>
          </w:p>
        </w:tc>
      </w:tr>
      <w:tr w:rsidR="001F5A01" w14:paraId="1F046CD5" w14:textId="77777777" w:rsidTr="001F5A01">
        <w:trPr>
          <w:trHeight w:val="567"/>
        </w:trPr>
        <w:tc>
          <w:tcPr>
            <w:tcW w:w="1560" w:type="dxa"/>
          </w:tcPr>
          <w:p w14:paraId="321DE986" w14:textId="77777777" w:rsidR="001F5A01" w:rsidRDefault="001F5A01" w:rsidP="00B3235E">
            <w:pPr>
              <w:spacing w:line="360" w:lineRule="auto"/>
              <w:jc w:val="center"/>
            </w:pPr>
            <w:r>
              <w:t xml:space="preserve">Bacteroidetes </w:t>
            </w:r>
          </w:p>
        </w:tc>
        <w:tc>
          <w:tcPr>
            <w:tcW w:w="2533" w:type="dxa"/>
          </w:tcPr>
          <w:p w14:paraId="409499F6" w14:textId="77777777" w:rsidR="001F5A01" w:rsidRDefault="001F5A01" w:rsidP="00B3235E">
            <w:pPr>
              <w:spacing w:line="360" w:lineRule="auto"/>
              <w:jc w:val="center"/>
            </w:pPr>
            <w:r>
              <w:rPr>
                <w:rStyle w:val="Emphasis"/>
              </w:rPr>
              <w:t>Flavobacterium</w:t>
            </w:r>
            <w:r>
              <w:t xml:space="preserve">, </w:t>
            </w:r>
            <w:proofErr w:type="spellStart"/>
            <w:r>
              <w:rPr>
                <w:rStyle w:val="Emphasis"/>
              </w:rPr>
              <w:t>Pedobacter</w:t>
            </w:r>
            <w:proofErr w:type="spellEnd"/>
            <w:r>
              <w:t xml:space="preserve">, </w:t>
            </w:r>
            <w:proofErr w:type="spellStart"/>
            <w:r>
              <w:rPr>
                <w:rStyle w:val="Emphasis"/>
              </w:rPr>
              <w:t>Cytophaga</w:t>
            </w:r>
            <w:proofErr w:type="spellEnd"/>
          </w:p>
        </w:tc>
        <w:tc>
          <w:tcPr>
            <w:tcW w:w="1578" w:type="dxa"/>
          </w:tcPr>
          <w:p w14:paraId="1FE35BDE" w14:textId="77777777" w:rsidR="001F5A01" w:rsidRDefault="001F5A01" w:rsidP="00B3235E">
            <w:pPr>
              <w:spacing w:line="360" w:lineRule="auto"/>
              <w:jc w:val="center"/>
            </w:pPr>
            <w:r>
              <w:t>Cooling to Maturation</w:t>
            </w:r>
          </w:p>
        </w:tc>
        <w:tc>
          <w:tcPr>
            <w:tcW w:w="1417" w:type="dxa"/>
          </w:tcPr>
          <w:p w14:paraId="704823E5" w14:textId="77777777" w:rsidR="001F5A01" w:rsidRDefault="001F5A01" w:rsidP="00B3235E">
            <w:pPr>
              <w:spacing w:line="360" w:lineRule="auto"/>
              <w:jc w:val="center"/>
            </w:pPr>
            <w:r>
              <w:t>~30–45</w:t>
            </w:r>
          </w:p>
        </w:tc>
        <w:tc>
          <w:tcPr>
            <w:tcW w:w="1701" w:type="dxa"/>
          </w:tcPr>
          <w:p w14:paraId="1A95F6A3" w14:textId="77777777" w:rsidR="001F5A01" w:rsidRDefault="001F5A01" w:rsidP="00B3235E">
            <w:pPr>
              <w:spacing w:line="360" w:lineRule="auto"/>
              <w:jc w:val="both"/>
            </w:pPr>
            <w:r>
              <w:t>Degradation of complex polysaccharides; production of short-chain fatty acids; late-stage carbohydrate turnover.</w:t>
            </w:r>
          </w:p>
        </w:tc>
        <w:tc>
          <w:tcPr>
            <w:tcW w:w="1276" w:type="dxa"/>
          </w:tcPr>
          <w:p w14:paraId="06239B2B" w14:textId="77777777" w:rsidR="001F5A01" w:rsidRDefault="001F5A01" w:rsidP="00B3235E">
            <w:pPr>
              <w:spacing w:line="360" w:lineRule="auto"/>
              <w:jc w:val="center"/>
            </w:pPr>
            <w:r>
              <w:t xml:space="preserve">Aguilar-Paredes </w:t>
            </w:r>
            <w:r w:rsidRPr="00CD6D6E">
              <w:rPr>
                <w:i/>
              </w:rPr>
              <w:t>et al</w:t>
            </w:r>
            <w:r>
              <w:t>., 2023</w:t>
            </w:r>
          </w:p>
        </w:tc>
      </w:tr>
      <w:tr w:rsidR="001F5A01" w14:paraId="61B0E4EA" w14:textId="77777777" w:rsidTr="001F5A01">
        <w:trPr>
          <w:trHeight w:val="567"/>
        </w:trPr>
        <w:tc>
          <w:tcPr>
            <w:tcW w:w="1560" w:type="dxa"/>
          </w:tcPr>
          <w:p w14:paraId="07CFE14D" w14:textId="77777777" w:rsidR="001F5A01" w:rsidRDefault="001F5A01" w:rsidP="00B3235E">
            <w:pPr>
              <w:spacing w:line="360" w:lineRule="auto"/>
              <w:jc w:val="center"/>
            </w:pPr>
            <w:proofErr w:type="spellStart"/>
            <w:r>
              <w:t>Chloroflexi</w:t>
            </w:r>
            <w:proofErr w:type="spellEnd"/>
            <w:r>
              <w:t xml:space="preserve"> </w:t>
            </w:r>
          </w:p>
        </w:tc>
        <w:tc>
          <w:tcPr>
            <w:tcW w:w="2533" w:type="dxa"/>
          </w:tcPr>
          <w:p w14:paraId="4D030A1C" w14:textId="77777777" w:rsidR="001F5A01" w:rsidRDefault="001F5A01" w:rsidP="00B3235E">
            <w:pPr>
              <w:spacing w:line="360" w:lineRule="auto"/>
              <w:jc w:val="center"/>
            </w:pPr>
            <w:proofErr w:type="spellStart"/>
            <w:r>
              <w:rPr>
                <w:rStyle w:val="Emphasis"/>
              </w:rPr>
              <w:t>Anaerolinea</w:t>
            </w:r>
            <w:proofErr w:type="spellEnd"/>
            <w:r>
              <w:t xml:space="preserve">, </w:t>
            </w:r>
            <w:proofErr w:type="spellStart"/>
            <w:r>
              <w:rPr>
                <w:rStyle w:val="Emphasis"/>
              </w:rPr>
              <w:t>Caldilinea</w:t>
            </w:r>
            <w:proofErr w:type="spellEnd"/>
            <w:r>
              <w:t xml:space="preserve">, </w:t>
            </w:r>
            <w:proofErr w:type="spellStart"/>
            <w:r>
              <w:rPr>
                <w:rStyle w:val="Emphasis"/>
              </w:rPr>
              <w:t>Roseiflexus</w:t>
            </w:r>
            <w:proofErr w:type="spellEnd"/>
          </w:p>
        </w:tc>
        <w:tc>
          <w:tcPr>
            <w:tcW w:w="1578" w:type="dxa"/>
          </w:tcPr>
          <w:p w14:paraId="08A7A46C" w14:textId="77777777" w:rsidR="001F5A01" w:rsidRDefault="001F5A01" w:rsidP="00B3235E">
            <w:pPr>
              <w:spacing w:line="360" w:lineRule="auto"/>
              <w:jc w:val="center"/>
            </w:pPr>
            <w:r>
              <w:t>Thermophilic to Maturation</w:t>
            </w:r>
          </w:p>
        </w:tc>
        <w:tc>
          <w:tcPr>
            <w:tcW w:w="1417" w:type="dxa"/>
          </w:tcPr>
          <w:p w14:paraId="225B8B51" w14:textId="77777777" w:rsidR="001F5A01" w:rsidRDefault="001F5A01" w:rsidP="00B3235E">
            <w:pPr>
              <w:spacing w:line="360" w:lineRule="auto"/>
              <w:jc w:val="center"/>
            </w:pPr>
            <w:r>
              <w:t>~45–60</w:t>
            </w:r>
          </w:p>
        </w:tc>
        <w:tc>
          <w:tcPr>
            <w:tcW w:w="1701" w:type="dxa"/>
          </w:tcPr>
          <w:p w14:paraId="2CFC723A" w14:textId="77777777" w:rsidR="001F5A01" w:rsidRDefault="001F5A01" w:rsidP="00B3235E">
            <w:pPr>
              <w:spacing w:line="360" w:lineRule="auto"/>
              <w:jc w:val="both"/>
            </w:pPr>
            <w:r>
              <w:t>Degradation of soluble microbial products and hemicellulose fractions; contribution to carbon cycling in maturation.</w:t>
            </w:r>
          </w:p>
        </w:tc>
        <w:tc>
          <w:tcPr>
            <w:tcW w:w="1276" w:type="dxa"/>
          </w:tcPr>
          <w:p w14:paraId="6BB6DFB4" w14:textId="77777777" w:rsidR="001F5A01" w:rsidRDefault="001F5A01" w:rsidP="00B3235E">
            <w:pPr>
              <w:spacing w:line="360" w:lineRule="auto"/>
              <w:jc w:val="center"/>
            </w:pPr>
            <w:r>
              <w:t xml:space="preserve">Aguilar-Paredes </w:t>
            </w:r>
            <w:r w:rsidRPr="00CD6D6E">
              <w:rPr>
                <w:i/>
              </w:rPr>
              <w:t>et al.</w:t>
            </w:r>
            <w:r>
              <w:t xml:space="preserve">, 2023; </w:t>
            </w:r>
            <w:proofErr w:type="spellStart"/>
            <w:r>
              <w:t>Freches</w:t>
            </w:r>
            <w:proofErr w:type="spellEnd"/>
            <w:r>
              <w:t xml:space="preserve"> </w:t>
            </w:r>
            <w:r w:rsidRPr="00CD6D6E">
              <w:rPr>
                <w:i/>
              </w:rPr>
              <w:t>et al</w:t>
            </w:r>
            <w:r>
              <w:t>., 2024</w:t>
            </w:r>
          </w:p>
        </w:tc>
      </w:tr>
      <w:tr w:rsidR="001F5A01" w14:paraId="319416C3" w14:textId="77777777" w:rsidTr="001F5A01">
        <w:trPr>
          <w:trHeight w:val="567"/>
        </w:trPr>
        <w:tc>
          <w:tcPr>
            <w:tcW w:w="1560" w:type="dxa"/>
          </w:tcPr>
          <w:p w14:paraId="5A4ACDD5" w14:textId="77777777" w:rsidR="001F5A01" w:rsidRDefault="001F5A01" w:rsidP="00B3235E">
            <w:pPr>
              <w:spacing w:line="360" w:lineRule="auto"/>
              <w:jc w:val="center"/>
            </w:pPr>
            <w:r>
              <w:t>Ascomycota</w:t>
            </w:r>
          </w:p>
        </w:tc>
        <w:tc>
          <w:tcPr>
            <w:tcW w:w="2533" w:type="dxa"/>
          </w:tcPr>
          <w:p w14:paraId="02C742A5" w14:textId="77777777" w:rsidR="001F5A01" w:rsidRDefault="001F5A01" w:rsidP="00B3235E">
            <w:pPr>
              <w:spacing w:line="360" w:lineRule="auto"/>
              <w:jc w:val="center"/>
            </w:pPr>
            <w:r>
              <w:rPr>
                <w:rStyle w:val="Emphasis"/>
              </w:rPr>
              <w:t>Aspergillus</w:t>
            </w:r>
            <w:r>
              <w:t xml:space="preserve">, </w:t>
            </w:r>
            <w:proofErr w:type="spellStart"/>
            <w:r>
              <w:rPr>
                <w:rStyle w:val="Emphasis"/>
              </w:rPr>
              <w:t>Thermomyces</w:t>
            </w:r>
            <w:proofErr w:type="spellEnd"/>
            <w:r>
              <w:t xml:space="preserve">, </w:t>
            </w:r>
            <w:r>
              <w:rPr>
                <w:rStyle w:val="Emphasis"/>
              </w:rPr>
              <w:t>Trichoderma</w:t>
            </w:r>
          </w:p>
        </w:tc>
        <w:tc>
          <w:tcPr>
            <w:tcW w:w="1578" w:type="dxa"/>
          </w:tcPr>
          <w:p w14:paraId="31545463" w14:textId="77777777" w:rsidR="001F5A01" w:rsidRDefault="001F5A01" w:rsidP="00B3235E">
            <w:pPr>
              <w:spacing w:line="360" w:lineRule="auto"/>
              <w:jc w:val="center"/>
            </w:pPr>
            <w:r>
              <w:t>Mesophilic to Thermophilic to Cooling</w:t>
            </w:r>
          </w:p>
        </w:tc>
        <w:tc>
          <w:tcPr>
            <w:tcW w:w="1417" w:type="dxa"/>
          </w:tcPr>
          <w:p w14:paraId="0B362666" w14:textId="77777777" w:rsidR="001F5A01" w:rsidRDefault="001F5A01" w:rsidP="00B3235E">
            <w:pPr>
              <w:spacing w:line="360" w:lineRule="auto"/>
              <w:jc w:val="center"/>
            </w:pPr>
            <w:r>
              <w:t>~25–50 (thermophiles higher)</w:t>
            </w:r>
          </w:p>
        </w:tc>
        <w:tc>
          <w:tcPr>
            <w:tcW w:w="1701" w:type="dxa"/>
          </w:tcPr>
          <w:p w14:paraId="376BC5A9" w14:textId="77777777" w:rsidR="001F5A01" w:rsidRDefault="001F5A01" w:rsidP="00B3235E">
            <w:pPr>
              <w:spacing w:line="360" w:lineRule="auto"/>
              <w:jc w:val="both"/>
            </w:pPr>
            <w:r>
              <w:t xml:space="preserve">Secretion of cellulases, </w:t>
            </w:r>
            <w:proofErr w:type="spellStart"/>
            <w:r>
              <w:t>hemicellulases</w:t>
            </w:r>
            <w:proofErr w:type="spellEnd"/>
            <w:r>
              <w:t>, secondary metabolites; critical in lignocellulose breakdown and humification.</w:t>
            </w:r>
          </w:p>
        </w:tc>
        <w:tc>
          <w:tcPr>
            <w:tcW w:w="1276" w:type="dxa"/>
          </w:tcPr>
          <w:p w14:paraId="3C8ABD7C" w14:textId="77777777" w:rsidR="001F5A01" w:rsidRDefault="001F5A01" w:rsidP="00B3235E">
            <w:pPr>
              <w:spacing w:line="360" w:lineRule="auto"/>
              <w:jc w:val="center"/>
            </w:pPr>
            <w:r>
              <w:t xml:space="preserve">Meng </w:t>
            </w:r>
            <w:r w:rsidRPr="00CD6D6E">
              <w:rPr>
                <w:i/>
              </w:rPr>
              <w:t>et al</w:t>
            </w:r>
            <w:r>
              <w:t xml:space="preserve">., 2019; </w:t>
            </w:r>
            <w:proofErr w:type="spellStart"/>
            <w:r>
              <w:t>Suwannarach</w:t>
            </w:r>
            <w:proofErr w:type="spellEnd"/>
            <w:r>
              <w:t xml:space="preserve"> </w:t>
            </w:r>
            <w:r w:rsidRPr="00CD6D6E">
              <w:rPr>
                <w:i/>
              </w:rPr>
              <w:t>et al</w:t>
            </w:r>
            <w:r>
              <w:t>., 2022</w:t>
            </w:r>
          </w:p>
        </w:tc>
      </w:tr>
      <w:tr w:rsidR="001F5A01" w14:paraId="050A2530" w14:textId="77777777" w:rsidTr="001F5A01">
        <w:trPr>
          <w:trHeight w:val="567"/>
        </w:trPr>
        <w:tc>
          <w:tcPr>
            <w:tcW w:w="1560" w:type="dxa"/>
          </w:tcPr>
          <w:p w14:paraId="193A1314" w14:textId="77777777" w:rsidR="001F5A01" w:rsidRDefault="001F5A01" w:rsidP="00B3235E">
            <w:pPr>
              <w:spacing w:line="360" w:lineRule="auto"/>
              <w:jc w:val="center"/>
            </w:pPr>
            <w:r>
              <w:t>Basidiomycota</w:t>
            </w:r>
          </w:p>
        </w:tc>
        <w:tc>
          <w:tcPr>
            <w:tcW w:w="2533" w:type="dxa"/>
          </w:tcPr>
          <w:p w14:paraId="63FAB0BE" w14:textId="77777777" w:rsidR="001F5A01" w:rsidRDefault="001F5A01" w:rsidP="00B3235E">
            <w:pPr>
              <w:spacing w:line="360" w:lineRule="auto"/>
              <w:jc w:val="center"/>
            </w:pPr>
            <w:proofErr w:type="spellStart"/>
            <w:r>
              <w:rPr>
                <w:rStyle w:val="Emphasis"/>
              </w:rPr>
              <w:t>Pleurotus</w:t>
            </w:r>
            <w:proofErr w:type="spellEnd"/>
            <w:r>
              <w:t xml:space="preserve">, </w:t>
            </w:r>
            <w:r>
              <w:rPr>
                <w:rStyle w:val="Emphasis"/>
              </w:rPr>
              <w:t>Coprinus</w:t>
            </w:r>
          </w:p>
        </w:tc>
        <w:tc>
          <w:tcPr>
            <w:tcW w:w="1578" w:type="dxa"/>
          </w:tcPr>
          <w:p w14:paraId="235B57FF" w14:textId="77777777" w:rsidR="001F5A01" w:rsidRDefault="001F5A01" w:rsidP="00B3235E">
            <w:pPr>
              <w:spacing w:line="360" w:lineRule="auto"/>
              <w:jc w:val="center"/>
            </w:pPr>
            <w:r>
              <w:t>Cooling to Maturation</w:t>
            </w:r>
          </w:p>
        </w:tc>
        <w:tc>
          <w:tcPr>
            <w:tcW w:w="1417" w:type="dxa"/>
          </w:tcPr>
          <w:p w14:paraId="024B857E" w14:textId="77777777" w:rsidR="001F5A01" w:rsidRDefault="001F5A01" w:rsidP="00B3235E">
            <w:pPr>
              <w:spacing w:line="360" w:lineRule="auto"/>
              <w:jc w:val="center"/>
            </w:pPr>
            <w:r>
              <w:t>~30–45</w:t>
            </w:r>
          </w:p>
        </w:tc>
        <w:tc>
          <w:tcPr>
            <w:tcW w:w="1701" w:type="dxa"/>
          </w:tcPr>
          <w:p w14:paraId="264CDA90" w14:textId="77777777" w:rsidR="001F5A01" w:rsidRDefault="001F5A01" w:rsidP="00B3235E">
            <w:pPr>
              <w:spacing w:line="360" w:lineRule="auto"/>
              <w:jc w:val="both"/>
            </w:pPr>
            <w:r>
              <w:t>Lignin depolymerizatio</w:t>
            </w:r>
            <w:r>
              <w:lastRenderedPageBreak/>
              <w:t>n via laccases and peroxidases; ligninolytic activity in maturation.</w:t>
            </w:r>
          </w:p>
        </w:tc>
        <w:tc>
          <w:tcPr>
            <w:tcW w:w="1276" w:type="dxa"/>
          </w:tcPr>
          <w:p w14:paraId="6D698B19" w14:textId="77777777" w:rsidR="001F5A01" w:rsidRDefault="001F5A01" w:rsidP="00B3235E">
            <w:pPr>
              <w:spacing w:line="360" w:lineRule="auto"/>
              <w:jc w:val="center"/>
            </w:pPr>
            <w:r>
              <w:lastRenderedPageBreak/>
              <w:t>Aguilar-Paredes</w:t>
            </w:r>
            <w:r w:rsidRPr="00CD6D6E">
              <w:rPr>
                <w:i/>
              </w:rPr>
              <w:t xml:space="preserve"> et </w:t>
            </w:r>
            <w:r w:rsidRPr="00CD6D6E">
              <w:rPr>
                <w:i/>
              </w:rPr>
              <w:lastRenderedPageBreak/>
              <w:t>al</w:t>
            </w:r>
            <w:r>
              <w:t xml:space="preserve">., 2023; </w:t>
            </w:r>
            <w:proofErr w:type="spellStart"/>
            <w:r>
              <w:t>Zoghlami</w:t>
            </w:r>
            <w:proofErr w:type="spellEnd"/>
            <w:r>
              <w:t xml:space="preserve"> and </w:t>
            </w:r>
            <w:proofErr w:type="spellStart"/>
            <w:r>
              <w:t>Paës</w:t>
            </w:r>
            <w:proofErr w:type="spellEnd"/>
            <w:r>
              <w:t>, 2019</w:t>
            </w:r>
          </w:p>
        </w:tc>
      </w:tr>
      <w:tr w:rsidR="001F5A01" w14:paraId="199045D7" w14:textId="77777777" w:rsidTr="001F5A01">
        <w:trPr>
          <w:trHeight w:val="567"/>
        </w:trPr>
        <w:tc>
          <w:tcPr>
            <w:tcW w:w="1560" w:type="dxa"/>
          </w:tcPr>
          <w:p w14:paraId="71415383" w14:textId="77777777" w:rsidR="001F5A01" w:rsidRDefault="001F5A01" w:rsidP="00B3235E">
            <w:pPr>
              <w:spacing w:line="360" w:lineRule="auto"/>
              <w:jc w:val="center"/>
            </w:pPr>
            <w:r>
              <w:lastRenderedPageBreak/>
              <w:t xml:space="preserve">Actinomycetes </w:t>
            </w:r>
          </w:p>
        </w:tc>
        <w:tc>
          <w:tcPr>
            <w:tcW w:w="2533" w:type="dxa"/>
          </w:tcPr>
          <w:p w14:paraId="722DC7D1" w14:textId="77777777" w:rsidR="001F5A01" w:rsidRDefault="001F5A01" w:rsidP="00B3235E">
            <w:pPr>
              <w:spacing w:line="360" w:lineRule="auto"/>
              <w:jc w:val="center"/>
            </w:pPr>
            <w:r>
              <w:rPr>
                <w:rStyle w:val="Emphasis"/>
              </w:rPr>
              <w:t>Streptomyces</w:t>
            </w:r>
            <w:r>
              <w:t xml:space="preserve">, </w:t>
            </w:r>
            <w:proofErr w:type="spellStart"/>
            <w:r>
              <w:rPr>
                <w:rStyle w:val="Emphasis"/>
              </w:rPr>
              <w:t>Thermoactinomyces</w:t>
            </w:r>
            <w:proofErr w:type="spellEnd"/>
            <w:r>
              <w:t xml:space="preserve">, </w:t>
            </w:r>
            <w:r>
              <w:rPr>
                <w:rStyle w:val="Emphasis"/>
              </w:rPr>
              <w:t>Nocardia</w:t>
            </w:r>
          </w:p>
        </w:tc>
        <w:tc>
          <w:tcPr>
            <w:tcW w:w="1578" w:type="dxa"/>
          </w:tcPr>
          <w:p w14:paraId="6157873F" w14:textId="77777777" w:rsidR="001F5A01" w:rsidRDefault="001F5A01" w:rsidP="00B3235E">
            <w:pPr>
              <w:spacing w:line="360" w:lineRule="auto"/>
              <w:jc w:val="center"/>
            </w:pPr>
            <w:r>
              <w:t>Thermophilic to Maturation</w:t>
            </w:r>
          </w:p>
        </w:tc>
        <w:tc>
          <w:tcPr>
            <w:tcW w:w="1417" w:type="dxa"/>
          </w:tcPr>
          <w:p w14:paraId="75EC727F" w14:textId="77777777" w:rsidR="001F5A01" w:rsidRDefault="001F5A01" w:rsidP="00B3235E">
            <w:pPr>
              <w:spacing w:line="360" w:lineRule="auto"/>
              <w:jc w:val="center"/>
            </w:pPr>
            <w:r>
              <w:t>~40–60</w:t>
            </w:r>
          </w:p>
        </w:tc>
        <w:tc>
          <w:tcPr>
            <w:tcW w:w="1701" w:type="dxa"/>
          </w:tcPr>
          <w:p w14:paraId="0AF16096" w14:textId="77777777" w:rsidR="001F5A01" w:rsidRDefault="001F5A01" w:rsidP="00B3235E">
            <w:pPr>
              <w:spacing w:line="360" w:lineRule="auto"/>
              <w:jc w:val="both"/>
            </w:pPr>
            <w:r>
              <w:t xml:space="preserve">Breakdown of complex polymers; production of </w:t>
            </w:r>
            <w:proofErr w:type="spellStart"/>
            <w:r>
              <w:t>humic</w:t>
            </w:r>
            <w:proofErr w:type="spellEnd"/>
            <w:r>
              <w:t xml:space="preserve"> precursors and antibiotics; structural stabilization.</w:t>
            </w:r>
          </w:p>
        </w:tc>
        <w:tc>
          <w:tcPr>
            <w:tcW w:w="1276" w:type="dxa"/>
          </w:tcPr>
          <w:p w14:paraId="69130413" w14:textId="77777777" w:rsidR="001F5A01" w:rsidRDefault="001F5A01" w:rsidP="00B3235E">
            <w:pPr>
              <w:spacing w:line="360" w:lineRule="auto"/>
              <w:jc w:val="center"/>
            </w:pPr>
            <w:r>
              <w:t xml:space="preserve">Saini </w:t>
            </w:r>
            <w:r w:rsidRPr="00CD6D6E">
              <w:rPr>
                <w:i/>
              </w:rPr>
              <w:t>et al</w:t>
            </w:r>
            <w:r>
              <w:t xml:space="preserve">., 2015; </w:t>
            </w:r>
            <w:proofErr w:type="spellStart"/>
            <w:r>
              <w:t>Oumaima</w:t>
            </w:r>
            <w:proofErr w:type="spellEnd"/>
            <w:r>
              <w:t xml:space="preserve"> </w:t>
            </w:r>
            <w:r w:rsidRPr="00CD6D6E">
              <w:rPr>
                <w:i/>
              </w:rPr>
              <w:t>et al</w:t>
            </w:r>
            <w:r>
              <w:t>., 2024</w:t>
            </w:r>
          </w:p>
        </w:tc>
      </w:tr>
    </w:tbl>
    <w:p w14:paraId="10F8C644" w14:textId="77777777" w:rsidR="0027743E" w:rsidRPr="00C02590" w:rsidRDefault="0027743E" w:rsidP="0027743E">
      <w:pPr>
        <w:pStyle w:val="NormalWeb"/>
        <w:numPr>
          <w:ilvl w:val="0"/>
          <w:numId w:val="35"/>
        </w:numPr>
        <w:spacing w:line="276" w:lineRule="auto"/>
        <w:ind w:left="426" w:hanging="426"/>
        <w:jc w:val="both"/>
        <w:rPr>
          <w:rFonts w:ascii="Arial" w:hAnsi="Arial" w:cs="Arial"/>
          <w:b/>
          <w:sz w:val="20"/>
        </w:rPr>
      </w:pPr>
      <w:r w:rsidRPr="00C02590">
        <w:rPr>
          <w:rFonts w:ascii="Arial" w:hAnsi="Arial" w:cs="Arial"/>
          <w:b/>
          <w:sz w:val="20"/>
          <w:lang w:val="en-US"/>
        </w:rPr>
        <w:t xml:space="preserve">MICROBIAL SYNERGISM THROUGH COMPLEMENTATION OF ENZYMES </w:t>
      </w:r>
      <w:r w:rsidRPr="00C02590">
        <w:rPr>
          <w:rFonts w:ascii="Arial" w:hAnsi="Arial" w:cs="Arial"/>
          <w:b/>
          <w:sz w:val="20"/>
        </w:rPr>
        <w:t>FOR LIGNOCELLULOSIC BIOMASS DEGRADATION</w:t>
      </w:r>
    </w:p>
    <w:p w14:paraId="18864D61" w14:textId="77777777" w:rsidR="001F5A01" w:rsidRPr="008772B8" w:rsidRDefault="001F5A01" w:rsidP="008772B8">
      <w:pPr>
        <w:pStyle w:val="NormalWeb"/>
        <w:spacing w:line="276" w:lineRule="auto"/>
        <w:ind w:firstLine="720"/>
        <w:jc w:val="both"/>
        <w:rPr>
          <w:rFonts w:ascii="Arial" w:hAnsi="Arial" w:cs="Arial"/>
          <w:b/>
          <w:sz w:val="20"/>
          <w:szCs w:val="20"/>
        </w:rPr>
      </w:pPr>
      <w:r w:rsidRPr="008772B8">
        <w:rPr>
          <w:rFonts w:ascii="Arial" w:hAnsi="Arial" w:cs="Arial"/>
          <w:bCs/>
          <w:sz w:val="20"/>
          <w:szCs w:val="20"/>
          <w:lang w:val="en-IN"/>
        </w:rPr>
        <w:t xml:space="preserve">Efficient degradation of lignocellulosic residues is central to sustainable residue management. Diverse microorganisms including bacteria, fungi and actinomycetes having the capability to secrete cellulolytic and ligninolytic enzymes that act in complementary ways to depolymerize cellulose, hemicellulose and lignin (Zhang and Dong, 2022). Although many individual strains produce relevant enzymes, industrial or field applications are often limited by low enzyme titres, environmental sensitivity and the fact that single strains rarely produce the full suite of enzymes needed for rapid, complete degradation of complex plant cell walls (e.g., endoglucanases, </w:t>
      </w:r>
      <w:proofErr w:type="spellStart"/>
      <w:r w:rsidRPr="008772B8">
        <w:rPr>
          <w:rFonts w:ascii="Arial" w:hAnsi="Arial" w:cs="Arial"/>
          <w:bCs/>
          <w:sz w:val="20"/>
          <w:szCs w:val="20"/>
          <w:lang w:val="en-IN"/>
        </w:rPr>
        <w:t>exoglucanases</w:t>
      </w:r>
      <w:proofErr w:type="spellEnd"/>
      <w:r w:rsidRPr="008772B8">
        <w:rPr>
          <w:rFonts w:ascii="Arial" w:hAnsi="Arial" w:cs="Arial"/>
          <w:bCs/>
          <w:sz w:val="20"/>
          <w:szCs w:val="20"/>
          <w:lang w:val="en-IN"/>
        </w:rPr>
        <w:t xml:space="preserve">, β-glucosidases, xylanases, and lignin-modifying peroxidases/laccases) (Zhang and Dong, 2022; Liu </w:t>
      </w:r>
      <w:r w:rsidRPr="008772B8">
        <w:rPr>
          <w:rFonts w:ascii="Arial" w:hAnsi="Arial" w:cs="Arial"/>
          <w:bCs/>
          <w:i/>
          <w:sz w:val="20"/>
          <w:szCs w:val="20"/>
          <w:lang w:val="en-IN"/>
        </w:rPr>
        <w:t>et al</w:t>
      </w:r>
      <w:r w:rsidRPr="008772B8">
        <w:rPr>
          <w:rFonts w:ascii="Arial" w:hAnsi="Arial" w:cs="Arial"/>
          <w:bCs/>
          <w:sz w:val="20"/>
          <w:szCs w:val="20"/>
          <w:lang w:val="en-IN"/>
        </w:rPr>
        <w:t xml:space="preserve">., 2022). Recent studies consistently show that </w:t>
      </w:r>
      <w:r w:rsidRPr="008772B8">
        <w:rPr>
          <w:rFonts w:ascii="Arial" w:hAnsi="Arial" w:cs="Arial"/>
          <w:sz w:val="20"/>
          <w:szCs w:val="20"/>
          <w:lang w:val="en-IN"/>
        </w:rPr>
        <w:t>multi-strain consortia</w:t>
      </w:r>
      <w:r w:rsidRPr="008772B8">
        <w:rPr>
          <w:rFonts w:ascii="Arial" w:hAnsi="Arial" w:cs="Arial"/>
          <w:bCs/>
          <w:sz w:val="20"/>
          <w:szCs w:val="20"/>
          <w:lang w:val="en-IN"/>
        </w:rPr>
        <w:t xml:space="preserve"> developed to combine complementary enzymatic capabilities and to avoid antagonism between members typically outperform single isolates for lignocellulose conversion. </w:t>
      </w:r>
    </w:p>
    <w:p w14:paraId="7353527C" w14:textId="77777777" w:rsidR="001F5A01" w:rsidRPr="008772B8" w:rsidRDefault="001F5A01" w:rsidP="008772B8">
      <w:pPr>
        <w:pStyle w:val="NormalWeb"/>
        <w:spacing w:line="276" w:lineRule="auto"/>
        <w:ind w:firstLine="720"/>
        <w:jc w:val="both"/>
        <w:rPr>
          <w:rFonts w:ascii="Arial" w:hAnsi="Arial" w:cs="Arial"/>
          <w:b/>
          <w:sz w:val="20"/>
          <w:szCs w:val="20"/>
        </w:rPr>
      </w:pPr>
      <w:r w:rsidRPr="008772B8">
        <w:rPr>
          <w:rFonts w:ascii="Arial" w:hAnsi="Arial" w:cs="Arial"/>
          <w:bCs/>
          <w:sz w:val="20"/>
          <w:szCs w:val="20"/>
          <w:lang w:val="en-IN"/>
        </w:rPr>
        <w:t xml:space="preserve">A consortium of fungi </w:t>
      </w:r>
      <w:r w:rsidRPr="008772B8">
        <w:rPr>
          <w:rFonts w:ascii="Arial" w:hAnsi="Arial" w:cs="Arial"/>
          <w:bCs/>
          <w:i/>
          <w:iCs/>
          <w:sz w:val="20"/>
          <w:szCs w:val="20"/>
          <w:lang w:val="en-IN"/>
        </w:rPr>
        <w:t>viz</w:t>
      </w:r>
      <w:r w:rsidRPr="008772B8">
        <w:rPr>
          <w:rFonts w:ascii="Arial" w:hAnsi="Arial" w:cs="Arial"/>
          <w:bCs/>
          <w:sz w:val="20"/>
          <w:szCs w:val="20"/>
          <w:lang w:val="en-IN"/>
        </w:rPr>
        <w:t xml:space="preserve">., </w:t>
      </w:r>
      <w:r w:rsidRPr="008772B8">
        <w:rPr>
          <w:rFonts w:ascii="Arial" w:hAnsi="Arial" w:cs="Arial"/>
          <w:bCs/>
          <w:i/>
          <w:iCs/>
          <w:sz w:val="20"/>
          <w:szCs w:val="20"/>
          <w:lang w:val="en-IN"/>
        </w:rPr>
        <w:t xml:space="preserve">Aspergillus </w:t>
      </w:r>
      <w:r w:rsidRPr="008772B8">
        <w:rPr>
          <w:rFonts w:ascii="Arial" w:hAnsi="Arial" w:cs="Arial"/>
          <w:bCs/>
          <w:sz w:val="20"/>
          <w:szCs w:val="20"/>
          <w:lang w:val="en-IN"/>
        </w:rPr>
        <w:t>and</w:t>
      </w:r>
      <w:r w:rsidRPr="008772B8">
        <w:rPr>
          <w:rFonts w:ascii="Arial" w:hAnsi="Arial" w:cs="Arial"/>
          <w:bCs/>
          <w:i/>
          <w:iCs/>
          <w:sz w:val="20"/>
          <w:szCs w:val="20"/>
          <w:lang w:val="en-IN"/>
        </w:rPr>
        <w:t xml:space="preserve"> </w:t>
      </w:r>
      <w:r w:rsidRPr="008772B8">
        <w:rPr>
          <w:rFonts w:ascii="Arial" w:hAnsi="Arial" w:cs="Arial"/>
          <w:bCs/>
          <w:i/>
          <w:iCs/>
          <w:sz w:val="20"/>
          <w:szCs w:val="20"/>
        </w:rPr>
        <w:t xml:space="preserve">Trichoderma, </w:t>
      </w:r>
      <w:r w:rsidRPr="008772B8">
        <w:rPr>
          <w:rFonts w:ascii="Arial" w:hAnsi="Arial" w:cs="Arial"/>
          <w:bCs/>
          <w:sz w:val="20"/>
          <w:szCs w:val="20"/>
        </w:rPr>
        <w:t xml:space="preserve">and bacteria </w:t>
      </w:r>
      <w:r w:rsidRPr="008772B8">
        <w:rPr>
          <w:rFonts w:ascii="Arial" w:hAnsi="Arial" w:cs="Arial"/>
          <w:bCs/>
          <w:i/>
          <w:iCs/>
          <w:sz w:val="20"/>
          <w:szCs w:val="20"/>
        </w:rPr>
        <w:t>viz</w:t>
      </w:r>
      <w:r w:rsidRPr="008772B8">
        <w:rPr>
          <w:rFonts w:ascii="Arial" w:hAnsi="Arial" w:cs="Arial"/>
          <w:bCs/>
          <w:sz w:val="20"/>
          <w:szCs w:val="20"/>
        </w:rPr>
        <w:t>., Bacillus</w:t>
      </w:r>
      <w:r w:rsidRPr="008772B8">
        <w:rPr>
          <w:rFonts w:ascii="Arial" w:hAnsi="Arial" w:cs="Arial"/>
          <w:bCs/>
          <w:i/>
          <w:iCs/>
          <w:sz w:val="20"/>
          <w:szCs w:val="20"/>
        </w:rPr>
        <w:t xml:space="preserve">, Pseudomonas, </w:t>
      </w:r>
      <w:proofErr w:type="spellStart"/>
      <w:r w:rsidRPr="008772B8">
        <w:rPr>
          <w:rFonts w:ascii="Arial" w:hAnsi="Arial" w:cs="Arial"/>
          <w:bCs/>
          <w:i/>
          <w:iCs/>
          <w:sz w:val="20"/>
          <w:szCs w:val="20"/>
        </w:rPr>
        <w:t>Azotobacter</w:t>
      </w:r>
      <w:proofErr w:type="spellEnd"/>
      <w:r w:rsidRPr="008772B8">
        <w:rPr>
          <w:rFonts w:ascii="Arial" w:hAnsi="Arial" w:cs="Arial"/>
          <w:bCs/>
          <w:i/>
          <w:iCs/>
          <w:sz w:val="20"/>
          <w:szCs w:val="20"/>
        </w:rPr>
        <w:t xml:space="preserve"> and </w:t>
      </w:r>
      <w:proofErr w:type="spellStart"/>
      <w:r w:rsidRPr="008772B8">
        <w:rPr>
          <w:rFonts w:ascii="Arial" w:hAnsi="Arial" w:cs="Arial"/>
          <w:bCs/>
          <w:i/>
          <w:iCs/>
          <w:sz w:val="20"/>
          <w:szCs w:val="20"/>
        </w:rPr>
        <w:t>Delftia</w:t>
      </w:r>
      <w:proofErr w:type="spellEnd"/>
      <w:r w:rsidRPr="008772B8">
        <w:rPr>
          <w:rFonts w:ascii="Arial" w:hAnsi="Arial" w:cs="Arial"/>
          <w:bCs/>
          <w:sz w:val="20"/>
          <w:szCs w:val="20"/>
        </w:rPr>
        <w:t xml:space="preserve"> was found to be effective in </w:t>
      </w:r>
      <w:r w:rsidRPr="008772B8">
        <w:rPr>
          <w:rFonts w:ascii="Arial" w:hAnsi="Arial" w:cs="Arial"/>
          <w:bCs/>
          <w:sz w:val="20"/>
          <w:szCs w:val="20"/>
          <w:lang w:val="en-IN"/>
        </w:rPr>
        <w:t xml:space="preserve">composting of paddy straw mixed with vegetable waste in a 40:60 ratio (Kaur and </w:t>
      </w:r>
      <w:proofErr w:type="spellStart"/>
      <w:r w:rsidRPr="008772B8">
        <w:rPr>
          <w:rFonts w:ascii="Arial" w:hAnsi="Arial" w:cs="Arial"/>
          <w:bCs/>
          <w:sz w:val="20"/>
          <w:szCs w:val="20"/>
          <w:lang w:val="en-IN"/>
        </w:rPr>
        <w:t>Katiyal</w:t>
      </w:r>
      <w:proofErr w:type="spellEnd"/>
      <w:r w:rsidRPr="008772B8">
        <w:rPr>
          <w:rFonts w:ascii="Arial" w:hAnsi="Arial" w:cs="Arial"/>
          <w:bCs/>
          <w:sz w:val="20"/>
          <w:szCs w:val="20"/>
          <w:lang w:val="en-IN"/>
        </w:rPr>
        <w:t xml:space="preserve">, 2021). </w:t>
      </w:r>
      <w:r w:rsidRPr="008772B8">
        <w:rPr>
          <w:rFonts w:ascii="Arial" w:hAnsi="Arial" w:cs="Arial"/>
          <w:sz w:val="20"/>
          <w:szCs w:val="20"/>
        </w:rPr>
        <w:t xml:space="preserve">López-González </w:t>
      </w:r>
      <w:r w:rsidRPr="008772B8">
        <w:rPr>
          <w:rFonts w:ascii="Arial" w:hAnsi="Arial" w:cs="Arial"/>
          <w:i/>
          <w:sz w:val="20"/>
          <w:szCs w:val="20"/>
        </w:rPr>
        <w:t>et al</w:t>
      </w:r>
      <w:r w:rsidRPr="008772B8">
        <w:rPr>
          <w:rFonts w:ascii="Arial" w:hAnsi="Arial" w:cs="Arial"/>
          <w:sz w:val="20"/>
          <w:szCs w:val="20"/>
        </w:rPr>
        <w:t xml:space="preserve">. (2024) used a consortium of two strains of </w:t>
      </w:r>
      <w:r w:rsidRPr="008772B8">
        <w:rPr>
          <w:rFonts w:ascii="Arial" w:hAnsi="Arial" w:cs="Arial"/>
          <w:i/>
          <w:iCs/>
          <w:sz w:val="20"/>
          <w:szCs w:val="20"/>
        </w:rPr>
        <w:t xml:space="preserve">Bacillus </w:t>
      </w:r>
      <w:r w:rsidRPr="008772B8">
        <w:rPr>
          <w:rFonts w:ascii="Arial" w:hAnsi="Arial" w:cs="Arial"/>
          <w:sz w:val="20"/>
          <w:szCs w:val="20"/>
        </w:rPr>
        <w:t>with amylolytic, proteolytic, pectinolytic, cellulolytic and ligninolytic properties to bioactivate vegetable waste and improve its degradability and enhance compost quality</w:t>
      </w:r>
      <w:r w:rsidRPr="008772B8">
        <w:rPr>
          <w:rFonts w:ascii="Arial" w:hAnsi="Arial" w:cs="Arial"/>
          <w:bCs/>
          <w:sz w:val="20"/>
          <w:szCs w:val="20"/>
          <w:lang w:val="en-IN"/>
        </w:rPr>
        <w:t xml:space="preserve">. In controlled fermentations and solid-state trials, mixed fungal systems (e.g., </w:t>
      </w:r>
      <w:r w:rsidRPr="008772B8">
        <w:rPr>
          <w:rFonts w:ascii="Arial" w:hAnsi="Arial" w:cs="Arial"/>
          <w:bCs/>
          <w:i/>
          <w:iCs/>
          <w:sz w:val="20"/>
          <w:szCs w:val="20"/>
          <w:lang w:val="en-IN"/>
        </w:rPr>
        <w:t xml:space="preserve">Trichoderma </w:t>
      </w:r>
      <w:proofErr w:type="spellStart"/>
      <w:r w:rsidRPr="008772B8">
        <w:rPr>
          <w:rFonts w:ascii="Arial" w:hAnsi="Arial" w:cs="Arial"/>
          <w:bCs/>
          <w:i/>
          <w:iCs/>
          <w:sz w:val="20"/>
          <w:szCs w:val="20"/>
          <w:lang w:val="en-IN"/>
        </w:rPr>
        <w:t>reesei</w:t>
      </w:r>
      <w:proofErr w:type="spellEnd"/>
      <w:r w:rsidRPr="008772B8">
        <w:rPr>
          <w:rFonts w:ascii="Arial" w:hAnsi="Arial" w:cs="Arial"/>
          <w:bCs/>
          <w:sz w:val="20"/>
          <w:szCs w:val="20"/>
          <w:lang w:val="en-IN"/>
        </w:rPr>
        <w:t xml:space="preserve"> and </w:t>
      </w:r>
      <w:r w:rsidRPr="008772B8">
        <w:rPr>
          <w:rFonts w:ascii="Arial" w:hAnsi="Arial" w:cs="Arial"/>
          <w:bCs/>
          <w:i/>
          <w:iCs/>
          <w:sz w:val="20"/>
          <w:szCs w:val="20"/>
          <w:lang w:val="en-IN"/>
        </w:rPr>
        <w:t xml:space="preserve">Coprinus </w:t>
      </w:r>
      <w:proofErr w:type="spellStart"/>
      <w:r w:rsidRPr="008772B8">
        <w:rPr>
          <w:rFonts w:ascii="Arial" w:hAnsi="Arial" w:cs="Arial"/>
          <w:bCs/>
          <w:i/>
          <w:iCs/>
          <w:sz w:val="20"/>
          <w:szCs w:val="20"/>
          <w:lang w:val="en-IN"/>
        </w:rPr>
        <w:t>comatus</w:t>
      </w:r>
      <w:proofErr w:type="spellEnd"/>
      <w:r w:rsidRPr="008772B8">
        <w:rPr>
          <w:rFonts w:ascii="Arial" w:hAnsi="Arial" w:cs="Arial"/>
          <w:bCs/>
          <w:sz w:val="20"/>
          <w:szCs w:val="20"/>
          <w:lang w:val="en-IN"/>
        </w:rPr>
        <w:t xml:space="preserve">) or bacterial-fungal consortia improved lignin and cellulose losses relative to the constituent strains acting alone (Wei </w:t>
      </w:r>
      <w:r w:rsidRPr="008772B8">
        <w:rPr>
          <w:rFonts w:ascii="Arial" w:hAnsi="Arial" w:cs="Arial"/>
          <w:bCs/>
          <w:i/>
          <w:sz w:val="20"/>
          <w:szCs w:val="20"/>
          <w:lang w:val="en-IN"/>
        </w:rPr>
        <w:t>et al</w:t>
      </w:r>
      <w:r w:rsidRPr="008772B8">
        <w:rPr>
          <w:rFonts w:ascii="Arial" w:hAnsi="Arial" w:cs="Arial"/>
          <w:bCs/>
          <w:sz w:val="20"/>
          <w:szCs w:val="20"/>
          <w:lang w:val="en-IN"/>
        </w:rPr>
        <w:t xml:space="preserve">., 2023; Zhang and Dong, 2022). In one set of experiments, mixed fungal fermentation enhanced lignin removal and accelerated cellulose exposure, while constructed </w:t>
      </w:r>
      <w:r w:rsidRPr="008772B8">
        <w:rPr>
          <w:rFonts w:ascii="Arial" w:hAnsi="Arial" w:cs="Arial"/>
          <w:bCs/>
          <w:sz w:val="20"/>
          <w:szCs w:val="20"/>
          <w:lang w:val="en-IN"/>
        </w:rPr>
        <w:lastRenderedPageBreak/>
        <w:t xml:space="preserve">bacterial or actinomycete consortia (three-strain mixes) achieved substantially higher corn-straw mass loss than single strains in short-term incubations (Liu </w:t>
      </w:r>
      <w:r w:rsidRPr="008772B8">
        <w:rPr>
          <w:rFonts w:ascii="Arial" w:hAnsi="Arial" w:cs="Arial"/>
          <w:bCs/>
          <w:i/>
          <w:sz w:val="20"/>
          <w:szCs w:val="20"/>
          <w:lang w:val="en-IN"/>
        </w:rPr>
        <w:t>et al</w:t>
      </w:r>
      <w:r w:rsidRPr="008772B8">
        <w:rPr>
          <w:rFonts w:ascii="Arial" w:hAnsi="Arial" w:cs="Arial"/>
          <w:bCs/>
          <w:sz w:val="20"/>
          <w:szCs w:val="20"/>
          <w:lang w:val="en-IN"/>
        </w:rPr>
        <w:t xml:space="preserve">., 2022; Wei </w:t>
      </w:r>
      <w:r w:rsidRPr="008772B8">
        <w:rPr>
          <w:rFonts w:ascii="Arial" w:hAnsi="Arial" w:cs="Arial"/>
          <w:bCs/>
          <w:i/>
          <w:sz w:val="20"/>
          <w:szCs w:val="20"/>
          <w:lang w:val="en-IN"/>
        </w:rPr>
        <w:t>et al</w:t>
      </w:r>
      <w:r w:rsidRPr="008772B8">
        <w:rPr>
          <w:rFonts w:ascii="Arial" w:hAnsi="Arial" w:cs="Arial"/>
          <w:bCs/>
          <w:sz w:val="20"/>
          <w:szCs w:val="20"/>
          <w:lang w:val="en-IN"/>
        </w:rPr>
        <w:t xml:space="preserve">., 2023). These findings highlight that combining organisms with </w:t>
      </w:r>
      <w:r w:rsidRPr="008772B8">
        <w:rPr>
          <w:rFonts w:ascii="Arial" w:hAnsi="Arial" w:cs="Arial"/>
          <w:sz w:val="20"/>
          <w:szCs w:val="20"/>
          <w:lang w:val="en-IN"/>
        </w:rPr>
        <w:t>complementary enzyme systems</w:t>
      </w:r>
      <w:r w:rsidRPr="008772B8">
        <w:rPr>
          <w:rFonts w:ascii="Arial" w:hAnsi="Arial" w:cs="Arial"/>
          <w:bCs/>
          <w:sz w:val="20"/>
          <w:szCs w:val="20"/>
          <w:lang w:val="en-IN"/>
        </w:rPr>
        <w:t xml:space="preserve"> is an effective strategy to raise overall degradation rates. </w:t>
      </w:r>
    </w:p>
    <w:p w14:paraId="5E904D7D" w14:textId="77777777" w:rsidR="001F5A01" w:rsidRPr="008772B8" w:rsidRDefault="001F5A01" w:rsidP="008772B8">
      <w:pPr>
        <w:pStyle w:val="NormalWeb"/>
        <w:spacing w:line="276" w:lineRule="auto"/>
        <w:ind w:firstLine="720"/>
        <w:jc w:val="both"/>
        <w:rPr>
          <w:rFonts w:ascii="Arial" w:hAnsi="Arial" w:cs="Arial"/>
          <w:bCs/>
          <w:sz w:val="20"/>
          <w:szCs w:val="20"/>
          <w:lang w:val="en-IN"/>
        </w:rPr>
      </w:pPr>
      <w:r w:rsidRPr="008772B8">
        <w:rPr>
          <w:rFonts w:ascii="Arial" w:hAnsi="Arial" w:cs="Arial"/>
          <w:bCs/>
          <w:sz w:val="20"/>
          <w:szCs w:val="20"/>
          <w:lang w:val="en-IN"/>
        </w:rPr>
        <w:t>Screening and selection of consortium members commonly follow a tiered pattern which includes qualitative plate screening (e.g., Congo-red or CMC plates) to detect cellulolytic ability, quantitative enzyme assays to measure activities (</w:t>
      </w:r>
      <w:proofErr w:type="spellStart"/>
      <w:r w:rsidRPr="008772B8">
        <w:rPr>
          <w:rFonts w:ascii="Arial" w:hAnsi="Arial" w:cs="Arial"/>
          <w:bCs/>
          <w:sz w:val="20"/>
          <w:szCs w:val="20"/>
          <w:lang w:val="en-IN"/>
        </w:rPr>
        <w:t>CMCase</w:t>
      </w:r>
      <w:proofErr w:type="spellEnd"/>
      <w:r w:rsidRPr="008772B8">
        <w:rPr>
          <w:rFonts w:ascii="Arial" w:hAnsi="Arial" w:cs="Arial"/>
          <w:bCs/>
          <w:sz w:val="20"/>
          <w:szCs w:val="20"/>
          <w:lang w:val="en-IN"/>
        </w:rPr>
        <w:t xml:space="preserve"> for endoglucanase, </w:t>
      </w:r>
      <w:proofErr w:type="spellStart"/>
      <w:r w:rsidRPr="008772B8">
        <w:rPr>
          <w:rFonts w:ascii="Arial" w:hAnsi="Arial" w:cs="Arial"/>
          <w:bCs/>
          <w:sz w:val="20"/>
          <w:szCs w:val="20"/>
          <w:lang w:val="en-IN"/>
        </w:rPr>
        <w:t>FPase</w:t>
      </w:r>
      <w:proofErr w:type="spellEnd"/>
      <w:r w:rsidRPr="008772B8">
        <w:rPr>
          <w:rFonts w:ascii="Arial" w:hAnsi="Arial" w:cs="Arial"/>
          <w:bCs/>
          <w:sz w:val="20"/>
          <w:szCs w:val="20"/>
          <w:lang w:val="en-IN"/>
        </w:rPr>
        <w:t xml:space="preserve"> or FPU for total cellulase, and β-glucosidase for cellobiose hydrolysis), and molecular identification (16S rRNA / ITS sequencing) to confirm taxonomy and check for antagonism (via dual-culture tests) before mixture design. Optimisation (single-factor and response surface methods) of culture conditions (pH, temperature, inoculum ratio, time) is widely used to maximise enzyme production by the consortium prior to field or pile application (Zhang and Dong, 2022). In practice, successful consortia design balances </w:t>
      </w:r>
      <w:r w:rsidRPr="008772B8">
        <w:rPr>
          <w:rFonts w:ascii="Arial" w:hAnsi="Arial" w:cs="Arial"/>
          <w:sz w:val="20"/>
          <w:szCs w:val="20"/>
          <w:lang w:val="en-IN"/>
        </w:rPr>
        <w:t>enzyme complementarity, thermal and pH tolerance</w:t>
      </w:r>
      <w:r w:rsidRPr="008772B8">
        <w:rPr>
          <w:rFonts w:ascii="Arial" w:hAnsi="Arial" w:cs="Arial"/>
          <w:bCs/>
          <w:sz w:val="20"/>
          <w:szCs w:val="20"/>
          <w:lang w:val="en-IN"/>
        </w:rPr>
        <w:t xml:space="preserve"> and </w:t>
      </w:r>
      <w:r w:rsidRPr="008772B8">
        <w:rPr>
          <w:rFonts w:ascii="Arial" w:hAnsi="Arial" w:cs="Arial"/>
          <w:sz w:val="20"/>
          <w:szCs w:val="20"/>
          <w:lang w:val="en-IN"/>
        </w:rPr>
        <w:t>compatibility</w:t>
      </w:r>
      <w:r w:rsidRPr="008772B8">
        <w:rPr>
          <w:rFonts w:ascii="Arial" w:hAnsi="Arial" w:cs="Arial"/>
          <w:bCs/>
          <w:sz w:val="20"/>
          <w:szCs w:val="20"/>
          <w:lang w:val="en-IN"/>
        </w:rPr>
        <w:t>.</w:t>
      </w:r>
    </w:p>
    <w:p w14:paraId="60F9AAB8" w14:textId="77777777" w:rsidR="001F5A01" w:rsidRPr="008772B8" w:rsidRDefault="001F5A01" w:rsidP="008772B8">
      <w:pPr>
        <w:pStyle w:val="NormalWeb"/>
        <w:spacing w:line="276" w:lineRule="auto"/>
        <w:ind w:firstLine="720"/>
        <w:jc w:val="both"/>
        <w:rPr>
          <w:rFonts w:ascii="Arial" w:hAnsi="Arial" w:cs="Arial"/>
          <w:bCs/>
          <w:sz w:val="20"/>
          <w:szCs w:val="20"/>
          <w:lang w:val="en-IN"/>
        </w:rPr>
      </w:pPr>
      <w:r w:rsidRPr="008772B8">
        <w:rPr>
          <w:rFonts w:ascii="Arial" w:hAnsi="Arial" w:cs="Arial"/>
          <w:bCs/>
          <w:sz w:val="20"/>
          <w:szCs w:val="20"/>
          <w:lang w:val="en-IN"/>
        </w:rPr>
        <w:t xml:space="preserve">Lignin is the most recalcitrant fraction which requires oxidative enzyme systems like laccase, lignin peroxidase, manganese peroxidase, versatile peroxidase for depolymerization; these enzymes are primarily fungal in origin and are abundant in white-rot fungi (e.g., </w:t>
      </w:r>
      <w:proofErr w:type="spellStart"/>
      <w:r w:rsidRPr="008772B8">
        <w:rPr>
          <w:rFonts w:ascii="Arial" w:hAnsi="Arial" w:cs="Arial"/>
          <w:bCs/>
          <w:i/>
          <w:iCs/>
          <w:sz w:val="20"/>
          <w:szCs w:val="20"/>
          <w:lang w:val="en-IN"/>
        </w:rPr>
        <w:t>Trametes</w:t>
      </w:r>
      <w:proofErr w:type="spellEnd"/>
      <w:r w:rsidRPr="008772B8">
        <w:rPr>
          <w:rFonts w:ascii="Arial" w:hAnsi="Arial" w:cs="Arial"/>
          <w:bCs/>
          <w:sz w:val="20"/>
          <w:szCs w:val="20"/>
          <w:lang w:val="en-IN"/>
        </w:rPr>
        <w:t xml:space="preserve">, </w:t>
      </w:r>
      <w:proofErr w:type="spellStart"/>
      <w:r w:rsidRPr="008772B8">
        <w:rPr>
          <w:rFonts w:ascii="Arial" w:hAnsi="Arial" w:cs="Arial"/>
          <w:bCs/>
          <w:i/>
          <w:iCs/>
          <w:sz w:val="20"/>
          <w:szCs w:val="20"/>
          <w:lang w:val="en-IN"/>
        </w:rPr>
        <w:t>Phlebia</w:t>
      </w:r>
      <w:proofErr w:type="spellEnd"/>
      <w:r w:rsidRPr="008772B8">
        <w:rPr>
          <w:rFonts w:ascii="Arial" w:hAnsi="Arial" w:cs="Arial"/>
          <w:bCs/>
          <w:sz w:val="20"/>
          <w:szCs w:val="20"/>
          <w:lang w:val="en-IN"/>
        </w:rPr>
        <w:t xml:space="preserve">, </w:t>
      </w:r>
      <w:proofErr w:type="spellStart"/>
      <w:r w:rsidRPr="008772B8">
        <w:rPr>
          <w:rFonts w:ascii="Arial" w:hAnsi="Arial" w:cs="Arial"/>
          <w:bCs/>
          <w:i/>
          <w:iCs/>
          <w:sz w:val="20"/>
          <w:szCs w:val="20"/>
          <w:lang w:val="en-IN"/>
        </w:rPr>
        <w:t>Cerrena</w:t>
      </w:r>
      <w:proofErr w:type="spellEnd"/>
      <w:r w:rsidRPr="008772B8">
        <w:rPr>
          <w:rFonts w:ascii="Arial" w:hAnsi="Arial" w:cs="Arial"/>
          <w:bCs/>
          <w:sz w:val="20"/>
          <w:szCs w:val="20"/>
          <w:lang w:val="en-IN"/>
        </w:rPr>
        <w:t>), although some bacteria and actinomycetes also contribute oxidative activities (</w:t>
      </w:r>
      <w:proofErr w:type="spellStart"/>
      <w:r w:rsidRPr="008772B8">
        <w:rPr>
          <w:rFonts w:ascii="Arial" w:hAnsi="Arial" w:cs="Arial"/>
          <w:bCs/>
          <w:sz w:val="20"/>
          <w:szCs w:val="20"/>
          <w:lang w:val="en-IN"/>
        </w:rPr>
        <w:t>Suryadi</w:t>
      </w:r>
      <w:proofErr w:type="spellEnd"/>
      <w:r w:rsidRPr="008772B8">
        <w:rPr>
          <w:rFonts w:ascii="Arial" w:hAnsi="Arial" w:cs="Arial"/>
          <w:bCs/>
          <w:sz w:val="20"/>
          <w:szCs w:val="20"/>
          <w:lang w:val="en-IN"/>
        </w:rPr>
        <w:t xml:space="preserve"> </w:t>
      </w:r>
      <w:r w:rsidRPr="008772B8">
        <w:rPr>
          <w:rFonts w:ascii="Arial" w:hAnsi="Arial" w:cs="Arial"/>
          <w:bCs/>
          <w:i/>
          <w:sz w:val="20"/>
          <w:szCs w:val="20"/>
          <w:lang w:val="en-IN"/>
        </w:rPr>
        <w:t>et al</w:t>
      </w:r>
      <w:r w:rsidRPr="008772B8">
        <w:rPr>
          <w:rFonts w:ascii="Arial" w:hAnsi="Arial" w:cs="Arial"/>
          <w:bCs/>
          <w:sz w:val="20"/>
          <w:szCs w:val="20"/>
          <w:lang w:val="en-IN"/>
        </w:rPr>
        <w:t>., 2022). Integrating ligninolytic fungi or purified oxidative enzymes into cellulolytic consortia improves access to cellulose and hemicellulose and accelerates humification and compost maturation in many trials (</w:t>
      </w:r>
      <w:proofErr w:type="spellStart"/>
      <w:r w:rsidRPr="008772B8">
        <w:rPr>
          <w:rFonts w:ascii="Arial" w:hAnsi="Arial" w:cs="Arial"/>
          <w:bCs/>
          <w:sz w:val="20"/>
          <w:szCs w:val="20"/>
          <w:lang w:val="en-IN"/>
        </w:rPr>
        <w:t>Suryadi</w:t>
      </w:r>
      <w:proofErr w:type="spellEnd"/>
      <w:r w:rsidRPr="008772B8">
        <w:rPr>
          <w:rFonts w:ascii="Arial" w:hAnsi="Arial" w:cs="Arial"/>
          <w:bCs/>
          <w:sz w:val="20"/>
          <w:szCs w:val="20"/>
          <w:lang w:val="en-IN"/>
        </w:rPr>
        <w:t xml:space="preserve"> </w:t>
      </w:r>
      <w:r w:rsidRPr="008772B8">
        <w:rPr>
          <w:rFonts w:ascii="Arial" w:hAnsi="Arial" w:cs="Arial"/>
          <w:bCs/>
          <w:i/>
          <w:sz w:val="20"/>
          <w:szCs w:val="20"/>
          <w:lang w:val="en-IN"/>
        </w:rPr>
        <w:t>et al</w:t>
      </w:r>
      <w:r w:rsidRPr="008772B8">
        <w:rPr>
          <w:rFonts w:ascii="Arial" w:hAnsi="Arial" w:cs="Arial"/>
          <w:bCs/>
          <w:sz w:val="20"/>
          <w:szCs w:val="20"/>
          <w:lang w:val="en-IN"/>
        </w:rPr>
        <w:t xml:space="preserve">., 2022; Zhang and Dong, 2022). Feng et al. (2024) developed a microbial inoculant composed of spore suspensions of a thermophilic bacterium, actinomycete and a mesophilic fungus in a volume ratio of 3:3:2 which could effectively degrade lignocellulolytic green waste to good quality compost in a month. This inoculum enriched the lignocellulolytic taxa and increased microbial diversity. </w:t>
      </w:r>
    </w:p>
    <w:p w14:paraId="4EA19FAE" w14:textId="77777777" w:rsidR="0027743E" w:rsidRPr="008772B8" w:rsidRDefault="0027743E" w:rsidP="008772B8">
      <w:pPr>
        <w:pStyle w:val="ListParagraph"/>
        <w:numPr>
          <w:ilvl w:val="0"/>
          <w:numId w:val="35"/>
        </w:numPr>
        <w:spacing w:before="100" w:beforeAutospacing="1" w:after="100" w:afterAutospacing="1" w:line="276" w:lineRule="auto"/>
        <w:ind w:left="284" w:hanging="284"/>
        <w:jc w:val="both"/>
        <w:rPr>
          <w:rFonts w:ascii="Arial" w:hAnsi="Arial" w:cs="Arial"/>
          <w:b/>
        </w:rPr>
      </w:pPr>
      <w:r w:rsidRPr="008772B8">
        <w:rPr>
          <w:rFonts w:ascii="Arial" w:hAnsi="Arial" w:cs="Arial"/>
          <w:b/>
        </w:rPr>
        <w:t>COMPOSTING APPROACHES AND THEIR ROLE IN SOIL HEALTH ENHANCEMENT</w:t>
      </w:r>
    </w:p>
    <w:p w14:paraId="05125D6B" w14:textId="77777777" w:rsidR="001F5A01" w:rsidRPr="008772B8" w:rsidRDefault="001F5A01" w:rsidP="008772B8">
      <w:pPr>
        <w:pStyle w:val="NormalWeb"/>
        <w:spacing w:line="276" w:lineRule="auto"/>
        <w:ind w:firstLine="720"/>
        <w:jc w:val="both"/>
        <w:rPr>
          <w:rFonts w:ascii="Arial" w:hAnsi="Arial" w:cs="Arial"/>
          <w:bCs/>
          <w:sz w:val="20"/>
          <w:szCs w:val="20"/>
        </w:rPr>
      </w:pPr>
      <w:r w:rsidRPr="008772B8">
        <w:rPr>
          <w:rFonts w:ascii="Arial" w:hAnsi="Arial" w:cs="Arial"/>
          <w:bCs/>
          <w:sz w:val="20"/>
          <w:szCs w:val="20"/>
        </w:rPr>
        <w:t xml:space="preserve">Composting approaches, particularly aerobic and anaerobic systems, differ in their oxygen requirements, decomposition dynamics and end-product characteristics. These variations influence the efficiency of organic matter breakdown, nutrient stabilization and microbial activity, thereby playing a crucial role in enhancing soil health and fertility (Liu </w:t>
      </w:r>
      <w:r w:rsidRPr="008772B8">
        <w:rPr>
          <w:rFonts w:ascii="Arial" w:hAnsi="Arial" w:cs="Arial"/>
          <w:bCs/>
          <w:i/>
          <w:sz w:val="20"/>
          <w:szCs w:val="20"/>
        </w:rPr>
        <w:t>et al</w:t>
      </w:r>
      <w:r w:rsidRPr="008772B8">
        <w:rPr>
          <w:rFonts w:ascii="Arial" w:hAnsi="Arial" w:cs="Arial"/>
          <w:bCs/>
          <w:sz w:val="20"/>
          <w:szCs w:val="20"/>
        </w:rPr>
        <w:t>., 2023). Aerobic composting involves the microbial breakdown of organic matter in the presence of oxygen and generally requires pile turning or forced aeration to maintain porosity and uniform decomposition. Microbial metabolism generates heat, which accelerates the degradation of labile and nitrogen-rich materials and can produce thermophilic temperatures sufficient to inactivate many plant pathogens and weed seeds when sustained (</w:t>
      </w:r>
      <w:proofErr w:type="spellStart"/>
      <w:r w:rsidRPr="008772B8">
        <w:rPr>
          <w:rFonts w:ascii="Arial" w:hAnsi="Arial" w:cs="Arial"/>
          <w:bCs/>
          <w:sz w:val="20"/>
          <w:szCs w:val="20"/>
        </w:rPr>
        <w:t>Ayilara</w:t>
      </w:r>
      <w:proofErr w:type="spellEnd"/>
      <w:r w:rsidRPr="008772B8">
        <w:rPr>
          <w:rFonts w:ascii="Arial" w:hAnsi="Arial" w:cs="Arial"/>
          <w:bCs/>
          <w:sz w:val="20"/>
          <w:szCs w:val="20"/>
        </w:rPr>
        <w:t xml:space="preserve"> </w:t>
      </w:r>
      <w:r w:rsidRPr="008772B8">
        <w:rPr>
          <w:rFonts w:ascii="Arial" w:hAnsi="Arial" w:cs="Arial"/>
          <w:bCs/>
          <w:i/>
          <w:sz w:val="20"/>
          <w:szCs w:val="20"/>
        </w:rPr>
        <w:t>et al</w:t>
      </w:r>
      <w:r w:rsidRPr="008772B8">
        <w:rPr>
          <w:rFonts w:ascii="Arial" w:hAnsi="Arial" w:cs="Arial"/>
          <w:bCs/>
          <w:sz w:val="20"/>
          <w:szCs w:val="20"/>
        </w:rPr>
        <w:t>., 2020). Properly managed aerobic composting typically yields a stable, relatively odour-free, humus-rich material containing plant-available nutrients such as nitrogen, phosphorus and potassium (</w:t>
      </w:r>
      <w:proofErr w:type="spellStart"/>
      <w:r w:rsidRPr="008772B8">
        <w:rPr>
          <w:rFonts w:ascii="Arial" w:hAnsi="Arial" w:cs="Arial"/>
          <w:bCs/>
          <w:sz w:val="20"/>
          <w:szCs w:val="20"/>
        </w:rPr>
        <w:t>Manea</w:t>
      </w:r>
      <w:proofErr w:type="spellEnd"/>
      <w:r w:rsidRPr="008772B8">
        <w:rPr>
          <w:rFonts w:ascii="Arial" w:hAnsi="Arial" w:cs="Arial"/>
          <w:bCs/>
          <w:sz w:val="20"/>
          <w:szCs w:val="20"/>
        </w:rPr>
        <w:t xml:space="preserve"> </w:t>
      </w:r>
      <w:r w:rsidRPr="008772B8">
        <w:rPr>
          <w:rFonts w:ascii="Arial" w:hAnsi="Arial" w:cs="Arial"/>
          <w:bCs/>
          <w:i/>
          <w:sz w:val="20"/>
          <w:szCs w:val="20"/>
        </w:rPr>
        <w:t>et al</w:t>
      </w:r>
      <w:r w:rsidRPr="008772B8">
        <w:rPr>
          <w:rFonts w:ascii="Arial" w:hAnsi="Arial" w:cs="Arial"/>
          <w:bCs/>
          <w:sz w:val="20"/>
          <w:szCs w:val="20"/>
        </w:rPr>
        <w:t>., 2024).</w:t>
      </w:r>
    </w:p>
    <w:p w14:paraId="2C9692C3" w14:textId="77777777" w:rsidR="001F5A01" w:rsidRPr="008772B8" w:rsidRDefault="001F5A01" w:rsidP="008772B8">
      <w:pPr>
        <w:pStyle w:val="NormalWeb"/>
        <w:spacing w:line="276" w:lineRule="auto"/>
        <w:ind w:firstLine="720"/>
        <w:jc w:val="both"/>
        <w:rPr>
          <w:rFonts w:ascii="Arial" w:hAnsi="Arial" w:cs="Arial"/>
          <w:bCs/>
          <w:sz w:val="20"/>
          <w:szCs w:val="20"/>
        </w:rPr>
      </w:pPr>
      <w:r w:rsidRPr="008772B8">
        <w:rPr>
          <w:rFonts w:ascii="Arial" w:hAnsi="Arial" w:cs="Arial"/>
          <w:bCs/>
          <w:sz w:val="20"/>
          <w:szCs w:val="20"/>
        </w:rPr>
        <w:t xml:space="preserve">Maintaining moisture in the range of roughly </w:t>
      </w:r>
      <w:r w:rsidRPr="008772B8">
        <w:rPr>
          <w:rFonts w:ascii="Arial" w:hAnsi="Arial" w:cs="Arial"/>
          <w:sz w:val="20"/>
          <w:szCs w:val="20"/>
        </w:rPr>
        <w:t>50–60%</w:t>
      </w:r>
      <w:r w:rsidRPr="008772B8">
        <w:rPr>
          <w:rFonts w:ascii="Arial" w:hAnsi="Arial" w:cs="Arial"/>
          <w:bCs/>
          <w:sz w:val="20"/>
          <w:szCs w:val="20"/>
        </w:rPr>
        <w:t xml:space="preserve"> supports microbial activity while preserving air-filled pore space; excessive moisture tends to reduce aeration and promote </w:t>
      </w:r>
      <w:r w:rsidRPr="008772B8">
        <w:rPr>
          <w:rFonts w:ascii="Arial" w:hAnsi="Arial" w:cs="Arial"/>
          <w:bCs/>
          <w:sz w:val="20"/>
          <w:szCs w:val="20"/>
        </w:rPr>
        <w:lastRenderedPageBreak/>
        <w:t xml:space="preserve">anaerobic pockets, whereas too little moisture slows microbial processes (Jain </w:t>
      </w:r>
      <w:r w:rsidRPr="008772B8">
        <w:rPr>
          <w:rFonts w:ascii="Arial" w:hAnsi="Arial" w:cs="Arial"/>
          <w:bCs/>
          <w:i/>
          <w:sz w:val="20"/>
          <w:szCs w:val="20"/>
        </w:rPr>
        <w:t>et al</w:t>
      </w:r>
      <w:r w:rsidRPr="008772B8">
        <w:rPr>
          <w:rFonts w:ascii="Arial" w:hAnsi="Arial" w:cs="Arial"/>
          <w:bCs/>
          <w:sz w:val="20"/>
          <w:szCs w:val="20"/>
        </w:rPr>
        <w:t xml:space="preserve">., 2019). In the context of agricultural residue management where rapid stabilization and sanitization are important, aerobic composting is often preferred because it generally ensures faster decomposition, better odour control and a more stable end product, although integrated aerobic–anaerobic systems are increasingly explored for combined energy and compost production (Liu </w:t>
      </w:r>
      <w:r w:rsidRPr="008772B8">
        <w:rPr>
          <w:rFonts w:ascii="Arial" w:hAnsi="Arial" w:cs="Arial"/>
          <w:bCs/>
          <w:i/>
          <w:sz w:val="20"/>
          <w:szCs w:val="20"/>
        </w:rPr>
        <w:t>et al</w:t>
      </w:r>
      <w:r w:rsidRPr="008772B8">
        <w:rPr>
          <w:rFonts w:ascii="Arial" w:hAnsi="Arial" w:cs="Arial"/>
          <w:bCs/>
          <w:sz w:val="20"/>
          <w:szCs w:val="20"/>
        </w:rPr>
        <w:t>., 2023).</w:t>
      </w:r>
    </w:p>
    <w:p w14:paraId="7A962898" w14:textId="137BD315" w:rsidR="003264E1" w:rsidRPr="008772B8" w:rsidRDefault="001F5A01" w:rsidP="008772B8">
      <w:pPr>
        <w:pStyle w:val="NormalWeb"/>
        <w:spacing w:line="276" w:lineRule="auto"/>
        <w:ind w:firstLine="720"/>
        <w:jc w:val="both"/>
        <w:rPr>
          <w:rFonts w:ascii="Arial" w:hAnsi="Arial" w:cs="Arial"/>
          <w:bCs/>
          <w:sz w:val="20"/>
          <w:szCs w:val="20"/>
        </w:rPr>
      </w:pPr>
      <w:r w:rsidRPr="008772B8">
        <w:rPr>
          <w:rFonts w:ascii="Arial" w:hAnsi="Arial" w:cs="Arial"/>
          <w:bCs/>
          <w:sz w:val="20"/>
          <w:szCs w:val="20"/>
        </w:rPr>
        <w:t>Composting serves as an effective biological process for reducing waste volume and converting organic materials into nutrient-rich amendments that enhance soil fertility and health (</w:t>
      </w:r>
      <w:r w:rsidRPr="008772B8">
        <w:rPr>
          <w:rFonts w:ascii="Arial" w:hAnsi="Arial" w:cs="Arial"/>
          <w:bCs/>
          <w:sz w:val="20"/>
          <w:szCs w:val="20"/>
          <w:lang w:val="en-IN"/>
        </w:rPr>
        <w:t xml:space="preserve">Lin </w:t>
      </w:r>
      <w:r w:rsidRPr="008772B8">
        <w:rPr>
          <w:rFonts w:ascii="Arial" w:hAnsi="Arial" w:cs="Arial"/>
          <w:bCs/>
          <w:i/>
          <w:sz w:val="20"/>
          <w:szCs w:val="20"/>
          <w:lang w:val="en-IN"/>
        </w:rPr>
        <w:t>et al</w:t>
      </w:r>
      <w:r w:rsidRPr="008772B8">
        <w:rPr>
          <w:rFonts w:ascii="Arial" w:hAnsi="Arial" w:cs="Arial"/>
          <w:bCs/>
          <w:sz w:val="20"/>
          <w:szCs w:val="20"/>
          <w:lang w:val="en-IN"/>
        </w:rPr>
        <w:t>., 2022</w:t>
      </w:r>
      <w:r w:rsidRPr="008772B8">
        <w:rPr>
          <w:rFonts w:ascii="Arial" w:hAnsi="Arial" w:cs="Arial"/>
          <w:bCs/>
          <w:sz w:val="20"/>
          <w:szCs w:val="20"/>
        </w:rPr>
        <w:t xml:space="preserve">). Numerous recent field studies and meta-analyses show that compost application generally improves soil organic matter content, cation exchange capacity, aggregate stability and water-holding capacity, while also increasing microbial biomass and diversity (Gil-Martínez </w:t>
      </w:r>
      <w:r w:rsidRPr="008772B8">
        <w:rPr>
          <w:rFonts w:ascii="Arial" w:hAnsi="Arial" w:cs="Arial"/>
          <w:bCs/>
          <w:i/>
          <w:sz w:val="20"/>
          <w:szCs w:val="20"/>
        </w:rPr>
        <w:t>et al</w:t>
      </w:r>
      <w:r w:rsidRPr="008772B8">
        <w:rPr>
          <w:rFonts w:ascii="Arial" w:hAnsi="Arial" w:cs="Arial"/>
          <w:bCs/>
          <w:sz w:val="20"/>
          <w:szCs w:val="20"/>
        </w:rPr>
        <w:t xml:space="preserve">., 2025; </w:t>
      </w:r>
      <w:proofErr w:type="spellStart"/>
      <w:r w:rsidRPr="008772B8">
        <w:rPr>
          <w:rFonts w:ascii="Arial" w:hAnsi="Arial" w:cs="Arial"/>
          <w:bCs/>
          <w:sz w:val="20"/>
          <w:szCs w:val="20"/>
        </w:rPr>
        <w:t>Ghorbani</w:t>
      </w:r>
      <w:proofErr w:type="spellEnd"/>
      <w:r w:rsidRPr="008772B8">
        <w:rPr>
          <w:rFonts w:ascii="Arial" w:hAnsi="Arial" w:cs="Arial"/>
          <w:bCs/>
          <w:sz w:val="20"/>
          <w:szCs w:val="20"/>
        </w:rPr>
        <w:t xml:space="preserve"> </w:t>
      </w:r>
      <w:r w:rsidRPr="008772B8">
        <w:rPr>
          <w:rFonts w:ascii="Arial" w:hAnsi="Arial" w:cs="Arial"/>
          <w:bCs/>
          <w:i/>
          <w:sz w:val="20"/>
          <w:szCs w:val="20"/>
        </w:rPr>
        <w:t>et al</w:t>
      </w:r>
      <w:r w:rsidRPr="008772B8">
        <w:rPr>
          <w:rFonts w:ascii="Arial" w:hAnsi="Arial" w:cs="Arial"/>
          <w:bCs/>
          <w:sz w:val="20"/>
          <w:szCs w:val="20"/>
        </w:rPr>
        <w:t xml:space="preserve">., 2024). In acid soils, repeated application of compost or compost-based amendments can raise or buffer soil pH toward neutrality and, in many cases, reduce aluminium toxicity and improve nutrient availability. However, the magnitude of these effects depends on the composting substrate and soil (Chen </w:t>
      </w:r>
      <w:r w:rsidRPr="008772B8">
        <w:rPr>
          <w:rFonts w:ascii="Arial" w:hAnsi="Arial" w:cs="Arial"/>
          <w:bCs/>
          <w:i/>
          <w:sz w:val="20"/>
          <w:szCs w:val="20"/>
        </w:rPr>
        <w:t>et al</w:t>
      </w:r>
      <w:r w:rsidRPr="008772B8">
        <w:rPr>
          <w:rFonts w:ascii="Arial" w:hAnsi="Arial" w:cs="Arial"/>
          <w:bCs/>
          <w:sz w:val="20"/>
          <w:szCs w:val="20"/>
        </w:rPr>
        <w:t xml:space="preserve">., 2022; </w:t>
      </w:r>
      <w:proofErr w:type="spellStart"/>
      <w:r w:rsidRPr="008772B8">
        <w:rPr>
          <w:rFonts w:ascii="Arial" w:hAnsi="Arial" w:cs="Arial"/>
          <w:bCs/>
          <w:sz w:val="20"/>
          <w:szCs w:val="20"/>
        </w:rPr>
        <w:t>Phooi</w:t>
      </w:r>
      <w:proofErr w:type="spellEnd"/>
      <w:r w:rsidRPr="008772B8">
        <w:rPr>
          <w:rFonts w:ascii="Arial" w:hAnsi="Arial" w:cs="Arial"/>
          <w:bCs/>
          <w:sz w:val="20"/>
          <w:szCs w:val="20"/>
        </w:rPr>
        <w:t xml:space="preserve"> </w:t>
      </w:r>
      <w:r w:rsidRPr="008772B8">
        <w:rPr>
          <w:rFonts w:ascii="Arial" w:hAnsi="Arial" w:cs="Arial"/>
          <w:bCs/>
          <w:i/>
          <w:sz w:val="20"/>
          <w:szCs w:val="20"/>
        </w:rPr>
        <w:t>et al</w:t>
      </w:r>
      <w:r w:rsidRPr="008772B8">
        <w:rPr>
          <w:rFonts w:ascii="Arial" w:hAnsi="Arial" w:cs="Arial"/>
          <w:bCs/>
          <w:sz w:val="20"/>
          <w:szCs w:val="20"/>
        </w:rPr>
        <w:t>., 2025). Composting can also influence heavy metal fractions: while total metal contents are not reduced, the process often shifts metals toward less bioavailable fractions, especially when combined with additives such as biochar, zeolite or phosphate-based amendments (</w:t>
      </w:r>
      <w:proofErr w:type="spellStart"/>
      <w:r w:rsidRPr="008772B8">
        <w:rPr>
          <w:rFonts w:ascii="Arial" w:hAnsi="Arial" w:cs="Arial"/>
          <w:bCs/>
          <w:sz w:val="20"/>
          <w:szCs w:val="20"/>
        </w:rPr>
        <w:t>Ejileugha</w:t>
      </w:r>
      <w:proofErr w:type="spellEnd"/>
      <w:r w:rsidRPr="008772B8">
        <w:rPr>
          <w:rFonts w:ascii="Arial" w:hAnsi="Arial" w:cs="Arial"/>
          <w:bCs/>
          <w:sz w:val="20"/>
          <w:szCs w:val="20"/>
        </w:rPr>
        <w:t xml:space="preserve"> </w:t>
      </w:r>
      <w:r w:rsidRPr="008772B8">
        <w:rPr>
          <w:rFonts w:ascii="Arial" w:hAnsi="Arial" w:cs="Arial"/>
          <w:bCs/>
          <w:i/>
          <w:sz w:val="20"/>
          <w:szCs w:val="20"/>
        </w:rPr>
        <w:t>et al</w:t>
      </w:r>
      <w:r w:rsidRPr="008772B8">
        <w:rPr>
          <w:rFonts w:ascii="Arial" w:hAnsi="Arial" w:cs="Arial"/>
          <w:bCs/>
          <w:sz w:val="20"/>
          <w:szCs w:val="20"/>
        </w:rPr>
        <w:t xml:space="preserve">., 2024; Li </w:t>
      </w:r>
      <w:r w:rsidRPr="008772B8">
        <w:rPr>
          <w:rFonts w:ascii="Arial" w:hAnsi="Arial" w:cs="Arial"/>
          <w:bCs/>
          <w:i/>
          <w:sz w:val="20"/>
          <w:szCs w:val="20"/>
        </w:rPr>
        <w:t>et al</w:t>
      </w:r>
      <w:r w:rsidRPr="008772B8">
        <w:rPr>
          <w:rFonts w:ascii="Arial" w:hAnsi="Arial" w:cs="Arial"/>
          <w:bCs/>
          <w:sz w:val="20"/>
          <w:szCs w:val="20"/>
        </w:rPr>
        <w:t xml:space="preserve">., 2021). Consequently, composting not only recycles nutrients but can also contribute to reduced ecotoxicological risk when process </w:t>
      </w:r>
      <w:r w:rsidR="008772B8">
        <w:rPr>
          <w:b/>
          <w:noProof/>
        </w:rPr>
        <w:drawing>
          <wp:anchor distT="0" distB="0" distL="114300" distR="114300" simplePos="0" relativeHeight="251674624" behindDoc="0" locked="0" layoutInCell="1" allowOverlap="1" wp14:anchorId="40C993EA" wp14:editId="4A5B5FF0">
            <wp:simplePos x="0" y="0"/>
            <wp:positionH relativeFrom="column">
              <wp:posOffset>114300</wp:posOffset>
            </wp:positionH>
            <wp:positionV relativeFrom="paragraph">
              <wp:posOffset>381000</wp:posOffset>
            </wp:positionV>
            <wp:extent cx="4914900" cy="3144520"/>
            <wp:effectExtent l="0" t="0" r="0" b="0"/>
            <wp:wrapThrough wrapText="bothSides">
              <wp:wrapPolygon edited="0">
                <wp:start x="0" y="0"/>
                <wp:lineTo x="0" y="21460"/>
                <wp:lineTo x="21516" y="21460"/>
                <wp:lineTo x="21516"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_4964.jpg"/>
                    <pic:cNvPicPr/>
                  </pic:nvPicPr>
                  <pic:blipFill>
                    <a:blip r:embed="rId14">
                      <a:extLst>
                        <a:ext uri="{28A0092B-C50C-407E-A947-70E740481C1C}">
                          <a14:useLocalDpi xmlns:a14="http://schemas.microsoft.com/office/drawing/2010/main" val="0"/>
                        </a:ext>
                      </a:extLst>
                    </a:blip>
                    <a:stretch>
                      <a:fillRect/>
                    </a:stretch>
                  </pic:blipFill>
                  <pic:spPr>
                    <a:xfrm>
                      <a:off x="0" y="0"/>
                      <a:ext cx="4914900" cy="3144520"/>
                    </a:xfrm>
                    <a:prstGeom prst="rect">
                      <a:avLst/>
                    </a:prstGeom>
                  </pic:spPr>
                </pic:pic>
              </a:graphicData>
            </a:graphic>
            <wp14:sizeRelH relativeFrom="margin">
              <wp14:pctWidth>0</wp14:pctWidth>
            </wp14:sizeRelH>
            <wp14:sizeRelV relativeFrom="margin">
              <wp14:pctHeight>0</wp14:pctHeight>
            </wp14:sizeRelV>
          </wp:anchor>
        </w:drawing>
      </w:r>
      <w:r w:rsidRPr="008772B8">
        <w:rPr>
          <w:rFonts w:ascii="Arial" w:hAnsi="Arial" w:cs="Arial"/>
          <w:bCs/>
          <w:sz w:val="20"/>
          <w:szCs w:val="20"/>
        </w:rPr>
        <w:t>design and feedstock quality are carefully managed.</w:t>
      </w:r>
      <w:r w:rsidR="003264E1" w:rsidRPr="008772B8">
        <w:rPr>
          <w:rFonts w:ascii="Arial" w:hAnsi="Arial" w:cs="Arial"/>
          <w:b/>
          <w:sz w:val="20"/>
          <w:szCs w:val="20"/>
        </w:rPr>
        <w:t xml:space="preserve">   </w:t>
      </w:r>
      <w:r w:rsidR="00CD6D6E" w:rsidRPr="003264E1">
        <w:rPr>
          <w:rFonts w:ascii="Arial" w:hAnsi="Arial" w:cs="Arial"/>
          <w:noProof/>
        </w:rPr>
        <mc:AlternateContent>
          <mc:Choice Requires="wps">
            <w:drawing>
              <wp:anchor distT="0" distB="0" distL="114300" distR="114300" simplePos="0" relativeHeight="251673600" behindDoc="0" locked="0" layoutInCell="1" allowOverlap="1" wp14:anchorId="606E2020" wp14:editId="3106DCBC">
                <wp:simplePos x="0" y="0"/>
                <wp:positionH relativeFrom="margin">
                  <wp:posOffset>3101340</wp:posOffset>
                </wp:positionH>
                <wp:positionV relativeFrom="page">
                  <wp:posOffset>1272540</wp:posOffset>
                </wp:positionV>
                <wp:extent cx="563880" cy="335280"/>
                <wp:effectExtent l="0" t="0" r="7620" b="7620"/>
                <wp:wrapNone/>
                <wp:docPr id="11" name="Text Box 11"/>
                <wp:cNvGraphicFramePr/>
                <a:graphic xmlns:a="http://schemas.openxmlformats.org/drawingml/2006/main">
                  <a:graphicData uri="http://schemas.microsoft.com/office/word/2010/wordprocessingShape">
                    <wps:wsp>
                      <wps:cNvSpPr txBox="1"/>
                      <wps:spPr>
                        <a:xfrm>
                          <a:off x="0" y="0"/>
                          <a:ext cx="563880" cy="335280"/>
                        </a:xfrm>
                        <a:prstGeom prst="rect">
                          <a:avLst/>
                        </a:prstGeom>
                        <a:solidFill>
                          <a:schemeClr val="bg1">
                            <a:lumMod val="95000"/>
                          </a:schemeClr>
                        </a:solidFill>
                        <a:ln w="6350">
                          <a:noFill/>
                        </a:ln>
                      </wps:spPr>
                      <wps:txbx>
                        <w:txbxContent>
                          <w:p w14:paraId="2346364D" w14:textId="454F2276" w:rsidR="003264E1" w:rsidRPr="00CD6D6E" w:rsidRDefault="003264E1" w:rsidP="003264E1">
                            <w:pPr>
                              <w:jc w:val="center"/>
                              <w:rPr>
                                <w:rFonts w:asciiTheme="minorHAnsi" w:hAnsiTheme="minorHAnsi" w:cs="Arial"/>
                                <w:sz w:val="14"/>
                                <w:lang w:val="en-GB"/>
                              </w:rPr>
                            </w:pPr>
                            <w:r w:rsidRPr="00CD6D6E">
                              <w:rPr>
                                <w:rFonts w:asciiTheme="minorHAnsi" w:hAnsiTheme="minorHAnsi" w:cs="Arial"/>
                                <w:sz w:val="14"/>
                                <w:lang w:val="en-GB"/>
                              </w:rPr>
                              <w:t>Nutrient uptake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6E2020" id="_x0000_t202" coordsize="21600,21600" o:spt="202" path="m,l,21600r21600,l21600,xe">
                <v:stroke joinstyle="miter"/>
                <v:path gradientshapeok="t" o:connecttype="rect"/>
              </v:shapetype>
              <v:shape id="Text Box 11" o:spid="_x0000_s1026" type="#_x0000_t202" style="position:absolute;left:0;text-align:left;margin-left:244.2pt;margin-top:100.2pt;width:44.4pt;height:26.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" fillcolor="#f2f2f2 [3052]" stroked="f" strokeweight=".5pt">
                <v:textbox>
                  <w:txbxContent>
                    <w:p w14:paraId="2346364D" w14:textId="454F2276" w:rsidR="003264E1" w:rsidRPr="00CD6D6E" w:rsidRDefault="003264E1" w:rsidP="003264E1">
                      <w:pPr>
                        <w:jc w:val="center"/>
                        <w:rPr>
                          <w:rFonts w:asciiTheme="minorHAnsi" w:hAnsiTheme="minorHAnsi" w:cs="Arial"/>
                          <w:sz w:val="14"/>
                          <w:lang w:val="en-GB"/>
                        </w:rPr>
                      </w:pPr>
                      <w:r w:rsidRPr="00CD6D6E">
                        <w:rPr>
                          <w:rFonts w:asciiTheme="minorHAnsi" w:hAnsiTheme="minorHAnsi" w:cs="Arial"/>
                          <w:sz w:val="14"/>
                          <w:lang w:val="en-GB"/>
                        </w:rPr>
                        <w:t>Nutrient uptake</w:t>
                      </w:r>
                    </w:p>
                  </w:txbxContent>
                </v:textbox>
                <w10:wrap anchorx="margin" anchory="page"/>
              </v:shape>
            </w:pict>
          </mc:Fallback>
        </mc:AlternateContent>
      </w:r>
    </w:p>
    <w:p w14:paraId="346051F9" w14:textId="27EC0079" w:rsidR="00A57E8E" w:rsidRPr="003264E1" w:rsidRDefault="003264E1" w:rsidP="003264E1">
      <w:pPr>
        <w:spacing w:before="100" w:beforeAutospacing="1" w:after="100" w:afterAutospacing="1" w:line="276" w:lineRule="auto"/>
        <w:jc w:val="center"/>
        <w:rPr>
          <w:rFonts w:ascii="Arial" w:hAnsi="Arial" w:cs="Arial"/>
          <w:b/>
          <w:sz w:val="24"/>
          <w:szCs w:val="24"/>
          <w:lang w:val="en-AE" w:eastAsia="en-AE"/>
        </w:rPr>
      </w:pPr>
      <w:r w:rsidRPr="003264E1">
        <w:rPr>
          <w:rFonts w:ascii="Arial" w:hAnsi="Arial" w:cs="Arial"/>
          <w:b/>
          <w:szCs w:val="24"/>
          <w:lang w:val="en-AE" w:eastAsia="en-AE"/>
        </w:rPr>
        <w:t xml:space="preserve">    Figure 1. Bioconversion of lignocellulosic biomass into nutrient-rich compost</w:t>
      </w:r>
    </w:p>
    <w:p w14:paraId="5E706682" w14:textId="7F8F8694" w:rsidR="0027743E" w:rsidRPr="00B71C68" w:rsidRDefault="0027743E" w:rsidP="0027743E">
      <w:pPr>
        <w:pStyle w:val="ListParagraph"/>
        <w:numPr>
          <w:ilvl w:val="0"/>
          <w:numId w:val="35"/>
        </w:numPr>
        <w:spacing w:before="100" w:beforeAutospacing="1" w:after="100" w:afterAutospacing="1"/>
        <w:ind w:left="284"/>
        <w:jc w:val="both"/>
        <w:rPr>
          <w:rFonts w:ascii="Arial" w:hAnsi="Arial" w:cs="Arial"/>
          <w:b/>
          <w:szCs w:val="24"/>
        </w:rPr>
      </w:pPr>
      <w:r w:rsidRPr="00B71C68">
        <w:rPr>
          <w:rFonts w:ascii="Arial" w:hAnsi="Arial" w:cs="Arial"/>
          <w:b/>
          <w:szCs w:val="24"/>
        </w:rPr>
        <w:t>FACTORS AFFECTING QUALITY, MATURITY AND STABILITY OF COMPOST</w:t>
      </w:r>
    </w:p>
    <w:p w14:paraId="191962C5" w14:textId="2FEDA6FD" w:rsidR="0027743E" w:rsidRPr="00A333C5" w:rsidRDefault="0027743E" w:rsidP="0027743E">
      <w:pPr>
        <w:spacing w:before="100" w:beforeAutospacing="1" w:after="100" w:afterAutospacing="1"/>
        <w:jc w:val="both"/>
        <w:rPr>
          <w:rFonts w:ascii="Arial" w:hAnsi="Arial" w:cs="Arial"/>
          <w:b/>
          <w:i/>
          <w:szCs w:val="24"/>
        </w:rPr>
      </w:pPr>
      <w:r>
        <w:rPr>
          <w:rFonts w:ascii="Arial" w:hAnsi="Arial" w:cs="Arial"/>
          <w:b/>
          <w:i/>
          <w:szCs w:val="24"/>
        </w:rPr>
        <w:lastRenderedPageBreak/>
        <w:t xml:space="preserve">6.1 </w:t>
      </w:r>
      <w:r w:rsidRPr="00A333C5">
        <w:rPr>
          <w:rFonts w:ascii="Arial" w:hAnsi="Arial" w:cs="Arial"/>
          <w:b/>
          <w:i/>
          <w:szCs w:val="24"/>
        </w:rPr>
        <w:t>Temperature</w:t>
      </w:r>
    </w:p>
    <w:p w14:paraId="01FDB5BD" w14:textId="7E89E27D" w:rsidR="001F5A01" w:rsidRDefault="001F5A01" w:rsidP="001F5A01">
      <w:pPr>
        <w:spacing w:line="360" w:lineRule="auto"/>
        <w:ind w:firstLine="720"/>
        <w:jc w:val="both"/>
      </w:pPr>
      <w:r>
        <w:t>Composting</w:t>
      </w:r>
      <w:r w:rsidRPr="003F6A1F">
        <w:t xml:space="preserve"> </w:t>
      </w:r>
      <w:r>
        <w:t>proceeds</w:t>
      </w:r>
      <w:r w:rsidRPr="003F6A1F">
        <w:t xml:space="preserve"> in distinct phases: an initial/mesophilic stage </w:t>
      </w:r>
      <w:r>
        <w:t xml:space="preserve">where </w:t>
      </w:r>
      <w:r w:rsidRPr="003F6A1F">
        <w:t>rapid warming</w:t>
      </w:r>
      <w:r>
        <w:t xml:space="preserve"> occurs,</w:t>
      </w:r>
      <w:r w:rsidRPr="003F6A1F">
        <w:t xml:space="preserve"> ambient </w:t>
      </w:r>
      <w:r>
        <w:t>temperature ranges from</w:t>
      </w:r>
      <w:r w:rsidRPr="003F6A1F">
        <w:t xml:space="preserve"> </w:t>
      </w:r>
      <w:r>
        <w:t>10-</w:t>
      </w:r>
      <w:r w:rsidRPr="003F6A1F">
        <w:t xml:space="preserve">45 °C during which easily degradable compounds </w:t>
      </w:r>
      <w:r>
        <w:t xml:space="preserve">like </w:t>
      </w:r>
      <w:r w:rsidRPr="003F6A1F">
        <w:t>sugars, amino acids are consumed</w:t>
      </w:r>
      <w:r>
        <w:t>, followed by</w:t>
      </w:r>
      <w:r w:rsidRPr="003F6A1F">
        <w:t xml:space="preserve"> </w:t>
      </w:r>
      <w:r>
        <w:t>a</w:t>
      </w:r>
      <w:r w:rsidRPr="003F6A1F">
        <w:t xml:space="preserve"> thermophilic stage </w:t>
      </w:r>
      <w:r>
        <w:t xml:space="preserve">in which temperature </w:t>
      </w:r>
      <w:r w:rsidRPr="003F6A1F">
        <w:t>typically</w:t>
      </w:r>
      <w:r>
        <w:t xml:space="preserve"> ranges from </w:t>
      </w:r>
      <w:r w:rsidRPr="003F6A1F">
        <w:t>45</w:t>
      </w:r>
      <w:r>
        <w:t>-</w:t>
      </w:r>
      <w:r w:rsidRPr="003F6A1F">
        <w:t>70°C</w:t>
      </w:r>
      <w:r>
        <w:t xml:space="preserve"> This phase is </w:t>
      </w:r>
      <w:r w:rsidRPr="003F6A1F">
        <w:t xml:space="preserve">marked by intense microbial activity that accelerates the breakdown of more complex polymers </w:t>
      </w:r>
      <w:r>
        <w:t xml:space="preserve">including </w:t>
      </w:r>
      <w:r w:rsidRPr="003F6A1F">
        <w:t>cellulose, hemicellulose, proteins</w:t>
      </w:r>
      <w:r>
        <w:t xml:space="preserve"> and</w:t>
      </w:r>
      <w:r w:rsidRPr="003F6A1F">
        <w:t xml:space="preserve"> fats and </w:t>
      </w:r>
      <w:r>
        <w:t>destroys</w:t>
      </w:r>
      <w:r w:rsidRPr="003F6A1F">
        <w:t xml:space="preserve"> pathogen</w:t>
      </w:r>
      <w:r>
        <w:t xml:space="preserve"> </w:t>
      </w:r>
      <w:proofErr w:type="spellStart"/>
      <w:r>
        <w:t>inocula</w:t>
      </w:r>
      <w:proofErr w:type="spellEnd"/>
      <w:r w:rsidRPr="003F6A1F">
        <w:t xml:space="preserve"> and weed-seed</w:t>
      </w:r>
      <w:r>
        <w:t>s. The final</w:t>
      </w:r>
      <w:r w:rsidRPr="003F6A1F">
        <w:t xml:space="preserve"> cooling/maturation stage</w:t>
      </w:r>
      <w:r>
        <w:t xml:space="preserve"> is where the temperature</w:t>
      </w:r>
      <w:r w:rsidRPr="003F6A1F">
        <w:t xml:space="preserve"> </w:t>
      </w:r>
      <w:r>
        <w:t>drops to</w:t>
      </w:r>
      <w:r w:rsidRPr="003F6A1F">
        <w:t xml:space="preserve"> 25</w:t>
      </w:r>
      <w:r>
        <w:t>-</w:t>
      </w:r>
      <w:r w:rsidRPr="003F6A1F">
        <w:t>35 °C when humification proceeds and the compost stabilizes (</w:t>
      </w:r>
      <w:proofErr w:type="spellStart"/>
      <w:r w:rsidRPr="003F6A1F">
        <w:t>Finore</w:t>
      </w:r>
      <w:proofErr w:type="spellEnd"/>
      <w:r w:rsidRPr="003F6A1F">
        <w:t xml:space="preserve"> </w:t>
      </w:r>
      <w:r w:rsidRPr="00363256">
        <w:rPr>
          <w:i/>
        </w:rPr>
        <w:t>et al</w:t>
      </w:r>
      <w:r w:rsidRPr="003F6A1F">
        <w:t>., 2023</w:t>
      </w:r>
      <w:r>
        <w:t xml:space="preserve">; </w:t>
      </w:r>
      <w:r w:rsidRPr="003F6A1F">
        <w:t xml:space="preserve">Lin </w:t>
      </w:r>
      <w:r w:rsidRPr="00363256">
        <w:rPr>
          <w:i/>
        </w:rPr>
        <w:t>et al</w:t>
      </w:r>
      <w:r w:rsidRPr="003F6A1F">
        <w:t>., 2022). Recent work has also described hyper thermophilic composting (HTC)</w:t>
      </w:r>
      <w:r>
        <w:t>, a</w:t>
      </w:r>
      <w:r w:rsidRPr="003F6A1F">
        <w:t xml:space="preserve"> process variant or assisted system that reach temperatures above 80 °C</w:t>
      </w:r>
      <w:r>
        <w:t xml:space="preserve">. This </w:t>
      </w:r>
      <w:r w:rsidRPr="003F6A1F">
        <w:t xml:space="preserve">technology </w:t>
      </w:r>
      <w:r>
        <w:t xml:space="preserve">that </w:t>
      </w:r>
      <w:r w:rsidRPr="003F6A1F">
        <w:t>can shorten treatment time, improve sanitization and reduce some emissions</w:t>
      </w:r>
      <w:r>
        <w:t xml:space="preserve"> </w:t>
      </w:r>
      <w:r w:rsidRPr="003F6A1F">
        <w:t xml:space="preserve">may be achieved by inoculating </w:t>
      </w:r>
      <w:proofErr w:type="spellStart"/>
      <w:r w:rsidRPr="003F6A1F">
        <w:t>hyperthermophilic</w:t>
      </w:r>
      <w:proofErr w:type="spellEnd"/>
      <w:r w:rsidRPr="003F6A1F">
        <w:t xml:space="preserve"> microbes or via process innovations such as alternating electric fields (AEF) or combined electrical/biochar strategies (Wang &amp; Wu, 2021; Fu </w:t>
      </w:r>
      <w:r w:rsidRPr="00363256">
        <w:rPr>
          <w:i/>
        </w:rPr>
        <w:t>et al</w:t>
      </w:r>
      <w:r w:rsidRPr="003F6A1F">
        <w:t xml:space="preserve">., 2022). HTC is still an emerging </w:t>
      </w:r>
      <w:r>
        <w:t>technology which</w:t>
      </w:r>
      <w:r w:rsidRPr="003F6A1F">
        <w:t xml:space="preserve"> requires careful techno-economic evaluation before broad adoption.</w:t>
      </w:r>
    </w:p>
    <w:p w14:paraId="0EE33233" w14:textId="77777777" w:rsidR="0027743E" w:rsidRPr="00A333C5" w:rsidRDefault="0027743E" w:rsidP="0027743E">
      <w:pPr>
        <w:spacing w:before="100" w:beforeAutospacing="1" w:after="100" w:afterAutospacing="1"/>
        <w:jc w:val="both"/>
        <w:rPr>
          <w:rFonts w:ascii="Arial" w:hAnsi="Arial" w:cs="Arial"/>
          <w:b/>
          <w:i/>
          <w:szCs w:val="24"/>
          <w:lang w:val="en-AE" w:eastAsia="en-AE"/>
        </w:rPr>
      </w:pPr>
      <w:r>
        <w:rPr>
          <w:rFonts w:ascii="Arial" w:hAnsi="Arial" w:cs="Arial"/>
          <w:b/>
          <w:i/>
          <w:szCs w:val="24"/>
          <w:lang w:val="en-AE" w:eastAsia="en-AE"/>
        </w:rPr>
        <w:t xml:space="preserve">6.2 </w:t>
      </w:r>
      <w:r w:rsidRPr="00A333C5">
        <w:rPr>
          <w:rFonts w:ascii="Arial" w:hAnsi="Arial" w:cs="Arial"/>
          <w:b/>
          <w:i/>
          <w:szCs w:val="24"/>
          <w:lang w:val="en-AE" w:eastAsia="en-AE"/>
        </w:rPr>
        <w:t>pH</w:t>
      </w:r>
    </w:p>
    <w:p w14:paraId="2D9E6BD6" w14:textId="77777777" w:rsidR="001F5A01" w:rsidRPr="003F6A1F" w:rsidRDefault="001F5A01" w:rsidP="001F5A01">
      <w:pPr>
        <w:spacing w:line="360" w:lineRule="auto"/>
        <w:ind w:firstLine="720"/>
        <w:jc w:val="both"/>
      </w:pPr>
      <w:r>
        <w:t xml:space="preserve">The </w:t>
      </w:r>
      <w:r w:rsidRPr="003F6A1F">
        <w:t>pH typically shifts during composting. In early stages</w:t>
      </w:r>
      <w:r>
        <w:t xml:space="preserve"> of composting, </w:t>
      </w:r>
      <w:r w:rsidRPr="003F6A1F">
        <w:t xml:space="preserve">pH often falls because of organic-acid formation </w:t>
      </w:r>
      <w:r>
        <w:t xml:space="preserve">as a result of </w:t>
      </w:r>
      <w:r w:rsidRPr="003F6A1F">
        <w:t xml:space="preserve">fermentation products, </w:t>
      </w:r>
      <w:r>
        <w:t>carbon dioxide</w:t>
      </w:r>
      <w:r w:rsidRPr="003F6A1F">
        <w:t xml:space="preserve"> dissolution and acidification</w:t>
      </w:r>
      <w:r>
        <w:t xml:space="preserve">. In the </w:t>
      </w:r>
      <w:r w:rsidRPr="003F6A1F">
        <w:t xml:space="preserve">later </w:t>
      </w:r>
      <w:r>
        <w:t xml:space="preserve">stages, pH </w:t>
      </w:r>
      <w:r w:rsidRPr="003F6A1F">
        <w:t xml:space="preserve">increases as more labile </w:t>
      </w:r>
      <w:r>
        <w:t>carbon</w:t>
      </w:r>
      <w:r w:rsidRPr="003F6A1F">
        <w:t xml:space="preserve"> is consumed and nitrogen transformations release ammonia and alkaline species. </w:t>
      </w:r>
      <w:r>
        <w:t>A</w:t>
      </w:r>
      <w:r w:rsidRPr="003F6A1F">
        <w:t xml:space="preserve"> near-neutral to slightly alkaline pH roughly </w:t>
      </w:r>
      <w:r>
        <w:t xml:space="preserve">around </w:t>
      </w:r>
      <w:r w:rsidRPr="003F6A1F">
        <w:t>7.0</w:t>
      </w:r>
      <w:r>
        <w:t>-</w:t>
      </w:r>
      <w:r w:rsidRPr="003F6A1F">
        <w:t xml:space="preserve">8.5 </w:t>
      </w:r>
      <w:r>
        <w:t>is generally considered to be</w:t>
      </w:r>
      <w:r w:rsidRPr="003F6A1F">
        <w:t xml:space="preserve"> </w:t>
      </w:r>
      <w:proofErr w:type="spellStart"/>
      <w:r w:rsidRPr="003F6A1F">
        <w:t>favourable</w:t>
      </w:r>
      <w:proofErr w:type="spellEnd"/>
      <w:r w:rsidRPr="003F6A1F">
        <w:t xml:space="preserve"> for microbial activity during most composting stages, though optimal pH depends on the substrate and targeted microbial activities (Yang </w:t>
      </w:r>
      <w:r w:rsidRPr="00363256">
        <w:rPr>
          <w:i/>
        </w:rPr>
        <w:t>et al</w:t>
      </w:r>
      <w:r w:rsidRPr="003F6A1F">
        <w:t xml:space="preserve">., 2023; Lin </w:t>
      </w:r>
      <w:r w:rsidRPr="00363256">
        <w:rPr>
          <w:i/>
        </w:rPr>
        <w:t>et al</w:t>
      </w:r>
      <w:r w:rsidRPr="003F6A1F">
        <w:t>., 2022). Extreme acidity or alkalinity can inhibit enzyme systems and slow progression through the mesophilic</w:t>
      </w:r>
      <w:r>
        <w:t xml:space="preserve"> to </w:t>
      </w:r>
      <w:r w:rsidRPr="003F6A1F">
        <w:t>thermophilic transition.</w:t>
      </w:r>
    </w:p>
    <w:p w14:paraId="31D88602" w14:textId="77777777" w:rsidR="0027743E" w:rsidRPr="00A333C5" w:rsidRDefault="0027743E" w:rsidP="0027743E">
      <w:pPr>
        <w:spacing w:before="100" w:beforeAutospacing="1" w:after="100" w:afterAutospacing="1"/>
        <w:jc w:val="both"/>
        <w:rPr>
          <w:rFonts w:ascii="Arial" w:hAnsi="Arial" w:cs="Arial"/>
          <w:b/>
          <w:i/>
          <w:szCs w:val="24"/>
          <w:lang w:val="en-AE" w:eastAsia="en-AE"/>
        </w:rPr>
      </w:pPr>
      <w:r>
        <w:rPr>
          <w:rFonts w:ascii="Arial" w:hAnsi="Arial" w:cs="Arial"/>
          <w:b/>
          <w:i/>
          <w:szCs w:val="24"/>
          <w:lang w:val="en-AE" w:eastAsia="en-AE"/>
        </w:rPr>
        <w:t xml:space="preserve">6.3 </w:t>
      </w:r>
      <w:r w:rsidRPr="00A333C5">
        <w:rPr>
          <w:rFonts w:ascii="Arial" w:hAnsi="Arial" w:cs="Arial"/>
          <w:b/>
          <w:i/>
          <w:szCs w:val="24"/>
          <w:lang w:val="en-AE" w:eastAsia="en-AE"/>
        </w:rPr>
        <w:t>Aeration</w:t>
      </w:r>
    </w:p>
    <w:p w14:paraId="42D8C317" w14:textId="77777777" w:rsidR="001F5A01" w:rsidRPr="003F6A1F" w:rsidRDefault="001F5A01" w:rsidP="001F5A01">
      <w:pPr>
        <w:spacing w:line="360" w:lineRule="auto"/>
        <w:ind w:firstLine="720"/>
        <w:jc w:val="both"/>
      </w:pPr>
      <w:r w:rsidRPr="003F6A1F">
        <w:t>Aeration controls oxygen supply, which in turn regulates aerobic microbial respiration, pile temperature and greenhouse-gas formation</w:t>
      </w:r>
      <w:r>
        <w:t xml:space="preserve">. </w:t>
      </w:r>
      <w:r w:rsidRPr="003F6A1F">
        <w:t>Maintaining adequate oxygen</w:t>
      </w:r>
      <w:r>
        <w:t xml:space="preserve"> by</w:t>
      </w:r>
      <w:r w:rsidRPr="003F6A1F">
        <w:t xml:space="preserve"> turning, forced aeration or controlled intermittent aeration improves organic-matter oxidation and humification while reducing anaerobic hotspots that produce methane and </w:t>
      </w:r>
      <w:proofErr w:type="spellStart"/>
      <w:r w:rsidRPr="003F6A1F">
        <w:t>odour</w:t>
      </w:r>
      <w:proofErr w:type="spellEnd"/>
      <w:r w:rsidRPr="003F6A1F">
        <w:t xml:space="preserve">. </w:t>
      </w:r>
      <w:r>
        <w:t>I</w:t>
      </w:r>
      <w:r w:rsidRPr="003F6A1F">
        <w:t xml:space="preserve">ntermittent/interval aeration can improve </w:t>
      </w:r>
      <w:r>
        <w:t>oxygen</w:t>
      </w:r>
      <w:r w:rsidRPr="003F6A1F">
        <w:t xml:space="preserve"> distribution, reduce </w:t>
      </w:r>
      <w:r>
        <w:t>methane</w:t>
      </w:r>
      <w:r w:rsidRPr="003F6A1F">
        <w:t xml:space="preserve"> and </w:t>
      </w:r>
      <w:r>
        <w:t>ammonia</w:t>
      </w:r>
      <w:r w:rsidRPr="003F6A1F">
        <w:t xml:space="preserve"> emissions relative to continuous aeration in many systems and enhance humification, though aeration strategy must be tuned to feedstock and scale because excessive aeration can cool </w:t>
      </w:r>
      <w:r w:rsidRPr="003F6A1F">
        <w:lastRenderedPageBreak/>
        <w:t xml:space="preserve">the pile and increase </w:t>
      </w:r>
      <w:r>
        <w:t>nitrogen</w:t>
      </w:r>
      <w:r w:rsidRPr="003F6A1F">
        <w:t xml:space="preserve"> losses as </w:t>
      </w:r>
      <w:r>
        <w:t>ammonia</w:t>
      </w:r>
      <w:r w:rsidRPr="003F6A1F">
        <w:t xml:space="preserve"> or </w:t>
      </w:r>
      <w:r>
        <w:t>nitrate</w:t>
      </w:r>
      <w:r w:rsidRPr="003F6A1F">
        <w:t xml:space="preserve"> (Cheng </w:t>
      </w:r>
      <w:r w:rsidRPr="00363256">
        <w:rPr>
          <w:i/>
        </w:rPr>
        <w:t>et al</w:t>
      </w:r>
      <w:r w:rsidRPr="003F6A1F">
        <w:t xml:space="preserve">., 2023; </w:t>
      </w:r>
      <w:proofErr w:type="spellStart"/>
      <w:r w:rsidRPr="003F6A1F">
        <w:t>Nordahl</w:t>
      </w:r>
      <w:proofErr w:type="spellEnd"/>
      <w:r w:rsidRPr="003F6A1F">
        <w:t xml:space="preserve"> </w:t>
      </w:r>
      <w:r w:rsidRPr="00363256">
        <w:rPr>
          <w:i/>
        </w:rPr>
        <w:t>et al</w:t>
      </w:r>
      <w:r w:rsidRPr="003F6A1F">
        <w:t>., 2023;</w:t>
      </w:r>
      <w:r w:rsidRPr="00365FF5">
        <w:t xml:space="preserve"> </w:t>
      </w:r>
      <w:r w:rsidRPr="003F6A1F">
        <w:t xml:space="preserve">Zhao </w:t>
      </w:r>
      <w:r w:rsidRPr="00363256">
        <w:rPr>
          <w:i/>
        </w:rPr>
        <w:t>et al</w:t>
      </w:r>
      <w:r w:rsidRPr="003F6A1F">
        <w:t>., 2022).</w:t>
      </w:r>
    </w:p>
    <w:p w14:paraId="5A79B07A" w14:textId="77777777" w:rsidR="0027743E" w:rsidRPr="00A333C5" w:rsidRDefault="0027743E" w:rsidP="0027743E">
      <w:pPr>
        <w:spacing w:before="100" w:beforeAutospacing="1" w:after="100" w:afterAutospacing="1"/>
        <w:jc w:val="both"/>
        <w:rPr>
          <w:rFonts w:ascii="Arial" w:hAnsi="Arial" w:cs="Arial"/>
          <w:b/>
          <w:i/>
          <w:szCs w:val="24"/>
          <w:lang w:val="en-AE" w:eastAsia="en-AE"/>
        </w:rPr>
      </w:pPr>
      <w:r>
        <w:rPr>
          <w:rFonts w:ascii="Arial" w:hAnsi="Arial" w:cs="Arial"/>
          <w:b/>
          <w:i/>
          <w:szCs w:val="24"/>
          <w:lang w:val="en-AE" w:eastAsia="en-AE"/>
        </w:rPr>
        <w:t xml:space="preserve">6.4 </w:t>
      </w:r>
      <w:r w:rsidRPr="00A333C5">
        <w:rPr>
          <w:rFonts w:ascii="Arial" w:hAnsi="Arial" w:cs="Arial"/>
          <w:b/>
          <w:i/>
          <w:szCs w:val="24"/>
          <w:lang w:val="en-AE" w:eastAsia="en-AE"/>
        </w:rPr>
        <w:t>Moisture content</w:t>
      </w:r>
    </w:p>
    <w:p w14:paraId="5CA78A40" w14:textId="77777777" w:rsidR="001F5A01" w:rsidRDefault="001F5A01" w:rsidP="001F5A01">
      <w:pPr>
        <w:spacing w:line="360" w:lineRule="auto"/>
        <w:ind w:firstLine="720"/>
        <w:jc w:val="both"/>
      </w:pPr>
      <w:r w:rsidRPr="003F6A1F">
        <w:t xml:space="preserve">Moisture strongly affects microbial activity, substrate diffusion and pile porosity. Recent experimental and review studies converge on a practical startup target in 45–65% (w/w) range for many feedstocks, though the optimal value varies with substrate type and pile structure </w:t>
      </w:r>
      <w:r>
        <w:t xml:space="preserve">like </w:t>
      </w:r>
      <w:r w:rsidRPr="003F6A1F">
        <w:t xml:space="preserve">porosity, bulking agent. Excess moisture fills pore spaces and creates anaerobic microsites and higher </w:t>
      </w:r>
      <w:r>
        <w:t>methane</w:t>
      </w:r>
      <w:r w:rsidRPr="003F6A1F">
        <w:t xml:space="preserve"> emissions</w:t>
      </w:r>
      <w:r>
        <w:t xml:space="preserve"> and also</w:t>
      </w:r>
      <w:r w:rsidRPr="003F6A1F">
        <w:t xml:space="preserve"> too little moisture restricts microbial metabolism and slows composting. Final, stable compost is typically dried to a low moisture commonly </w:t>
      </w:r>
      <w:r>
        <w:t xml:space="preserve">around </w:t>
      </w:r>
      <w:r w:rsidRPr="003F6A1F">
        <w:t>15</w:t>
      </w:r>
      <w:r>
        <w:t>-</w:t>
      </w:r>
      <w:r w:rsidRPr="003F6A1F">
        <w:t>25% for storage and to prevent reactivation (</w:t>
      </w:r>
      <w:proofErr w:type="spellStart"/>
      <w:r w:rsidRPr="003F6A1F">
        <w:t>Gurusamy</w:t>
      </w:r>
      <w:proofErr w:type="spellEnd"/>
      <w:r w:rsidRPr="003F6A1F">
        <w:t xml:space="preserve"> </w:t>
      </w:r>
      <w:r w:rsidRPr="00363256">
        <w:rPr>
          <w:i/>
        </w:rPr>
        <w:t>et al</w:t>
      </w:r>
      <w:r w:rsidRPr="003F6A1F">
        <w:t xml:space="preserve">., 2021; Noor </w:t>
      </w:r>
      <w:r w:rsidRPr="00363256">
        <w:rPr>
          <w:i/>
        </w:rPr>
        <w:t>et al</w:t>
      </w:r>
      <w:r w:rsidRPr="003F6A1F">
        <w:t>., 2024;</w:t>
      </w:r>
      <w:r w:rsidRPr="006472D5">
        <w:t xml:space="preserve"> </w:t>
      </w:r>
      <w:r w:rsidRPr="003F6A1F">
        <w:t xml:space="preserve">Yang </w:t>
      </w:r>
      <w:r w:rsidRPr="00363256">
        <w:rPr>
          <w:i/>
        </w:rPr>
        <w:t>et al</w:t>
      </w:r>
      <w:r w:rsidRPr="003F6A1F">
        <w:t>., 2023).</w:t>
      </w:r>
    </w:p>
    <w:p w14:paraId="45765A3B" w14:textId="77777777" w:rsidR="0027743E" w:rsidRPr="00A333C5" w:rsidRDefault="0027743E" w:rsidP="0027743E">
      <w:pPr>
        <w:spacing w:before="100" w:beforeAutospacing="1" w:after="100" w:afterAutospacing="1"/>
        <w:jc w:val="both"/>
        <w:rPr>
          <w:rFonts w:ascii="Arial" w:hAnsi="Arial" w:cs="Arial"/>
          <w:b/>
          <w:i/>
          <w:szCs w:val="24"/>
        </w:rPr>
      </w:pPr>
      <w:r>
        <w:rPr>
          <w:rFonts w:ascii="Arial" w:hAnsi="Arial" w:cs="Arial"/>
          <w:b/>
          <w:i/>
          <w:szCs w:val="24"/>
        </w:rPr>
        <w:t xml:space="preserve">6.5 </w:t>
      </w:r>
      <w:r w:rsidRPr="00A333C5">
        <w:rPr>
          <w:rFonts w:ascii="Arial" w:hAnsi="Arial" w:cs="Arial"/>
          <w:b/>
          <w:i/>
          <w:szCs w:val="24"/>
        </w:rPr>
        <w:t xml:space="preserve">Raw materials </w:t>
      </w:r>
    </w:p>
    <w:p w14:paraId="1AA676B4" w14:textId="77777777" w:rsidR="009A2AE1" w:rsidRPr="003F6A1F" w:rsidRDefault="009A2AE1" w:rsidP="009A2AE1">
      <w:pPr>
        <w:spacing w:line="360" w:lineRule="auto"/>
        <w:ind w:firstLine="720"/>
        <w:jc w:val="both"/>
      </w:pPr>
      <w:r w:rsidRPr="003F6A1F">
        <w:t xml:space="preserve">Feedstock chemistry </w:t>
      </w:r>
      <w:r>
        <w:t xml:space="preserve">like </w:t>
      </w:r>
      <w:r w:rsidRPr="003F6A1F">
        <w:t>C</w:t>
      </w:r>
      <w:r>
        <w:t>/</w:t>
      </w:r>
      <w:r w:rsidRPr="003F6A1F">
        <w:t>N</w:t>
      </w:r>
      <w:r>
        <w:t xml:space="preserve"> ratio</w:t>
      </w:r>
      <w:r w:rsidRPr="003F6A1F">
        <w:t xml:space="preserve">, lignin/cellulose/hemicellulose fractions, particle size and the presence of inhibitory compounds govern decomposition speed and final quality. Lignocellulosic, silica-rich or high-ash residues decompose slowly and benefit from co-substrate blending </w:t>
      </w:r>
      <w:r>
        <w:t xml:space="preserve">with </w:t>
      </w:r>
      <w:r w:rsidRPr="003F6A1F">
        <w:t xml:space="preserve">nutrient sources such as manures or food waste, particle-size reduction </w:t>
      </w:r>
      <w:r>
        <w:t xml:space="preserve">in order </w:t>
      </w:r>
      <w:r w:rsidRPr="003F6A1F">
        <w:t xml:space="preserve">to increase surface area, and bulking agents to improve porosity. Management decisions </w:t>
      </w:r>
      <w:r>
        <w:t xml:space="preserve">including </w:t>
      </w:r>
      <w:r w:rsidRPr="003F6A1F">
        <w:t>pile size, turning frequency, aeration method, and pre-treatment such as shredding or addition of biochar</w:t>
      </w:r>
      <w:r>
        <w:t xml:space="preserve"> will</w:t>
      </w:r>
      <w:r w:rsidRPr="003F6A1F">
        <w:t xml:space="preserve"> affect microbial succession, temperature profiles and the stability/maturity of the final compost (Waqas </w:t>
      </w:r>
      <w:r w:rsidRPr="00363256">
        <w:rPr>
          <w:i/>
        </w:rPr>
        <w:t>et al</w:t>
      </w:r>
      <w:r w:rsidRPr="003F6A1F">
        <w:t xml:space="preserve">., 2023; Noor </w:t>
      </w:r>
      <w:r w:rsidRPr="00363256">
        <w:rPr>
          <w:i/>
        </w:rPr>
        <w:t>et al</w:t>
      </w:r>
      <w:r w:rsidRPr="003F6A1F">
        <w:t>., 2024).</w:t>
      </w:r>
    </w:p>
    <w:p w14:paraId="3907F856" w14:textId="77777777" w:rsidR="0027743E" w:rsidRPr="00A333C5" w:rsidRDefault="0027743E" w:rsidP="0027743E">
      <w:pPr>
        <w:spacing w:before="100" w:beforeAutospacing="1" w:after="100" w:afterAutospacing="1"/>
        <w:jc w:val="both"/>
        <w:rPr>
          <w:rFonts w:ascii="Arial" w:hAnsi="Arial" w:cs="Arial"/>
          <w:b/>
          <w:i/>
          <w:szCs w:val="24"/>
        </w:rPr>
      </w:pPr>
      <w:r>
        <w:rPr>
          <w:rFonts w:ascii="Arial" w:hAnsi="Arial" w:cs="Arial"/>
          <w:b/>
          <w:i/>
          <w:szCs w:val="24"/>
        </w:rPr>
        <w:t xml:space="preserve">6.6 </w:t>
      </w:r>
      <w:r w:rsidRPr="00A333C5">
        <w:rPr>
          <w:rFonts w:ascii="Arial" w:hAnsi="Arial" w:cs="Arial"/>
          <w:b/>
          <w:i/>
          <w:szCs w:val="24"/>
        </w:rPr>
        <w:t>C:N ratio</w:t>
      </w:r>
    </w:p>
    <w:p w14:paraId="04AF1BDB" w14:textId="77777777" w:rsidR="009A2AE1" w:rsidRDefault="009A2AE1" w:rsidP="009A2AE1">
      <w:pPr>
        <w:spacing w:line="360" w:lineRule="auto"/>
        <w:ind w:firstLine="720"/>
        <w:jc w:val="both"/>
      </w:pPr>
      <w:r w:rsidRPr="003F6A1F">
        <w:t>The initial carbon-to-nitrogen ratio is a primar</w:t>
      </w:r>
      <w:r>
        <w:t>i</w:t>
      </w:r>
      <w:r w:rsidRPr="003F6A1F">
        <w:t>ly determinant of compost dynamics because carbon provides energy and nitrogen supports microbial biomass. A commonly recommended initial C</w:t>
      </w:r>
      <w:r>
        <w:t>/N</w:t>
      </w:r>
      <w:r w:rsidRPr="003F6A1F">
        <w:t xml:space="preserve"> window is </w:t>
      </w:r>
      <w:r>
        <w:t xml:space="preserve">around </w:t>
      </w:r>
      <w:r w:rsidRPr="003F6A1F">
        <w:t>25</w:t>
      </w:r>
      <w:r>
        <w:t>-</w:t>
      </w:r>
      <w:r w:rsidRPr="003F6A1F">
        <w:t>30:1 for rapid, balanced composting</w:t>
      </w:r>
      <w:r>
        <w:t xml:space="preserve"> while</w:t>
      </w:r>
      <w:r w:rsidRPr="003F6A1F">
        <w:t xml:space="preserve"> higher C</w:t>
      </w:r>
      <w:r>
        <w:t>/</w:t>
      </w:r>
      <w:r w:rsidRPr="003F6A1F">
        <w:t>N</w:t>
      </w:r>
      <w:r>
        <w:t xml:space="preserve"> ratio </w:t>
      </w:r>
      <w:r w:rsidRPr="003F6A1F">
        <w:t xml:space="preserve">&gt;35 often slows degradation </w:t>
      </w:r>
      <w:r>
        <w:t xml:space="preserve">due to </w:t>
      </w:r>
      <w:r w:rsidRPr="003F6A1F">
        <w:t>nutrient limitation, while very low C</w:t>
      </w:r>
      <w:r>
        <w:t>/N</w:t>
      </w:r>
      <w:r w:rsidRPr="003F6A1F">
        <w:t xml:space="preserve"> may promote ammonia losses and </w:t>
      </w:r>
      <w:proofErr w:type="spellStart"/>
      <w:r w:rsidRPr="003F6A1F">
        <w:t>odours</w:t>
      </w:r>
      <w:proofErr w:type="spellEnd"/>
      <w:r w:rsidRPr="003F6A1F">
        <w:t>. In practice, mixing high</w:t>
      </w:r>
      <w:r>
        <w:t xml:space="preserve"> carbon</w:t>
      </w:r>
      <w:r w:rsidRPr="003F6A1F">
        <w:t xml:space="preserve"> residues </w:t>
      </w:r>
      <w:r>
        <w:t xml:space="preserve">like </w:t>
      </w:r>
      <w:r w:rsidRPr="003F6A1F">
        <w:t xml:space="preserve">straw, husks with </w:t>
      </w:r>
      <w:r>
        <w:t xml:space="preserve">nitrogen </w:t>
      </w:r>
      <w:r w:rsidRPr="003F6A1F">
        <w:t xml:space="preserve">rich materials </w:t>
      </w:r>
      <w:r>
        <w:t xml:space="preserve">like </w:t>
      </w:r>
      <w:r w:rsidRPr="003F6A1F">
        <w:t>manure, food waste or using targeted microbial starters helps reach desirable C</w:t>
      </w:r>
      <w:r>
        <w:t>/</w:t>
      </w:r>
      <w:r w:rsidRPr="003F6A1F">
        <w:t xml:space="preserve">N ratios and accelerate stabilization (Aguilar-Paredes </w:t>
      </w:r>
      <w:r w:rsidRPr="00363256">
        <w:rPr>
          <w:i/>
        </w:rPr>
        <w:t>et al</w:t>
      </w:r>
      <w:r w:rsidRPr="003F6A1F">
        <w:t>., 2023).</w:t>
      </w:r>
    </w:p>
    <w:p w14:paraId="7797AF60" w14:textId="77777777" w:rsidR="0027743E" w:rsidRPr="00B71C68" w:rsidRDefault="0027743E" w:rsidP="0027743E">
      <w:pPr>
        <w:pStyle w:val="ListParagraph"/>
        <w:numPr>
          <w:ilvl w:val="0"/>
          <w:numId w:val="35"/>
        </w:numPr>
        <w:spacing w:before="100" w:beforeAutospacing="1" w:after="100" w:afterAutospacing="1"/>
        <w:ind w:left="567" w:hanging="567"/>
        <w:jc w:val="both"/>
        <w:rPr>
          <w:rFonts w:ascii="Arial" w:hAnsi="Arial" w:cs="Arial"/>
          <w:b/>
          <w:iCs/>
          <w:szCs w:val="24"/>
        </w:rPr>
      </w:pPr>
      <w:r w:rsidRPr="00B71C68">
        <w:rPr>
          <w:rFonts w:ascii="Arial" w:hAnsi="Arial" w:cs="Arial"/>
          <w:b/>
          <w:iCs/>
          <w:szCs w:val="24"/>
        </w:rPr>
        <w:t>ASSESSMENT OF COMPOST QUALITY AND STABILITY</w:t>
      </w:r>
    </w:p>
    <w:p w14:paraId="37BE8C9B" w14:textId="77777777" w:rsidR="00A747A0" w:rsidRDefault="00A747A0" w:rsidP="0027743E">
      <w:pPr>
        <w:spacing w:before="100" w:beforeAutospacing="1" w:after="100" w:afterAutospacing="1"/>
        <w:jc w:val="both"/>
        <w:rPr>
          <w:rFonts w:ascii="Arial" w:hAnsi="Arial" w:cs="Arial"/>
        </w:rPr>
      </w:pPr>
    </w:p>
    <w:p w14:paraId="6B738D4A" w14:textId="33A8E2A9" w:rsidR="00A747A0" w:rsidRPr="00A333C5" w:rsidRDefault="00A747A0" w:rsidP="00A747A0">
      <w:pPr>
        <w:spacing w:before="100" w:beforeAutospacing="1" w:after="100" w:afterAutospacing="1"/>
        <w:jc w:val="both"/>
        <w:rPr>
          <w:rFonts w:ascii="Arial" w:hAnsi="Arial" w:cs="Arial"/>
          <w:b/>
          <w:i/>
          <w:szCs w:val="24"/>
        </w:rPr>
      </w:pPr>
      <w:r>
        <w:rPr>
          <w:rFonts w:ascii="Arial" w:hAnsi="Arial" w:cs="Arial"/>
          <w:b/>
          <w:i/>
          <w:szCs w:val="24"/>
        </w:rPr>
        <w:lastRenderedPageBreak/>
        <w:t xml:space="preserve">7.1 </w:t>
      </w:r>
      <w:r w:rsidRPr="00A333C5">
        <w:rPr>
          <w:rFonts w:ascii="Arial" w:hAnsi="Arial" w:cs="Arial"/>
          <w:b/>
          <w:i/>
          <w:szCs w:val="24"/>
        </w:rPr>
        <w:t>P</w:t>
      </w:r>
      <w:r>
        <w:rPr>
          <w:rFonts w:ascii="Arial" w:hAnsi="Arial" w:cs="Arial"/>
          <w:b/>
          <w:i/>
          <w:szCs w:val="24"/>
        </w:rPr>
        <w:t>article size</w:t>
      </w:r>
    </w:p>
    <w:p w14:paraId="0D25EFC4" w14:textId="2C4D558A" w:rsidR="00A747A0" w:rsidRDefault="00A747A0" w:rsidP="00363256">
      <w:pPr>
        <w:spacing w:before="100" w:beforeAutospacing="1" w:after="100" w:afterAutospacing="1" w:line="276" w:lineRule="auto"/>
        <w:jc w:val="both"/>
      </w:pPr>
      <w:r w:rsidRPr="00BA743A">
        <w:t>Particle-size distribution affects porosity and decomposition rate</w:t>
      </w:r>
      <w:r>
        <w:t xml:space="preserve"> because</w:t>
      </w:r>
      <w:r w:rsidRPr="00BA743A">
        <w:t xml:space="preserve"> finer fractions (&lt;1 mm) often contain higher heavy-metal concentrations and lower organic carbon due to their greater surface reactivity, making it essential to record particle-size categories during compost evaluation</w:t>
      </w:r>
      <w:r>
        <w:t xml:space="preserve"> </w:t>
      </w:r>
      <w:r w:rsidRPr="00BA743A">
        <w:t xml:space="preserve">(Clemente </w:t>
      </w:r>
      <w:r w:rsidRPr="00363256">
        <w:rPr>
          <w:i/>
        </w:rPr>
        <w:t>et al</w:t>
      </w:r>
      <w:r w:rsidRPr="00BA743A">
        <w:t>., 2020).</w:t>
      </w:r>
    </w:p>
    <w:p w14:paraId="5F1C5D51" w14:textId="0EE8093F" w:rsidR="00A747A0" w:rsidRPr="00A333C5" w:rsidRDefault="00A747A0" w:rsidP="00A747A0">
      <w:pPr>
        <w:spacing w:before="100" w:beforeAutospacing="1" w:after="100" w:afterAutospacing="1"/>
        <w:jc w:val="both"/>
        <w:rPr>
          <w:rFonts w:ascii="Arial" w:hAnsi="Arial" w:cs="Arial"/>
          <w:b/>
          <w:i/>
          <w:szCs w:val="24"/>
        </w:rPr>
      </w:pPr>
      <w:r>
        <w:rPr>
          <w:rFonts w:ascii="Arial" w:hAnsi="Arial" w:cs="Arial"/>
          <w:b/>
          <w:i/>
          <w:szCs w:val="24"/>
        </w:rPr>
        <w:t>7.2 Moisture content</w:t>
      </w:r>
    </w:p>
    <w:p w14:paraId="58C8F938" w14:textId="5B73CD8B" w:rsidR="00A747A0" w:rsidRDefault="00A747A0" w:rsidP="00363256">
      <w:pPr>
        <w:spacing w:before="100" w:beforeAutospacing="1" w:after="100" w:afterAutospacing="1" w:line="276" w:lineRule="auto"/>
        <w:jc w:val="both"/>
      </w:pPr>
      <w:r>
        <w:t>M</w:t>
      </w:r>
      <w:r w:rsidRPr="00BA743A">
        <w:t xml:space="preserve">oisture content governs microbial metabolism and oxygen diffusion. Moisture typically declines over time, and final moisture levels of 15–25% are widely recommended to ensure stability, suppress anaerobic reactivation and improve storage quality (Jain </w:t>
      </w:r>
      <w:r w:rsidRPr="00363256">
        <w:rPr>
          <w:i/>
        </w:rPr>
        <w:t>et al</w:t>
      </w:r>
      <w:r w:rsidRPr="00BA743A">
        <w:t>., 2019).</w:t>
      </w:r>
    </w:p>
    <w:p w14:paraId="42ED8A1C" w14:textId="1F4ABE45" w:rsidR="00A747A0" w:rsidRPr="00A333C5" w:rsidRDefault="00A747A0" w:rsidP="00A747A0">
      <w:pPr>
        <w:spacing w:before="100" w:beforeAutospacing="1" w:after="100" w:afterAutospacing="1"/>
        <w:jc w:val="both"/>
        <w:rPr>
          <w:rFonts w:ascii="Arial" w:hAnsi="Arial" w:cs="Arial"/>
          <w:b/>
          <w:i/>
          <w:szCs w:val="24"/>
        </w:rPr>
      </w:pPr>
      <w:r>
        <w:rPr>
          <w:rFonts w:ascii="Arial" w:hAnsi="Arial" w:cs="Arial"/>
          <w:b/>
          <w:i/>
          <w:szCs w:val="24"/>
        </w:rPr>
        <w:t xml:space="preserve">7.3 </w:t>
      </w:r>
      <w:r w:rsidR="00CE1FBA">
        <w:rPr>
          <w:rFonts w:ascii="Arial" w:hAnsi="Arial" w:cs="Arial"/>
          <w:b/>
          <w:i/>
          <w:szCs w:val="24"/>
        </w:rPr>
        <w:t>C:N ratio</w:t>
      </w:r>
    </w:p>
    <w:p w14:paraId="4A6B87E7" w14:textId="6844621D" w:rsidR="009A2AE1" w:rsidRDefault="009A2AE1" w:rsidP="00363256">
      <w:pPr>
        <w:spacing w:before="100" w:beforeAutospacing="1" w:after="100" w:afterAutospacing="1" w:line="276" w:lineRule="auto"/>
        <w:jc w:val="both"/>
        <w:rPr>
          <w:rFonts w:ascii="Arial" w:hAnsi="Arial" w:cs="Arial"/>
        </w:rPr>
      </w:pPr>
      <w:r w:rsidRPr="009A2AE1">
        <w:rPr>
          <w:rFonts w:ascii="Arial" w:hAnsi="Arial" w:cs="Arial"/>
        </w:rPr>
        <w:t>C</w:t>
      </w:r>
      <w:r w:rsidR="00CE1FBA">
        <w:rPr>
          <w:rFonts w:ascii="Arial" w:hAnsi="Arial" w:cs="Arial"/>
        </w:rPr>
        <w:t>:</w:t>
      </w:r>
      <w:r w:rsidRPr="009A2AE1">
        <w:rPr>
          <w:rFonts w:ascii="Arial" w:hAnsi="Arial" w:cs="Arial"/>
        </w:rPr>
        <w:t xml:space="preserve">N ratio below 25:1 is an indication of efficient decomposition of organic matter, although many recent reviews consider final values approaching 15-20:1 as a more conservative threshold for compost maturity depending on feedstock and intended use (Mahapatra </w:t>
      </w:r>
      <w:r w:rsidRPr="00363256">
        <w:rPr>
          <w:rFonts w:ascii="Arial" w:hAnsi="Arial" w:cs="Arial"/>
          <w:i/>
        </w:rPr>
        <w:t>et al</w:t>
      </w:r>
      <w:r w:rsidRPr="009A2AE1">
        <w:rPr>
          <w:rFonts w:ascii="Arial" w:hAnsi="Arial" w:cs="Arial"/>
        </w:rPr>
        <w:t>., 2022).</w:t>
      </w:r>
    </w:p>
    <w:p w14:paraId="75908213" w14:textId="26D26C42" w:rsidR="0027743E" w:rsidRPr="00A333C5" w:rsidRDefault="0027743E" w:rsidP="0027743E">
      <w:pPr>
        <w:spacing w:before="100" w:beforeAutospacing="1" w:after="100" w:afterAutospacing="1"/>
        <w:jc w:val="both"/>
        <w:rPr>
          <w:rFonts w:ascii="Arial" w:hAnsi="Arial" w:cs="Arial"/>
          <w:b/>
          <w:i/>
          <w:szCs w:val="24"/>
        </w:rPr>
      </w:pPr>
      <w:r>
        <w:rPr>
          <w:rFonts w:ascii="Arial" w:hAnsi="Arial" w:cs="Arial"/>
          <w:b/>
          <w:i/>
          <w:szCs w:val="24"/>
        </w:rPr>
        <w:t>7.</w:t>
      </w:r>
      <w:r w:rsidR="007201F2">
        <w:rPr>
          <w:rFonts w:ascii="Arial" w:hAnsi="Arial" w:cs="Arial"/>
          <w:b/>
          <w:i/>
          <w:szCs w:val="24"/>
        </w:rPr>
        <w:t>4</w:t>
      </w:r>
      <w:r>
        <w:rPr>
          <w:rFonts w:ascii="Arial" w:hAnsi="Arial" w:cs="Arial"/>
          <w:b/>
          <w:i/>
          <w:szCs w:val="24"/>
        </w:rPr>
        <w:t xml:space="preserve"> </w:t>
      </w:r>
      <w:r w:rsidRPr="00A333C5">
        <w:rPr>
          <w:rFonts w:ascii="Arial" w:hAnsi="Arial" w:cs="Arial"/>
          <w:b/>
          <w:i/>
          <w:szCs w:val="24"/>
        </w:rPr>
        <w:t>Phytotoxicity</w:t>
      </w:r>
    </w:p>
    <w:p w14:paraId="5D21764B" w14:textId="4EF8A4EC" w:rsidR="009A2AE1" w:rsidRPr="00C2271B" w:rsidRDefault="009A2AE1" w:rsidP="009A2AE1">
      <w:pPr>
        <w:spacing w:line="360" w:lineRule="auto"/>
        <w:ind w:firstLine="720"/>
        <w:jc w:val="both"/>
      </w:pPr>
      <w:r w:rsidRPr="00C2271B">
        <w:t xml:space="preserve">Phytotoxicity serves as a key indicator of compost maturity and agricultural suitability. </w:t>
      </w:r>
      <w:proofErr w:type="spellStart"/>
      <w:r w:rsidRPr="00C2271B">
        <w:t>Unstabili</w:t>
      </w:r>
      <w:r>
        <w:t>s</w:t>
      </w:r>
      <w:r w:rsidRPr="00C2271B">
        <w:t>ed</w:t>
      </w:r>
      <w:proofErr w:type="spellEnd"/>
      <w:r w:rsidRPr="00C2271B">
        <w:t xml:space="preserve"> composts may contain toxic substances such as heavy metals, phenolics, ammonia, ethylene, organic acids, and excess salts, all of which can inhibit seed germination and plant growth (</w:t>
      </w:r>
      <w:r w:rsidRPr="0060489C">
        <w:t xml:space="preserve">Kong </w:t>
      </w:r>
      <w:r w:rsidRPr="00363256">
        <w:rPr>
          <w:i/>
        </w:rPr>
        <w:t>et al</w:t>
      </w:r>
      <w:r w:rsidRPr="0060489C">
        <w:t>., 2023</w:t>
      </w:r>
      <w:r w:rsidRPr="00C2271B">
        <w:t>). Therefore, evaluating phytotoxicity through seed germination and plant-growth bioassays is essential.</w:t>
      </w:r>
      <w:r>
        <w:t xml:space="preserve"> </w:t>
      </w:r>
      <w:r w:rsidRPr="00C2271B">
        <w:t xml:space="preserve">The </w:t>
      </w:r>
      <w:r w:rsidRPr="00F01121">
        <w:t>Germination Index (GI)</w:t>
      </w:r>
      <w:r w:rsidRPr="00C2271B">
        <w:t xml:space="preserve"> is one of the most widely used indicators of compost maturity, combining relative seed germination and root elongation in compost extracts. A </w:t>
      </w:r>
      <w:r w:rsidRPr="00F01121">
        <w:t>GI ≥ 80%</w:t>
      </w:r>
      <w:r w:rsidRPr="00C2271B">
        <w:t xml:space="preserve"> is generally interpreted as an indication of the absence of phytotoxins and compost maturity, while GI values </w:t>
      </w:r>
      <w:r w:rsidRPr="00321705">
        <w:t>below 60%</w:t>
      </w:r>
      <w:r w:rsidRPr="00C2271B">
        <w:t xml:space="preserve"> are typically associated with immaturity or toxicity (</w:t>
      </w:r>
      <w:proofErr w:type="spellStart"/>
      <w:r w:rsidRPr="00FF61A6">
        <w:t>Lončarić</w:t>
      </w:r>
      <w:proofErr w:type="spellEnd"/>
      <w:r w:rsidRPr="00FF61A6">
        <w:t xml:space="preserve"> </w:t>
      </w:r>
      <w:r w:rsidRPr="00363256">
        <w:rPr>
          <w:i/>
        </w:rPr>
        <w:t>et al</w:t>
      </w:r>
      <w:r w:rsidRPr="00FF61A6">
        <w:t>., 2024</w:t>
      </w:r>
      <w:r w:rsidRPr="00C2271B">
        <w:t>). As composting progresses, phytotoxic compounds diminish, leading to increased GI values.</w:t>
      </w:r>
    </w:p>
    <w:p w14:paraId="47E01451" w14:textId="59651847" w:rsidR="0027743E" w:rsidRPr="00A333C5" w:rsidRDefault="0027743E" w:rsidP="0027743E">
      <w:pPr>
        <w:spacing w:before="100" w:beforeAutospacing="1" w:after="100" w:afterAutospacing="1"/>
        <w:jc w:val="both"/>
        <w:rPr>
          <w:rFonts w:ascii="Arial" w:hAnsi="Arial" w:cs="Arial"/>
          <w:b/>
          <w:i/>
          <w:szCs w:val="24"/>
        </w:rPr>
      </w:pPr>
      <w:r>
        <w:rPr>
          <w:rFonts w:ascii="Arial" w:hAnsi="Arial" w:cs="Arial"/>
          <w:b/>
          <w:i/>
          <w:szCs w:val="24"/>
        </w:rPr>
        <w:t>7.</w:t>
      </w:r>
      <w:r w:rsidR="00992799">
        <w:rPr>
          <w:rFonts w:ascii="Arial" w:hAnsi="Arial" w:cs="Arial"/>
          <w:b/>
          <w:i/>
          <w:szCs w:val="24"/>
        </w:rPr>
        <w:t>5</w:t>
      </w:r>
      <w:r>
        <w:rPr>
          <w:rFonts w:ascii="Arial" w:hAnsi="Arial" w:cs="Arial"/>
          <w:b/>
          <w:i/>
          <w:szCs w:val="24"/>
        </w:rPr>
        <w:t xml:space="preserve"> </w:t>
      </w:r>
      <w:r w:rsidRPr="00A333C5">
        <w:rPr>
          <w:rFonts w:ascii="Arial" w:hAnsi="Arial" w:cs="Arial"/>
          <w:b/>
          <w:i/>
          <w:szCs w:val="24"/>
        </w:rPr>
        <w:t>Heavy metal content</w:t>
      </w:r>
    </w:p>
    <w:p w14:paraId="1AC716BC" w14:textId="77777777" w:rsidR="00045F84" w:rsidRDefault="00045F84" w:rsidP="00045F84">
      <w:pPr>
        <w:spacing w:line="360" w:lineRule="auto"/>
        <w:ind w:firstLine="720"/>
        <w:jc w:val="both"/>
      </w:pPr>
      <w:r w:rsidRPr="00CD7BA3">
        <w:t xml:space="preserve">Heavy metals are toxic pollutants that negatively affect soil health, microbial activity and ecosystem balance. Originating from household, municipal and industrial wastes, metals such as </w:t>
      </w:r>
      <w:proofErr w:type="spellStart"/>
      <w:r w:rsidRPr="00CD7BA3">
        <w:t>As</w:t>
      </w:r>
      <w:proofErr w:type="spellEnd"/>
      <w:r w:rsidRPr="00CD7BA3">
        <w:t>, Cd, Cu, Pb, Ni, Zn and Hg can accumulate in soil and enter the food chain through plant uptake (</w:t>
      </w:r>
      <w:proofErr w:type="spellStart"/>
      <w:r w:rsidRPr="00CD7BA3">
        <w:t>Ramísio</w:t>
      </w:r>
      <w:proofErr w:type="spellEnd"/>
      <w:r w:rsidRPr="00CD7BA3">
        <w:t xml:space="preserve"> </w:t>
      </w:r>
      <w:r w:rsidRPr="00363256">
        <w:rPr>
          <w:i/>
        </w:rPr>
        <w:t>et al</w:t>
      </w:r>
      <w:r w:rsidRPr="00CD7BA3">
        <w:t xml:space="preserve">., 2023). Lead (Pb) and cadmium (Cd) are particularly concerning: Pb tends to persist in surface soils, while Cd mobility is strongly influenced by soil pH and organic matter content (Smith, 2009). Elevated heavy-metal concentrations can disrupt microbial communities and enzymatic processes. Compost can immobilize metals, often </w:t>
      </w:r>
      <w:r w:rsidRPr="00CD7BA3">
        <w:lastRenderedPageBreak/>
        <w:t>reducing the bioavailable fraction and plant uptake compared with soluble metal forms however, composting does not remove the total metal mass</w:t>
      </w:r>
      <w:r>
        <w:t xml:space="preserve"> </w:t>
      </w:r>
      <w:r w:rsidRPr="00CD7BA3">
        <w:t xml:space="preserve">hence monitoring both total and bioavailable fractions is recommended (Zhang </w:t>
      </w:r>
      <w:r w:rsidRPr="00363256">
        <w:rPr>
          <w:i/>
        </w:rPr>
        <w:t>et al</w:t>
      </w:r>
      <w:r w:rsidRPr="00CD7BA3">
        <w:t xml:space="preserve">., 2017; </w:t>
      </w:r>
      <w:proofErr w:type="spellStart"/>
      <w:r w:rsidRPr="00CD7BA3">
        <w:t>Ramísio</w:t>
      </w:r>
      <w:proofErr w:type="spellEnd"/>
      <w:r w:rsidRPr="00CD7BA3">
        <w:t xml:space="preserve"> </w:t>
      </w:r>
      <w:r w:rsidRPr="00363256">
        <w:rPr>
          <w:i/>
        </w:rPr>
        <w:t>et al</w:t>
      </w:r>
      <w:r w:rsidRPr="00CD7BA3">
        <w:t>., 2023). The immobilization effectiveness depends on compost composition, pH, contact time and initial metal concentrations.</w:t>
      </w:r>
    </w:p>
    <w:p w14:paraId="6FE5DC78" w14:textId="77777777" w:rsidR="0027743E" w:rsidRPr="00B71C68" w:rsidRDefault="0027743E" w:rsidP="0027743E">
      <w:pPr>
        <w:pStyle w:val="ListParagraph"/>
        <w:numPr>
          <w:ilvl w:val="0"/>
          <w:numId w:val="35"/>
        </w:numPr>
        <w:spacing w:before="100" w:beforeAutospacing="1" w:after="100" w:afterAutospacing="1"/>
        <w:ind w:left="284"/>
        <w:jc w:val="both"/>
        <w:rPr>
          <w:rFonts w:ascii="Arial" w:hAnsi="Arial" w:cs="Arial"/>
          <w:b/>
          <w:szCs w:val="24"/>
          <w:lang w:val="en-AE" w:eastAsia="en-AE"/>
        </w:rPr>
      </w:pPr>
      <w:r w:rsidRPr="00B71C68">
        <w:rPr>
          <w:rFonts w:ascii="Arial" w:hAnsi="Arial" w:cs="Arial"/>
          <w:szCs w:val="24"/>
          <w:lang w:val="en-AE" w:eastAsia="en-AE"/>
        </w:rPr>
        <w:t xml:space="preserve"> </w:t>
      </w:r>
      <w:r w:rsidRPr="00B71C68">
        <w:rPr>
          <w:rFonts w:ascii="Arial" w:hAnsi="Arial" w:cs="Arial"/>
          <w:b/>
          <w:szCs w:val="24"/>
          <w:lang w:val="en-AE" w:eastAsia="en-AE"/>
        </w:rPr>
        <w:t>AGRONOMIC AND ENVIRONMENTAL BENEFITS OF NUTRIENT-RICH COMPOST</w:t>
      </w:r>
    </w:p>
    <w:p w14:paraId="0D090B21" w14:textId="77777777" w:rsidR="00BD2700" w:rsidRPr="006069CA" w:rsidRDefault="00BD2700" w:rsidP="00BD2700">
      <w:pPr>
        <w:spacing w:line="360" w:lineRule="auto"/>
        <w:ind w:firstLine="720"/>
        <w:jc w:val="both"/>
      </w:pPr>
      <w:r w:rsidRPr="006069CA">
        <w:t xml:space="preserve">Composting represents an eco-friendly and cost-effective on-farm strategy for recycling organic residues and improving soil quality. It recovers essential nutrients while enhancing soil structure and soil organic carbon pools, and nutrients in compost are released gradually, providing sustained plant nutrition and lowering nutrient leaching compared with readily soluble fertilizers (Wang </w:t>
      </w:r>
      <w:r w:rsidRPr="00363256">
        <w:rPr>
          <w:i/>
        </w:rPr>
        <w:t>et al</w:t>
      </w:r>
      <w:r w:rsidRPr="006069CA">
        <w:t xml:space="preserve">., 2022; Shu </w:t>
      </w:r>
      <w:r w:rsidRPr="00363256">
        <w:rPr>
          <w:i/>
        </w:rPr>
        <w:t>et al</w:t>
      </w:r>
      <w:r w:rsidRPr="006069CA">
        <w:t>., 2023). Repeated compost applications promote beneficial soil microbial communities, improve aggregate stability and water-holding capacity, and can contribute to the suppression of certain soil-borne pests, including plant-parasitic nematodes, when appropriately managed (</w:t>
      </w:r>
      <w:proofErr w:type="spellStart"/>
      <w:r w:rsidRPr="006069CA">
        <w:t>Lucchetta</w:t>
      </w:r>
      <w:proofErr w:type="spellEnd"/>
      <w:r w:rsidRPr="006069CA">
        <w:t xml:space="preserve"> </w:t>
      </w:r>
      <w:r w:rsidRPr="00363256">
        <w:rPr>
          <w:i/>
        </w:rPr>
        <w:t>et al</w:t>
      </w:r>
      <w:r w:rsidRPr="006069CA">
        <w:t xml:space="preserve">., 2023; Rostami </w:t>
      </w:r>
      <w:r w:rsidRPr="00363256">
        <w:rPr>
          <w:i/>
        </w:rPr>
        <w:t>et al</w:t>
      </w:r>
      <w:r w:rsidRPr="006069CA">
        <w:t>., 2023).</w:t>
      </w:r>
    </w:p>
    <w:p w14:paraId="2EFCAB6F" w14:textId="77777777" w:rsidR="00BD2700" w:rsidRPr="006069CA" w:rsidRDefault="00BD2700" w:rsidP="00BD2700">
      <w:pPr>
        <w:spacing w:line="360" w:lineRule="auto"/>
        <w:ind w:firstLine="720"/>
        <w:jc w:val="both"/>
      </w:pPr>
      <w:r w:rsidRPr="006069CA">
        <w:t xml:space="preserve">When combined with plant growth-promoting rhizobacteria (e.g., </w:t>
      </w:r>
      <w:proofErr w:type="spellStart"/>
      <w:r w:rsidRPr="006069CA">
        <w:rPr>
          <w:i/>
          <w:iCs/>
        </w:rPr>
        <w:t>Azotobacter</w:t>
      </w:r>
      <w:proofErr w:type="spellEnd"/>
      <w:r w:rsidRPr="006069CA">
        <w:t xml:space="preserve">, </w:t>
      </w:r>
      <w:r w:rsidRPr="006069CA">
        <w:rPr>
          <w:i/>
          <w:iCs/>
        </w:rPr>
        <w:t>Pseudomonas</w:t>
      </w:r>
      <w:r w:rsidRPr="006069CA">
        <w:t xml:space="preserve">, </w:t>
      </w:r>
      <w:r w:rsidRPr="006069CA">
        <w:rPr>
          <w:i/>
          <w:iCs/>
        </w:rPr>
        <w:t>Bacillus</w:t>
      </w:r>
      <w:r w:rsidRPr="006069CA">
        <w:t>) and saprophytic decomposer fungi</w:t>
      </w:r>
      <w:r>
        <w:t xml:space="preserve"> (e.g., </w:t>
      </w:r>
      <w:r w:rsidRPr="00DE1572">
        <w:rPr>
          <w:i/>
          <w:iCs/>
        </w:rPr>
        <w:t>Aspergillus awamori</w:t>
      </w:r>
      <w:r>
        <w:t>)</w:t>
      </w:r>
      <w:r w:rsidRPr="006069CA">
        <w:t>, compost’s agronomic benefits can be amplified</w:t>
      </w:r>
      <w:r>
        <w:t xml:space="preserve"> </w:t>
      </w:r>
      <w:r w:rsidRPr="006069CA">
        <w:t>(</w:t>
      </w:r>
      <w:proofErr w:type="spellStart"/>
      <w:r w:rsidRPr="006069CA">
        <w:t>Omara</w:t>
      </w:r>
      <w:proofErr w:type="spellEnd"/>
      <w:r w:rsidRPr="006069CA">
        <w:t xml:space="preserve"> </w:t>
      </w:r>
      <w:r w:rsidRPr="00363256">
        <w:rPr>
          <w:i/>
        </w:rPr>
        <w:t>et al</w:t>
      </w:r>
      <w:r w:rsidRPr="006069CA">
        <w:t xml:space="preserve">., 2022). For AMF-mediated improvements in nutrient uptake and stress resilience, well-documented species such as </w:t>
      </w:r>
      <w:proofErr w:type="spellStart"/>
      <w:r w:rsidRPr="006069CA">
        <w:rPr>
          <w:i/>
          <w:iCs/>
        </w:rPr>
        <w:t>Rhizophagus</w:t>
      </w:r>
      <w:proofErr w:type="spellEnd"/>
      <w:r w:rsidRPr="006069CA">
        <w:rPr>
          <w:i/>
          <w:iCs/>
        </w:rPr>
        <w:t xml:space="preserve"> </w:t>
      </w:r>
      <w:proofErr w:type="spellStart"/>
      <w:r w:rsidRPr="006069CA">
        <w:rPr>
          <w:i/>
          <w:iCs/>
        </w:rPr>
        <w:t>irregularis</w:t>
      </w:r>
      <w:proofErr w:type="spellEnd"/>
      <w:r w:rsidRPr="006069CA">
        <w:t xml:space="preserve"> and </w:t>
      </w:r>
      <w:proofErr w:type="spellStart"/>
      <w:r w:rsidRPr="006069CA">
        <w:rPr>
          <w:i/>
          <w:iCs/>
        </w:rPr>
        <w:t>Funneliformis</w:t>
      </w:r>
      <w:proofErr w:type="spellEnd"/>
      <w:r w:rsidRPr="006069CA">
        <w:rPr>
          <w:i/>
          <w:iCs/>
        </w:rPr>
        <w:t xml:space="preserve"> </w:t>
      </w:r>
      <w:proofErr w:type="spellStart"/>
      <w:r w:rsidRPr="006069CA">
        <w:rPr>
          <w:i/>
          <w:iCs/>
        </w:rPr>
        <w:t>mosseae</w:t>
      </w:r>
      <w:proofErr w:type="spellEnd"/>
      <w:r w:rsidRPr="006069CA">
        <w:t xml:space="preserve"> are supported by recent controlled experiments and field trials (Deja-Sikora </w:t>
      </w:r>
      <w:r w:rsidRPr="00363256">
        <w:rPr>
          <w:i/>
        </w:rPr>
        <w:t>et al</w:t>
      </w:r>
      <w:r w:rsidRPr="006069CA">
        <w:t>., 2023). Co-application of compost with PGPR or AMF has been shown to enhance nutrient acquisition, root development, and plant performance under both optimal and stress conditions (</w:t>
      </w:r>
      <w:proofErr w:type="spellStart"/>
      <w:r w:rsidRPr="006069CA">
        <w:t>Omara</w:t>
      </w:r>
      <w:proofErr w:type="spellEnd"/>
      <w:r w:rsidRPr="006069CA">
        <w:t xml:space="preserve"> </w:t>
      </w:r>
      <w:r w:rsidRPr="00363256">
        <w:rPr>
          <w:i/>
        </w:rPr>
        <w:t>et al</w:t>
      </w:r>
      <w:r w:rsidRPr="006069CA">
        <w:t xml:space="preserve">., 2022; </w:t>
      </w:r>
      <w:proofErr w:type="spellStart"/>
      <w:r w:rsidRPr="002A02C0">
        <w:t>Mekkaoui</w:t>
      </w:r>
      <w:proofErr w:type="spellEnd"/>
      <w:r w:rsidRPr="002A02C0">
        <w:t xml:space="preserve"> </w:t>
      </w:r>
      <w:r w:rsidRPr="00363256">
        <w:rPr>
          <w:i/>
        </w:rPr>
        <w:t>et al</w:t>
      </w:r>
      <w:r w:rsidRPr="002A02C0">
        <w:t>., 2024</w:t>
      </w:r>
      <w:r w:rsidRPr="006069CA">
        <w:t>).</w:t>
      </w:r>
    </w:p>
    <w:p w14:paraId="2E498EE0" w14:textId="77777777" w:rsidR="00BD2700" w:rsidRPr="006069CA" w:rsidRDefault="00BD2700" w:rsidP="00BD2700">
      <w:pPr>
        <w:spacing w:line="360" w:lineRule="auto"/>
        <w:ind w:firstLine="720"/>
        <w:jc w:val="both"/>
      </w:pPr>
      <w:r w:rsidRPr="006069CA">
        <w:t xml:space="preserve">Compost application substantially improves soil physical, chemical and biological properties. Meta-analyses and long-term field trials consistently report increases in soil organic carbon, microbial biomass, aggregate stability and moisture retention following compost amendment, although the magnitude of improvement varies with compost rate, soil type and duration of application (Shu </w:t>
      </w:r>
      <w:r w:rsidRPr="00363256">
        <w:rPr>
          <w:i/>
        </w:rPr>
        <w:t>et al</w:t>
      </w:r>
      <w:r w:rsidRPr="006069CA">
        <w:t xml:space="preserve">., 2023; Wang </w:t>
      </w:r>
      <w:r w:rsidRPr="00363256">
        <w:rPr>
          <w:i/>
        </w:rPr>
        <w:t>et al</w:t>
      </w:r>
      <w:r w:rsidRPr="006069CA">
        <w:t xml:space="preserve">., 2022). Compost also enhances cation-exchange capacity (CEC) through the accumulation of humified organic matter, leading to improved nutrient retention and reduced mineral nutrient losses (Ngwenya </w:t>
      </w:r>
      <w:r w:rsidRPr="00363256">
        <w:rPr>
          <w:i/>
        </w:rPr>
        <w:t>et al</w:t>
      </w:r>
      <w:r w:rsidRPr="006069CA">
        <w:t>., 2024).</w:t>
      </w:r>
    </w:p>
    <w:p w14:paraId="56FB0123" w14:textId="77777777" w:rsidR="00BD2700" w:rsidRDefault="00BD2700" w:rsidP="00BD2700">
      <w:pPr>
        <w:spacing w:line="360" w:lineRule="auto"/>
        <w:ind w:firstLine="720"/>
        <w:jc w:val="both"/>
      </w:pPr>
      <w:r w:rsidRPr="006069CA">
        <w:t xml:space="preserve">At the biological level, compost supplies labile carbon substrates and stimulates diverse microbial groups, including bacteria, fungi and protozoa, thereby enhancing processes such as nitrogen mineralization, phosphorus </w:t>
      </w:r>
      <w:proofErr w:type="spellStart"/>
      <w:r w:rsidRPr="006069CA">
        <w:t>solubilisation</w:t>
      </w:r>
      <w:proofErr w:type="spellEnd"/>
      <w:r w:rsidRPr="006069CA">
        <w:t xml:space="preserve"> and organic-matter turnover (Xu </w:t>
      </w:r>
      <w:r w:rsidRPr="00363256">
        <w:rPr>
          <w:i/>
        </w:rPr>
        <w:t xml:space="preserve">et </w:t>
      </w:r>
      <w:r w:rsidRPr="00363256">
        <w:rPr>
          <w:i/>
        </w:rPr>
        <w:lastRenderedPageBreak/>
        <w:t>al</w:t>
      </w:r>
      <w:r w:rsidRPr="006069CA">
        <w:t xml:space="preserve">., 2023). Increased microbial functional activity and fungal hyphal networks contribute to improved soil aggregation and infiltration (Wang </w:t>
      </w:r>
      <w:r w:rsidRPr="00363256">
        <w:rPr>
          <w:i/>
        </w:rPr>
        <w:t>et al</w:t>
      </w:r>
      <w:r w:rsidRPr="006069CA">
        <w:t>., 2022). A</w:t>
      </w:r>
      <w:r>
        <w:t>long with this</w:t>
      </w:r>
      <w:r w:rsidRPr="006069CA">
        <w:t xml:space="preserve"> compost can reduce the bioavailability of heavy metals through adsorption, complexation and humification processes, even though total metal concentrations do not decrease during composting; thus, both total and extractable metal fractions should be monitored in compost quality assessment (Li </w:t>
      </w:r>
      <w:r w:rsidRPr="00363256">
        <w:rPr>
          <w:i/>
        </w:rPr>
        <w:t>et al</w:t>
      </w:r>
      <w:r w:rsidRPr="006069CA">
        <w:t xml:space="preserve">., 2021; Clemente </w:t>
      </w:r>
      <w:r w:rsidRPr="00363256">
        <w:rPr>
          <w:i/>
        </w:rPr>
        <w:t>et al</w:t>
      </w:r>
      <w:r w:rsidRPr="006069CA">
        <w:t xml:space="preserve">., 2020; </w:t>
      </w:r>
      <w:proofErr w:type="spellStart"/>
      <w:r w:rsidRPr="006069CA">
        <w:t>Ejileugha</w:t>
      </w:r>
      <w:proofErr w:type="spellEnd"/>
      <w:r w:rsidRPr="006069CA">
        <w:t xml:space="preserve"> </w:t>
      </w:r>
      <w:r w:rsidRPr="00363256">
        <w:rPr>
          <w:i/>
        </w:rPr>
        <w:t>et al</w:t>
      </w:r>
      <w:r w:rsidRPr="006069CA">
        <w:t>., 2024).</w:t>
      </w:r>
    </w:p>
    <w:p w14:paraId="442FF2F3" w14:textId="77777777" w:rsidR="0027743E" w:rsidRPr="00B71C68" w:rsidRDefault="0027743E" w:rsidP="0027743E">
      <w:pPr>
        <w:pStyle w:val="ListParagraph"/>
        <w:numPr>
          <w:ilvl w:val="0"/>
          <w:numId w:val="35"/>
        </w:numPr>
        <w:spacing w:before="100" w:beforeAutospacing="1" w:after="100" w:afterAutospacing="1"/>
        <w:ind w:left="426"/>
        <w:jc w:val="both"/>
        <w:rPr>
          <w:rFonts w:ascii="Arial" w:hAnsi="Arial" w:cs="Arial"/>
          <w:b/>
          <w:szCs w:val="24"/>
        </w:rPr>
      </w:pPr>
      <w:r w:rsidRPr="00B71C68">
        <w:rPr>
          <w:rFonts w:ascii="Arial" w:hAnsi="Arial" w:cs="Arial"/>
          <w:b/>
          <w:szCs w:val="24"/>
        </w:rPr>
        <w:t>CONCLUSION</w:t>
      </w:r>
    </w:p>
    <w:p w14:paraId="102D947A" w14:textId="70941D2D" w:rsidR="0027743E" w:rsidRPr="00546C45" w:rsidRDefault="00BD2700" w:rsidP="00546C45">
      <w:pPr>
        <w:spacing w:before="100" w:beforeAutospacing="1" w:after="100" w:afterAutospacing="1" w:line="276" w:lineRule="auto"/>
        <w:ind w:firstLine="720"/>
        <w:jc w:val="both"/>
        <w:rPr>
          <w:rFonts w:ascii="Arial" w:hAnsi="Arial" w:cs="Arial"/>
          <w:sz w:val="22"/>
          <w:szCs w:val="24"/>
        </w:rPr>
      </w:pPr>
      <w:r w:rsidRPr="00BD2700">
        <w:rPr>
          <w:rFonts w:ascii="Arial" w:hAnsi="Arial" w:cs="Arial"/>
        </w:rPr>
        <w:t xml:space="preserve">The successful bioconversion of agricultural residue by composting is mediated by the coordinated actions of a </w:t>
      </w:r>
      <w:r>
        <w:rPr>
          <w:rFonts w:ascii="Arial" w:hAnsi="Arial" w:cs="Arial"/>
        </w:rPr>
        <w:t>diverse group</w:t>
      </w:r>
      <w:r w:rsidRPr="00BD2700">
        <w:rPr>
          <w:rFonts w:ascii="Arial" w:hAnsi="Arial" w:cs="Arial"/>
        </w:rPr>
        <w:t xml:space="preserve"> of microbial communities that are capable of changing lignocellulosic biomass. Functionally assembled microbial consortia which include cellulolytic, hemicellulolytic, ligninolytic and nutrient transforming microorganisms consistently outperform single strain inoculants. This is accomplished by delivering complementary enzyme systems that speed up the degradation of cellulose, hemicellulose and lignin.</w:t>
      </w:r>
      <w:r w:rsidR="0027743E" w:rsidRPr="00C02590">
        <w:rPr>
          <w:rFonts w:ascii="Arial" w:hAnsi="Arial" w:cs="Arial"/>
        </w:rPr>
        <w:t xml:space="preserve"> </w:t>
      </w:r>
      <w:r>
        <w:rPr>
          <w:rFonts w:ascii="Arial" w:hAnsi="Arial" w:cs="Arial"/>
        </w:rPr>
        <w:t>T</w:t>
      </w:r>
      <w:r w:rsidR="0027743E" w:rsidRPr="00C02590">
        <w:rPr>
          <w:rFonts w:ascii="Arial" w:hAnsi="Arial" w:cs="Arial"/>
        </w:rPr>
        <w:t>hese consortia synergistically accelerate the breakdown of complex polymers such as cellulose, hemicellulose and lignin, leading to faster compost maturation and improved organic matter stabilization. Optimizing composting parameters, particularly temperature, aeration, moisture and the C:N ratio further enhances microbial activity and enzymatic efficiency. The resulting compost is nutrient-rich, structurally stable and capable of improving soil fertility, organic carbon content and nutrient cycling. Thus, microbial consortium-based composting represents a promising biotechnological strategy for transforming agricultural residues into valuable organic amendments that support sustainable soil management practices.</w:t>
      </w:r>
    </w:p>
    <w:p w14:paraId="3FA5B6CE" w14:textId="77777777" w:rsidR="0027743E" w:rsidRDefault="0027743E" w:rsidP="0027743E">
      <w:pPr>
        <w:pStyle w:val="AbstHead"/>
        <w:spacing w:after="0"/>
        <w:jc w:val="both"/>
        <w:rPr>
          <w:rFonts w:ascii="Arial" w:hAnsi="Arial" w:cs="Arial"/>
          <w:sz w:val="20"/>
        </w:rPr>
      </w:pPr>
      <w:r w:rsidRPr="00564259">
        <w:rPr>
          <w:rFonts w:ascii="Arial" w:hAnsi="Arial" w:cs="Arial"/>
          <w:sz w:val="20"/>
        </w:rPr>
        <w:t>REFERENCES</w:t>
      </w:r>
    </w:p>
    <w:p w14:paraId="31DCCB33" w14:textId="77777777" w:rsidR="009774C9" w:rsidRPr="00B73FD9" w:rsidRDefault="009774C9" w:rsidP="009774C9">
      <w:pPr>
        <w:pStyle w:val="ListParagraph"/>
        <w:numPr>
          <w:ilvl w:val="0"/>
          <w:numId w:val="37"/>
        </w:numPr>
        <w:spacing w:line="360" w:lineRule="auto"/>
        <w:jc w:val="both"/>
      </w:pPr>
      <w:r w:rsidRPr="006B3C66">
        <w:t>Abo-</w:t>
      </w:r>
      <w:proofErr w:type="spellStart"/>
      <w:r w:rsidRPr="006B3C66">
        <w:t>Donia</w:t>
      </w:r>
      <w:proofErr w:type="spellEnd"/>
      <w:r w:rsidRPr="006B3C66">
        <w:t>, F. M., Ahmed El-</w:t>
      </w:r>
      <w:proofErr w:type="spellStart"/>
      <w:r w:rsidRPr="006B3C66">
        <w:t>Shora</w:t>
      </w:r>
      <w:proofErr w:type="spellEnd"/>
      <w:r w:rsidRPr="006B3C66">
        <w:t>, M., Abd-</w:t>
      </w:r>
      <w:proofErr w:type="spellStart"/>
      <w:r w:rsidRPr="006B3C66">
        <w:t>Elaziz</w:t>
      </w:r>
      <w:proofErr w:type="spellEnd"/>
      <w:r w:rsidRPr="006B3C66">
        <w:t xml:space="preserve"> </w:t>
      </w:r>
      <w:proofErr w:type="spellStart"/>
      <w:r w:rsidRPr="006B3C66">
        <w:t>Riad</w:t>
      </w:r>
      <w:proofErr w:type="spellEnd"/>
      <w:r w:rsidRPr="006B3C66">
        <w:t xml:space="preserve">, W., </w:t>
      </w:r>
      <w:proofErr w:type="spellStart"/>
      <w:r w:rsidRPr="006B3C66">
        <w:t>Basuony</w:t>
      </w:r>
      <w:proofErr w:type="spellEnd"/>
      <w:r w:rsidRPr="006B3C66">
        <w:t xml:space="preserve"> </w:t>
      </w:r>
      <w:proofErr w:type="spellStart"/>
      <w:r w:rsidRPr="006B3C66">
        <w:t>Elgamal</w:t>
      </w:r>
      <w:proofErr w:type="spellEnd"/>
      <w:r w:rsidRPr="006B3C66">
        <w:t>, N., &amp; Abdel-</w:t>
      </w:r>
      <w:proofErr w:type="spellStart"/>
      <w:r w:rsidRPr="006B3C66">
        <w:t>Menaem</w:t>
      </w:r>
      <w:proofErr w:type="spellEnd"/>
      <w:r w:rsidRPr="006B3C66">
        <w:t xml:space="preserve"> El-Hamady, W. (2022). Improve the nutritional value and utilization of rice straw via an ensiling process with different sources of energy and nitrogen enrichment. </w:t>
      </w:r>
      <w:r w:rsidRPr="009774C9">
        <w:rPr>
          <w:i/>
          <w:iCs/>
        </w:rPr>
        <w:t>Journal of Applied Animal Research</w:t>
      </w:r>
      <w:r w:rsidRPr="006B3C66">
        <w:t>, </w:t>
      </w:r>
      <w:r w:rsidRPr="009774C9">
        <w:rPr>
          <w:i/>
          <w:iCs/>
        </w:rPr>
        <w:t>50</w:t>
      </w:r>
      <w:r w:rsidRPr="006B3C66">
        <w:t>(1), 333-341</w:t>
      </w:r>
      <w:r w:rsidRPr="00B73FD9">
        <w:t xml:space="preserve">. </w:t>
      </w:r>
      <w:hyperlink r:id="rId15" w:history="1">
        <w:r w:rsidRPr="00B73FD9">
          <w:rPr>
            <w:rStyle w:val="Hyperlink"/>
          </w:rPr>
          <w:t>https://doi.org/10.1080/09712119.2022.2076685</w:t>
        </w:r>
      </w:hyperlink>
      <w:r>
        <w:t xml:space="preserve"> </w:t>
      </w:r>
    </w:p>
    <w:p w14:paraId="7E6C40F6" w14:textId="77777777" w:rsidR="009774C9" w:rsidRDefault="009774C9" w:rsidP="009774C9">
      <w:pPr>
        <w:pStyle w:val="ListParagraph"/>
        <w:numPr>
          <w:ilvl w:val="0"/>
          <w:numId w:val="37"/>
        </w:numPr>
        <w:spacing w:line="360" w:lineRule="auto"/>
        <w:jc w:val="both"/>
      </w:pPr>
      <w:r w:rsidRPr="005F18D1">
        <w:t xml:space="preserve">Aguilar-Paredes, A., Valdés, G., Araneda, N., </w:t>
      </w:r>
      <w:proofErr w:type="spellStart"/>
      <w:r w:rsidRPr="005F18D1">
        <w:t>Valdebenito</w:t>
      </w:r>
      <w:proofErr w:type="spellEnd"/>
      <w:r w:rsidRPr="005F18D1">
        <w:t xml:space="preserve">, E., Hansen, F., &amp; </w:t>
      </w:r>
      <w:proofErr w:type="spellStart"/>
      <w:r w:rsidRPr="005F18D1">
        <w:t>Nuti</w:t>
      </w:r>
      <w:proofErr w:type="spellEnd"/>
      <w:r w:rsidRPr="005F18D1">
        <w:t>, M. (2023). Microbial Community in the Composting Process and Its Positive Impact on the Soil Biota in Sustainable Agriculture. </w:t>
      </w:r>
      <w:r w:rsidRPr="009774C9">
        <w:rPr>
          <w:i/>
          <w:iCs/>
        </w:rPr>
        <w:t>Agronomy</w:t>
      </w:r>
      <w:r w:rsidRPr="005F18D1">
        <w:t>, </w:t>
      </w:r>
      <w:r w:rsidRPr="009774C9">
        <w:rPr>
          <w:i/>
          <w:iCs/>
        </w:rPr>
        <w:t>13</w:t>
      </w:r>
      <w:r w:rsidRPr="005F18D1">
        <w:t xml:space="preserve">(2), 542. </w:t>
      </w:r>
      <w:hyperlink r:id="rId16" w:history="1">
        <w:r w:rsidRPr="000423DB">
          <w:rPr>
            <w:rStyle w:val="Hyperlink"/>
          </w:rPr>
          <w:t>https://doi.org/10.3390/agronomy13020542</w:t>
        </w:r>
      </w:hyperlink>
      <w:r>
        <w:t xml:space="preserve"> </w:t>
      </w:r>
    </w:p>
    <w:p w14:paraId="1A050A9E" w14:textId="77777777" w:rsidR="009774C9" w:rsidRPr="00B73FD9" w:rsidRDefault="009774C9" w:rsidP="009774C9">
      <w:pPr>
        <w:pStyle w:val="ListParagraph"/>
        <w:numPr>
          <w:ilvl w:val="0"/>
          <w:numId w:val="37"/>
        </w:numPr>
        <w:spacing w:line="360" w:lineRule="auto"/>
        <w:jc w:val="both"/>
      </w:pPr>
      <w:proofErr w:type="spellStart"/>
      <w:r w:rsidRPr="00EB083C">
        <w:t>Alavijeh</w:t>
      </w:r>
      <w:proofErr w:type="spellEnd"/>
      <w:r w:rsidRPr="00EB083C">
        <w:t xml:space="preserve">, R. S., </w:t>
      </w:r>
      <w:proofErr w:type="spellStart"/>
      <w:r w:rsidRPr="00EB083C">
        <w:t>Shahvandi</w:t>
      </w:r>
      <w:proofErr w:type="spellEnd"/>
      <w:r w:rsidRPr="00EB083C">
        <w:t xml:space="preserve">, A., Okoro, O. V., </w:t>
      </w:r>
      <w:proofErr w:type="spellStart"/>
      <w:r w:rsidRPr="00EB083C">
        <w:t>Denayer</w:t>
      </w:r>
      <w:proofErr w:type="spellEnd"/>
      <w:r w:rsidRPr="00EB083C">
        <w:t xml:space="preserve">, J. F., &amp; Karimi, K. (2023). Biorefining of corn </w:t>
      </w:r>
      <w:proofErr w:type="spellStart"/>
      <w:r w:rsidRPr="00EB083C">
        <w:t>stover</w:t>
      </w:r>
      <w:proofErr w:type="spellEnd"/>
      <w:r w:rsidRPr="00EB083C">
        <w:t xml:space="preserve"> for efficient production of bioethanol, biodiesel, biomethane, and value-added byproducts. </w:t>
      </w:r>
      <w:r w:rsidRPr="009774C9">
        <w:rPr>
          <w:i/>
          <w:iCs/>
        </w:rPr>
        <w:t>Energy Conversion and Management</w:t>
      </w:r>
      <w:r w:rsidRPr="00EB083C">
        <w:t>, </w:t>
      </w:r>
      <w:r w:rsidRPr="009774C9">
        <w:rPr>
          <w:i/>
          <w:iCs/>
        </w:rPr>
        <w:t>283</w:t>
      </w:r>
      <w:r w:rsidRPr="00EB083C">
        <w:t>, 116877.</w:t>
      </w:r>
      <w:r>
        <w:t xml:space="preserve"> </w:t>
      </w:r>
      <w:hyperlink r:id="rId17" w:history="1">
        <w:r w:rsidRPr="000423DB">
          <w:rPr>
            <w:rStyle w:val="Hyperlink"/>
          </w:rPr>
          <w:t>https://doi.org/10.1016/j.enconman.2023.116877</w:t>
        </w:r>
      </w:hyperlink>
      <w:r>
        <w:t xml:space="preserve"> </w:t>
      </w:r>
    </w:p>
    <w:p w14:paraId="4E74FC94" w14:textId="77777777" w:rsidR="009774C9" w:rsidRDefault="009774C9" w:rsidP="009774C9">
      <w:pPr>
        <w:pStyle w:val="ListParagraph"/>
        <w:numPr>
          <w:ilvl w:val="0"/>
          <w:numId w:val="37"/>
        </w:numPr>
        <w:spacing w:line="360" w:lineRule="auto"/>
        <w:jc w:val="both"/>
      </w:pPr>
      <w:proofErr w:type="spellStart"/>
      <w:r w:rsidRPr="0028212F">
        <w:lastRenderedPageBreak/>
        <w:t>Ayilara</w:t>
      </w:r>
      <w:proofErr w:type="spellEnd"/>
      <w:r w:rsidRPr="0028212F">
        <w:t xml:space="preserve">, M. S., Olanrewaju, O. S., Babalola, O. O., &amp; </w:t>
      </w:r>
      <w:proofErr w:type="spellStart"/>
      <w:r w:rsidRPr="0028212F">
        <w:t>Odeyemi</w:t>
      </w:r>
      <w:proofErr w:type="spellEnd"/>
      <w:r w:rsidRPr="0028212F">
        <w:t xml:space="preserve">, O. (2020). Waste Management through Composting: Challenges and Potentials. Sustainability, 12(11), 4456. </w:t>
      </w:r>
      <w:hyperlink r:id="rId18" w:history="1">
        <w:r w:rsidRPr="000423DB">
          <w:rPr>
            <w:rStyle w:val="Hyperlink"/>
          </w:rPr>
          <w:t>https://doi.org/10.3390/su12114456</w:t>
        </w:r>
      </w:hyperlink>
      <w:r>
        <w:t xml:space="preserve"> </w:t>
      </w:r>
    </w:p>
    <w:p w14:paraId="790AA7E8" w14:textId="77777777" w:rsidR="009774C9" w:rsidRPr="007D511B" w:rsidRDefault="009774C9" w:rsidP="009774C9">
      <w:pPr>
        <w:pStyle w:val="ListParagraph"/>
        <w:numPr>
          <w:ilvl w:val="0"/>
          <w:numId w:val="37"/>
        </w:numPr>
        <w:spacing w:line="360" w:lineRule="auto"/>
        <w:jc w:val="both"/>
      </w:pPr>
      <w:r w:rsidRPr="007D511B">
        <w:t xml:space="preserve">Becerra-Pérez, L. A., </w:t>
      </w:r>
      <w:proofErr w:type="spellStart"/>
      <w:r w:rsidRPr="007D511B">
        <w:t>Rincón</w:t>
      </w:r>
      <w:proofErr w:type="spellEnd"/>
      <w:r w:rsidRPr="007D511B">
        <w:t>, L., &amp; Posada-Duque, J. A. (2022). Logistics and Costs of Agricultural Residues for Cellulosic Ethanol Production. </w:t>
      </w:r>
      <w:r w:rsidRPr="009774C9">
        <w:rPr>
          <w:i/>
          <w:iCs/>
        </w:rPr>
        <w:t>Energies</w:t>
      </w:r>
      <w:r w:rsidRPr="007D511B">
        <w:t>, </w:t>
      </w:r>
      <w:r w:rsidRPr="009774C9">
        <w:rPr>
          <w:i/>
          <w:iCs/>
        </w:rPr>
        <w:t>15</w:t>
      </w:r>
      <w:r w:rsidRPr="007D511B">
        <w:t xml:space="preserve">(12), 4480. </w:t>
      </w:r>
      <w:hyperlink r:id="rId19" w:history="1">
        <w:r w:rsidRPr="007D511B">
          <w:rPr>
            <w:rStyle w:val="Hyperlink"/>
          </w:rPr>
          <w:t>https://doi.org/10.3390/en15124480</w:t>
        </w:r>
      </w:hyperlink>
      <w:r>
        <w:t xml:space="preserve"> </w:t>
      </w:r>
    </w:p>
    <w:p w14:paraId="28D86FEF" w14:textId="77777777" w:rsidR="009774C9" w:rsidRDefault="009774C9" w:rsidP="009774C9">
      <w:pPr>
        <w:pStyle w:val="ListParagraph"/>
        <w:numPr>
          <w:ilvl w:val="0"/>
          <w:numId w:val="37"/>
        </w:numPr>
        <w:spacing w:line="360" w:lineRule="auto"/>
        <w:jc w:val="both"/>
      </w:pPr>
      <w:r w:rsidRPr="00C62E9E">
        <w:t>Chen, D., Ye, X., Jiang, Y., Xiao, W., Zhang, Q., Zhao, S., ... &amp; Hu, J. (2022). Continuously applying compost for three years alleviated soil acidity and heavy metal bioavailability in a soil-asparagus lettuce system. </w:t>
      </w:r>
      <w:r w:rsidRPr="009774C9">
        <w:rPr>
          <w:i/>
          <w:iCs/>
        </w:rPr>
        <w:t>Frontiers in Plant Science</w:t>
      </w:r>
      <w:r w:rsidRPr="00C62E9E">
        <w:t>, </w:t>
      </w:r>
      <w:r w:rsidRPr="009774C9">
        <w:rPr>
          <w:i/>
          <w:iCs/>
        </w:rPr>
        <w:t>13</w:t>
      </w:r>
      <w:r w:rsidRPr="00C62E9E">
        <w:t>, 972789.</w:t>
      </w:r>
      <w:r>
        <w:t xml:space="preserve"> </w:t>
      </w:r>
      <w:hyperlink r:id="rId20" w:history="1">
        <w:r w:rsidRPr="000423DB">
          <w:rPr>
            <w:rStyle w:val="Hyperlink"/>
          </w:rPr>
          <w:t>https://doi.org/10.3389/fpls.2022.972789</w:t>
        </w:r>
      </w:hyperlink>
      <w:r>
        <w:t xml:space="preserve"> </w:t>
      </w:r>
    </w:p>
    <w:p w14:paraId="124AF905" w14:textId="77777777" w:rsidR="009774C9" w:rsidRPr="00524830" w:rsidRDefault="009774C9" w:rsidP="009774C9">
      <w:pPr>
        <w:pStyle w:val="ListParagraph"/>
        <w:numPr>
          <w:ilvl w:val="0"/>
          <w:numId w:val="37"/>
        </w:numPr>
        <w:spacing w:line="360" w:lineRule="auto"/>
        <w:jc w:val="both"/>
      </w:pPr>
      <w:r w:rsidRPr="00C7023A">
        <w:t>Chen, M., Li, Q., Liu, C., Meng, E., &amp; Zhang, B. (2025). Microbial degradation of lignocellulose for sustainable biomass utilization and future research perspectives. </w:t>
      </w:r>
      <w:r w:rsidRPr="009774C9">
        <w:rPr>
          <w:i/>
          <w:iCs/>
        </w:rPr>
        <w:t>Sustainability</w:t>
      </w:r>
      <w:r w:rsidRPr="00C7023A">
        <w:t>, </w:t>
      </w:r>
      <w:r w:rsidRPr="009774C9">
        <w:rPr>
          <w:i/>
          <w:iCs/>
        </w:rPr>
        <w:t>17</w:t>
      </w:r>
      <w:r w:rsidRPr="00C7023A">
        <w:t>(9), 4223.</w:t>
      </w:r>
      <w:r>
        <w:t xml:space="preserve"> </w:t>
      </w:r>
      <w:hyperlink r:id="rId21" w:tgtFrame="_new" w:history="1">
        <w:r w:rsidRPr="00524830">
          <w:rPr>
            <w:rStyle w:val="Hyperlink"/>
          </w:rPr>
          <w:t>https://doi.org/10.3390/su17094223</w:t>
        </w:r>
      </w:hyperlink>
    </w:p>
    <w:p w14:paraId="613FFC72" w14:textId="77777777" w:rsidR="009774C9" w:rsidRDefault="009774C9" w:rsidP="009774C9">
      <w:pPr>
        <w:pStyle w:val="ListParagraph"/>
        <w:numPr>
          <w:ilvl w:val="0"/>
          <w:numId w:val="37"/>
        </w:numPr>
        <w:spacing w:line="360" w:lineRule="auto"/>
        <w:jc w:val="both"/>
      </w:pPr>
      <w:r w:rsidRPr="00864535">
        <w:t>Cheng, J., Gao, X., Yan, Z., Li, G., Luo, W., &amp; Xu, Z. (2023). Intermittent aeration to reduce gaseous emission and advance humification in food waste digestate composting: Performance and mechanisms. </w:t>
      </w:r>
      <w:r w:rsidRPr="009774C9">
        <w:rPr>
          <w:i/>
          <w:iCs/>
        </w:rPr>
        <w:t>Bioresource Technology</w:t>
      </w:r>
      <w:r w:rsidRPr="00864535">
        <w:t>, </w:t>
      </w:r>
      <w:r w:rsidRPr="009774C9">
        <w:rPr>
          <w:i/>
          <w:iCs/>
        </w:rPr>
        <w:t>371</w:t>
      </w:r>
      <w:r w:rsidRPr="00864535">
        <w:t>, 128644.</w:t>
      </w:r>
      <w:r>
        <w:t xml:space="preserve"> </w:t>
      </w:r>
      <w:hyperlink r:id="rId22" w:history="1">
        <w:r w:rsidRPr="000423DB">
          <w:rPr>
            <w:rStyle w:val="Hyperlink"/>
          </w:rPr>
          <w:t>https://doi.org/10.1016/j.biortech.2023.128644</w:t>
        </w:r>
      </w:hyperlink>
      <w:r>
        <w:t xml:space="preserve"> </w:t>
      </w:r>
    </w:p>
    <w:p w14:paraId="6EC49420" w14:textId="77777777" w:rsidR="009774C9" w:rsidRDefault="009774C9" w:rsidP="009774C9">
      <w:pPr>
        <w:pStyle w:val="ListParagraph"/>
        <w:numPr>
          <w:ilvl w:val="0"/>
          <w:numId w:val="37"/>
        </w:numPr>
        <w:spacing w:line="360" w:lineRule="auto"/>
        <w:jc w:val="both"/>
      </w:pPr>
      <w:r w:rsidRPr="00922B45">
        <w:t xml:space="preserve">Clemente, R., </w:t>
      </w:r>
      <w:proofErr w:type="spellStart"/>
      <w:r w:rsidRPr="00922B45">
        <w:t>Sáez</w:t>
      </w:r>
      <w:proofErr w:type="spellEnd"/>
      <w:r w:rsidRPr="00922B45">
        <w:t>-Tovar, J. A., &amp; Bernal, M. P. (2020). Extractability, distribution among different particle size fractions, and phytotoxicity of Cu and Zn in composts made with the separated solid fraction of pig slurry. </w:t>
      </w:r>
      <w:r w:rsidRPr="009774C9">
        <w:rPr>
          <w:i/>
          <w:iCs/>
        </w:rPr>
        <w:t>Frontiers in Sustainable Food Systems</w:t>
      </w:r>
      <w:r w:rsidRPr="00922B45">
        <w:t>, </w:t>
      </w:r>
      <w:r w:rsidRPr="009774C9">
        <w:rPr>
          <w:i/>
          <w:iCs/>
        </w:rPr>
        <w:t>4</w:t>
      </w:r>
      <w:r w:rsidRPr="00922B45">
        <w:t>, 2.</w:t>
      </w:r>
      <w:r>
        <w:t xml:space="preserve"> </w:t>
      </w:r>
      <w:hyperlink r:id="rId23" w:history="1">
        <w:r w:rsidRPr="000D1299">
          <w:rPr>
            <w:rStyle w:val="Hyperlink"/>
          </w:rPr>
          <w:t>https://doi.org/10.3389/fsufs.2020.00002</w:t>
        </w:r>
      </w:hyperlink>
      <w:r>
        <w:t xml:space="preserve"> </w:t>
      </w:r>
    </w:p>
    <w:p w14:paraId="0673935A" w14:textId="77777777" w:rsidR="009774C9" w:rsidRDefault="009774C9" w:rsidP="009774C9">
      <w:pPr>
        <w:pStyle w:val="ListParagraph"/>
        <w:numPr>
          <w:ilvl w:val="0"/>
          <w:numId w:val="37"/>
        </w:numPr>
        <w:spacing w:line="360" w:lineRule="auto"/>
        <w:jc w:val="both"/>
      </w:pPr>
      <w:proofErr w:type="spellStart"/>
      <w:r w:rsidRPr="00F47144">
        <w:t>Ejileugha</w:t>
      </w:r>
      <w:proofErr w:type="spellEnd"/>
      <w:r w:rsidRPr="00F47144">
        <w:t xml:space="preserve">, C., </w:t>
      </w:r>
      <w:proofErr w:type="spellStart"/>
      <w:r w:rsidRPr="00F47144">
        <w:t>Onyegbule</w:t>
      </w:r>
      <w:proofErr w:type="spellEnd"/>
      <w:r w:rsidRPr="00F47144">
        <w:t xml:space="preserve">, U. O., &amp; </w:t>
      </w:r>
      <w:proofErr w:type="spellStart"/>
      <w:r w:rsidRPr="00F47144">
        <w:t>Osuoha</w:t>
      </w:r>
      <w:proofErr w:type="spellEnd"/>
      <w:r w:rsidRPr="00F47144">
        <w:t>, J. O. (2024). Use of additives in composting promotes passivation and reduction in bioavailability of heavy metals (HMS) in compost. </w:t>
      </w:r>
      <w:r w:rsidRPr="009774C9">
        <w:rPr>
          <w:i/>
          <w:iCs/>
        </w:rPr>
        <w:t>Reviews of Environmental Contamination and Toxicology</w:t>
      </w:r>
      <w:r w:rsidRPr="00F47144">
        <w:t>, </w:t>
      </w:r>
      <w:r w:rsidRPr="009774C9">
        <w:rPr>
          <w:i/>
          <w:iCs/>
        </w:rPr>
        <w:t>262</w:t>
      </w:r>
      <w:r w:rsidRPr="00F47144">
        <w:t>(1), 2.</w:t>
      </w:r>
      <w:r>
        <w:t xml:space="preserve"> </w:t>
      </w:r>
      <w:hyperlink r:id="rId24" w:history="1">
        <w:r w:rsidRPr="000423DB">
          <w:rPr>
            <w:rStyle w:val="Hyperlink"/>
          </w:rPr>
          <w:t>https://doi.org/10.1007/s44169-023-00055-9</w:t>
        </w:r>
      </w:hyperlink>
      <w:r>
        <w:t xml:space="preserve"> </w:t>
      </w:r>
    </w:p>
    <w:p w14:paraId="1AE8A3C3" w14:textId="77777777" w:rsidR="009774C9" w:rsidRDefault="009774C9" w:rsidP="009774C9">
      <w:pPr>
        <w:pStyle w:val="ListParagraph"/>
        <w:numPr>
          <w:ilvl w:val="0"/>
          <w:numId w:val="37"/>
        </w:numPr>
        <w:spacing w:line="360" w:lineRule="auto"/>
        <w:jc w:val="both"/>
      </w:pPr>
      <w:r w:rsidRPr="00C35669">
        <w:t xml:space="preserve">Feng, X., </w:t>
      </w:r>
      <w:proofErr w:type="spellStart"/>
      <w:r w:rsidRPr="00C35669">
        <w:t>Qiu</w:t>
      </w:r>
      <w:proofErr w:type="spellEnd"/>
      <w:r w:rsidRPr="00C35669">
        <w:t>, M., &amp; Zhang, L. (2024). Construction of lignocellulose-degrading compound microbial inoculum and its effects on green waste composting. </w:t>
      </w:r>
      <w:r w:rsidRPr="009774C9">
        <w:rPr>
          <w:i/>
          <w:iCs/>
        </w:rPr>
        <w:t>Journal of environmental management</w:t>
      </w:r>
      <w:r w:rsidRPr="00C35669">
        <w:t>, </w:t>
      </w:r>
      <w:r w:rsidRPr="009774C9">
        <w:rPr>
          <w:i/>
          <w:iCs/>
        </w:rPr>
        <w:t>370</w:t>
      </w:r>
      <w:r w:rsidRPr="00C35669">
        <w:t>, 122502.</w:t>
      </w:r>
    </w:p>
    <w:p w14:paraId="69DF2EED" w14:textId="77777777" w:rsidR="009774C9" w:rsidRDefault="0006508B" w:rsidP="009774C9">
      <w:pPr>
        <w:pStyle w:val="ListParagraph"/>
        <w:numPr>
          <w:ilvl w:val="1"/>
          <w:numId w:val="37"/>
        </w:numPr>
        <w:spacing w:line="360" w:lineRule="auto"/>
        <w:jc w:val="both"/>
      </w:pPr>
      <w:hyperlink r:id="rId25" w:history="1">
        <w:r w:rsidR="009774C9" w:rsidRPr="005D6228">
          <w:rPr>
            <w:rStyle w:val="Hyperlink"/>
          </w:rPr>
          <w:t>https://doi.org/10.1016/j.jenvman.2024.122502</w:t>
        </w:r>
      </w:hyperlink>
    </w:p>
    <w:p w14:paraId="3218380E" w14:textId="77777777" w:rsidR="009774C9" w:rsidRDefault="009774C9" w:rsidP="009774C9">
      <w:pPr>
        <w:pStyle w:val="ListParagraph"/>
        <w:numPr>
          <w:ilvl w:val="0"/>
          <w:numId w:val="37"/>
        </w:numPr>
        <w:spacing w:line="360" w:lineRule="auto"/>
        <w:jc w:val="both"/>
      </w:pPr>
      <w:proofErr w:type="spellStart"/>
      <w:r w:rsidRPr="004255E2">
        <w:t>Finore</w:t>
      </w:r>
      <w:proofErr w:type="spellEnd"/>
      <w:r w:rsidRPr="004255E2">
        <w:t xml:space="preserve">, I., </w:t>
      </w:r>
      <w:proofErr w:type="spellStart"/>
      <w:r w:rsidRPr="004255E2">
        <w:t>Feola</w:t>
      </w:r>
      <w:proofErr w:type="spellEnd"/>
      <w:r w:rsidRPr="004255E2">
        <w:t xml:space="preserve">, A., Russo, L., </w:t>
      </w:r>
      <w:proofErr w:type="spellStart"/>
      <w:r w:rsidRPr="004255E2">
        <w:t>Cattaneo</w:t>
      </w:r>
      <w:proofErr w:type="spellEnd"/>
      <w:r w:rsidRPr="004255E2">
        <w:t xml:space="preserve">, A., Di Donato, P., Nicolaus, B., ... &amp; Romano, I. (2023). Thermophilic bacteria and their </w:t>
      </w:r>
      <w:proofErr w:type="spellStart"/>
      <w:r w:rsidRPr="004255E2">
        <w:t>thermozymes</w:t>
      </w:r>
      <w:proofErr w:type="spellEnd"/>
      <w:r w:rsidRPr="004255E2">
        <w:t xml:space="preserve"> in composting processes: a review. </w:t>
      </w:r>
      <w:r w:rsidRPr="009774C9">
        <w:rPr>
          <w:i/>
          <w:iCs/>
        </w:rPr>
        <w:t>Chemical and Biological Technologies in Agriculture</w:t>
      </w:r>
      <w:r w:rsidRPr="004255E2">
        <w:t>, </w:t>
      </w:r>
      <w:r w:rsidRPr="009774C9">
        <w:rPr>
          <w:i/>
          <w:iCs/>
        </w:rPr>
        <w:t>10</w:t>
      </w:r>
      <w:r w:rsidRPr="004255E2">
        <w:t>(1), 7.</w:t>
      </w:r>
      <w:r>
        <w:t xml:space="preserve"> </w:t>
      </w:r>
      <w:hyperlink r:id="rId26" w:history="1">
        <w:r w:rsidRPr="000423DB">
          <w:rPr>
            <w:rStyle w:val="Hyperlink"/>
          </w:rPr>
          <w:t>https://doi.org/10.1186/s40538-023-00381-z</w:t>
        </w:r>
      </w:hyperlink>
      <w:r>
        <w:t xml:space="preserve"> </w:t>
      </w:r>
    </w:p>
    <w:p w14:paraId="662B3186" w14:textId="77777777" w:rsidR="009774C9" w:rsidRDefault="009774C9" w:rsidP="009774C9">
      <w:pPr>
        <w:pStyle w:val="ListParagraph"/>
        <w:numPr>
          <w:ilvl w:val="0"/>
          <w:numId w:val="37"/>
        </w:numPr>
        <w:spacing w:line="360" w:lineRule="auto"/>
        <w:jc w:val="both"/>
      </w:pPr>
      <w:proofErr w:type="spellStart"/>
      <w:r w:rsidRPr="00626BC1">
        <w:t>Freches</w:t>
      </w:r>
      <w:proofErr w:type="spellEnd"/>
      <w:r w:rsidRPr="00626BC1">
        <w:t xml:space="preserve">, A., &amp; </w:t>
      </w:r>
      <w:proofErr w:type="spellStart"/>
      <w:r w:rsidRPr="00626BC1">
        <w:t>Fradinho</w:t>
      </w:r>
      <w:proofErr w:type="spellEnd"/>
      <w:r w:rsidRPr="00626BC1">
        <w:t xml:space="preserve">, J. C. (2024). The biotechnological potential of the </w:t>
      </w:r>
      <w:proofErr w:type="spellStart"/>
      <w:r w:rsidRPr="00626BC1">
        <w:t>Chloroflexota</w:t>
      </w:r>
      <w:proofErr w:type="spellEnd"/>
      <w:r w:rsidRPr="00626BC1">
        <w:t xml:space="preserve"> phylum. </w:t>
      </w:r>
      <w:r w:rsidRPr="009774C9">
        <w:rPr>
          <w:i/>
          <w:iCs/>
        </w:rPr>
        <w:t>Applied and Environmental Microbiology</w:t>
      </w:r>
      <w:r w:rsidRPr="00626BC1">
        <w:t>, </w:t>
      </w:r>
      <w:r w:rsidRPr="009774C9">
        <w:rPr>
          <w:i/>
          <w:iCs/>
        </w:rPr>
        <w:t>90</w:t>
      </w:r>
      <w:r w:rsidRPr="00626BC1">
        <w:t>(6), e01756-23.</w:t>
      </w:r>
      <w:r>
        <w:t xml:space="preserve"> </w:t>
      </w:r>
      <w:hyperlink r:id="rId27" w:history="1">
        <w:r w:rsidRPr="000423DB">
          <w:rPr>
            <w:rStyle w:val="Hyperlink"/>
          </w:rPr>
          <w:t>https://doi.org/10.1128/aem.01756-23</w:t>
        </w:r>
      </w:hyperlink>
      <w:r>
        <w:t xml:space="preserve"> </w:t>
      </w:r>
    </w:p>
    <w:p w14:paraId="2217C39D" w14:textId="77777777" w:rsidR="009774C9" w:rsidRDefault="009774C9" w:rsidP="009774C9">
      <w:pPr>
        <w:pStyle w:val="ListParagraph"/>
        <w:numPr>
          <w:ilvl w:val="0"/>
          <w:numId w:val="37"/>
        </w:numPr>
        <w:spacing w:line="360" w:lineRule="auto"/>
        <w:jc w:val="both"/>
      </w:pPr>
      <w:r w:rsidRPr="001E764D">
        <w:lastRenderedPageBreak/>
        <w:t xml:space="preserve">Fu, T., Tang, J., Wu, J., Shen, C., </w:t>
      </w:r>
      <w:proofErr w:type="spellStart"/>
      <w:r w:rsidRPr="001E764D">
        <w:t>Shangguan</w:t>
      </w:r>
      <w:proofErr w:type="spellEnd"/>
      <w:r w:rsidRPr="001E764D">
        <w:t xml:space="preserve">, H., Zeng, R. J., &amp; Zhou, S. (2022). Alternating electric field enables </w:t>
      </w:r>
      <w:proofErr w:type="spellStart"/>
      <w:r w:rsidRPr="001E764D">
        <w:t>hyperthermophilic</w:t>
      </w:r>
      <w:proofErr w:type="spellEnd"/>
      <w:r w:rsidRPr="001E764D">
        <w:t xml:space="preserve"> composting of organic solid wastes. </w:t>
      </w:r>
      <w:r w:rsidRPr="009774C9">
        <w:rPr>
          <w:i/>
          <w:iCs/>
        </w:rPr>
        <w:t>Science of the Total Environment</w:t>
      </w:r>
      <w:r w:rsidRPr="001E764D">
        <w:t>, </w:t>
      </w:r>
      <w:r w:rsidRPr="009774C9">
        <w:rPr>
          <w:i/>
          <w:iCs/>
        </w:rPr>
        <w:t>828</w:t>
      </w:r>
      <w:r w:rsidRPr="001E764D">
        <w:t>, 154439.</w:t>
      </w:r>
      <w:r>
        <w:t xml:space="preserve"> </w:t>
      </w:r>
      <w:hyperlink r:id="rId28" w:history="1">
        <w:r w:rsidRPr="000423DB">
          <w:rPr>
            <w:rStyle w:val="Hyperlink"/>
          </w:rPr>
          <w:t>https://doi.org/10.1016/j.scitotenv.2022.154439</w:t>
        </w:r>
      </w:hyperlink>
      <w:r>
        <w:t xml:space="preserve"> </w:t>
      </w:r>
    </w:p>
    <w:p w14:paraId="04B82106" w14:textId="77777777" w:rsidR="009774C9" w:rsidRDefault="009774C9" w:rsidP="009774C9">
      <w:pPr>
        <w:pStyle w:val="ListParagraph"/>
        <w:numPr>
          <w:ilvl w:val="0"/>
          <w:numId w:val="37"/>
        </w:numPr>
        <w:spacing w:line="360" w:lineRule="auto"/>
        <w:jc w:val="both"/>
      </w:pPr>
      <w:proofErr w:type="spellStart"/>
      <w:r w:rsidRPr="00423D26">
        <w:t>Ghorbani</w:t>
      </w:r>
      <w:proofErr w:type="spellEnd"/>
      <w:r w:rsidRPr="00423D26">
        <w:t xml:space="preserve">, M., &amp; </w:t>
      </w:r>
      <w:proofErr w:type="spellStart"/>
      <w:r w:rsidRPr="00423D26">
        <w:t>Amirahmadi</w:t>
      </w:r>
      <w:proofErr w:type="spellEnd"/>
      <w:r w:rsidRPr="00423D26">
        <w:t>, E. (2024). Insights into soil and biochar variations and their contribution to soil aggregate status–A meta-analysis. </w:t>
      </w:r>
      <w:r w:rsidRPr="009774C9">
        <w:rPr>
          <w:i/>
          <w:iCs/>
        </w:rPr>
        <w:t>Soil and Tillage Research</w:t>
      </w:r>
      <w:r w:rsidRPr="00423D26">
        <w:t>, </w:t>
      </w:r>
      <w:r w:rsidRPr="009774C9">
        <w:rPr>
          <w:i/>
          <w:iCs/>
        </w:rPr>
        <w:t>244</w:t>
      </w:r>
      <w:r w:rsidRPr="00423D26">
        <w:t>, 106282.</w:t>
      </w:r>
      <w:r>
        <w:t xml:space="preserve"> </w:t>
      </w:r>
      <w:hyperlink r:id="rId29" w:history="1">
        <w:r w:rsidRPr="000423DB">
          <w:rPr>
            <w:rStyle w:val="Hyperlink"/>
          </w:rPr>
          <w:t>https://doi.org/10.1016/j.still.2024.106282</w:t>
        </w:r>
      </w:hyperlink>
      <w:r>
        <w:t xml:space="preserve"> </w:t>
      </w:r>
    </w:p>
    <w:p w14:paraId="26D7A57E" w14:textId="77777777" w:rsidR="009774C9" w:rsidRDefault="009774C9" w:rsidP="009774C9">
      <w:pPr>
        <w:pStyle w:val="ListParagraph"/>
        <w:numPr>
          <w:ilvl w:val="0"/>
          <w:numId w:val="37"/>
        </w:numPr>
        <w:spacing w:line="360" w:lineRule="auto"/>
        <w:jc w:val="both"/>
      </w:pPr>
      <w:r w:rsidRPr="00D6162D">
        <w:t xml:space="preserve">Gil-Martínez, M., </w:t>
      </w:r>
      <w:proofErr w:type="spellStart"/>
      <w:r w:rsidRPr="00D6162D">
        <w:t>Madejón</w:t>
      </w:r>
      <w:proofErr w:type="spellEnd"/>
      <w:r w:rsidRPr="00D6162D">
        <w:t xml:space="preserve">, P., </w:t>
      </w:r>
      <w:proofErr w:type="spellStart"/>
      <w:r w:rsidRPr="00D6162D">
        <w:t>Madejón</w:t>
      </w:r>
      <w:proofErr w:type="spellEnd"/>
      <w:r w:rsidRPr="00D6162D">
        <w:t>, E., &amp; de Sosa, L. L. (2025). Compost and vegetation cover drive soil fertility, microbial activity, and community in organic farming soils. </w:t>
      </w:r>
      <w:r w:rsidRPr="009774C9">
        <w:rPr>
          <w:i/>
          <w:iCs/>
        </w:rPr>
        <w:t>Plant and Soil</w:t>
      </w:r>
      <w:r w:rsidRPr="00D6162D">
        <w:t>, 1-23.</w:t>
      </w:r>
      <w:r>
        <w:t xml:space="preserve"> </w:t>
      </w:r>
      <w:hyperlink r:id="rId30" w:history="1">
        <w:r w:rsidRPr="000423DB">
          <w:rPr>
            <w:rStyle w:val="Hyperlink"/>
          </w:rPr>
          <w:t>https://doi.org/10.1007/s11104-025-07720-z</w:t>
        </w:r>
      </w:hyperlink>
      <w:r>
        <w:t xml:space="preserve"> </w:t>
      </w:r>
    </w:p>
    <w:p w14:paraId="39F4A319" w14:textId="77777777" w:rsidR="009774C9" w:rsidRDefault="009774C9" w:rsidP="009774C9">
      <w:pPr>
        <w:pStyle w:val="ListParagraph"/>
        <w:numPr>
          <w:ilvl w:val="0"/>
          <w:numId w:val="37"/>
        </w:numPr>
        <w:spacing w:line="360" w:lineRule="auto"/>
        <w:jc w:val="both"/>
      </w:pPr>
      <w:proofErr w:type="spellStart"/>
      <w:r w:rsidRPr="004364E8">
        <w:t>Gurusamy</w:t>
      </w:r>
      <w:proofErr w:type="spellEnd"/>
      <w:r w:rsidRPr="004364E8">
        <w:t xml:space="preserve">, N. N., Puffer, N., De </w:t>
      </w:r>
      <w:proofErr w:type="spellStart"/>
      <w:r w:rsidRPr="004364E8">
        <w:t>Jongh</w:t>
      </w:r>
      <w:proofErr w:type="spellEnd"/>
      <w:r w:rsidRPr="004364E8">
        <w:t xml:space="preserve">, C., Gil, C. R., &amp; </w:t>
      </w:r>
      <w:proofErr w:type="spellStart"/>
      <w:r w:rsidRPr="004364E8">
        <w:t>Aspray</w:t>
      </w:r>
      <w:proofErr w:type="spellEnd"/>
      <w:r w:rsidRPr="004364E8">
        <w:t>, T. J. (2021). Effect of initial moisture content and sample storage duration on compost stability using the ORG0020 dynamic respiration test. </w:t>
      </w:r>
      <w:r w:rsidRPr="009774C9">
        <w:rPr>
          <w:i/>
          <w:iCs/>
        </w:rPr>
        <w:t>Waste Management</w:t>
      </w:r>
      <w:r w:rsidRPr="004364E8">
        <w:t>, </w:t>
      </w:r>
      <w:r w:rsidRPr="009774C9">
        <w:rPr>
          <w:i/>
          <w:iCs/>
        </w:rPr>
        <w:t>125</w:t>
      </w:r>
      <w:r w:rsidRPr="004364E8">
        <w:t>, 215-219.</w:t>
      </w:r>
      <w:r>
        <w:t xml:space="preserve"> </w:t>
      </w:r>
      <w:hyperlink r:id="rId31" w:history="1">
        <w:r w:rsidRPr="000423DB">
          <w:rPr>
            <w:rStyle w:val="Hyperlink"/>
          </w:rPr>
          <w:t>https://doi.org/10.1016/j.wasman.2021.02.048</w:t>
        </w:r>
      </w:hyperlink>
      <w:r>
        <w:t xml:space="preserve"> </w:t>
      </w:r>
    </w:p>
    <w:p w14:paraId="7921C521" w14:textId="77777777" w:rsidR="009774C9" w:rsidRDefault="009774C9" w:rsidP="009774C9">
      <w:pPr>
        <w:pStyle w:val="ListParagraph"/>
        <w:numPr>
          <w:ilvl w:val="0"/>
          <w:numId w:val="37"/>
        </w:numPr>
        <w:spacing w:line="360" w:lineRule="auto"/>
        <w:jc w:val="both"/>
      </w:pPr>
      <w:r w:rsidRPr="00CC31A2">
        <w:t xml:space="preserve">Jain, M. S., </w:t>
      </w:r>
      <w:proofErr w:type="spellStart"/>
      <w:r w:rsidRPr="00CC31A2">
        <w:t>Daga</w:t>
      </w:r>
      <w:proofErr w:type="spellEnd"/>
      <w:r w:rsidRPr="00CC31A2">
        <w:t xml:space="preserve">, M., &amp; </w:t>
      </w:r>
      <w:proofErr w:type="spellStart"/>
      <w:r w:rsidRPr="00CC31A2">
        <w:t>Kalamdhad</w:t>
      </w:r>
      <w:proofErr w:type="spellEnd"/>
      <w:r w:rsidRPr="00CC31A2">
        <w:t>, A. S. (2019). Variation in the key indicators during composting of municipal solid organic wastes. </w:t>
      </w:r>
      <w:r w:rsidRPr="009774C9">
        <w:rPr>
          <w:i/>
          <w:iCs/>
        </w:rPr>
        <w:t>Sustainable Environment Research</w:t>
      </w:r>
      <w:r w:rsidRPr="00CC31A2">
        <w:t>, </w:t>
      </w:r>
      <w:r w:rsidRPr="009774C9">
        <w:rPr>
          <w:i/>
          <w:iCs/>
        </w:rPr>
        <w:t>29</w:t>
      </w:r>
      <w:r w:rsidRPr="00CC31A2">
        <w:t>(1), 9.</w:t>
      </w:r>
      <w:r>
        <w:t xml:space="preserve"> </w:t>
      </w:r>
      <w:hyperlink r:id="rId32" w:history="1">
        <w:r w:rsidRPr="000423DB">
          <w:rPr>
            <w:rStyle w:val="Hyperlink"/>
          </w:rPr>
          <w:t>https://doi.org/10.1186/s42834-019-0012-9</w:t>
        </w:r>
      </w:hyperlink>
      <w:r>
        <w:t xml:space="preserve"> </w:t>
      </w:r>
    </w:p>
    <w:p w14:paraId="1F947508" w14:textId="77777777" w:rsidR="009774C9" w:rsidRDefault="009774C9" w:rsidP="009774C9">
      <w:pPr>
        <w:pStyle w:val="ListParagraph"/>
        <w:numPr>
          <w:ilvl w:val="0"/>
          <w:numId w:val="37"/>
        </w:numPr>
        <w:spacing w:line="360" w:lineRule="auto"/>
        <w:jc w:val="both"/>
      </w:pPr>
      <w:r w:rsidRPr="00E67F72">
        <w:t>Jain, N., Bhatia, A., &amp; Pathak, H. (2014). Emission of air pollutants from crop residue burning in India. </w:t>
      </w:r>
      <w:r w:rsidRPr="009774C9">
        <w:rPr>
          <w:i/>
          <w:iCs/>
        </w:rPr>
        <w:t>Aerosol and Air Quality Research</w:t>
      </w:r>
      <w:r w:rsidRPr="00E67F72">
        <w:t>, </w:t>
      </w:r>
      <w:r w:rsidRPr="009774C9">
        <w:rPr>
          <w:i/>
          <w:iCs/>
        </w:rPr>
        <w:t>14</w:t>
      </w:r>
      <w:r w:rsidRPr="00E67F72">
        <w:t>(1), 422-430.</w:t>
      </w:r>
      <w:r>
        <w:t xml:space="preserve"> </w:t>
      </w:r>
      <w:hyperlink r:id="rId33" w:history="1">
        <w:r w:rsidRPr="000423DB">
          <w:rPr>
            <w:rStyle w:val="Hyperlink"/>
          </w:rPr>
          <w:t>https://doi.org/10.4209/aaqr.2013.01.0031</w:t>
        </w:r>
      </w:hyperlink>
      <w:r>
        <w:t xml:space="preserve"> </w:t>
      </w:r>
    </w:p>
    <w:p w14:paraId="1D5A7911" w14:textId="77777777" w:rsidR="009774C9" w:rsidRDefault="009774C9" w:rsidP="009774C9">
      <w:pPr>
        <w:pStyle w:val="ListParagraph"/>
        <w:numPr>
          <w:ilvl w:val="0"/>
          <w:numId w:val="37"/>
        </w:numPr>
        <w:spacing w:line="360" w:lineRule="auto"/>
        <w:jc w:val="both"/>
      </w:pPr>
      <w:r w:rsidRPr="00355072">
        <w:t xml:space="preserve">Kaur, A., </w:t>
      </w:r>
      <w:proofErr w:type="spellStart"/>
      <w:r w:rsidRPr="00355072">
        <w:t>Katyal</w:t>
      </w:r>
      <w:proofErr w:type="spellEnd"/>
      <w:r w:rsidRPr="00355072">
        <w:t>, P. (2021)</w:t>
      </w:r>
      <w:r>
        <w:t xml:space="preserve">. </w:t>
      </w:r>
      <w:r w:rsidRPr="00355072">
        <w:t xml:space="preserve">Microbial Interventions for Composting of Organic and Lignocellulose Waste. Appl </w:t>
      </w:r>
      <w:proofErr w:type="spellStart"/>
      <w:r w:rsidRPr="00355072">
        <w:t>Biochem</w:t>
      </w:r>
      <w:proofErr w:type="spellEnd"/>
      <w:r w:rsidRPr="00355072">
        <w:t xml:space="preserve"> Microbiol 57, 127–132. </w:t>
      </w:r>
      <w:hyperlink r:id="rId34" w:history="1">
        <w:r w:rsidRPr="008B27B5">
          <w:rPr>
            <w:rStyle w:val="Hyperlink"/>
          </w:rPr>
          <w:t>https://doi.org/10.1134/S0003683821010105</w:t>
        </w:r>
      </w:hyperlink>
    </w:p>
    <w:p w14:paraId="32E34DC1" w14:textId="77777777" w:rsidR="009774C9" w:rsidRPr="00E73B13" w:rsidRDefault="009774C9" w:rsidP="009774C9">
      <w:pPr>
        <w:pStyle w:val="ListParagraph"/>
        <w:numPr>
          <w:ilvl w:val="0"/>
          <w:numId w:val="37"/>
        </w:numPr>
        <w:spacing w:line="360" w:lineRule="auto"/>
        <w:jc w:val="both"/>
      </w:pPr>
      <w:r w:rsidRPr="00E73B13">
        <w:t xml:space="preserve">Keno, M. T., </w:t>
      </w:r>
      <w:proofErr w:type="spellStart"/>
      <w:r w:rsidRPr="00E73B13">
        <w:t>Wamatu</w:t>
      </w:r>
      <w:proofErr w:type="spellEnd"/>
      <w:r w:rsidRPr="00E73B13">
        <w:t xml:space="preserve">, J., </w:t>
      </w:r>
      <w:proofErr w:type="spellStart"/>
      <w:r w:rsidRPr="00E73B13">
        <w:t>Alkhtib</w:t>
      </w:r>
      <w:proofErr w:type="spellEnd"/>
      <w:r w:rsidRPr="00E73B13">
        <w:t xml:space="preserve">, A., </w:t>
      </w:r>
      <w:proofErr w:type="spellStart"/>
      <w:r w:rsidRPr="00E73B13">
        <w:t>Tolemariam</w:t>
      </w:r>
      <w:proofErr w:type="spellEnd"/>
      <w:r w:rsidRPr="00E73B13">
        <w:t xml:space="preserve">, T., </w:t>
      </w:r>
      <w:proofErr w:type="spellStart"/>
      <w:r w:rsidRPr="00E73B13">
        <w:t>Demeke</w:t>
      </w:r>
      <w:proofErr w:type="spellEnd"/>
      <w:r w:rsidRPr="00E73B13">
        <w:t>, S., &amp; Janssens, G. P. J. (2021). Barley Straw Use for Animal Feed and Soil Mulch in Ethiopian Highlands Mixed Crop-Livestock Systems. </w:t>
      </w:r>
      <w:r w:rsidRPr="009774C9">
        <w:rPr>
          <w:i/>
          <w:iCs/>
        </w:rPr>
        <w:t>Sustainability</w:t>
      </w:r>
      <w:r w:rsidRPr="00E73B13">
        <w:t>, </w:t>
      </w:r>
      <w:r w:rsidRPr="009774C9">
        <w:rPr>
          <w:i/>
          <w:iCs/>
        </w:rPr>
        <w:t>13</w:t>
      </w:r>
      <w:r w:rsidRPr="00E73B13">
        <w:t xml:space="preserve">(11), 5879. </w:t>
      </w:r>
      <w:hyperlink r:id="rId35" w:history="1">
        <w:r w:rsidRPr="00E73B13">
          <w:rPr>
            <w:rStyle w:val="Hyperlink"/>
          </w:rPr>
          <w:t>https://doi.org/10.3390/su13115879</w:t>
        </w:r>
      </w:hyperlink>
      <w:r>
        <w:t xml:space="preserve"> </w:t>
      </w:r>
    </w:p>
    <w:p w14:paraId="552AB104" w14:textId="77777777" w:rsidR="009774C9" w:rsidRDefault="009774C9" w:rsidP="009774C9">
      <w:pPr>
        <w:pStyle w:val="ListParagraph"/>
        <w:numPr>
          <w:ilvl w:val="0"/>
          <w:numId w:val="37"/>
        </w:numPr>
        <w:spacing w:line="360" w:lineRule="auto"/>
        <w:jc w:val="both"/>
      </w:pPr>
      <w:r w:rsidRPr="00015CA2">
        <w:t>Kong, Y., Zhang, J., Yang, Y., Liu, Y., Zhang, L., Wang, G., ... &amp; Yuan, J. (2023). Determining the extraction conditions and phytotoxicity threshold for compost maturity evaluation using the seed germination index method. </w:t>
      </w:r>
      <w:r w:rsidRPr="009774C9">
        <w:rPr>
          <w:i/>
          <w:iCs/>
        </w:rPr>
        <w:t>Waste Management</w:t>
      </w:r>
      <w:r w:rsidRPr="00015CA2">
        <w:t>, </w:t>
      </w:r>
      <w:r w:rsidRPr="009774C9">
        <w:rPr>
          <w:i/>
          <w:iCs/>
        </w:rPr>
        <w:t>171</w:t>
      </w:r>
      <w:r w:rsidRPr="00015CA2">
        <w:t>, 502-511.</w:t>
      </w:r>
      <w:r>
        <w:t xml:space="preserve"> </w:t>
      </w:r>
      <w:hyperlink r:id="rId36" w:history="1">
        <w:r w:rsidRPr="000D1299">
          <w:rPr>
            <w:rStyle w:val="Hyperlink"/>
          </w:rPr>
          <w:t>https://doi.org/10.1016/j.wasman.2023.09.040</w:t>
        </w:r>
      </w:hyperlink>
      <w:r>
        <w:t xml:space="preserve"> </w:t>
      </w:r>
    </w:p>
    <w:p w14:paraId="61D5C05E" w14:textId="77777777" w:rsidR="009774C9" w:rsidRPr="00524830" w:rsidRDefault="009774C9" w:rsidP="009774C9">
      <w:pPr>
        <w:pStyle w:val="ListParagraph"/>
        <w:numPr>
          <w:ilvl w:val="0"/>
          <w:numId w:val="37"/>
        </w:numPr>
        <w:spacing w:line="360" w:lineRule="auto"/>
        <w:jc w:val="both"/>
      </w:pPr>
      <w:proofErr w:type="spellStart"/>
      <w:r w:rsidRPr="00ED6AC2">
        <w:t>Korav</w:t>
      </w:r>
      <w:proofErr w:type="spellEnd"/>
      <w:r w:rsidRPr="00ED6AC2">
        <w:t xml:space="preserve">, S., </w:t>
      </w:r>
      <w:proofErr w:type="spellStart"/>
      <w:r w:rsidRPr="00ED6AC2">
        <w:t>Rajanna</w:t>
      </w:r>
      <w:proofErr w:type="spellEnd"/>
      <w:r w:rsidRPr="00ED6AC2">
        <w:t xml:space="preserve">, G. A., Yadav, D. B., </w:t>
      </w:r>
      <w:proofErr w:type="spellStart"/>
      <w:r w:rsidRPr="00ED6AC2">
        <w:t>Paramesha</w:t>
      </w:r>
      <w:proofErr w:type="spellEnd"/>
      <w:r w:rsidRPr="00ED6AC2">
        <w:t>, V., Mehta, C. M., Jha, P. K., ... &amp; Singh, S. (2022). Impacts of mechanized crop residue management on rice-wheat cropping system—A review. </w:t>
      </w:r>
      <w:r w:rsidRPr="009774C9">
        <w:rPr>
          <w:i/>
          <w:iCs/>
        </w:rPr>
        <w:t>Sustainability</w:t>
      </w:r>
      <w:r w:rsidRPr="00ED6AC2">
        <w:t>, </w:t>
      </w:r>
      <w:r w:rsidRPr="009774C9">
        <w:rPr>
          <w:i/>
          <w:iCs/>
        </w:rPr>
        <w:t>14</w:t>
      </w:r>
      <w:r w:rsidRPr="00ED6AC2">
        <w:t>(23), 15641.</w:t>
      </w:r>
      <w:r>
        <w:t xml:space="preserve"> </w:t>
      </w:r>
      <w:hyperlink r:id="rId37" w:history="1">
        <w:r w:rsidRPr="00101D96">
          <w:rPr>
            <w:rStyle w:val="Hyperlink"/>
          </w:rPr>
          <w:t>https://doi.org/10.3390/su142315641</w:t>
        </w:r>
      </w:hyperlink>
      <w:r>
        <w:t xml:space="preserve"> </w:t>
      </w:r>
    </w:p>
    <w:p w14:paraId="6041AEC9" w14:textId="77777777" w:rsidR="009774C9" w:rsidRDefault="009774C9" w:rsidP="009774C9">
      <w:pPr>
        <w:pStyle w:val="ListParagraph"/>
        <w:numPr>
          <w:ilvl w:val="0"/>
          <w:numId w:val="37"/>
        </w:numPr>
        <w:spacing w:line="360" w:lineRule="auto"/>
        <w:jc w:val="both"/>
      </w:pPr>
      <w:r w:rsidRPr="00D14559">
        <w:lastRenderedPageBreak/>
        <w:t xml:space="preserve">Li, S., Sun, X., Li, S., Liu, Y., Ma, Q., &amp; Zhou, W. (2021). Effects of amendments on the bioavailability, transformation and accumulation of heavy metals by </w:t>
      </w:r>
      <w:proofErr w:type="spellStart"/>
      <w:r w:rsidRPr="00D14559">
        <w:t>pakchoi</w:t>
      </w:r>
      <w:proofErr w:type="spellEnd"/>
      <w:r w:rsidRPr="00D14559">
        <w:t xml:space="preserve"> cabbage in a multi-element contaminated soil. </w:t>
      </w:r>
      <w:r w:rsidRPr="009774C9">
        <w:rPr>
          <w:i/>
          <w:iCs/>
        </w:rPr>
        <w:t>RSC advances</w:t>
      </w:r>
      <w:r w:rsidRPr="00D14559">
        <w:t>, </w:t>
      </w:r>
      <w:r w:rsidRPr="009774C9">
        <w:rPr>
          <w:i/>
          <w:iCs/>
        </w:rPr>
        <w:t>11</w:t>
      </w:r>
      <w:r w:rsidRPr="00D14559">
        <w:t>(8), 4395-4405.</w:t>
      </w:r>
      <w:r>
        <w:t xml:space="preserve"> </w:t>
      </w:r>
      <w:hyperlink r:id="rId38" w:history="1">
        <w:r w:rsidRPr="000423DB">
          <w:rPr>
            <w:rStyle w:val="Hyperlink"/>
          </w:rPr>
          <w:t>https://doi.org/10.1039/D0RA09358K</w:t>
        </w:r>
      </w:hyperlink>
      <w:r>
        <w:t xml:space="preserve"> </w:t>
      </w:r>
    </w:p>
    <w:p w14:paraId="52DB50A6" w14:textId="77777777" w:rsidR="009774C9" w:rsidRDefault="009774C9" w:rsidP="009774C9">
      <w:pPr>
        <w:pStyle w:val="ListParagraph"/>
        <w:numPr>
          <w:ilvl w:val="0"/>
          <w:numId w:val="37"/>
        </w:numPr>
        <w:spacing w:line="360" w:lineRule="auto"/>
        <w:jc w:val="both"/>
      </w:pPr>
      <w:r w:rsidRPr="00FC0CCF">
        <w:t>Lin, C., Cheruiyot, N. K., Bui, X. T., &amp; Ngo, H. H. (2022). Composting and its application in bioremediation of organic contaminants. </w:t>
      </w:r>
      <w:r w:rsidRPr="009774C9">
        <w:rPr>
          <w:i/>
          <w:iCs/>
        </w:rPr>
        <w:t>Bioengineered</w:t>
      </w:r>
      <w:r w:rsidRPr="00FC0CCF">
        <w:t>, </w:t>
      </w:r>
      <w:r w:rsidRPr="009774C9">
        <w:rPr>
          <w:i/>
          <w:iCs/>
        </w:rPr>
        <w:t>13</w:t>
      </w:r>
      <w:r w:rsidRPr="00FC0CCF">
        <w:t>(1), 1073-1089.</w:t>
      </w:r>
      <w:r>
        <w:t xml:space="preserve"> </w:t>
      </w:r>
      <w:hyperlink r:id="rId39" w:history="1">
        <w:r w:rsidRPr="000423DB">
          <w:rPr>
            <w:rStyle w:val="Hyperlink"/>
          </w:rPr>
          <w:t>https://doi.org/10.1080/21655979.2021.2017624</w:t>
        </w:r>
      </w:hyperlink>
      <w:r>
        <w:t xml:space="preserve"> </w:t>
      </w:r>
    </w:p>
    <w:p w14:paraId="42B1E545" w14:textId="77777777" w:rsidR="009774C9" w:rsidRDefault="009774C9" w:rsidP="009774C9">
      <w:pPr>
        <w:pStyle w:val="ListParagraph"/>
        <w:numPr>
          <w:ilvl w:val="0"/>
          <w:numId w:val="37"/>
        </w:numPr>
        <w:spacing w:line="360" w:lineRule="auto"/>
        <w:jc w:val="both"/>
      </w:pPr>
      <w:r w:rsidRPr="00A65E25">
        <w:t>Liu, X., Qi, Y., Lian, J., Song, J., Zhang, S., Zhang, G., ... &amp; Zhang, N. (2022). Construction of actinomycetes complex flora in degrading corn straw and an evaluation of their degradative effects. </w:t>
      </w:r>
      <w:r w:rsidRPr="009774C9">
        <w:rPr>
          <w:i/>
          <w:iCs/>
        </w:rPr>
        <w:t>Biotechnology letters</w:t>
      </w:r>
      <w:r w:rsidRPr="00A65E25">
        <w:t>, </w:t>
      </w:r>
      <w:r w:rsidRPr="009774C9">
        <w:rPr>
          <w:i/>
          <w:iCs/>
        </w:rPr>
        <w:t>44</w:t>
      </w:r>
      <w:r w:rsidRPr="00A65E25">
        <w:t>(12), 1477-1493.</w:t>
      </w:r>
      <w:r>
        <w:t xml:space="preserve"> </w:t>
      </w:r>
      <w:hyperlink r:id="rId40" w:history="1">
        <w:r w:rsidRPr="004C32FF">
          <w:rPr>
            <w:rStyle w:val="Hyperlink"/>
          </w:rPr>
          <w:t>https://doi.org/10.1007/s10529-022-03313-3</w:t>
        </w:r>
      </w:hyperlink>
      <w:r>
        <w:t xml:space="preserve"> </w:t>
      </w:r>
    </w:p>
    <w:p w14:paraId="3DB5504C" w14:textId="77777777" w:rsidR="009774C9" w:rsidRDefault="009774C9" w:rsidP="009774C9">
      <w:pPr>
        <w:pStyle w:val="ListParagraph"/>
        <w:numPr>
          <w:ilvl w:val="0"/>
          <w:numId w:val="37"/>
        </w:numPr>
        <w:spacing w:line="360" w:lineRule="auto"/>
        <w:jc w:val="both"/>
      </w:pPr>
      <w:r w:rsidRPr="00E05771">
        <w:t>Liu, Y., Zhang, Y., Wang, M., Wang, L., Zheng, W., Zeng, Q., &amp; Wang, K. (2023). Comparison of the basic processes of aerobic, anaerobic, and aerobic-anaerobic coupling composting of Chinese medicinal herbal residues. </w:t>
      </w:r>
      <w:r w:rsidRPr="009774C9">
        <w:rPr>
          <w:i/>
          <w:iCs/>
        </w:rPr>
        <w:t>Bioresource Technology</w:t>
      </w:r>
      <w:r w:rsidRPr="00E05771">
        <w:t>, </w:t>
      </w:r>
      <w:r w:rsidRPr="009774C9">
        <w:rPr>
          <w:i/>
          <w:iCs/>
        </w:rPr>
        <w:t>379</w:t>
      </w:r>
      <w:r w:rsidRPr="00E05771">
        <w:t>, 128996.</w:t>
      </w:r>
      <w:r>
        <w:t xml:space="preserve"> </w:t>
      </w:r>
      <w:hyperlink r:id="rId41" w:history="1">
        <w:r w:rsidRPr="000423DB">
          <w:rPr>
            <w:rStyle w:val="Hyperlink"/>
          </w:rPr>
          <w:t>https://doi.org/10.1016/j.biortech.2023.128996</w:t>
        </w:r>
      </w:hyperlink>
      <w:r>
        <w:t xml:space="preserve"> </w:t>
      </w:r>
    </w:p>
    <w:p w14:paraId="6FD65158" w14:textId="77777777" w:rsidR="009774C9" w:rsidRDefault="009774C9" w:rsidP="009774C9">
      <w:pPr>
        <w:pStyle w:val="ListParagraph"/>
        <w:numPr>
          <w:ilvl w:val="0"/>
          <w:numId w:val="37"/>
        </w:numPr>
        <w:spacing w:line="360" w:lineRule="auto"/>
        <w:jc w:val="both"/>
      </w:pPr>
      <w:proofErr w:type="spellStart"/>
      <w:r w:rsidRPr="008C7659">
        <w:t>Lončarić</w:t>
      </w:r>
      <w:proofErr w:type="spellEnd"/>
      <w:r w:rsidRPr="008C7659">
        <w:t xml:space="preserve">, Z., </w:t>
      </w:r>
      <w:proofErr w:type="spellStart"/>
      <w:r w:rsidRPr="008C7659">
        <w:t>Galić</w:t>
      </w:r>
      <w:proofErr w:type="spellEnd"/>
      <w:r w:rsidRPr="008C7659">
        <w:t xml:space="preserve">, V., </w:t>
      </w:r>
      <w:proofErr w:type="spellStart"/>
      <w:r w:rsidRPr="008C7659">
        <w:t>Nemet</w:t>
      </w:r>
      <w:proofErr w:type="spellEnd"/>
      <w:r w:rsidRPr="008C7659">
        <w:t xml:space="preserve">, F., </w:t>
      </w:r>
      <w:proofErr w:type="spellStart"/>
      <w:r w:rsidRPr="008C7659">
        <w:t>Perić</w:t>
      </w:r>
      <w:proofErr w:type="spellEnd"/>
      <w:r w:rsidRPr="008C7659">
        <w:t xml:space="preserve">, K., </w:t>
      </w:r>
      <w:proofErr w:type="spellStart"/>
      <w:r w:rsidRPr="008C7659">
        <w:t>Galić</w:t>
      </w:r>
      <w:proofErr w:type="spellEnd"/>
      <w:r w:rsidRPr="008C7659">
        <w:t xml:space="preserve">, L., </w:t>
      </w:r>
      <w:proofErr w:type="spellStart"/>
      <w:r w:rsidRPr="008C7659">
        <w:t>Ragályi</w:t>
      </w:r>
      <w:proofErr w:type="spellEnd"/>
      <w:r w:rsidRPr="008C7659">
        <w:t xml:space="preserve">, P., </w:t>
      </w:r>
      <w:proofErr w:type="spellStart"/>
      <w:r w:rsidRPr="008C7659">
        <w:t>Uzinger</w:t>
      </w:r>
      <w:proofErr w:type="spellEnd"/>
      <w:r w:rsidRPr="008C7659">
        <w:t xml:space="preserve">, N., &amp; </w:t>
      </w:r>
      <w:proofErr w:type="spellStart"/>
      <w:r w:rsidRPr="008C7659">
        <w:t>Rékási</w:t>
      </w:r>
      <w:proofErr w:type="spellEnd"/>
      <w:r w:rsidRPr="008C7659">
        <w:t>, M. (2024). The Evaluation of Compost Maturity and Ammonium Toxicity Using Different Plant Species in a Germination Test. </w:t>
      </w:r>
      <w:r w:rsidRPr="009774C9">
        <w:rPr>
          <w:i/>
          <w:iCs/>
        </w:rPr>
        <w:t>Agronomy</w:t>
      </w:r>
      <w:r w:rsidRPr="008C7659">
        <w:t>, </w:t>
      </w:r>
      <w:r w:rsidRPr="009774C9">
        <w:rPr>
          <w:i/>
          <w:iCs/>
        </w:rPr>
        <w:t>14</w:t>
      </w:r>
      <w:r w:rsidRPr="008C7659">
        <w:t xml:space="preserve">(11), 2636. </w:t>
      </w:r>
      <w:hyperlink r:id="rId42" w:history="1">
        <w:r w:rsidRPr="008C7659">
          <w:rPr>
            <w:rStyle w:val="Hyperlink"/>
          </w:rPr>
          <w:t>https://doi.org/10.3390/agronomy14112636</w:t>
        </w:r>
      </w:hyperlink>
      <w:r>
        <w:t xml:space="preserve"> </w:t>
      </w:r>
    </w:p>
    <w:p w14:paraId="0BFB7FBA" w14:textId="77777777" w:rsidR="009774C9" w:rsidRDefault="009774C9" w:rsidP="009774C9">
      <w:pPr>
        <w:pStyle w:val="ListParagraph"/>
        <w:numPr>
          <w:ilvl w:val="0"/>
          <w:numId w:val="37"/>
        </w:numPr>
        <w:spacing w:line="360" w:lineRule="auto"/>
        <w:jc w:val="both"/>
      </w:pPr>
      <w:r w:rsidRPr="00AA3ECE">
        <w:t>López-González, J. A., Suárez-Estrella, F., Jurado, M. M., Martínez-Gallardo, M. R., Toribio, A., Estrella-González, M. J., &amp; López, M. J. (2024). Development of functional consortia for the pretreatment of compostable lignocellulosic waste: A simple and effective solution to a large-scale problem. </w:t>
      </w:r>
      <w:r w:rsidRPr="009774C9">
        <w:rPr>
          <w:i/>
          <w:iCs/>
        </w:rPr>
        <w:t>Journal of Environmental Management</w:t>
      </w:r>
      <w:r w:rsidRPr="00AA3ECE">
        <w:t>, </w:t>
      </w:r>
      <w:r w:rsidRPr="009774C9">
        <w:rPr>
          <w:i/>
          <w:iCs/>
        </w:rPr>
        <w:t>356</w:t>
      </w:r>
      <w:r w:rsidRPr="00AA3ECE">
        <w:t>, 120638.</w:t>
      </w:r>
      <w:r>
        <w:t xml:space="preserve"> </w:t>
      </w:r>
      <w:hyperlink r:id="rId43" w:history="1">
        <w:r w:rsidRPr="000423DB">
          <w:rPr>
            <w:rStyle w:val="Hyperlink"/>
          </w:rPr>
          <w:t>https://doi.org/10.1016/j.jenvman.2024.120638</w:t>
        </w:r>
      </w:hyperlink>
      <w:r>
        <w:t xml:space="preserve"> </w:t>
      </w:r>
    </w:p>
    <w:p w14:paraId="4A5FC5A1" w14:textId="77777777" w:rsidR="009774C9" w:rsidRDefault="009774C9" w:rsidP="009774C9">
      <w:pPr>
        <w:pStyle w:val="ListParagraph"/>
        <w:numPr>
          <w:ilvl w:val="0"/>
          <w:numId w:val="37"/>
        </w:numPr>
        <w:spacing w:line="360" w:lineRule="auto"/>
        <w:jc w:val="both"/>
      </w:pPr>
      <w:proofErr w:type="spellStart"/>
      <w:r w:rsidRPr="001F5339">
        <w:t>Lucchetta</w:t>
      </w:r>
      <w:proofErr w:type="spellEnd"/>
      <w:r w:rsidRPr="001F5339">
        <w:t xml:space="preserve">, M., Romano, A., </w:t>
      </w:r>
      <w:proofErr w:type="spellStart"/>
      <w:r w:rsidRPr="001F5339">
        <w:t>Alzate</w:t>
      </w:r>
      <w:proofErr w:type="spellEnd"/>
      <w:r w:rsidRPr="001F5339">
        <w:t xml:space="preserve"> </w:t>
      </w:r>
      <w:proofErr w:type="spellStart"/>
      <w:r w:rsidRPr="001F5339">
        <w:t>Zuluaga</w:t>
      </w:r>
      <w:proofErr w:type="spellEnd"/>
      <w:r w:rsidRPr="001F5339">
        <w:t xml:space="preserve">, M. Y., </w:t>
      </w:r>
      <w:proofErr w:type="spellStart"/>
      <w:r w:rsidRPr="001F5339">
        <w:t>Fornasier</w:t>
      </w:r>
      <w:proofErr w:type="spellEnd"/>
      <w:r w:rsidRPr="001F5339">
        <w:t xml:space="preserve">, F., </w:t>
      </w:r>
      <w:proofErr w:type="spellStart"/>
      <w:r w:rsidRPr="001F5339">
        <w:t>Monterisi</w:t>
      </w:r>
      <w:proofErr w:type="spellEnd"/>
      <w:r w:rsidRPr="001F5339">
        <w:t xml:space="preserve">, S., </w:t>
      </w:r>
      <w:proofErr w:type="spellStart"/>
      <w:r w:rsidRPr="001F5339">
        <w:t>Pii</w:t>
      </w:r>
      <w:proofErr w:type="spellEnd"/>
      <w:r w:rsidRPr="001F5339">
        <w:t xml:space="preserve">, Y., ... &amp; </w:t>
      </w:r>
      <w:proofErr w:type="spellStart"/>
      <w:r w:rsidRPr="001F5339">
        <w:t>Gaiotti</w:t>
      </w:r>
      <w:proofErr w:type="spellEnd"/>
      <w:r w:rsidRPr="001F5339">
        <w:t>, F. (2023). Compost application boosts soil restoration in highly disturbed hillslope vineyard. </w:t>
      </w:r>
      <w:r w:rsidRPr="009774C9">
        <w:rPr>
          <w:i/>
          <w:iCs/>
        </w:rPr>
        <w:t>Frontiers in Plant Science</w:t>
      </w:r>
      <w:r w:rsidRPr="001F5339">
        <w:t>, </w:t>
      </w:r>
      <w:r w:rsidRPr="009774C9">
        <w:rPr>
          <w:i/>
          <w:iCs/>
        </w:rPr>
        <w:t>14</w:t>
      </w:r>
      <w:r w:rsidRPr="001F5339">
        <w:t>, 1289288.</w:t>
      </w:r>
      <w:r>
        <w:t xml:space="preserve"> </w:t>
      </w:r>
      <w:hyperlink r:id="rId44" w:history="1">
        <w:r w:rsidRPr="000D1299">
          <w:rPr>
            <w:rStyle w:val="Hyperlink"/>
          </w:rPr>
          <w:t>https://doi.org/10.3389/fpls.2023.1289288</w:t>
        </w:r>
      </w:hyperlink>
      <w:r>
        <w:t xml:space="preserve"> </w:t>
      </w:r>
    </w:p>
    <w:p w14:paraId="572DA121" w14:textId="77777777" w:rsidR="009774C9" w:rsidRDefault="009774C9" w:rsidP="009774C9">
      <w:pPr>
        <w:pStyle w:val="ListParagraph"/>
        <w:numPr>
          <w:ilvl w:val="0"/>
          <w:numId w:val="37"/>
        </w:numPr>
        <w:spacing w:line="360" w:lineRule="auto"/>
        <w:jc w:val="both"/>
      </w:pPr>
      <w:r w:rsidRPr="00B330DF">
        <w:t xml:space="preserve">Mahapatra, S., Ali, M. H., &amp; </w:t>
      </w:r>
      <w:proofErr w:type="spellStart"/>
      <w:r w:rsidRPr="00B330DF">
        <w:t>Samal</w:t>
      </w:r>
      <w:proofErr w:type="spellEnd"/>
      <w:r w:rsidRPr="00B330DF">
        <w:t>, K. (2022). Assessment of compost maturity-stability indices and recent development of composting bin. </w:t>
      </w:r>
      <w:r w:rsidRPr="009774C9">
        <w:rPr>
          <w:i/>
          <w:iCs/>
        </w:rPr>
        <w:t>Energy Nexus</w:t>
      </w:r>
      <w:r w:rsidRPr="00B330DF">
        <w:t>, </w:t>
      </w:r>
      <w:r w:rsidRPr="009774C9">
        <w:rPr>
          <w:i/>
          <w:iCs/>
        </w:rPr>
        <w:t>6</w:t>
      </w:r>
      <w:r w:rsidRPr="00B330DF">
        <w:t>, 100062.</w:t>
      </w:r>
      <w:r>
        <w:t xml:space="preserve"> </w:t>
      </w:r>
      <w:hyperlink r:id="rId45" w:history="1">
        <w:r w:rsidRPr="000D1299">
          <w:rPr>
            <w:rStyle w:val="Hyperlink"/>
          </w:rPr>
          <w:t>https://doi.org/10.1016/j.nexus.2022.100062</w:t>
        </w:r>
      </w:hyperlink>
      <w:r>
        <w:t xml:space="preserve"> </w:t>
      </w:r>
    </w:p>
    <w:p w14:paraId="0C8B618F" w14:textId="77777777" w:rsidR="009774C9" w:rsidRDefault="009774C9" w:rsidP="009774C9">
      <w:pPr>
        <w:pStyle w:val="ListParagraph"/>
        <w:numPr>
          <w:ilvl w:val="0"/>
          <w:numId w:val="37"/>
        </w:numPr>
        <w:spacing w:line="360" w:lineRule="auto"/>
        <w:jc w:val="both"/>
      </w:pPr>
      <w:proofErr w:type="spellStart"/>
      <w:r w:rsidRPr="00CE0FE7">
        <w:t>Manea</w:t>
      </w:r>
      <w:proofErr w:type="spellEnd"/>
      <w:r w:rsidRPr="00CE0FE7">
        <w:t xml:space="preserve">, E. E., </w:t>
      </w:r>
      <w:proofErr w:type="spellStart"/>
      <w:r w:rsidRPr="00CE0FE7">
        <w:t>Bumbac</w:t>
      </w:r>
      <w:proofErr w:type="spellEnd"/>
      <w:r w:rsidRPr="00CE0FE7">
        <w:t xml:space="preserve">, C., Dinu, L. R., </w:t>
      </w:r>
      <w:proofErr w:type="spellStart"/>
      <w:r w:rsidRPr="00CE0FE7">
        <w:t>Bumbac</w:t>
      </w:r>
      <w:proofErr w:type="spellEnd"/>
      <w:r w:rsidRPr="00CE0FE7">
        <w:t xml:space="preserve">, M., &amp; </w:t>
      </w:r>
      <w:proofErr w:type="spellStart"/>
      <w:r w:rsidRPr="00CE0FE7">
        <w:t>Nicolescu</w:t>
      </w:r>
      <w:proofErr w:type="spellEnd"/>
      <w:r w:rsidRPr="00CE0FE7">
        <w:t>, C. M. (2024). Composting as a sustainable solution for organic solid waste management: Current practices and potential improvements. </w:t>
      </w:r>
      <w:r w:rsidRPr="009774C9">
        <w:rPr>
          <w:i/>
          <w:iCs/>
        </w:rPr>
        <w:t>Sustainability</w:t>
      </w:r>
      <w:r w:rsidRPr="00CE0FE7">
        <w:t>, </w:t>
      </w:r>
      <w:r w:rsidRPr="009774C9">
        <w:rPr>
          <w:i/>
          <w:iCs/>
        </w:rPr>
        <w:t>16</w:t>
      </w:r>
      <w:r w:rsidRPr="00CE0FE7">
        <w:t>(15), 6329.</w:t>
      </w:r>
      <w:r>
        <w:t xml:space="preserve"> </w:t>
      </w:r>
      <w:hyperlink r:id="rId46" w:history="1">
        <w:r w:rsidRPr="000423DB">
          <w:rPr>
            <w:rStyle w:val="Hyperlink"/>
          </w:rPr>
          <w:t>https://doi.org/10.3390/su16156329</w:t>
        </w:r>
      </w:hyperlink>
      <w:r>
        <w:t xml:space="preserve"> </w:t>
      </w:r>
    </w:p>
    <w:p w14:paraId="5A2A5402" w14:textId="77777777" w:rsidR="009774C9" w:rsidRDefault="009774C9" w:rsidP="009774C9">
      <w:pPr>
        <w:pStyle w:val="ListParagraph"/>
        <w:numPr>
          <w:ilvl w:val="0"/>
          <w:numId w:val="37"/>
        </w:numPr>
        <w:spacing w:line="360" w:lineRule="auto"/>
        <w:jc w:val="both"/>
      </w:pPr>
      <w:proofErr w:type="spellStart"/>
      <w:r w:rsidRPr="003554A1">
        <w:lastRenderedPageBreak/>
        <w:t>Mekkaoui</w:t>
      </w:r>
      <w:proofErr w:type="spellEnd"/>
      <w:r w:rsidRPr="003554A1">
        <w:t xml:space="preserve">, F., </w:t>
      </w:r>
      <w:proofErr w:type="spellStart"/>
      <w:r w:rsidRPr="003554A1">
        <w:t>Ait</w:t>
      </w:r>
      <w:proofErr w:type="spellEnd"/>
      <w:r w:rsidRPr="003554A1">
        <w:t xml:space="preserve">-El-Mokhtar, M., </w:t>
      </w:r>
      <w:proofErr w:type="spellStart"/>
      <w:r w:rsidRPr="003554A1">
        <w:t>Zaari</w:t>
      </w:r>
      <w:proofErr w:type="spellEnd"/>
      <w:r w:rsidRPr="003554A1">
        <w:t xml:space="preserve"> Jabri, N., </w:t>
      </w:r>
      <w:proofErr w:type="spellStart"/>
      <w:r w:rsidRPr="003554A1">
        <w:t>Amghar</w:t>
      </w:r>
      <w:proofErr w:type="spellEnd"/>
      <w:r w:rsidRPr="003554A1">
        <w:t xml:space="preserve">, I., </w:t>
      </w:r>
      <w:proofErr w:type="spellStart"/>
      <w:r w:rsidRPr="003554A1">
        <w:t>Essadssi</w:t>
      </w:r>
      <w:proofErr w:type="spellEnd"/>
      <w:r w:rsidRPr="003554A1">
        <w:t xml:space="preserve">, S., &amp; </w:t>
      </w:r>
      <w:proofErr w:type="spellStart"/>
      <w:r w:rsidRPr="003554A1">
        <w:t>Hmyene</w:t>
      </w:r>
      <w:proofErr w:type="spellEnd"/>
      <w:r w:rsidRPr="003554A1">
        <w:t>, A. (2024). The Use of Compost and Arbuscular Mycorrhizal Fungi and Their Combination to Improve Tomato Tolerance to Salt Stress. </w:t>
      </w:r>
      <w:r w:rsidRPr="009774C9">
        <w:rPr>
          <w:i/>
          <w:iCs/>
        </w:rPr>
        <w:t>Plants</w:t>
      </w:r>
      <w:r w:rsidRPr="003554A1">
        <w:t>, </w:t>
      </w:r>
      <w:r w:rsidRPr="009774C9">
        <w:rPr>
          <w:i/>
          <w:iCs/>
        </w:rPr>
        <w:t>13</w:t>
      </w:r>
      <w:r w:rsidRPr="003554A1">
        <w:t xml:space="preserve">(16), 2225. </w:t>
      </w:r>
      <w:hyperlink r:id="rId47" w:history="1">
        <w:r w:rsidRPr="003554A1">
          <w:rPr>
            <w:rStyle w:val="Hyperlink"/>
          </w:rPr>
          <w:t>https://doi.org/10.3390/plants13162225</w:t>
        </w:r>
      </w:hyperlink>
      <w:r>
        <w:t xml:space="preserve"> </w:t>
      </w:r>
    </w:p>
    <w:p w14:paraId="24E5BF3F" w14:textId="77777777" w:rsidR="009774C9" w:rsidRDefault="009774C9" w:rsidP="009774C9">
      <w:pPr>
        <w:pStyle w:val="ListParagraph"/>
        <w:numPr>
          <w:ilvl w:val="0"/>
          <w:numId w:val="37"/>
        </w:numPr>
        <w:spacing w:line="360" w:lineRule="auto"/>
        <w:jc w:val="both"/>
      </w:pPr>
      <w:r w:rsidRPr="00790E4C">
        <w:t>Meng, Q., Yang, W., Men, M., Bello, A., Xu, X., Xu, B., ... &amp; Zhu, H. (2019). Microbial community succession and response to environmental variables during cow manure and corn straw composting. </w:t>
      </w:r>
      <w:r w:rsidRPr="009774C9">
        <w:rPr>
          <w:i/>
          <w:iCs/>
        </w:rPr>
        <w:t>Frontiers in microbiology</w:t>
      </w:r>
      <w:r w:rsidRPr="00790E4C">
        <w:t>, </w:t>
      </w:r>
      <w:r w:rsidRPr="009774C9">
        <w:rPr>
          <w:i/>
          <w:iCs/>
        </w:rPr>
        <w:t>10</w:t>
      </w:r>
      <w:r w:rsidRPr="00790E4C">
        <w:t>, 529.</w:t>
      </w:r>
      <w:r>
        <w:t xml:space="preserve"> </w:t>
      </w:r>
      <w:hyperlink r:id="rId48" w:history="1">
        <w:r w:rsidRPr="000423DB">
          <w:rPr>
            <w:rStyle w:val="Hyperlink"/>
          </w:rPr>
          <w:t>https://doi.org/10.3389/fmicb.2019.00529</w:t>
        </w:r>
      </w:hyperlink>
      <w:r>
        <w:t xml:space="preserve"> </w:t>
      </w:r>
    </w:p>
    <w:p w14:paraId="1CE6AAA8" w14:textId="77777777" w:rsidR="009774C9" w:rsidRDefault="009774C9" w:rsidP="009774C9">
      <w:pPr>
        <w:pStyle w:val="ListParagraph"/>
        <w:numPr>
          <w:ilvl w:val="0"/>
          <w:numId w:val="37"/>
        </w:numPr>
        <w:spacing w:line="360" w:lineRule="auto"/>
        <w:jc w:val="both"/>
      </w:pPr>
      <w:r w:rsidRPr="00E968CA">
        <w:t xml:space="preserve">Ngwenya, N., </w:t>
      </w:r>
      <w:proofErr w:type="spellStart"/>
      <w:r w:rsidRPr="00E968CA">
        <w:t>Nuapia</w:t>
      </w:r>
      <w:proofErr w:type="spellEnd"/>
      <w:r w:rsidRPr="00E968CA">
        <w:t xml:space="preserve">, Y., </w:t>
      </w:r>
      <w:proofErr w:type="spellStart"/>
      <w:r w:rsidRPr="00E968CA">
        <w:t>Risenga</w:t>
      </w:r>
      <w:proofErr w:type="spellEnd"/>
      <w:r w:rsidRPr="00E968CA">
        <w:t xml:space="preserve">, I., &amp; </w:t>
      </w:r>
      <w:proofErr w:type="spellStart"/>
      <w:r w:rsidRPr="00E968CA">
        <w:t>Chimuka</w:t>
      </w:r>
      <w:proofErr w:type="spellEnd"/>
      <w:r w:rsidRPr="00E968CA">
        <w:t>, L. (2024). Influence of Different Rates of Plant-Based Compost on Clay Soil Metal Behavior and Human Health Risk Assessment in Moringa oleifera Leaf Biomass. </w:t>
      </w:r>
      <w:r w:rsidRPr="009774C9">
        <w:rPr>
          <w:i/>
          <w:iCs/>
        </w:rPr>
        <w:t>Bulletin of Environmental Contamination and Toxicology</w:t>
      </w:r>
      <w:r w:rsidRPr="00E968CA">
        <w:t>, </w:t>
      </w:r>
      <w:r w:rsidRPr="009774C9">
        <w:rPr>
          <w:i/>
          <w:iCs/>
        </w:rPr>
        <w:t>112</w:t>
      </w:r>
      <w:r w:rsidRPr="00E968CA">
        <w:t>(5), 68.</w:t>
      </w:r>
      <w:r>
        <w:t xml:space="preserve"> </w:t>
      </w:r>
      <w:hyperlink r:id="rId49" w:history="1">
        <w:r w:rsidRPr="000D1299">
          <w:rPr>
            <w:rStyle w:val="Hyperlink"/>
          </w:rPr>
          <w:t>https://doi.org/10.1007/s00128-024-03894-x</w:t>
        </w:r>
      </w:hyperlink>
      <w:r>
        <w:t xml:space="preserve"> </w:t>
      </w:r>
    </w:p>
    <w:p w14:paraId="582DAF8B" w14:textId="77777777" w:rsidR="009774C9" w:rsidRDefault="009774C9" w:rsidP="009774C9">
      <w:pPr>
        <w:pStyle w:val="ListParagraph"/>
        <w:numPr>
          <w:ilvl w:val="0"/>
          <w:numId w:val="37"/>
        </w:numPr>
        <w:spacing w:line="360" w:lineRule="auto"/>
        <w:jc w:val="both"/>
      </w:pPr>
      <w:proofErr w:type="spellStart"/>
      <w:r w:rsidRPr="00770569">
        <w:t>Niu</w:t>
      </w:r>
      <w:proofErr w:type="spellEnd"/>
      <w:r w:rsidRPr="00770569">
        <w:t>, J., &amp; Li, X. (2022). Effects of Microbial Inoculation with Different Indigenous </w:t>
      </w:r>
      <w:r w:rsidRPr="009774C9">
        <w:rPr>
          <w:i/>
          <w:iCs/>
        </w:rPr>
        <w:t>Bacillus</w:t>
      </w:r>
      <w:r w:rsidRPr="00770569">
        <w:t> Species on Physicochemical Characteristics and Bacterial Succession during Short-Term Composting. </w:t>
      </w:r>
      <w:r w:rsidRPr="009774C9">
        <w:rPr>
          <w:i/>
          <w:iCs/>
        </w:rPr>
        <w:t>Fermentation</w:t>
      </w:r>
      <w:r w:rsidRPr="00770569">
        <w:t>, </w:t>
      </w:r>
      <w:r w:rsidRPr="009774C9">
        <w:rPr>
          <w:i/>
          <w:iCs/>
        </w:rPr>
        <w:t>8</w:t>
      </w:r>
      <w:r w:rsidRPr="00770569">
        <w:t xml:space="preserve">(4), 152. </w:t>
      </w:r>
      <w:hyperlink r:id="rId50" w:history="1">
        <w:r w:rsidRPr="000423DB">
          <w:rPr>
            <w:rStyle w:val="Hyperlink"/>
          </w:rPr>
          <w:t>https://doi.org/10.3390/fermentation8040152</w:t>
        </w:r>
      </w:hyperlink>
      <w:r>
        <w:t xml:space="preserve"> </w:t>
      </w:r>
    </w:p>
    <w:p w14:paraId="6BB45065" w14:textId="77777777" w:rsidR="009774C9" w:rsidRDefault="009774C9" w:rsidP="009774C9">
      <w:pPr>
        <w:pStyle w:val="ListParagraph"/>
        <w:numPr>
          <w:ilvl w:val="0"/>
          <w:numId w:val="37"/>
        </w:numPr>
        <w:spacing w:line="360" w:lineRule="auto"/>
        <w:jc w:val="both"/>
      </w:pPr>
      <w:r w:rsidRPr="000B6E9B">
        <w:t xml:space="preserve">Noor, R. S., Shah, A. N., Tahir, M. B., Umair, M., Nawaz, M., Ali, A., ... &amp; </w:t>
      </w:r>
      <w:proofErr w:type="spellStart"/>
      <w:r w:rsidRPr="000B6E9B">
        <w:t>Assiri</w:t>
      </w:r>
      <w:proofErr w:type="spellEnd"/>
      <w:r w:rsidRPr="000B6E9B">
        <w:t>, M. A. (2024). Recent trends and advances in additive-mediated composting technology for agricultural waste resources: A comprehensive review. </w:t>
      </w:r>
      <w:r w:rsidRPr="009774C9">
        <w:rPr>
          <w:i/>
          <w:iCs/>
        </w:rPr>
        <w:t>ACS omega</w:t>
      </w:r>
      <w:r w:rsidRPr="000B6E9B">
        <w:t>, </w:t>
      </w:r>
      <w:r w:rsidRPr="009774C9">
        <w:rPr>
          <w:i/>
          <w:iCs/>
        </w:rPr>
        <w:t>9</w:t>
      </w:r>
      <w:r w:rsidRPr="000B6E9B">
        <w:t>(8), 8632-8653.</w:t>
      </w:r>
      <w:r>
        <w:t xml:space="preserve"> </w:t>
      </w:r>
      <w:hyperlink r:id="rId51" w:history="1">
        <w:r w:rsidRPr="000423DB">
          <w:rPr>
            <w:rStyle w:val="Hyperlink"/>
          </w:rPr>
          <w:t>https://doi.org/10.1021/acsomega.3c06516</w:t>
        </w:r>
      </w:hyperlink>
      <w:r>
        <w:t xml:space="preserve"> </w:t>
      </w:r>
    </w:p>
    <w:p w14:paraId="7F7D17EA" w14:textId="77777777" w:rsidR="009774C9" w:rsidRDefault="009774C9" w:rsidP="009774C9">
      <w:pPr>
        <w:pStyle w:val="ListParagraph"/>
        <w:numPr>
          <w:ilvl w:val="0"/>
          <w:numId w:val="37"/>
        </w:numPr>
        <w:spacing w:line="360" w:lineRule="auto"/>
        <w:jc w:val="both"/>
      </w:pPr>
      <w:proofErr w:type="spellStart"/>
      <w:r w:rsidRPr="00924082">
        <w:t>Nordahl</w:t>
      </w:r>
      <w:proofErr w:type="spellEnd"/>
      <w:r w:rsidRPr="00924082">
        <w:t xml:space="preserve">, S. L., Preble, C. V., </w:t>
      </w:r>
      <w:proofErr w:type="spellStart"/>
      <w:r w:rsidRPr="00924082">
        <w:t>Kirchstetter</w:t>
      </w:r>
      <w:proofErr w:type="spellEnd"/>
      <w:r w:rsidRPr="00924082">
        <w:t xml:space="preserve">, T. W., &amp; </w:t>
      </w:r>
      <w:proofErr w:type="spellStart"/>
      <w:r w:rsidRPr="00924082">
        <w:t>Scown</w:t>
      </w:r>
      <w:proofErr w:type="spellEnd"/>
      <w:r w:rsidRPr="00924082">
        <w:t>, C. D. (2023). Greenhouse gas and air pollutant emissions from composting. </w:t>
      </w:r>
      <w:r w:rsidRPr="009774C9">
        <w:rPr>
          <w:i/>
          <w:iCs/>
        </w:rPr>
        <w:t>Environmental science &amp; technology</w:t>
      </w:r>
      <w:r w:rsidRPr="00924082">
        <w:t>, </w:t>
      </w:r>
      <w:r w:rsidRPr="009774C9">
        <w:rPr>
          <w:i/>
          <w:iCs/>
        </w:rPr>
        <w:t>57</w:t>
      </w:r>
      <w:r w:rsidRPr="00924082">
        <w:t>(6), 2235-2247.</w:t>
      </w:r>
      <w:r>
        <w:t xml:space="preserve"> </w:t>
      </w:r>
      <w:hyperlink r:id="rId52" w:history="1">
        <w:r w:rsidRPr="000423DB">
          <w:rPr>
            <w:rStyle w:val="Hyperlink"/>
          </w:rPr>
          <w:t>https://doi.org/10.1021/acs.est.2c05846</w:t>
        </w:r>
      </w:hyperlink>
      <w:r>
        <w:t xml:space="preserve"> </w:t>
      </w:r>
    </w:p>
    <w:p w14:paraId="7D0B7B7E" w14:textId="77777777" w:rsidR="009774C9" w:rsidRDefault="009774C9" w:rsidP="009774C9">
      <w:pPr>
        <w:pStyle w:val="ListParagraph"/>
        <w:numPr>
          <w:ilvl w:val="0"/>
          <w:numId w:val="37"/>
        </w:numPr>
        <w:spacing w:line="360" w:lineRule="auto"/>
        <w:jc w:val="both"/>
      </w:pPr>
      <w:proofErr w:type="spellStart"/>
      <w:r w:rsidRPr="00A66E2F">
        <w:t>Omara</w:t>
      </w:r>
      <w:proofErr w:type="spellEnd"/>
      <w:r w:rsidRPr="00A66E2F">
        <w:t xml:space="preserve">, A. E.-D., Hafez, E. M., Osman, H. S., </w:t>
      </w:r>
      <w:proofErr w:type="spellStart"/>
      <w:r w:rsidRPr="00A66E2F">
        <w:t>Rashwan</w:t>
      </w:r>
      <w:proofErr w:type="spellEnd"/>
      <w:r w:rsidRPr="00A66E2F">
        <w:t xml:space="preserve">, E., El-Said, M. A. A., </w:t>
      </w:r>
      <w:proofErr w:type="spellStart"/>
      <w:r w:rsidRPr="00A66E2F">
        <w:t>Alharbi</w:t>
      </w:r>
      <w:proofErr w:type="spellEnd"/>
      <w:r w:rsidRPr="00A66E2F">
        <w:t>, K., Abd El-</w:t>
      </w:r>
      <w:proofErr w:type="spellStart"/>
      <w:r w:rsidRPr="00A66E2F">
        <w:t>Moneim</w:t>
      </w:r>
      <w:proofErr w:type="spellEnd"/>
      <w:r w:rsidRPr="00A66E2F">
        <w:t xml:space="preserve">, D., &amp; </w:t>
      </w:r>
      <w:proofErr w:type="spellStart"/>
      <w:r w:rsidRPr="00A66E2F">
        <w:t>Gowayed</w:t>
      </w:r>
      <w:proofErr w:type="spellEnd"/>
      <w:r w:rsidRPr="00A66E2F">
        <w:t>, S. M. (2022). Collaborative Impact of Compost and Beneficial Rhizobacteria on Soil Properties, Physiological Attributes, and Productivity of Wheat Subjected to Deficit Irrigation in Salt Affected Soil. </w:t>
      </w:r>
      <w:r w:rsidRPr="009774C9">
        <w:rPr>
          <w:i/>
          <w:iCs/>
        </w:rPr>
        <w:t>Plants</w:t>
      </w:r>
      <w:r w:rsidRPr="00A66E2F">
        <w:t>, </w:t>
      </w:r>
      <w:r w:rsidRPr="009774C9">
        <w:rPr>
          <w:i/>
          <w:iCs/>
        </w:rPr>
        <w:t>11</w:t>
      </w:r>
      <w:r w:rsidRPr="00A66E2F">
        <w:t xml:space="preserve">(7), 877. </w:t>
      </w:r>
      <w:hyperlink r:id="rId53" w:history="1">
        <w:r w:rsidRPr="00A66E2F">
          <w:rPr>
            <w:rStyle w:val="Hyperlink"/>
          </w:rPr>
          <w:t>https://doi.org/10.3390/plants11070877</w:t>
        </w:r>
      </w:hyperlink>
      <w:r>
        <w:t xml:space="preserve"> </w:t>
      </w:r>
    </w:p>
    <w:p w14:paraId="3C8D8AFB" w14:textId="77777777" w:rsidR="009774C9" w:rsidRPr="00B73FD9" w:rsidRDefault="009774C9" w:rsidP="009774C9">
      <w:pPr>
        <w:pStyle w:val="ListParagraph"/>
        <w:numPr>
          <w:ilvl w:val="0"/>
          <w:numId w:val="37"/>
        </w:numPr>
        <w:spacing w:line="360" w:lineRule="auto"/>
        <w:jc w:val="both"/>
      </w:pPr>
      <w:proofErr w:type="spellStart"/>
      <w:r w:rsidRPr="00F84FC1">
        <w:t>Oumaima</w:t>
      </w:r>
      <w:proofErr w:type="spellEnd"/>
      <w:r w:rsidRPr="00F84FC1">
        <w:t>, B., Nour-</w:t>
      </w:r>
      <w:proofErr w:type="spellStart"/>
      <w:r w:rsidRPr="00F84FC1">
        <w:t>Eddine</w:t>
      </w:r>
      <w:proofErr w:type="spellEnd"/>
      <w:r w:rsidRPr="00F84FC1">
        <w:t xml:space="preserve">, C., Mohammed, R. S., </w:t>
      </w:r>
      <w:proofErr w:type="spellStart"/>
      <w:r w:rsidRPr="00F84FC1">
        <w:t>Ouammou</w:t>
      </w:r>
      <w:proofErr w:type="spellEnd"/>
      <w:r w:rsidRPr="00F84FC1">
        <w:t xml:space="preserve">, A., Oussama, C., &amp; </w:t>
      </w:r>
      <w:proofErr w:type="spellStart"/>
      <w:r w:rsidRPr="00F84FC1">
        <w:t>Faouzi</w:t>
      </w:r>
      <w:proofErr w:type="spellEnd"/>
      <w:r w:rsidRPr="00F84FC1">
        <w:t xml:space="preserve">, E. (2024). </w:t>
      </w:r>
      <w:proofErr w:type="spellStart"/>
      <w:r w:rsidRPr="00F84FC1">
        <w:t>Thermoactinomyces</w:t>
      </w:r>
      <w:proofErr w:type="spellEnd"/>
      <w:r w:rsidRPr="00F84FC1">
        <w:t xml:space="preserve"> </w:t>
      </w:r>
      <w:proofErr w:type="spellStart"/>
      <w:r w:rsidRPr="00F84FC1">
        <w:t>sacchari</w:t>
      </w:r>
      <w:proofErr w:type="spellEnd"/>
      <w:r w:rsidRPr="00F84FC1">
        <w:t xml:space="preserve"> competent strain: isolation from compost, selection and characterization for biotechnological use. </w:t>
      </w:r>
      <w:r w:rsidRPr="009774C9">
        <w:rPr>
          <w:i/>
          <w:iCs/>
        </w:rPr>
        <w:t>Scientific African</w:t>
      </w:r>
      <w:r w:rsidRPr="00F84FC1">
        <w:t>, </w:t>
      </w:r>
      <w:r w:rsidRPr="009774C9">
        <w:rPr>
          <w:i/>
          <w:iCs/>
        </w:rPr>
        <w:t>23</w:t>
      </w:r>
      <w:r w:rsidRPr="00F84FC1">
        <w:t>, e02121.</w:t>
      </w:r>
      <w:r>
        <w:t xml:space="preserve"> </w:t>
      </w:r>
      <w:hyperlink r:id="rId54" w:history="1">
        <w:r w:rsidRPr="000423DB">
          <w:rPr>
            <w:rStyle w:val="Hyperlink"/>
          </w:rPr>
          <w:t>https://doi.org/10.1016/j.sciaf.2024.e02121</w:t>
        </w:r>
      </w:hyperlink>
      <w:r>
        <w:t xml:space="preserve"> </w:t>
      </w:r>
    </w:p>
    <w:p w14:paraId="1D19A2EA" w14:textId="77777777" w:rsidR="009774C9" w:rsidRDefault="009774C9" w:rsidP="009774C9">
      <w:pPr>
        <w:pStyle w:val="ListParagraph"/>
        <w:numPr>
          <w:ilvl w:val="0"/>
          <w:numId w:val="37"/>
        </w:numPr>
        <w:spacing w:line="360" w:lineRule="auto"/>
        <w:jc w:val="both"/>
      </w:pPr>
      <w:proofErr w:type="spellStart"/>
      <w:r w:rsidRPr="008E466C">
        <w:t>Phooi</w:t>
      </w:r>
      <w:proofErr w:type="spellEnd"/>
      <w:r w:rsidRPr="008E466C">
        <w:t xml:space="preserve">, C. L., Azman, E. A., Ismail, R., Shiva, D. M., &amp; Patel, S. (2025). Impact of food waste-derived sandwiched compost on soil properties and nutrient uptake in </w:t>
      </w:r>
      <w:r w:rsidRPr="009774C9">
        <w:rPr>
          <w:i/>
          <w:iCs/>
        </w:rPr>
        <w:t xml:space="preserve">Brassica </w:t>
      </w:r>
      <w:proofErr w:type="spellStart"/>
      <w:r w:rsidRPr="009774C9">
        <w:rPr>
          <w:i/>
          <w:iCs/>
        </w:rPr>
        <w:t>rapa</w:t>
      </w:r>
      <w:proofErr w:type="spellEnd"/>
      <w:r w:rsidRPr="008E466C">
        <w:t xml:space="preserve"> subsp. </w:t>
      </w:r>
      <w:proofErr w:type="spellStart"/>
      <w:r w:rsidRPr="009774C9">
        <w:rPr>
          <w:i/>
          <w:iCs/>
        </w:rPr>
        <w:t>chinensis</w:t>
      </w:r>
      <w:proofErr w:type="spellEnd"/>
      <w:r w:rsidRPr="008E466C">
        <w:t xml:space="preserve"> (</w:t>
      </w:r>
      <w:proofErr w:type="spellStart"/>
      <w:r w:rsidRPr="008E466C">
        <w:t>bok</w:t>
      </w:r>
      <w:proofErr w:type="spellEnd"/>
      <w:r w:rsidRPr="008E466C">
        <w:t xml:space="preserve"> choy). </w:t>
      </w:r>
      <w:r w:rsidRPr="009774C9">
        <w:rPr>
          <w:i/>
          <w:iCs/>
        </w:rPr>
        <w:t>Malaysian Journal of Soil Science, 29</w:t>
      </w:r>
      <w:r w:rsidRPr="008E466C">
        <w:t>, 348–362.</w:t>
      </w:r>
    </w:p>
    <w:p w14:paraId="7B8BBBC7" w14:textId="77777777" w:rsidR="009774C9" w:rsidRDefault="009774C9" w:rsidP="009774C9">
      <w:pPr>
        <w:pStyle w:val="ListParagraph"/>
        <w:numPr>
          <w:ilvl w:val="0"/>
          <w:numId w:val="37"/>
        </w:numPr>
        <w:spacing w:line="360" w:lineRule="auto"/>
        <w:jc w:val="both"/>
      </w:pPr>
      <w:proofErr w:type="spellStart"/>
      <w:r w:rsidRPr="00333D9B">
        <w:lastRenderedPageBreak/>
        <w:t>Ramísio</w:t>
      </w:r>
      <w:proofErr w:type="spellEnd"/>
      <w:r w:rsidRPr="00333D9B">
        <w:t>, P. J., Bento, F., Geraldo, D., Andrade, O., &amp; Bettencourt, A. P. (2023). Evaluation of municipal waste compost in relation to the environmental retention of heavy metals. </w:t>
      </w:r>
      <w:r w:rsidRPr="009774C9">
        <w:rPr>
          <w:i/>
          <w:iCs/>
        </w:rPr>
        <w:t>Sustainability</w:t>
      </w:r>
      <w:r w:rsidRPr="00333D9B">
        <w:t>, </w:t>
      </w:r>
      <w:r w:rsidRPr="009774C9">
        <w:rPr>
          <w:i/>
          <w:iCs/>
        </w:rPr>
        <w:t>15</w:t>
      </w:r>
      <w:r w:rsidRPr="00333D9B">
        <w:t>(23), 16395.</w:t>
      </w:r>
      <w:r>
        <w:t xml:space="preserve"> </w:t>
      </w:r>
      <w:hyperlink r:id="rId55" w:history="1">
        <w:r w:rsidRPr="000D1299">
          <w:rPr>
            <w:rStyle w:val="Hyperlink"/>
          </w:rPr>
          <w:t>https://doi.org/10.3390/su152316395</w:t>
        </w:r>
      </w:hyperlink>
      <w:r>
        <w:t xml:space="preserve"> </w:t>
      </w:r>
    </w:p>
    <w:p w14:paraId="3AAFBA27" w14:textId="77777777" w:rsidR="009774C9" w:rsidRPr="00B73FD9" w:rsidRDefault="009774C9" w:rsidP="009774C9">
      <w:pPr>
        <w:pStyle w:val="ListParagraph"/>
        <w:numPr>
          <w:ilvl w:val="0"/>
          <w:numId w:val="37"/>
        </w:numPr>
        <w:spacing w:line="360" w:lineRule="auto"/>
        <w:jc w:val="both"/>
      </w:pPr>
      <w:r w:rsidRPr="00976E49">
        <w:t xml:space="preserve">Ramos, M., </w:t>
      </w:r>
      <w:proofErr w:type="spellStart"/>
      <w:r w:rsidRPr="00976E49">
        <w:t>Laveriano</w:t>
      </w:r>
      <w:proofErr w:type="spellEnd"/>
      <w:r w:rsidRPr="00976E49">
        <w:t xml:space="preserve">, E., San Sebastián, L., Perez, M., Jiménez, A., </w:t>
      </w:r>
      <w:proofErr w:type="spellStart"/>
      <w:r w:rsidRPr="00976E49">
        <w:t>Lamuela-Raventos</w:t>
      </w:r>
      <w:proofErr w:type="spellEnd"/>
      <w:r w:rsidRPr="00976E49">
        <w:t xml:space="preserve">, R. M., ... &amp; </w:t>
      </w:r>
      <w:proofErr w:type="spellStart"/>
      <w:r w:rsidRPr="00976E49">
        <w:t>Vallverdú-Queralt</w:t>
      </w:r>
      <w:proofErr w:type="spellEnd"/>
      <w:r w:rsidRPr="00976E49">
        <w:t>, A. (2023). Rice straw as a valuable source of cellulose and polyphenols: Applications in the food industry. </w:t>
      </w:r>
      <w:r w:rsidRPr="009774C9">
        <w:rPr>
          <w:i/>
          <w:iCs/>
        </w:rPr>
        <w:t>Trends in Food Science &amp; Technology</w:t>
      </w:r>
      <w:r w:rsidRPr="00976E49">
        <w:t>, </w:t>
      </w:r>
      <w:r w:rsidRPr="009774C9">
        <w:rPr>
          <w:i/>
          <w:iCs/>
        </w:rPr>
        <w:t>131</w:t>
      </w:r>
      <w:r w:rsidRPr="00976E49">
        <w:t>, 14-27.</w:t>
      </w:r>
      <w:r>
        <w:t xml:space="preserve"> </w:t>
      </w:r>
      <w:hyperlink r:id="rId56" w:history="1">
        <w:r w:rsidRPr="000423DB">
          <w:rPr>
            <w:rStyle w:val="Hyperlink"/>
          </w:rPr>
          <w:t>https://doi.org/10.1016/j.tifs.2022.11.020</w:t>
        </w:r>
      </w:hyperlink>
      <w:r>
        <w:t xml:space="preserve"> </w:t>
      </w:r>
    </w:p>
    <w:p w14:paraId="02854390" w14:textId="77777777" w:rsidR="009774C9" w:rsidRPr="00524830" w:rsidRDefault="009774C9" w:rsidP="009774C9">
      <w:pPr>
        <w:pStyle w:val="ListParagraph"/>
        <w:numPr>
          <w:ilvl w:val="0"/>
          <w:numId w:val="37"/>
        </w:numPr>
        <w:spacing w:line="360" w:lineRule="auto"/>
        <w:jc w:val="both"/>
      </w:pPr>
      <w:r w:rsidRPr="002F3CE1">
        <w:t xml:space="preserve">Rao, M. M., </w:t>
      </w:r>
      <w:proofErr w:type="spellStart"/>
      <w:r w:rsidRPr="002F3CE1">
        <w:t>Botsa</w:t>
      </w:r>
      <w:proofErr w:type="spellEnd"/>
      <w:r w:rsidRPr="002F3CE1">
        <w:t xml:space="preserve">, S. M., Rao, T. P., </w:t>
      </w:r>
      <w:proofErr w:type="spellStart"/>
      <w:r w:rsidRPr="002F3CE1">
        <w:t>Goddu</w:t>
      </w:r>
      <w:proofErr w:type="spellEnd"/>
      <w:r w:rsidRPr="002F3CE1">
        <w:t xml:space="preserve">, S. R., &amp; </w:t>
      </w:r>
      <w:proofErr w:type="spellStart"/>
      <w:r w:rsidRPr="002F3CE1">
        <w:t>Vijayasanthi</w:t>
      </w:r>
      <w:proofErr w:type="spellEnd"/>
      <w:r w:rsidRPr="002F3CE1">
        <w:t>, C. (2024). A comprehensive review on agricultural waste production and onsite management with circular economy opportunities. </w:t>
      </w:r>
      <w:r w:rsidRPr="009774C9">
        <w:rPr>
          <w:i/>
          <w:iCs/>
        </w:rPr>
        <w:t>Discover Sustainability</w:t>
      </w:r>
      <w:r w:rsidRPr="002F3CE1">
        <w:t>, </w:t>
      </w:r>
      <w:r w:rsidRPr="009774C9">
        <w:rPr>
          <w:i/>
          <w:iCs/>
        </w:rPr>
        <w:t>5</w:t>
      </w:r>
      <w:r w:rsidRPr="002F3CE1">
        <w:t>(1), 288.</w:t>
      </w:r>
      <w:r>
        <w:t xml:space="preserve"> </w:t>
      </w:r>
      <w:hyperlink r:id="rId57" w:history="1">
        <w:r w:rsidRPr="00524830">
          <w:rPr>
            <w:rStyle w:val="Hyperlink"/>
          </w:rPr>
          <w:t>https://doi.org/10.1007/s43621-024-00492-z</w:t>
        </w:r>
      </w:hyperlink>
      <w:r>
        <w:t xml:space="preserve"> </w:t>
      </w:r>
    </w:p>
    <w:p w14:paraId="4D7D932D" w14:textId="77777777" w:rsidR="009774C9" w:rsidRDefault="009774C9" w:rsidP="009774C9">
      <w:pPr>
        <w:pStyle w:val="ListParagraph"/>
        <w:numPr>
          <w:ilvl w:val="0"/>
          <w:numId w:val="37"/>
        </w:numPr>
        <w:spacing w:line="360" w:lineRule="auto"/>
        <w:jc w:val="both"/>
      </w:pPr>
      <w:r w:rsidRPr="00D53AD5">
        <w:t xml:space="preserve">Rostami, M., </w:t>
      </w:r>
      <w:proofErr w:type="spellStart"/>
      <w:r w:rsidRPr="00D53AD5">
        <w:t>Karegar</w:t>
      </w:r>
      <w:proofErr w:type="spellEnd"/>
      <w:r w:rsidRPr="00D53AD5">
        <w:t xml:space="preserve">, A., </w:t>
      </w:r>
      <w:proofErr w:type="spellStart"/>
      <w:r w:rsidRPr="00D53AD5">
        <w:t>Taghavi</w:t>
      </w:r>
      <w:proofErr w:type="spellEnd"/>
      <w:r w:rsidRPr="00D53AD5">
        <w:t xml:space="preserve">, S. M., </w:t>
      </w:r>
      <w:proofErr w:type="spellStart"/>
      <w:r w:rsidRPr="00D53AD5">
        <w:t>Ghasemi-Fasaei</w:t>
      </w:r>
      <w:proofErr w:type="spellEnd"/>
      <w:r w:rsidRPr="00D53AD5">
        <w:t xml:space="preserve">, R., &amp; </w:t>
      </w:r>
      <w:proofErr w:type="spellStart"/>
      <w:r w:rsidRPr="00D53AD5">
        <w:t>Ghorbani</w:t>
      </w:r>
      <w:proofErr w:type="spellEnd"/>
      <w:r w:rsidRPr="00D53AD5">
        <w:t xml:space="preserve">, A. (2023). Effective combination of arugula vermicompost, chitin and inhibitory bacteria for suppression of the root-knot nematode Meloidogyne </w:t>
      </w:r>
      <w:proofErr w:type="spellStart"/>
      <w:r w:rsidRPr="00D53AD5">
        <w:t>javanica</w:t>
      </w:r>
      <w:proofErr w:type="spellEnd"/>
      <w:r w:rsidRPr="00D53AD5">
        <w:t xml:space="preserve"> and explanation of their beneficial properties based on microbial analysis. </w:t>
      </w:r>
      <w:proofErr w:type="spellStart"/>
      <w:r w:rsidRPr="009774C9">
        <w:rPr>
          <w:i/>
          <w:iCs/>
        </w:rPr>
        <w:t>Plos</w:t>
      </w:r>
      <w:proofErr w:type="spellEnd"/>
      <w:r w:rsidRPr="009774C9">
        <w:rPr>
          <w:i/>
          <w:iCs/>
        </w:rPr>
        <w:t xml:space="preserve"> one</w:t>
      </w:r>
      <w:r w:rsidRPr="00D53AD5">
        <w:t>, </w:t>
      </w:r>
      <w:r w:rsidRPr="009774C9">
        <w:rPr>
          <w:i/>
          <w:iCs/>
        </w:rPr>
        <w:t>18</w:t>
      </w:r>
      <w:r w:rsidRPr="00D53AD5">
        <w:t>(8), e0289935.</w:t>
      </w:r>
      <w:r>
        <w:t xml:space="preserve"> </w:t>
      </w:r>
      <w:hyperlink r:id="rId58" w:history="1">
        <w:r w:rsidRPr="000D1299">
          <w:rPr>
            <w:rStyle w:val="Hyperlink"/>
          </w:rPr>
          <w:t>https://doi.org/10.1371/journal.pone.0289935</w:t>
        </w:r>
      </w:hyperlink>
      <w:r>
        <w:t xml:space="preserve"> </w:t>
      </w:r>
    </w:p>
    <w:p w14:paraId="6583F11A" w14:textId="77777777" w:rsidR="009774C9" w:rsidRDefault="009774C9" w:rsidP="009774C9">
      <w:pPr>
        <w:pStyle w:val="ListParagraph"/>
        <w:numPr>
          <w:ilvl w:val="0"/>
          <w:numId w:val="37"/>
        </w:numPr>
        <w:spacing w:line="360" w:lineRule="auto"/>
        <w:jc w:val="both"/>
      </w:pPr>
      <w:r w:rsidRPr="00B16E82">
        <w:t>Saini, A., Aggarwal, N. K., Sharma, A., &amp; Yadav, A. (2015). Actinomycetes: a source of lignocellulolytic enzymes. </w:t>
      </w:r>
      <w:r w:rsidRPr="009774C9">
        <w:rPr>
          <w:i/>
          <w:iCs/>
        </w:rPr>
        <w:t>Enzyme research</w:t>
      </w:r>
      <w:r w:rsidRPr="00B16E82">
        <w:t>, </w:t>
      </w:r>
      <w:r w:rsidRPr="009774C9">
        <w:rPr>
          <w:i/>
          <w:iCs/>
        </w:rPr>
        <w:t>2015</w:t>
      </w:r>
      <w:r w:rsidRPr="00B16E82">
        <w:t>(1), 279381.</w:t>
      </w:r>
      <w:r>
        <w:t xml:space="preserve"> </w:t>
      </w:r>
      <w:hyperlink r:id="rId59" w:history="1">
        <w:r w:rsidRPr="000423DB">
          <w:rPr>
            <w:rStyle w:val="Hyperlink"/>
          </w:rPr>
          <w:t>https://doi.org/10.1155/2015/279381</w:t>
        </w:r>
      </w:hyperlink>
      <w:r>
        <w:t xml:space="preserve"> </w:t>
      </w:r>
    </w:p>
    <w:p w14:paraId="11C5556E" w14:textId="77777777" w:rsidR="009774C9" w:rsidRPr="00B73FD9" w:rsidRDefault="009774C9" w:rsidP="009774C9">
      <w:pPr>
        <w:pStyle w:val="ListParagraph"/>
        <w:numPr>
          <w:ilvl w:val="0"/>
          <w:numId w:val="37"/>
        </w:numPr>
        <w:spacing w:line="360" w:lineRule="auto"/>
        <w:jc w:val="both"/>
      </w:pPr>
      <w:proofErr w:type="spellStart"/>
      <w:r w:rsidRPr="00801B44">
        <w:t>Sarnklong</w:t>
      </w:r>
      <w:proofErr w:type="spellEnd"/>
      <w:r w:rsidRPr="00801B44">
        <w:t xml:space="preserve">, C., Cone, J. W., </w:t>
      </w:r>
      <w:proofErr w:type="spellStart"/>
      <w:r w:rsidRPr="00801B44">
        <w:t>Pellikaan</w:t>
      </w:r>
      <w:proofErr w:type="spellEnd"/>
      <w:r w:rsidRPr="00801B44">
        <w:t>, W., &amp; Hendriks, W. H. (2010). Utilization of rice straw and different treatments to improve its feed value for ruminants: a review. </w:t>
      </w:r>
      <w:r w:rsidRPr="009774C9">
        <w:rPr>
          <w:i/>
          <w:iCs/>
        </w:rPr>
        <w:t>Asian-Australasian journal of animal sciences</w:t>
      </w:r>
      <w:r w:rsidRPr="00801B44">
        <w:t>, </w:t>
      </w:r>
      <w:r w:rsidRPr="009774C9">
        <w:rPr>
          <w:i/>
          <w:iCs/>
        </w:rPr>
        <w:t>23</w:t>
      </w:r>
      <w:r w:rsidRPr="00801B44">
        <w:t>(5), 680-692</w:t>
      </w:r>
      <w:r w:rsidRPr="00B73FD9">
        <w:t xml:space="preserve">. </w:t>
      </w:r>
    </w:p>
    <w:p w14:paraId="5A6B0E6A" w14:textId="77777777" w:rsidR="009774C9" w:rsidRPr="00673F22" w:rsidRDefault="009774C9" w:rsidP="009774C9">
      <w:pPr>
        <w:pStyle w:val="ListParagraph"/>
        <w:numPr>
          <w:ilvl w:val="0"/>
          <w:numId w:val="37"/>
        </w:numPr>
        <w:spacing w:line="360" w:lineRule="auto"/>
        <w:jc w:val="both"/>
      </w:pPr>
      <w:r w:rsidRPr="00673F22">
        <w:t>Sharma, H.K., Xu, C. &amp; Qin, W. (2019)</w:t>
      </w:r>
      <w:r>
        <w:t xml:space="preserve">. </w:t>
      </w:r>
      <w:r w:rsidRPr="00673F22">
        <w:t>Biological Pretreatment of Lignocellulosic Biomass for Biofuels and Bioproducts: An Overview. </w:t>
      </w:r>
      <w:r w:rsidRPr="009774C9">
        <w:rPr>
          <w:i/>
          <w:iCs/>
        </w:rPr>
        <w:t>Waste Biomass Valor</w:t>
      </w:r>
      <w:r w:rsidRPr="00673F22">
        <w:t> </w:t>
      </w:r>
      <w:r w:rsidRPr="009774C9">
        <w:rPr>
          <w:b/>
          <w:bCs/>
        </w:rPr>
        <w:t>10</w:t>
      </w:r>
      <w:r w:rsidRPr="00673F22">
        <w:t xml:space="preserve">, 235–251. </w:t>
      </w:r>
      <w:hyperlink r:id="rId60" w:history="1">
        <w:r w:rsidRPr="00673F22">
          <w:rPr>
            <w:rStyle w:val="Hyperlink"/>
          </w:rPr>
          <w:t>https://doi.org/10.1007/s12649-017-0059-y</w:t>
        </w:r>
      </w:hyperlink>
      <w:r>
        <w:t xml:space="preserve"> </w:t>
      </w:r>
    </w:p>
    <w:p w14:paraId="5814CDDA" w14:textId="77777777" w:rsidR="009774C9" w:rsidRDefault="009774C9" w:rsidP="009774C9">
      <w:pPr>
        <w:pStyle w:val="ListParagraph"/>
        <w:numPr>
          <w:ilvl w:val="0"/>
          <w:numId w:val="37"/>
        </w:numPr>
        <w:spacing w:line="360" w:lineRule="auto"/>
        <w:jc w:val="both"/>
      </w:pPr>
      <w:r w:rsidRPr="00703435">
        <w:t>Shu, X., Liu, W., Huang, H., Ye, Q., Zhu, S., Peng, Z., ... &amp; Shi, J. (2023). Meta-analysis of organic fertilization effects on soil bacterial diversity and community composition in agroecosystems. </w:t>
      </w:r>
      <w:r w:rsidRPr="009774C9">
        <w:rPr>
          <w:i/>
          <w:iCs/>
        </w:rPr>
        <w:t>Plants</w:t>
      </w:r>
      <w:r w:rsidRPr="00703435">
        <w:t>, </w:t>
      </w:r>
      <w:r w:rsidRPr="009774C9">
        <w:rPr>
          <w:i/>
          <w:iCs/>
        </w:rPr>
        <w:t>12</w:t>
      </w:r>
      <w:r w:rsidRPr="00703435">
        <w:t>(22), 3801.</w:t>
      </w:r>
      <w:r>
        <w:t xml:space="preserve"> </w:t>
      </w:r>
      <w:hyperlink r:id="rId61" w:history="1">
        <w:r w:rsidRPr="000D1299">
          <w:rPr>
            <w:rStyle w:val="Hyperlink"/>
          </w:rPr>
          <w:t>https://doi.org/10.3390/plants12223801</w:t>
        </w:r>
      </w:hyperlink>
      <w:r>
        <w:t xml:space="preserve"> </w:t>
      </w:r>
    </w:p>
    <w:p w14:paraId="3129F9C4" w14:textId="77777777" w:rsidR="009774C9" w:rsidRDefault="009774C9" w:rsidP="009774C9">
      <w:pPr>
        <w:pStyle w:val="ListParagraph"/>
        <w:numPr>
          <w:ilvl w:val="0"/>
          <w:numId w:val="37"/>
        </w:numPr>
        <w:spacing w:line="360" w:lineRule="auto"/>
        <w:jc w:val="both"/>
      </w:pPr>
      <w:r w:rsidRPr="00EA47EF">
        <w:t xml:space="preserve">Silva, G. D. C., Kitano, I. T., Ribeiro, I. A. D. F., &amp; </w:t>
      </w:r>
      <w:proofErr w:type="spellStart"/>
      <w:r w:rsidRPr="00EA47EF">
        <w:t>Lacava</w:t>
      </w:r>
      <w:proofErr w:type="spellEnd"/>
      <w:r w:rsidRPr="00EA47EF">
        <w:t>, P. T. (2022). The potential use of actinomycetes as microbial inoculants and biopesticides in agriculture. Frontiers in Soil Science, 2, 833181.</w:t>
      </w:r>
      <w:r>
        <w:t xml:space="preserve"> </w:t>
      </w:r>
      <w:hyperlink r:id="rId62" w:history="1">
        <w:r w:rsidRPr="000423DB">
          <w:rPr>
            <w:rStyle w:val="Hyperlink"/>
          </w:rPr>
          <w:t>https://doi.org/10.3389/fsoil.2022.833181</w:t>
        </w:r>
      </w:hyperlink>
      <w:r>
        <w:t xml:space="preserve"> </w:t>
      </w:r>
    </w:p>
    <w:p w14:paraId="325F9850" w14:textId="77777777" w:rsidR="009774C9" w:rsidRDefault="009774C9" w:rsidP="009774C9">
      <w:pPr>
        <w:pStyle w:val="ListParagraph"/>
        <w:numPr>
          <w:ilvl w:val="0"/>
          <w:numId w:val="37"/>
        </w:numPr>
        <w:spacing w:line="360" w:lineRule="auto"/>
        <w:jc w:val="both"/>
      </w:pPr>
      <w:r w:rsidRPr="0026134D">
        <w:t xml:space="preserve">Singh, A., Choudhary, S., Meena, R. P., &amp; </w:t>
      </w:r>
      <w:proofErr w:type="spellStart"/>
      <w:r w:rsidRPr="0026134D">
        <w:t>Dass</w:t>
      </w:r>
      <w:proofErr w:type="spellEnd"/>
      <w:r w:rsidRPr="0026134D">
        <w:t>, A. (2022). Nutrient supplying potential of crop residues in Indian agriculture. In </w:t>
      </w:r>
      <w:r w:rsidRPr="009774C9">
        <w:rPr>
          <w:i/>
          <w:iCs/>
        </w:rPr>
        <w:t>Agricultural Waste-New Insights</w:t>
      </w:r>
      <w:r w:rsidRPr="0026134D">
        <w:t xml:space="preserve">. </w:t>
      </w:r>
      <w:proofErr w:type="spellStart"/>
      <w:r w:rsidRPr="0026134D">
        <w:t>IntechOpen</w:t>
      </w:r>
      <w:proofErr w:type="spellEnd"/>
      <w:r w:rsidRPr="0026134D">
        <w:t>.</w:t>
      </w:r>
      <w:r>
        <w:t xml:space="preserve"> </w:t>
      </w:r>
      <w:hyperlink r:id="rId63" w:history="1">
        <w:r w:rsidRPr="00524830">
          <w:rPr>
            <w:rStyle w:val="Hyperlink"/>
          </w:rPr>
          <w:t>https://doi.org/</w:t>
        </w:r>
        <w:r w:rsidRPr="000423DB">
          <w:rPr>
            <w:rStyle w:val="Hyperlink"/>
          </w:rPr>
          <w:t>10.5772/intechopen.108970</w:t>
        </w:r>
      </w:hyperlink>
    </w:p>
    <w:p w14:paraId="1863132D" w14:textId="77777777" w:rsidR="009774C9" w:rsidRDefault="009774C9" w:rsidP="009774C9">
      <w:pPr>
        <w:pStyle w:val="ListParagraph"/>
        <w:numPr>
          <w:ilvl w:val="0"/>
          <w:numId w:val="37"/>
        </w:numPr>
        <w:spacing w:line="360" w:lineRule="auto"/>
        <w:jc w:val="both"/>
      </w:pPr>
      <w:r w:rsidRPr="00516C82">
        <w:lastRenderedPageBreak/>
        <w:t>Smith, S. R. (2009). A critical review of the bioavailability and impacts of heavy metals in municipal solid waste composts compared to sewage sludge. </w:t>
      </w:r>
      <w:r w:rsidRPr="009774C9">
        <w:rPr>
          <w:i/>
          <w:iCs/>
        </w:rPr>
        <w:t>Environment international</w:t>
      </w:r>
      <w:r w:rsidRPr="00516C82">
        <w:t>, </w:t>
      </w:r>
      <w:r w:rsidRPr="009774C9">
        <w:rPr>
          <w:i/>
          <w:iCs/>
        </w:rPr>
        <w:t>35</w:t>
      </w:r>
      <w:r w:rsidRPr="00516C82">
        <w:t>(1), 142-156.</w:t>
      </w:r>
      <w:r>
        <w:t xml:space="preserve"> </w:t>
      </w:r>
      <w:hyperlink r:id="rId64" w:history="1">
        <w:r w:rsidRPr="000D1299">
          <w:rPr>
            <w:rStyle w:val="Hyperlink"/>
          </w:rPr>
          <w:t>https://doi.org/10.1016/j.envint.2008.06.009</w:t>
        </w:r>
      </w:hyperlink>
      <w:r>
        <w:t xml:space="preserve"> </w:t>
      </w:r>
    </w:p>
    <w:p w14:paraId="2BE35E38" w14:textId="77777777" w:rsidR="009774C9" w:rsidRDefault="009774C9" w:rsidP="009774C9">
      <w:pPr>
        <w:pStyle w:val="ListParagraph"/>
        <w:numPr>
          <w:ilvl w:val="0"/>
          <w:numId w:val="37"/>
        </w:numPr>
        <w:spacing w:line="360" w:lineRule="auto"/>
        <w:jc w:val="both"/>
      </w:pPr>
      <w:r w:rsidRPr="007C07B6">
        <w:t>Sun, L., Long, M., Li, J., Wu, R., Ma, L., Tang, D., ... &amp; Wang, Z. (2021). Different effects of thermophilic microbiological inoculation with and without biochar on physicochemical characteristics and bacterial communities in pig manure composting. </w:t>
      </w:r>
      <w:r w:rsidRPr="009774C9">
        <w:rPr>
          <w:i/>
          <w:iCs/>
        </w:rPr>
        <w:t>Frontiers in Microbiology</w:t>
      </w:r>
      <w:r w:rsidRPr="007C07B6">
        <w:t>, </w:t>
      </w:r>
      <w:r w:rsidRPr="009774C9">
        <w:rPr>
          <w:i/>
          <w:iCs/>
        </w:rPr>
        <w:t>12</w:t>
      </w:r>
      <w:r w:rsidRPr="007C07B6">
        <w:t>, 746718.</w:t>
      </w:r>
      <w:r>
        <w:t xml:space="preserve"> </w:t>
      </w:r>
      <w:hyperlink r:id="rId65" w:history="1">
        <w:r w:rsidRPr="000423DB">
          <w:rPr>
            <w:rStyle w:val="Hyperlink"/>
          </w:rPr>
          <w:t>https://doi.org/10.3389/fmicb.2021.746718</w:t>
        </w:r>
      </w:hyperlink>
      <w:r>
        <w:t xml:space="preserve"> </w:t>
      </w:r>
    </w:p>
    <w:p w14:paraId="4CA25F03" w14:textId="77777777" w:rsidR="009774C9" w:rsidRDefault="009774C9" w:rsidP="009774C9">
      <w:pPr>
        <w:pStyle w:val="ListParagraph"/>
        <w:numPr>
          <w:ilvl w:val="0"/>
          <w:numId w:val="37"/>
        </w:numPr>
        <w:spacing w:line="360" w:lineRule="auto"/>
        <w:jc w:val="both"/>
      </w:pPr>
      <w:proofErr w:type="spellStart"/>
      <w:r w:rsidRPr="00016026">
        <w:t>Suryadi</w:t>
      </w:r>
      <w:proofErr w:type="spellEnd"/>
      <w:r w:rsidRPr="00016026">
        <w:t xml:space="preserve">, H., </w:t>
      </w:r>
      <w:proofErr w:type="spellStart"/>
      <w:r w:rsidRPr="00016026">
        <w:t>Judono</w:t>
      </w:r>
      <w:proofErr w:type="spellEnd"/>
      <w:r w:rsidRPr="00016026">
        <w:t xml:space="preserve">, J. J., Putri, M. R., </w:t>
      </w:r>
      <w:proofErr w:type="spellStart"/>
      <w:r w:rsidRPr="00016026">
        <w:t>Eclessia</w:t>
      </w:r>
      <w:proofErr w:type="spellEnd"/>
      <w:r w:rsidRPr="00016026">
        <w:t xml:space="preserve">, A. D., </w:t>
      </w:r>
      <w:proofErr w:type="spellStart"/>
      <w:r w:rsidRPr="00016026">
        <w:t>Ulhaq</w:t>
      </w:r>
      <w:proofErr w:type="spellEnd"/>
      <w:r w:rsidRPr="00016026">
        <w:t xml:space="preserve">, J. M., Agustina, D. N., &amp; </w:t>
      </w:r>
      <w:proofErr w:type="spellStart"/>
      <w:r w:rsidRPr="00016026">
        <w:t>Sumiati</w:t>
      </w:r>
      <w:proofErr w:type="spellEnd"/>
      <w:r w:rsidRPr="00016026">
        <w:t xml:space="preserve">, T. (2022). </w:t>
      </w:r>
      <w:proofErr w:type="spellStart"/>
      <w:r w:rsidRPr="00016026">
        <w:t>Biodelignification</w:t>
      </w:r>
      <w:proofErr w:type="spellEnd"/>
      <w:r w:rsidRPr="00016026">
        <w:t xml:space="preserve"> of lignocellulose using ligninolytic enzymes from white-rot fungi. </w:t>
      </w:r>
      <w:proofErr w:type="spellStart"/>
      <w:r w:rsidRPr="009774C9">
        <w:rPr>
          <w:i/>
          <w:iCs/>
        </w:rPr>
        <w:t>Heliyon</w:t>
      </w:r>
      <w:proofErr w:type="spellEnd"/>
      <w:r w:rsidRPr="00016026">
        <w:t>, </w:t>
      </w:r>
      <w:r w:rsidRPr="009774C9">
        <w:rPr>
          <w:i/>
          <w:iCs/>
        </w:rPr>
        <w:t>8</w:t>
      </w:r>
      <w:r w:rsidRPr="00016026">
        <w:t>(2).</w:t>
      </w:r>
      <w:r>
        <w:t xml:space="preserve"> </w:t>
      </w:r>
      <w:hyperlink r:id="rId66" w:history="1">
        <w:r w:rsidRPr="004C32FF">
          <w:rPr>
            <w:rStyle w:val="Hyperlink"/>
          </w:rPr>
          <w:t>https://doi.org/10.1016/j.heliyon.2022.e08865</w:t>
        </w:r>
      </w:hyperlink>
      <w:r>
        <w:t xml:space="preserve"> </w:t>
      </w:r>
    </w:p>
    <w:p w14:paraId="0C23D9AC" w14:textId="77777777" w:rsidR="009774C9" w:rsidRDefault="009774C9" w:rsidP="009774C9">
      <w:pPr>
        <w:pStyle w:val="ListParagraph"/>
        <w:numPr>
          <w:ilvl w:val="0"/>
          <w:numId w:val="37"/>
        </w:numPr>
        <w:spacing w:line="360" w:lineRule="auto"/>
        <w:jc w:val="both"/>
      </w:pPr>
      <w:proofErr w:type="spellStart"/>
      <w:r w:rsidRPr="008A3B6D">
        <w:t>Suwannarach</w:t>
      </w:r>
      <w:proofErr w:type="spellEnd"/>
      <w:r w:rsidRPr="008A3B6D">
        <w:t xml:space="preserve">, N., </w:t>
      </w:r>
      <w:proofErr w:type="spellStart"/>
      <w:r w:rsidRPr="008A3B6D">
        <w:t>Kumla</w:t>
      </w:r>
      <w:proofErr w:type="spellEnd"/>
      <w:r w:rsidRPr="008A3B6D">
        <w:t xml:space="preserve">, J., Zhao, Y., &amp; </w:t>
      </w:r>
      <w:proofErr w:type="spellStart"/>
      <w:r w:rsidRPr="008A3B6D">
        <w:t>Kakumyan</w:t>
      </w:r>
      <w:proofErr w:type="spellEnd"/>
      <w:r w:rsidRPr="008A3B6D">
        <w:t>, P. (2022). Impact of cultivation substrate and microbial community on improving mushroom productivity: A review. </w:t>
      </w:r>
      <w:r w:rsidRPr="009774C9">
        <w:rPr>
          <w:i/>
          <w:iCs/>
        </w:rPr>
        <w:t>Biology</w:t>
      </w:r>
      <w:r w:rsidRPr="008A3B6D">
        <w:t>, </w:t>
      </w:r>
      <w:r w:rsidRPr="009774C9">
        <w:rPr>
          <w:i/>
          <w:iCs/>
        </w:rPr>
        <w:t>11</w:t>
      </w:r>
      <w:r w:rsidRPr="008A3B6D">
        <w:t>(4), 569.</w:t>
      </w:r>
      <w:r>
        <w:t xml:space="preserve"> </w:t>
      </w:r>
      <w:hyperlink r:id="rId67" w:history="1">
        <w:r w:rsidRPr="000423DB">
          <w:rPr>
            <w:rStyle w:val="Hyperlink"/>
          </w:rPr>
          <w:t>https://doi.org/10.3390/biology11040569</w:t>
        </w:r>
      </w:hyperlink>
      <w:r>
        <w:t xml:space="preserve"> </w:t>
      </w:r>
    </w:p>
    <w:p w14:paraId="56625E52" w14:textId="77777777" w:rsidR="009774C9" w:rsidRDefault="009774C9" w:rsidP="009774C9">
      <w:pPr>
        <w:pStyle w:val="ListParagraph"/>
        <w:numPr>
          <w:ilvl w:val="0"/>
          <w:numId w:val="37"/>
        </w:numPr>
        <w:spacing w:line="360" w:lineRule="auto"/>
        <w:jc w:val="both"/>
      </w:pPr>
      <w:r w:rsidRPr="00133F4C">
        <w:t>Wang, D., Lin, J. Y., Sayre, J. M., Schmidt, R., Fonte, S. J., Rodrigues, J. L., &amp; Scow, K. M. (2022). Compost amendment maintains soil structure and carbon storage by increasing available carbon and microbial biomass in agricultural soil–A six-year field study. </w:t>
      </w:r>
      <w:proofErr w:type="spellStart"/>
      <w:r w:rsidRPr="009774C9">
        <w:rPr>
          <w:i/>
          <w:iCs/>
        </w:rPr>
        <w:t>Geoderma</w:t>
      </w:r>
      <w:proofErr w:type="spellEnd"/>
      <w:r w:rsidRPr="00133F4C">
        <w:t>, </w:t>
      </w:r>
      <w:r w:rsidRPr="009774C9">
        <w:rPr>
          <w:i/>
          <w:iCs/>
        </w:rPr>
        <w:t>427</w:t>
      </w:r>
      <w:r w:rsidRPr="00133F4C">
        <w:t>, 116117.</w:t>
      </w:r>
      <w:r>
        <w:t xml:space="preserve"> </w:t>
      </w:r>
      <w:hyperlink r:id="rId68" w:history="1">
        <w:r w:rsidRPr="000D1299">
          <w:rPr>
            <w:rStyle w:val="Hyperlink"/>
          </w:rPr>
          <w:t>https://doi.org/10.1016/j.geoderma.2022.116117</w:t>
        </w:r>
      </w:hyperlink>
      <w:r>
        <w:t xml:space="preserve"> </w:t>
      </w:r>
    </w:p>
    <w:p w14:paraId="16C94A88" w14:textId="77777777" w:rsidR="009774C9" w:rsidRDefault="009774C9" w:rsidP="009774C9">
      <w:pPr>
        <w:pStyle w:val="ListParagraph"/>
        <w:numPr>
          <w:ilvl w:val="0"/>
          <w:numId w:val="37"/>
        </w:numPr>
        <w:spacing w:line="360" w:lineRule="auto"/>
        <w:jc w:val="both"/>
      </w:pPr>
      <w:r w:rsidRPr="00AC4F64">
        <w:t xml:space="preserve">Wang, S., &amp; Wu, Y. (2021). </w:t>
      </w:r>
      <w:proofErr w:type="spellStart"/>
      <w:r w:rsidRPr="00AC4F64">
        <w:t>Hyperthermophilic</w:t>
      </w:r>
      <w:proofErr w:type="spellEnd"/>
      <w:r w:rsidRPr="00AC4F64">
        <w:t xml:space="preserve"> Composting Technology for Organic Solid Waste Treatment: Recent Research Advances and Trends. </w:t>
      </w:r>
      <w:r w:rsidRPr="009774C9">
        <w:rPr>
          <w:i/>
          <w:iCs/>
        </w:rPr>
        <w:t>Processes</w:t>
      </w:r>
      <w:r w:rsidRPr="00AC4F64">
        <w:t>, </w:t>
      </w:r>
      <w:r w:rsidRPr="009774C9">
        <w:rPr>
          <w:i/>
          <w:iCs/>
        </w:rPr>
        <w:t>9</w:t>
      </w:r>
      <w:r w:rsidRPr="00AC4F64">
        <w:t xml:space="preserve">(4), 675. </w:t>
      </w:r>
      <w:hyperlink r:id="rId69" w:history="1">
        <w:r w:rsidRPr="000423DB">
          <w:rPr>
            <w:rStyle w:val="Hyperlink"/>
          </w:rPr>
          <w:t>https://doi.org/10.3390/pr9040675</w:t>
        </w:r>
      </w:hyperlink>
      <w:r>
        <w:t xml:space="preserve"> </w:t>
      </w:r>
    </w:p>
    <w:p w14:paraId="433CF59C" w14:textId="77777777" w:rsidR="009774C9" w:rsidRDefault="009774C9" w:rsidP="009774C9">
      <w:pPr>
        <w:pStyle w:val="ListParagraph"/>
        <w:numPr>
          <w:ilvl w:val="0"/>
          <w:numId w:val="37"/>
        </w:numPr>
        <w:spacing w:line="360" w:lineRule="auto"/>
        <w:jc w:val="both"/>
      </w:pPr>
      <w:r w:rsidRPr="00777291">
        <w:t>Waqas, M., Hashim, S., Humphries, U. W., Ahmad, S., Noor, R., Shoaib, M., ... &amp; Lin, H. A. (2023). Composting processes for agricultural waste management: a comprehensive review. </w:t>
      </w:r>
      <w:r w:rsidRPr="009774C9">
        <w:rPr>
          <w:i/>
          <w:iCs/>
        </w:rPr>
        <w:t>Processes</w:t>
      </w:r>
      <w:r w:rsidRPr="00777291">
        <w:t>, </w:t>
      </w:r>
      <w:r w:rsidRPr="009774C9">
        <w:rPr>
          <w:i/>
          <w:iCs/>
        </w:rPr>
        <w:t>11</w:t>
      </w:r>
      <w:r w:rsidRPr="00777291">
        <w:t>(3), 731.</w:t>
      </w:r>
      <w:r>
        <w:t xml:space="preserve"> </w:t>
      </w:r>
      <w:hyperlink r:id="rId70" w:history="1">
        <w:r w:rsidRPr="000423DB">
          <w:rPr>
            <w:rStyle w:val="Hyperlink"/>
          </w:rPr>
          <w:t>https://doi.org/10.3390/pr11030731</w:t>
        </w:r>
      </w:hyperlink>
      <w:r>
        <w:t xml:space="preserve"> </w:t>
      </w:r>
    </w:p>
    <w:p w14:paraId="14A72FFA" w14:textId="77777777" w:rsidR="009774C9" w:rsidRDefault="009774C9" w:rsidP="009774C9">
      <w:pPr>
        <w:pStyle w:val="ListParagraph"/>
        <w:numPr>
          <w:ilvl w:val="0"/>
          <w:numId w:val="37"/>
        </w:numPr>
        <w:spacing w:line="360" w:lineRule="auto"/>
        <w:jc w:val="both"/>
      </w:pPr>
      <w:r w:rsidRPr="009B1FAA">
        <w:t xml:space="preserve">Wei, T., Chen, H., Wu, D., Gao, D., Cai, Y., Cao, X., ... &amp; Guo, P. (2023). Response surface methodology for the mixed fungal fermentation of </w:t>
      </w:r>
      <w:proofErr w:type="spellStart"/>
      <w:r w:rsidRPr="009B1FAA">
        <w:t>Codonopsis</w:t>
      </w:r>
      <w:proofErr w:type="spellEnd"/>
      <w:r w:rsidRPr="009B1FAA">
        <w:t xml:space="preserve"> </w:t>
      </w:r>
      <w:proofErr w:type="spellStart"/>
      <w:r w:rsidRPr="009B1FAA">
        <w:t>pilosula</w:t>
      </w:r>
      <w:proofErr w:type="spellEnd"/>
      <w:r w:rsidRPr="009B1FAA">
        <w:t xml:space="preserve"> straw using Trichoderma </w:t>
      </w:r>
      <w:proofErr w:type="spellStart"/>
      <w:r w:rsidRPr="009B1FAA">
        <w:t>reesei</w:t>
      </w:r>
      <w:proofErr w:type="spellEnd"/>
      <w:r w:rsidRPr="009B1FAA">
        <w:t xml:space="preserve"> and Coprinus </w:t>
      </w:r>
      <w:proofErr w:type="spellStart"/>
      <w:r w:rsidRPr="009B1FAA">
        <w:t>comatus</w:t>
      </w:r>
      <w:proofErr w:type="spellEnd"/>
      <w:r w:rsidRPr="009B1FAA">
        <w:t>. </w:t>
      </w:r>
      <w:proofErr w:type="spellStart"/>
      <w:r w:rsidRPr="009774C9">
        <w:rPr>
          <w:i/>
          <w:iCs/>
        </w:rPr>
        <w:t>PeerJ</w:t>
      </w:r>
      <w:proofErr w:type="spellEnd"/>
      <w:r w:rsidRPr="009B1FAA">
        <w:t>, </w:t>
      </w:r>
      <w:r w:rsidRPr="009774C9">
        <w:rPr>
          <w:i/>
          <w:iCs/>
        </w:rPr>
        <w:t>11</w:t>
      </w:r>
      <w:r w:rsidRPr="009B1FAA">
        <w:t>, e15757.</w:t>
      </w:r>
      <w:r w:rsidRPr="00997E00">
        <w:t xml:space="preserve"> </w:t>
      </w:r>
      <w:hyperlink r:id="rId71" w:history="1">
        <w:r w:rsidRPr="004C32FF">
          <w:rPr>
            <w:rStyle w:val="Hyperlink"/>
          </w:rPr>
          <w:t>https://doi.org/10.7717/peerj.15757</w:t>
        </w:r>
      </w:hyperlink>
      <w:r>
        <w:t xml:space="preserve"> </w:t>
      </w:r>
    </w:p>
    <w:p w14:paraId="6CE8362D" w14:textId="77777777" w:rsidR="009774C9" w:rsidRDefault="009774C9" w:rsidP="009774C9">
      <w:pPr>
        <w:pStyle w:val="ListParagraph"/>
        <w:numPr>
          <w:ilvl w:val="0"/>
          <w:numId w:val="37"/>
        </w:numPr>
        <w:spacing w:line="360" w:lineRule="auto"/>
        <w:jc w:val="both"/>
      </w:pPr>
      <w:r w:rsidRPr="00A86029">
        <w:t>Xu, D., Yu, X., Chen, J., Li, X., Chen, J., &amp; Li, J. (2023). Effects of compost as a soil amendment on bacterial community diversity in saline–alkali soil. </w:t>
      </w:r>
      <w:r w:rsidRPr="009774C9">
        <w:rPr>
          <w:i/>
          <w:iCs/>
        </w:rPr>
        <w:t>Frontiers in Microbiology</w:t>
      </w:r>
      <w:r w:rsidRPr="00A86029">
        <w:t>, </w:t>
      </w:r>
      <w:r w:rsidRPr="009774C9">
        <w:rPr>
          <w:i/>
          <w:iCs/>
        </w:rPr>
        <w:t>14</w:t>
      </w:r>
      <w:r w:rsidRPr="00A86029">
        <w:t>, 1253415.</w:t>
      </w:r>
      <w:r>
        <w:t xml:space="preserve"> </w:t>
      </w:r>
      <w:hyperlink r:id="rId72" w:history="1">
        <w:r w:rsidRPr="000D1299">
          <w:rPr>
            <w:rStyle w:val="Hyperlink"/>
          </w:rPr>
          <w:t>https://doi.org/10.3389/fmicb.2023.1253415</w:t>
        </w:r>
      </w:hyperlink>
      <w:r>
        <w:t xml:space="preserve"> </w:t>
      </w:r>
    </w:p>
    <w:p w14:paraId="23734A92" w14:textId="77777777" w:rsidR="009774C9" w:rsidRDefault="009774C9" w:rsidP="009774C9">
      <w:pPr>
        <w:pStyle w:val="ListParagraph"/>
        <w:numPr>
          <w:ilvl w:val="0"/>
          <w:numId w:val="37"/>
        </w:numPr>
        <w:spacing w:line="360" w:lineRule="auto"/>
        <w:jc w:val="both"/>
      </w:pPr>
      <w:r w:rsidRPr="00AF23E6">
        <w:t>Yang, Q., Zhang, S., Li, X., Rong, K., Li, J., &amp; Jiang, L. (2023). Effects of microbial inoculant and additives on pile composting of cow manure. </w:t>
      </w:r>
      <w:r w:rsidRPr="009774C9">
        <w:rPr>
          <w:i/>
          <w:iCs/>
        </w:rPr>
        <w:t>Frontiers in microbiology</w:t>
      </w:r>
      <w:r w:rsidRPr="00AF23E6">
        <w:t>, </w:t>
      </w:r>
      <w:r w:rsidRPr="009774C9">
        <w:rPr>
          <w:i/>
          <w:iCs/>
        </w:rPr>
        <w:t>13</w:t>
      </w:r>
      <w:r w:rsidRPr="00AF23E6">
        <w:t>, 1084171.</w:t>
      </w:r>
      <w:r>
        <w:t xml:space="preserve"> </w:t>
      </w:r>
      <w:r w:rsidRPr="00542075">
        <w:t> </w:t>
      </w:r>
      <w:hyperlink r:id="rId73" w:history="1">
        <w:r w:rsidRPr="00542075">
          <w:rPr>
            <w:rStyle w:val="Hyperlink"/>
          </w:rPr>
          <w:t>https://doi.org/10.3389/fmicb.2022.1084171</w:t>
        </w:r>
      </w:hyperlink>
      <w:r>
        <w:t xml:space="preserve"> </w:t>
      </w:r>
    </w:p>
    <w:p w14:paraId="19007E03" w14:textId="77777777" w:rsidR="009774C9" w:rsidRDefault="009774C9" w:rsidP="009774C9">
      <w:pPr>
        <w:pStyle w:val="ListParagraph"/>
        <w:numPr>
          <w:ilvl w:val="0"/>
          <w:numId w:val="37"/>
        </w:numPr>
        <w:spacing w:line="360" w:lineRule="auto"/>
        <w:jc w:val="both"/>
      </w:pPr>
      <w:r w:rsidRPr="00ED4219">
        <w:t xml:space="preserve">Yang, S., Zhang, Y., Yue, W., Wang, W., Wang, Y. Y., Yuan, T. Q., &amp; Sun, R. C. (2016). Valorization of lignin and cellulose in acid-steam-exploded corn </w:t>
      </w:r>
      <w:proofErr w:type="spellStart"/>
      <w:r w:rsidRPr="00ED4219">
        <w:t>stover</w:t>
      </w:r>
      <w:proofErr w:type="spellEnd"/>
      <w:r w:rsidRPr="00ED4219">
        <w:t xml:space="preserve"> by a </w:t>
      </w:r>
      <w:r w:rsidRPr="00ED4219">
        <w:lastRenderedPageBreak/>
        <w:t>moderate alkaline ethanol post-treatment based on an integrated biorefinery concept. </w:t>
      </w:r>
      <w:r w:rsidRPr="009774C9">
        <w:rPr>
          <w:i/>
          <w:iCs/>
        </w:rPr>
        <w:t>Biotechnology for biofuels</w:t>
      </w:r>
      <w:r w:rsidRPr="00ED4219">
        <w:t>, </w:t>
      </w:r>
      <w:r w:rsidRPr="009774C9">
        <w:rPr>
          <w:i/>
          <w:iCs/>
        </w:rPr>
        <w:t>9</w:t>
      </w:r>
      <w:r w:rsidRPr="00ED4219">
        <w:t>(1), 238.</w:t>
      </w:r>
      <w:r w:rsidRPr="00B73FD9">
        <w:t xml:space="preserve"> </w:t>
      </w:r>
      <w:hyperlink r:id="rId74" w:history="1">
        <w:r w:rsidRPr="00B73FD9">
          <w:rPr>
            <w:rStyle w:val="Hyperlink"/>
          </w:rPr>
          <w:t>https://doi.org/10.1186/s13068-016-0656-1</w:t>
        </w:r>
      </w:hyperlink>
      <w:r>
        <w:t xml:space="preserve"> </w:t>
      </w:r>
    </w:p>
    <w:p w14:paraId="42EEEAB1" w14:textId="77777777" w:rsidR="009774C9" w:rsidRPr="00B73FD9" w:rsidRDefault="009774C9" w:rsidP="009774C9">
      <w:pPr>
        <w:pStyle w:val="ListParagraph"/>
        <w:numPr>
          <w:ilvl w:val="0"/>
          <w:numId w:val="37"/>
        </w:numPr>
        <w:spacing w:line="360" w:lineRule="auto"/>
        <w:jc w:val="both"/>
      </w:pPr>
      <w:r w:rsidRPr="0026739A">
        <w:t xml:space="preserve">Zhang, G., &amp; Dong, Y. (2022). Design and application of an efficient cellulose-degrading microbial consortium and carboxymethyl cellulase production optimization. </w:t>
      </w:r>
      <w:r w:rsidRPr="009774C9">
        <w:rPr>
          <w:i/>
          <w:iCs/>
        </w:rPr>
        <w:t>Frontiers in Microbiology</w:t>
      </w:r>
      <w:r w:rsidRPr="0026739A">
        <w:t>, 13, 957444.</w:t>
      </w:r>
      <w:r>
        <w:t xml:space="preserve"> </w:t>
      </w:r>
      <w:hyperlink r:id="rId75" w:history="1">
        <w:r w:rsidRPr="004C32FF">
          <w:rPr>
            <w:rStyle w:val="Hyperlink"/>
          </w:rPr>
          <w:t>https://doi.org/10.3389/fmicb.2022.957444</w:t>
        </w:r>
      </w:hyperlink>
      <w:r>
        <w:t xml:space="preserve"> </w:t>
      </w:r>
    </w:p>
    <w:p w14:paraId="62AE6B94" w14:textId="77777777" w:rsidR="009774C9" w:rsidRDefault="009774C9" w:rsidP="009774C9">
      <w:pPr>
        <w:pStyle w:val="ListParagraph"/>
        <w:numPr>
          <w:ilvl w:val="0"/>
          <w:numId w:val="37"/>
        </w:numPr>
        <w:spacing w:line="360" w:lineRule="auto"/>
        <w:jc w:val="both"/>
      </w:pPr>
      <w:r w:rsidRPr="00BA641E">
        <w:t>Zhang, X., Wang, X. Q., &amp; Wang, D. F. (2017). Immobilization of heavy metals in sewage sludge during land application process in China: A review. </w:t>
      </w:r>
      <w:r w:rsidRPr="009774C9">
        <w:rPr>
          <w:i/>
          <w:iCs/>
        </w:rPr>
        <w:t>Sustainability</w:t>
      </w:r>
      <w:r w:rsidRPr="00BA641E">
        <w:t>, </w:t>
      </w:r>
      <w:r w:rsidRPr="009774C9">
        <w:rPr>
          <w:i/>
          <w:iCs/>
        </w:rPr>
        <w:t>9</w:t>
      </w:r>
      <w:r w:rsidRPr="00BA641E">
        <w:t>(11), 2020.</w:t>
      </w:r>
      <w:r>
        <w:t xml:space="preserve"> </w:t>
      </w:r>
      <w:hyperlink r:id="rId76" w:history="1">
        <w:r w:rsidRPr="000D1299">
          <w:rPr>
            <w:rStyle w:val="Hyperlink"/>
          </w:rPr>
          <w:t>https://doi.org/10.3390/su9112020</w:t>
        </w:r>
      </w:hyperlink>
      <w:r>
        <w:t xml:space="preserve"> </w:t>
      </w:r>
    </w:p>
    <w:p w14:paraId="58620074" w14:textId="77777777" w:rsidR="009774C9" w:rsidRDefault="009774C9" w:rsidP="009774C9">
      <w:pPr>
        <w:pStyle w:val="ListParagraph"/>
        <w:numPr>
          <w:ilvl w:val="0"/>
          <w:numId w:val="37"/>
        </w:numPr>
        <w:spacing w:line="360" w:lineRule="auto"/>
        <w:jc w:val="both"/>
      </w:pPr>
      <w:r w:rsidRPr="009A4D40">
        <w:t xml:space="preserve">Zhao, X., Li, J., Che, Z., &amp; </w:t>
      </w:r>
      <w:proofErr w:type="spellStart"/>
      <w:r w:rsidRPr="009A4D40">
        <w:t>Xue</w:t>
      </w:r>
      <w:proofErr w:type="spellEnd"/>
      <w:r w:rsidRPr="009A4D40">
        <w:t>, L. (2022). Succession of the bacterial communities and functional characteristics in sheep manure composting. </w:t>
      </w:r>
      <w:r w:rsidRPr="009774C9">
        <w:rPr>
          <w:i/>
          <w:iCs/>
        </w:rPr>
        <w:t>Biology</w:t>
      </w:r>
      <w:r w:rsidRPr="009A4D40">
        <w:t>, </w:t>
      </w:r>
      <w:r w:rsidRPr="009774C9">
        <w:rPr>
          <w:i/>
          <w:iCs/>
        </w:rPr>
        <w:t>11</w:t>
      </w:r>
      <w:r w:rsidRPr="009A4D40">
        <w:t>(8), 1181.</w:t>
      </w:r>
      <w:r>
        <w:t xml:space="preserve"> </w:t>
      </w:r>
      <w:hyperlink r:id="rId77" w:history="1">
        <w:r w:rsidRPr="000423DB">
          <w:rPr>
            <w:rStyle w:val="Hyperlink"/>
          </w:rPr>
          <w:t>https://doi.org/10.3390/biology11081181</w:t>
        </w:r>
      </w:hyperlink>
      <w:r>
        <w:t xml:space="preserve"> </w:t>
      </w:r>
    </w:p>
    <w:p w14:paraId="42B84D5D" w14:textId="77777777" w:rsidR="009774C9" w:rsidRDefault="009774C9" w:rsidP="009774C9">
      <w:pPr>
        <w:pStyle w:val="ListParagraph"/>
        <w:numPr>
          <w:ilvl w:val="0"/>
          <w:numId w:val="37"/>
        </w:numPr>
        <w:spacing w:line="360" w:lineRule="auto"/>
        <w:jc w:val="both"/>
      </w:pPr>
      <w:r w:rsidRPr="00202E70">
        <w:t>Zhao, Y., Lou, Y., Qin, W., Cai, J., Zhang, P., &amp; Hu, B. (2022). Interval aeration improves degradation and humification by enhancing microbial interactions in the composting process. </w:t>
      </w:r>
      <w:r w:rsidRPr="009774C9">
        <w:rPr>
          <w:i/>
          <w:iCs/>
        </w:rPr>
        <w:t>Bioresource Technology</w:t>
      </w:r>
      <w:r w:rsidRPr="00202E70">
        <w:t>, </w:t>
      </w:r>
      <w:r w:rsidRPr="009774C9">
        <w:rPr>
          <w:i/>
          <w:iCs/>
        </w:rPr>
        <w:t>358</w:t>
      </w:r>
      <w:r w:rsidRPr="00202E70">
        <w:t>, 127296.</w:t>
      </w:r>
      <w:r>
        <w:t xml:space="preserve"> </w:t>
      </w:r>
      <w:hyperlink r:id="rId78" w:history="1">
        <w:r w:rsidRPr="000423DB">
          <w:rPr>
            <w:rStyle w:val="Hyperlink"/>
          </w:rPr>
          <w:t>https://doi.org/10.1016/j.biortech.2022.127296</w:t>
        </w:r>
      </w:hyperlink>
      <w:r>
        <w:t xml:space="preserve"> </w:t>
      </w:r>
    </w:p>
    <w:p w14:paraId="337CBFDA" w14:textId="77777777" w:rsidR="009774C9" w:rsidRDefault="009774C9" w:rsidP="009774C9">
      <w:pPr>
        <w:pStyle w:val="ListParagraph"/>
        <w:numPr>
          <w:ilvl w:val="0"/>
          <w:numId w:val="37"/>
        </w:numPr>
        <w:spacing w:line="360" w:lineRule="auto"/>
        <w:jc w:val="both"/>
      </w:pPr>
      <w:proofErr w:type="spellStart"/>
      <w:r w:rsidRPr="00B73FD9">
        <w:t>Zoghlami</w:t>
      </w:r>
      <w:proofErr w:type="spellEnd"/>
      <w:r w:rsidRPr="00B73FD9">
        <w:t xml:space="preserve">, A., &amp; </w:t>
      </w:r>
      <w:proofErr w:type="spellStart"/>
      <w:r w:rsidRPr="00B73FD9">
        <w:t>Paës</w:t>
      </w:r>
      <w:proofErr w:type="spellEnd"/>
      <w:r w:rsidRPr="00B73FD9">
        <w:t xml:space="preserve">, G. (2019). </w:t>
      </w:r>
      <w:r w:rsidRPr="009774C9">
        <w:rPr>
          <w:i/>
          <w:iCs/>
        </w:rPr>
        <w:t>Lignocellulosic biomass: Understanding recalcitrance and pretreatments.</w:t>
      </w:r>
      <w:r w:rsidRPr="00B73FD9">
        <w:t xml:space="preserve"> Frontiers in Chemistry, 7, 874. </w:t>
      </w:r>
      <w:hyperlink r:id="rId79" w:tgtFrame="_new" w:history="1">
        <w:r w:rsidRPr="00B73FD9">
          <w:rPr>
            <w:rStyle w:val="Hyperlink"/>
          </w:rPr>
          <w:t>https://doi.org/10.3389/fchem.2019.00874</w:t>
        </w:r>
      </w:hyperlink>
    </w:p>
    <w:p w14:paraId="1CE617C1" w14:textId="77777777" w:rsidR="005B575C" w:rsidRDefault="005B575C"/>
    <w:sectPr w:rsidR="005B575C" w:rsidSect="007A2FB4">
      <w:headerReference w:type="even" r:id="rId80"/>
      <w:headerReference w:type="default" r:id="rId81"/>
      <w:footerReference w:type="default" r:id="rId82"/>
      <w:headerReference w:type="first" r:id="rId8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86FF8" w14:textId="77777777" w:rsidR="0006508B" w:rsidRDefault="0006508B">
      <w:r>
        <w:separator/>
      </w:r>
    </w:p>
  </w:endnote>
  <w:endnote w:type="continuationSeparator" w:id="0">
    <w:p w14:paraId="4E7C5D10" w14:textId="77777777" w:rsidR="0006508B" w:rsidRDefault="00065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0166A" w14:textId="77777777" w:rsidR="00477E66" w:rsidRDefault="00477E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0A02E" w14:textId="77777777" w:rsidR="005A6CD4" w:rsidRDefault="005A6CD4" w:rsidP="00760E4A">
    <w:pPr>
      <w:pStyle w:val="Footer"/>
    </w:pPr>
  </w:p>
  <w:p w14:paraId="5DEDEC2F" w14:textId="77777777" w:rsidR="005A6CD4" w:rsidRDefault="005A6CD4"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CB0C8" w14:textId="77777777" w:rsidR="005A6CD4" w:rsidRDefault="005A6CD4">
    <w:pPr>
      <w:pStyle w:val="Footer"/>
      <w:rPr>
        <w:rFonts w:ascii="Arial" w:hAnsi="Arial" w:cs="Arial"/>
        <w:sz w:val="16"/>
      </w:rPr>
    </w:pPr>
  </w:p>
  <w:p w14:paraId="4E06F479" w14:textId="77777777" w:rsidR="005A6CD4" w:rsidRDefault="00042B02"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BDD9DB2" w14:textId="77777777" w:rsidR="005A6CD4" w:rsidRDefault="005A6CD4">
    <w:pPr>
      <w:pStyle w:val="Footer"/>
      <w:rPr>
        <w:rFonts w:ascii="Arial" w:hAnsi="Arial" w:cs="Arial"/>
        <w:sz w:val="16"/>
      </w:rPr>
    </w:pPr>
  </w:p>
  <w:p w14:paraId="7FF7AA66" w14:textId="77777777" w:rsidR="005A6CD4" w:rsidRPr="009E048A" w:rsidRDefault="00042B02">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9B4B9" w14:textId="77777777" w:rsidR="005A6CD4" w:rsidRDefault="005A6CD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647D2" w14:textId="77777777" w:rsidR="0006508B" w:rsidRDefault="0006508B">
      <w:r>
        <w:separator/>
      </w:r>
    </w:p>
  </w:footnote>
  <w:footnote w:type="continuationSeparator" w:id="0">
    <w:p w14:paraId="39D59006" w14:textId="77777777" w:rsidR="0006508B" w:rsidRDefault="00065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4293D" w14:textId="3F00CA4A" w:rsidR="00477E66" w:rsidRDefault="00477E66">
    <w:pPr>
      <w:pStyle w:val="Header"/>
    </w:pPr>
    <w:r>
      <w:rPr>
        <w:noProof/>
      </w:rPr>
      <w:pict w14:anchorId="1D040A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15400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74285" w14:textId="1ECB4EDC" w:rsidR="00477E66" w:rsidRDefault="00477E66">
    <w:pPr>
      <w:pStyle w:val="Header"/>
    </w:pPr>
    <w:r>
      <w:rPr>
        <w:noProof/>
      </w:rPr>
      <w:pict w14:anchorId="02D0C9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15400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8AAAE" w14:textId="6EB69740" w:rsidR="005A6CD4" w:rsidRPr="00296529" w:rsidRDefault="00477E66" w:rsidP="00296529">
    <w:pPr>
      <w:ind w:left="2160"/>
      <w:jc w:val="center"/>
      <w:rPr>
        <w:rFonts w:ascii="Times New Roman" w:eastAsia="Calibri" w:hAnsi="Times New Roman"/>
        <w:i/>
        <w:sz w:val="18"/>
        <w:szCs w:val="22"/>
      </w:rPr>
    </w:pPr>
    <w:r>
      <w:rPr>
        <w:noProof/>
      </w:rPr>
      <w:pict w14:anchorId="4EDF7C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15400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428C141" w14:textId="77777777" w:rsidR="005A6CD4" w:rsidRPr="00296529" w:rsidRDefault="00042B02"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A8AD7F9" w14:textId="77777777" w:rsidR="005A6CD4" w:rsidRPr="00296529" w:rsidRDefault="00042B02"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B8C1A84" w14:textId="77777777" w:rsidR="005A6CD4" w:rsidRPr="00296529" w:rsidRDefault="00042B02"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8E1F021" w14:textId="77777777" w:rsidR="005A6CD4" w:rsidRDefault="00042B02"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EC5E1FA" w14:textId="77777777" w:rsidR="005A6CD4" w:rsidRDefault="00042B0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87B124D" w14:textId="77777777" w:rsidR="005A6CD4" w:rsidRDefault="00042B0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A8BBE" w14:textId="605F4561" w:rsidR="00477E66" w:rsidRDefault="00477E66">
    <w:pPr>
      <w:pStyle w:val="Header"/>
    </w:pPr>
    <w:r>
      <w:rPr>
        <w:noProof/>
      </w:rPr>
      <w:pict w14:anchorId="7D1D19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15400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9D2CD" w14:textId="2103605C" w:rsidR="00477E66" w:rsidRDefault="00477E66">
    <w:pPr>
      <w:pStyle w:val="Header"/>
    </w:pPr>
    <w:r>
      <w:rPr>
        <w:noProof/>
      </w:rPr>
      <w:pict w14:anchorId="46A773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15400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D1ED3" w14:textId="204DEBC8" w:rsidR="00477E66" w:rsidRDefault="00477E66">
    <w:pPr>
      <w:pStyle w:val="Header"/>
    </w:pPr>
    <w:r>
      <w:rPr>
        <w:noProof/>
      </w:rPr>
      <w:pict w14:anchorId="5E1D2C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15400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231174C"/>
    <w:multiLevelType w:val="hybridMultilevel"/>
    <w:tmpl w:val="523891A0"/>
    <w:lvl w:ilvl="0" w:tplc="427AC4D2">
      <w:start w:val="1"/>
      <w:numFmt w:val="decimal"/>
      <w:lvlText w:val="%1."/>
      <w:lvlJc w:val="left"/>
      <w:pPr>
        <w:ind w:left="1080" w:hanging="36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6" w15:restartNumberingAfterBreak="0">
    <w:nsid w:val="42DB7EC1"/>
    <w:multiLevelType w:val="multilevel"/>
    <w:tmpl w:val="F378EA44"/>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D57595"/>
    <w:multiLevelType w:val="hybridMultilevel"/>
    <w:tmpl w:val="568A523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4E974961"/>
    <w:multiLevelType w:val="hybridMultilevel"/>
    <w:tmpl w:val="9B7EA916"/>
    <w:lvl w:ilvl="0" w:tplc="233E8076">
      <w:start w:val="1"/>
      <w:numFmt w:val="decimal"/>
      <w:lvlText w:val="%1."/>
      <w:lvlJc w:val="left"/>
      <w:pPr>
        <w:ind w:left="64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7B46BB4">
      <w:numFmt w:val="bullet"/>
      <w:lvlText w:val="•"/>
      <w:lvlJc w:val="left"/>
      <w:pPr>
        <w:ind w:left="1620" w:hanging="360"/>
      </w:pPr>
      <w:rPr>
        <w:rFonts w:hint="default"/>
        <w:lang w:val="en-US" w:eastAsia="en-US" w:bidi="ar-SA"/>
      </w:rPr>
    </w:lvl>
    <w:lvl w:ilvl="2" w:tplc="433A80AA">
      <w:numFmt w:val="bullet"/>
      <w:lvlText w:val="•"/>
      <w:lvlJc w:val="left"/>
      <w:pPr>
        <w:ind w:left="2600" w:hanging="360"/>
      </w:pPr>
      <w:rPr>
        <w:rFonts w:hint="default"/>
        <w:lang w:val="en-US" w:eastAsia="en-US" w:bidi="ar-SA"/>
      </w:rPr>
    </w:lvl>
    <w:lvl w:ilvl="3" w:tplc="9190D4E8">
      <w:numFmt w:val="bullet"/>
      <w:lvlText w:val="•"/>
      <w:lvlJc w:val="left"/>
      <w:pPr>
        <w:ind w:left="3580" w:hanging="360"/>
      </w:pPr>
      <w:rPr>
        <w:rFonts w:hint="default"/>
        <w:lang w:val="en-US" w:eastAsia="en-US" w:bidi="ar-SA"/>
      </w:rPr>
    </w:lvl>
    <w:lvl w:ilvl="4" w:tplc="78249DA6">
      <w:numFmt w:val="bullet"/>
      <w:lvlText w:val="•"/>
      <w:lvlJc w:val="left"/>
      <w:pPr>
        <w:ind w:left="4560" w:hanging="360"/>
      </w:pPr>
      <w:rPr>
        <w:rFonts w:hint="default"/>
        <w:lang w:val="en-US" w:eastAsia="en-US" w:bidi="ar-SA"/>
      </w:rPr>
    </w:lvl>
    <w:lvl w:ilvl="5" w:tplc="558C4DDA">
      <w:numFmt w:val="bullet"/>
      <w:lvlText w:val="•"/>
      <w:lvlJc w:val="left"/>
      <w:pPr>
        <w:ind w:left="5540" w:hanging="360"/>
      </w:pPr>
      <w:rPr>
        <w:rFonts w:hint="default"/>
        <w:lang w:val="en-US" w:eastAsia="en-US" w:bidi="ar-SA"/>
      </w:rPr>
    </w:lvl>
    <w:lvl w:ilvl="6" w:tplc="267A6C90">
      <w:numFmt w:val="bullet"/>
      <w:lvlText w:val="•"/>
      <w:lvlJc w:val="left"/>
      <w:pPr>
        <w:ind w:left="6520" w:hanging="360"/>
      </w:pPr>
      <w:rPr>
        <w:rFonts w:hint="default"/>
        <w:lang w:val="en-US" w:eastAsia="en-US" w:bidi="ar-SA"/>
      </w:rPr>
    </w:lvl>
    <w:lvl w:ilvl="7" w:tplc="6CC8CFA8">
      <w:numFmt w:val="bullet"/>
      <w:lvlText w:val="•"/>
      <w:lvlJc w:val="left"/>
      <w:pPr>
        <w:ind w:left="7500" w:hanging="360"/>
      </w:pPr>
      <w:rPr>
        <w:rFonts w:hint="default"/>
        <w:lang w:val="en-US" w:eastAsia="en-US" w:bidi="ar-SA"/>
      </w:rPr>
    </w:lvl>
    <w:lvl w:ilvl="8" w:tplc="E2F4395C">
      <w:numFmt w:val="bullet"/>
      <w:lvlText w:val="•"/>
      <w:lvlJc w:val="left"/>
      <w:pPr>
        <w:ind w:left="8480" w:hanging="360"/>
      </w:pPr>
      <w:rPr>
        <w:rFonts w:hint="default"/>
        <w:lang w:val="en-US" w:eastAsia="en-US" w:bidi="ar-SA"/>
      </w:rPr>
    </w:lvl>
  </w:abstractNum>
  <w:abstractNum w:abstractNumId="20" w15:restartNumberingAfterBreak="0">
    <w:nsid w:val="4EA31923"/>
    <w:multiLevelType w:val="hybridMultilevel"/>
    <w:tmpl w:val="78BC2DFA"/>
    <w:lvl w:ilvl="0" w:tplc="1786F7EC">
      <w:start w:val="1"/>
      <w:numFmt w:val="decimal"/>
      <w:lvlText w:val="%1."/>
      <w:lvlJc w:val="left"/>
      <w:pPr>
        <w:ind w:left="720" w:hanging="360"/>
      </w:pPr>
      <w:rPr>
        <w:rFonts w:ascii="Arial" w:hAnsi="Arial" w:cs="Arial" w:hint="default"/>
        <w:sz w:val="20"/>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AA16C78"/>
    <w:multiLevelType w:val="hybridMultilevel"/>
    <w:tmpl w:val="0ECE4866"/>
    <w:lvl w:ilvl="0" w:tplc="8F401CF4">
      <w:numFmt w:val="bullet"/>
      <w:lvlText w:val=""/>
      <w:lvlJc w:val="left"/>
      <w:pPr>
        <w:ind w:left="720" w:hanging="360"/>
      </w:pPr>
      <w:rPr>
        <w:rFonts w:ascii="Arial" w:eastAsia="Times New Roman" w:hAnsi="Arial" w:cs="Aria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455A28"/>
    <w:multiLevelType w:val="hybridMultilevel"/>
    <w:tmpl w:val="31669AF6"/>
    <w:lvl w:ilvl="0" w:tplc="4C09000F">
      <w:start w:val="1"/>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32"/>
  </w:num>
  <w:num w:numId="10">
    <w:abstractNumId w:val="2"/>
  </w:num>
  <w:num w:numId="11">
    <w:abstractNumId w:val="23"/>
  </w:num>
  <w:num w:numId="12">
    <w:abstractNumId w:val="3"/>
  </w:num>
  <w:num w:numId="13">
    <w:abstractNumId w:val="22"/>
  </w:num>
  <w:num w:numId="14">
    <w:abstractNumId w:val="8"/>
  </w:num>
  <w:num w:numId="15">
    <w:abstractNumId w:val="27"/>
  </w:num>
  <w:num w:numId="16">
    <w:abstractNumId w:val="5"/>
  </w:num>
  <w:num w:numId="17">
    <w:abstractNumId w:val="28"/>
  </w:num>
  <w:num w:numId="18">
    <w:abstractNumId w:val="14"/>
  </w:num>
  <w:num w:numId="19">
    <w:abstractNumId w:val="35"/>
  </w:num>
  <w:num w:numId="20">
    <w:abstractNumId w:val="11"/>
  </w:num>
  <w:num w:numId="21">
    <w:abstractNumId w:val="9"/>
  </w:num>
  <w:num w:numId="22">
    <w:abstractNumId w:val="13"/>
  </w:num>
  <w:num w:numId="23">
    <w:abstractNumId w:val="25"/>
  </w:num>
  <w:num w:numId="24">
    <w:abstractNumId w:val="33"/>
  </w:num>
  <w:num w:numId="25">
    <w:abstractNumId w:val="4"/>
  </w:num>
  <w:num w:numId="26">
    <w:abstractNumId w:val="21"/>
  </w:num>
  <w:num w:numId="27">
    <w:abstractNumId w:val="26"/>
  </w:num>
  <w:num w:numId="28">
    <w:abstractNumId w:val="34"/>
  </w:num>
  <w:num w:numId="29">
    <w:abstractNumId w:val="31"/>
  </w:num>
  <w:num w:numId="30">
    <w:abstractNumId w:val="10"/>
  </w:num>
  <w:num w:numId="31">
    <w:abstractNumId w:val="30"/>
  </w:num>
  <w:num w:numId="32">
    <w:abstractNumId w:val="16"/>
  </w:num>
  <w:num w:numId="33">
    <w:abstractNumId w:val="20"/>
  </w:num>
  <w:num w:numId="34">
    <w:abstractNumId w:val="24"/>
  </w:num>
  <w:num w:numId="35">
    <w:abstractNumId w:val="15"/>
  </w:num>
  <w:num w:numId="36">
    <w:abstractNumId w:val="19"/>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43E"/>
    <w:rsid w:val="00042B02"/>
    <w:rsid w:val="00045F84"/>
    <w:rsid w:val="00052E11"/>
    <w:rsid w:val="0006508B"/>
    <w:rsid w:val="000773D9"/>
    <w:rsid w:val="000C1002"/>
    <w:rsid w:val="001102E9"/>
    <w:rsid w:val="00126CD9"/>
    <w:rsid w:val="00155442"/>
    <w:rsid w:val="001F5A01"/>
    <w:rsid w:val="0021063D"/>
    <w:rsid w:val="00212943"/>
    <w:rsid w:val="002311A0"/>
    <w:rsid w:val="0027743E"/>
    <w:rsid w:val="002A511E"/>
    <w:rsid w:val="002C0971"/>
    <w:rsid w:val="003264E1"/>
    <w:rsid w:val="00357E19"/>
    <w:rsid w:val="00363256"/>
    <w:rsid w:val="00385520"/>
    <w:rsid w:val="00387B95"/>
    <w:rsid w:val="003C6187"/>
    <w:rsid w:val="004040A3"/>
    <w:rsid w:val="0042485F"/>
    <w:rsid w:val="0045228C"/>
    <w:rsid w:val="00456D91"/>
    <w:rsid w:val="00477E66"/>
    <w:rsid w:val="004A24F6"/>
    <w:rsid w:val="004B64D0"/>
    <w:rsid w:val="004D3FA8"/>
    <w:rsid w:val="00517B35"/>
    <w:rsid w:val="00546C45"/>
    <w:rsid w:val="00556CF6"/>
    <w:rsid w:val="005A6CD4"/>
    <w:rsid w:val="005B575C"/>
    <w:rsid w:val="005C7337"/>
    <w:rsid w:val="00612E84"/>
    <w:rsid w:val="007201F2"/>
    <w:rsid w:val="0077683A"/>
    <w:rsid w:val="007A2FB4"/>
    <w:rsid w:val="00812E4B"/>
    <w:rsid w:val="00836C6A"/>
    <w:rsid w:val="00873A55"/>
    <w:rsid w:val="008772B8"/>
    <w:rsid w:val="008A5D57"/>
    <w:rsid w:val="008D1934"/>
    <w:rsid w:val="008E1763"/>
    <w:rsid w:val="00971FAF"/>
    <w:rsid w:val="00975B02"/>
    <w:rsid w:val="009774C9"/>
    <w:rsid w:val="00992799"/>
    <w:rsid w:val="009A2AE1"/>
    <w:rsid w:val="00A57E8E"/>
    <w:rsid w:val="00A64DAE"/>
    <w:rsid w:val="00A747A0"/>
    <w:rsid w:val="00A94ED9"/>
    <w:rsid w:val="00AF7C71"/>
    <w:rsid w:val="00B01691"/>
    <w:rsid w:val="00B038F7"/>
    <w:rsid w:val="00BD2700"/>
    <w:rsid w:val="00C14F51"/>
    <w:rsid w:val="00C56389"/>
    <w:rsid w:val="00C807F3"/>
    <w:rsid w:val="00C90628"/>
    <w:rsid w:val="00CD6D6E"/>
    <w:rsid w:val="00CE057C"/>
    <w:rsid w:val="00CE1FBA"/>
    <w:rsid w:val="00D73066"/>
    <w:rsid w:val="00DA2A1B"/>
    <w:rsid w:val="00DB3E41"/>
    <w:rsid w:val="00E071D3"/>
    <w:rsid w:val="00E42B5D"/>
    <w:rsid w:val="00ED132F"/>
    <w:rsid w:val="00F12A99"/>
    <w:rsid w:val="00F27ACD"/>
    <w:rsid w:val="00F867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B24B079"/>
  <w15:chartTrackingRefBased/>
  <w15:docId w15:val="{6E3E29A9-884F-4A09-9D5E-021293C6D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743E"/>
    <w:pPr>
      <w:spacing w:after="0" w:line="240" w:lineRule="auto"/>
    </w:pPr>
    <w:rPr>
      <w:rFonts w:ascii="Helvetica" w:eastAsia="Times New Roman" w:hAnsi="Helvetica" w:cs="Times New Roman"/>
      <w:sz w:val="20"/>
      <w:szCs w:val="20"/>
    </w:rPr>
  </w:style>
  <w:style w:type="paragraph" w:styleId="Heading1">
    <w:name w:val="heading 1"/>
    <w:basedOn w:val="Normal"/>
    <w:next w:val="Normal"/>
    <w:link w:val="Heading1Char"/>
    <w:qFormat/>
    <w:rsid w:val="0027743E"/>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semiHidden/>
    <w:unhideWhenUsed/>
    <w:qFormat/>
    <w:rsid w:val="00C14F5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743E"/>
    <w:rPr>
      <w:rFonts w:ascii="Arial" w:eastAsia="Times New Roman" w:hAnsi="Arial" w:cs="Times New Roman"/>
      <w:b/>
      <w:kern w:val="28"/>
      <w:sz w:val="28"/>
      <w:szCs w:val="20"/>
    </w:rPr>
  </w:style>
  <w:style w:type="paragraph" w:customStyle="1" w:styleId="Author">
    <w:name w:val="Author"/>
    <w:basedOn w:val="Normal"/>
    <w:rsid w:val="0027743E"/>
    <w:pPr>
      <w:spacing w:line="280" w:lineRule="exact"/>
      <w:jc w:val="right"/>
    </w:pPr>
    <w:rPr>
      <w:b/>
      <w:sz w:val="24"/>
    </w:rPr>
  </w:style>
  <w:style w:type="paragraph" w:customStyle="1" w:styleId="Affiliation">
    <w:name w:val="Affiliation"/>
    <w:basedOn w:val="Normal"/>
    <w:rsid w:val="0027743E"/>
    <w:pPr>
      <w:spacing w:after="240" w:line="240" w:lineRule="exact"/>
      <w:jc w:val="right"/>
    </w:pPr>
  </w:style>
  <w:style w:type="paragraph" w:customStyle="1" w:styleId="Body">
    <w:name w:val="Body"/>
    <w:basedOn w:val="Normal"/>
    <w:rsid w:val="0027743E"/>
    <w:pPr>
      <w:spacing w:after="240"/>
      <w:jc w:val="both"/>
    </w:pPr>
  </w:style>
  <w:style w:type="paragraph" w:customStyle="1" w:styleId="AbstHead">
    <w:name w:val="Abst Head"/>
    <w:basedOn w:val="MainHead"/>
    <w:rsid w:val="0027743E"/>
    <w:rPr>
      <w:sz w:val="22"/>
    </w:rPr>
  </w:style>
  <w:style w:type="paragraph" w:customStyle="1" w:styleId="IntroHead">
    <w:name w:val="Intro Head"/>
    <w:basedOn w:val="MainHead"/>
    <w:rsid w:val="0027743E"/>
    <w:rPr>
      <w:sz w:val="22"/>
    </w:rPr>
  </w:style>
  <w:style w:type="paragraph" w:customStyle="1" w:styleId="PaperNumber">
    <w:name w:val="Paper Number"/>
    <w:basedOn w:val="Normal"/>
    <w:rsid w:val="0027743E"/>
    <w:pPr>
      <w:spacing w:after="280" w:line="280" w:lineRule="exact"/>
      <w:jc w:val="right"/>
    </w:pPr>
    <w:rPr>
      <w:b/>
      <w:sz w:val="28"/>
    </w:rPr>
  </w:style>
  <w:style w:type="paragraph" w:customStyle="1" w:styleId="ConcHead">
    <w:name w:val="Conc Head"/>
    <w:basedOn w:val="MainHead"/>
    <w:rsid w:val="0027743E"/>
    <w:rPr>
      <w:sz w:val="22"/>
    </w:rPr>
  </w:style>
  <w:style w:type="paragraph" w:customStyle="1" w:styleId="AcknHead">
    <w:name w:val="Ackn Head"/>
    <w:basedOn w:val="MainHead"/>
    <w:rsid w:val="0027743E"/>
    <w:rPr>
      <w:sz w:val="22"/>
    </w:rPr>
  </w:style>
  <w:style w:type="paragraph" w:customStyle="1" w:styleId="ReferHead">
    <w:name w:val="Refer Head"/>
    <w:basedOn w:val="MainHead"/>
    <w:rsid w:val="0027743E"/>
    <w:rPr>
      <w:sz w:val="22"/>
    </w:rPr>
  </w:style>
  <w:style w:type="paragraph" w:customStyle="1" w:styleId="AddSrcHead">
    <w:name w:val="AddSrc Head"/>
    <w:basedOn w:val="MainHead"/>
    <w:rsid w:val="0027743E"/>
    <w:rPr>
      <w:sz w:val="22"/>
    </w:rPr>
  </w:style>
  <w:style w:type="paragraph" w:customStyle="1" w:styleId="DefAcrHead">
    <w:name w:val="DefAcrHead"/>
    <w:basedOn w:val="MainHead"/>
    <w:rsid w:val="0027743E"/>
    <w:rPr>
      <w:sz w:val="22"/>
    </w:rPr>
  </w:style>
  <w:style w:type="paragraph" w:customStyle="1" w:styleId="Copyright">
    <w:name w:val="Copyright"/>
    <w:basedOn w:val="Normal"/>
    <w:rsid w:val="0027743E"/>
    <w:pPr>
      <w:spacing w:after="960" w:line="200" w:lineRule="exact"/>
    </w:pPr>
    <w:rPr>
      <w:sz w:val="16"/>
    </w:rPr>
  </w:style>
  <w:style w:type="paragraph" w:styleId="Title">
    <w:name w:val="Title"/>
    <w:basedOn w:val="Normal"/>
    <w:link w:val="TitleChar"/>
    <w:qFormat/>
    <w:rsid w:val="0027743E"/>
    <w:pPr>
      <w:spacing w:after="360"/>
      <w:jc w:val="right"/>
    </w:pPr>
    <w:rPr>
      <w:b/>
      <w:kern w:val="28"/>
      <w:sz w:val="36"/>
    </w:rPr>
  </w:style>
  <w:style w:type="character" w:customStyle="1" w:styleId="TitleChar">
    <w:name w:val="Title Char"/>
    <w:basedOn w:val="DefaultParagraphFont"/>
    <w:link w:val="Title"/>
    <w:rsid w:val="0027743E"/>
    <w:rPr>
      <w:rFonts w:ascii="Helvetica" w:eastAsia="Times New Roman" w:hAnsi="Helvetica" w:cs="Times New Roman"/>
      <w:b/>
      <w:kern w:val="28"/>
      <w:sz w:val="36"/>
      <w:szCs w:val="20"/>
    </w:rPr>
  </w:style>
  <w:style w:type="paragraph" w:customStyle="1" w:styleId="Reference">
    <w:name w:val="Reference"/>
    <w:basedOn w:val="Body"/>
    <w:rsid w:val="0027743E"/>
    <w:pPr>
      <w:numPr>
        <w:numId w:val="23"/>
      </w:numPr>
      <w:spacing w:after="0" w:line="240" w:lineRule="exact"/>
    </w:pPr>
  </w:style>
  <w:style w:type="paragraph" w:customStyle="1" w:styleId="Head1">
    <w:name w:val="Head1"/>
    <w:basedOn w:val="MainHead"/>
    <w:rsid w:val="0027743E"/>
    <w:rPr>
      <w:sz w:val="22"/>
    </w:rPr>
  </w:style>
  <w:style w:type="paragraph" w:customStyle="1" w:styleId="ContactHead">
    <w:name w:val="Contact Head"/>
    <w:basedOn w:val="MainHead"/>
    <w:rsid w:val="0027743E"/>
    <w:rPr>
      <w:sz w:val="22"/>
    </w:rPr>
  </w:style>
  <w:style w:type="paragraph" w:customStyle="1" w:styleId="Head3">
    <w:name w:val="Head3"/>
    <w:basedOn w:val="Head2"/>
    <w:rsid w:val="0027743E"/>
    <w:rPr>
      <w:caps w:val="0"/>
      <w:u w:val="single"/>
    </w:rPr>
  </w:style>
  <w:style w:type="paragraph" w:customStyle="1" w:styleId="Head4">
    <w:name w:val="Head4"/>
    <w:basedOn w:val="Head3"/>
    <w:rsid w:val="0027743E"/>
    <w:rPr>
      <w:u w:val="none"/>
    </w:rPr>
  </w:style>
  <w:style w:type="paragraph" w:customStyle="1" w:styleId="UnordList">
    <w:name w:val="Unord List"/>
    <w:basedOn w:val="Body"/>
    <w:rsid w:val="0027743E"/>
    <w:pPr>
      <w:spacing w:after="0"/>
      <w:ind w:left="360" w:hanging="360"/>
    </w:pPr>
  </w:style>
  <w:style w:type="paragraph" w:customStyle="1" w:styleId="OrdList">
    <w:name w:val="Ord List"/>
    <w:basedOn w:val="UnordList"/>
    <w:rsid w:val="0027743E"/>
    <w:pPr>
      <w:jc w:val="left"/>
    </w:pPr>
  </w:style>
  <w:style w:type="paragraph" w:customStyle="1" w:styleId="Appendix">
    <w:name w:val="Appendix"/>
    <w:basedOn w:val="MainHead"/>
    <w:rsid w:val="0027743E"/>
    <w:rPr>
      <w:sz w:val="22"/>
    </w:rPr>
  </w:style>
  <w:style w:type="paragraph" w:customStyle="1" w:styleId="Term">
    <w:name w:val="Term"/>
    <w:basedOn w:val="Body"/>
    <w:rsid w:val="0027743E"/>
    <w:pPr>
      <w:spacing w:after="0"/>
    </w:pPr>
    <w:rPr>
      <w:b/>
    </w:rPr>
  </w:style>
  <w:style w:type="paragraph" w:customStyle="1" w:styleId="Definition">
    <w:name w:val="Definition"/>
    <w:basedOn w:val="Body"/>
    <w:rsid w:val="0027743E"/>
  </w:style>
  <w:style w:type="paragraph" w:customStyle="1" w:styleId="Head2">
    <w:name w:val="Head2"/>
    <w:basedOn w:val="Normal"/>
    <w:next w:val="Body"/>
    <w:rsid w:val="0027743E"/>
    <w:pPr>
      <w:keepNext/>
      <w:spacing w:after="240"/>
    </w:pPr>
    <w:rPr>
      <w:caps/>
    </w:rPr>
  </w:style>
  <w:style w:type="character" w:customStyle="1" w:styleId="Bold">
    <w:name w:val="Bold"/>
    <w:rsid w:val="0027743E"/>
    <w:rPr>
      <w:b/>
    </w:rPr>
  </w:style>
  <w:style w:type="character" w:customStyle="1" w:styleId="Italic">
    <w:name w:val="Italic"/>
    <w:rsid w:val="0027743E"/>
    <w:rPr>
      <w:i/>
    </w:rPr>
  </w:style>
  <w:style w:type="character" w:customStyle="1" w:styleId="Underline">
    <w:name w:val="Underline"/>
    <w:rsid w:val="0027743E"/>
    <w:rPr>
      <w:u w:val="single"/>
    </w:rPr>
  </w:style>
  <w:style w:type="paragraph" w:customStyle="1" w:styleId="MainHead">
    <w:name w:val="Main Head"/>
    <w:basedOn w:val="Normal"/>
    <w:rsid w:val="0027743E"/>
    <w:pPr>
      <w:keepNext/>
      <w:spacing w:after="240"/>
    </w:pPr>
    <w:rPr>
      <w:b/>
      <w:caps/>
    </w:rPr>
  </w:style>
  <w:style w:type="paragraph" w:customStyle="1" w:styleId="Equation">
    <w:name w:val="Equation"/>
    <w:basedOn w:val="Body"/>
    <w:rsid w:val="0027743E"/>
  </w:style>
  <w:style w:type="paragraph" w:customStyle="1" w:styleId="Figure">
    <w:name w:val="Figure"/>
    <w:basedOn w:val="Copyright"/>
    <w:rsid w:val="0027743E"/>
    <w:pPr>
      <w:spacing w:after="240"/>
    </w:pPr>
    <w:rPr>
      <w:sz w:val="20"/>
    </w:rPr>
  </w:style>
  <w:style w:type="paragraph" w:styleId="Footer">
    <w:name w:val="footer"/>
    <w:basedOn w:val="Normal"/>
    <w:link w:val="FooterChar"/>
    <w:rsid w:val="0027743E"/>
    <w:pPr>
      <w:tabs>
        <w:tab w:val="center" w:pos="4320"/>
        <w:tab w:val="right" w:pos="8640"/>
      </w:tabs>
    </w:pPr>
  </w:style>
  <w:style w:type="character" w:customStyle="1" w:styleId="FooterChar">
    <w:name w:val="Footer Char"/>
    <w:basedOn w:val="DefaultParagraphFont"/>
    <w:link w:val="Footer"/>
    <w:rsid w:val="0027743E"/>
    <w:rPr>
      <w:rFonts w:ascii="Helvetica" w:eastAsia="Times New Roman" w:hAnsi="Helvetica" w:cs="Times New Roman"/>
      <w:sz w:val="20"/>
      <w:szCs w:val="20"/>
    </w:rPr>
  </w:style>
  <w:style w:type="paragraph" w:customStyle="1" w:styleId="Head40">
    <w:name w:val="Head 4"/>
    <w:basedOn w:val="Head3"/>
    <w:rsid w:val="0027743E"/>
    <w:rPr>
      <w:u w:val="none"/>
    </w:rPr>
  </w:style>
  <w:style w:type="paragraph" w:styleId="Header">
    <w:name w:val="header"/>
    <w:basedOn w:val="Normal"/>
    <w:link w:val="HeaderChar"/>
    <w:rsid w:val="0027743E"/>
    <w:pPr>
      <w:tabs>
        <w:tab w:val="center" w:pos="4320"/>
        <w:tab w:val="right" w:pos="8640"/>
      </w:tabs>
    </w:pPr>
  </w:style>
  <w:style w:type="character" w:customStyle="1" w:styleId="HeaderChar">
    <w:name w:val="Header Char"/>
    <w:basedOn w:val="DefaultParagraphFont"/>
    <w:link w:val="Header"/>
    <w:rsid w:val="0027743E"/>
    <w:rPr>
      <w:rFonts w:ascii="Helvetica" w:eastAsia="Times New Roman" w:hAnsi="Helvetica" w:cs="Times New Roman"/>
      <w:sz w:val="20"/>
      <w:szCs w:val="20"/>
    </w:rPr>
  </w:style>
  <w:style w:type="paragraph" w:customStyle="1" w:styleId="Paper">
    <w:name w:val="Paper"/>
    <w:basedOn w:val="Normal"/>
    <w:rsid w:val="0027743E"/>
    <w:pPr>
      <w:spacing w:after="360" w:line="440" w:lineRule="exact"/>
      <w:jc w:val="right"/>
    </w:pPr>
    <w:rPr>
      <w:b/>
      <w:sz w:val="36"/>
    </w:rPr>
  </w:style>
  <w:style w:type="paragraph" w:styleId="Signature">
    <w:name w:val="Signature"/>
    <w:basedOn w:val="Normal"/>
    <w:link w:val="SignatureChar"/>
    <w:rsid w:val="0027743E"/>
    <w:pPr>
      <w:ind w:left="4320"/>
    </w:pPr>
  </w:style>
  <w:style w:type="character" w:customStyle="1" w:styleId="SignatureChar">
    <w:name w:val="Signature Char"/>
    <w:basedOn w:val="DefaultParagraphFont"/>
    <w:link w:val="Signature"/>
    <w:rsid w:val="0027743E"/>
    <w:rPr>
      <w:rFonts w:ascii="Helvetica" w:eastAsia="Times New Roman" w:hAnsi="Helvetica" w:cs="Times New Roman"/>
      <w:sz w:val="20"/>
      <w:szCs w:val="20"/>
    </w:rPr>
  </w:style>
  <w:style w:type="character" w:customStyle="1" w:styleId="Subscript">
    <w:name w:val="Subscript"/>
    <w:rsid w:val="0027743E"/>
    <w:rPr>
      <w:vertAlign w:val="subscript"/>
    </w:rPr>
  </w:style>
  <w:style w:type="character" w:customStyle="1" w:styleId="Superscript">
    <w:name w:val="Superscript"/>
    <w:rsid w:val="0027743E"/>
    <w:rPr>
      <w:vertAlign w:val="superscript"/>
    </w:rPr>
  </w:style>
  <w:style w:type="character" w:customStyle="1" w:styleId="Symbol">
    <w:name w:val="Symbol"/>
    <w:rsid w:val="0027743E"/>
    <w:rPr>
      <w:rFonts w:ascii="Symbol" w:hAnsi="Symbol"/>
    </w:rPr>
  </w:style>
  <w:style w:type="paragraph" w:customStyle="1" w:styleId="SymbolP">
    <w:name w:val="Symbol P"/>
    <w:basedOn w:val="Body"/>
    <w:rsid w:val="0027743E"/>
    <w:pPr>
      <w:tabs>
        <w:tab w:val="left" w:pos="720"/>
        <w:tab w:val="left" w:pos="3780"/>
      </w:tabs>
      <w:spacing w:after="0"/>
    </w:pPr>
    <w:rPr>
      <w:sz w:val="24"/>
    </w:rPr>
  </w:style>
  <w:style w:type="character" w:customStyle="1" w:styleId="BoldItal">
    <w:name w:val="BoldItal"/>
    <w:basedOn w:val="DefaultParagraphFont"/>
    <w:rsid w:val="0027743E"/>
    <w:rPr>
      <w:b/>
      <w:i/>
    </w:rPr>
  </w:style>
  <w:style w:type="character" w:customStyle="1" w:styleId="SubItal">
    <w:name w:val="SubItal"/>
    <w:rsid w:val="0027743E"/>
    <w:rPr>
      <w:i/>
      <w:vertAlign w:val="subscript"/>
    </w:rPr>
  </w:style>
  <w:style w:type="character" w:customStyle="1" w:styleId="SuperItal">
    <w:name w:val="SuperItal"/>
    <w:rsid w:val="0027743E"/>
    <w:rPr>
      <w:i/>
      <w:vertAlign w:val="superscript"/>
    </w:rPr>
  </w:style>
  <w:style w:type="character" w:customStyle="1" w:styleId="SymItal">
    <w:name w:val="SymItal"/>
    <w:rsid w:val="0027743E"/>
    <w:rPr>
      <w:rFonts w:ascii="Symbol" w:hAnsi="Symbol"/>
      <w:i/>
    </w:rPr>
  </w:style>
  <w:style w:type="character" w:styleId="Hyperlink">
    <w:name w:val="Hyperlink"/>
    <w:basedOn w:val="DefaultParagraphFont"/>
    <w:rsid w:val="0027743E"/>
    <w:rPr>
      <w:color w:val="FF0080"/>
      <w:u w:val="single"/>
    </w:rPr>
  </w:style>
  <w:style w:type="character" w:styleId="FollowedHyperlink">
    <w:name w:val="FollowedHyperlink"/>
    <w:basedOn w:val="DefaultParagraphFont"/>
    <w:rsid w:val="0027743E"/>
    <w:rPr>
      <w:color w:val="800080"/>
      <w:u w:val="single"/>
    </w:rPr>
  </w:style>
  <w:style w:type="table" w:styleId="TableGrid">
    <w:name w:val="Table Grid"/>
    <w:basedOn w:val="TableNormal"/>
    <w:uiPriority w:val="39"/>
    <w:rsid w:val="0027743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27743E"/>
    <w:pPr>
      <w:spacing w:after="120" w:line="480" w:lineRule="auto"/>
    </w:pPr>
  </w:style>
  <w:style w:type="character" w:customStyle="1" w:styleId="BodyText2Char">
    <w:name w:val="Body Text 2 Char"/>
    <w:basedOn w:val="DefaultParagraphFont"/>
    <w:link w:val="BodyText2"/>
    <w:rsid w:val="0027743E"/>
    <w:rPr>
      <w:rFonts w:ascii="Helvetica" w:eastAsia="Times New Roman" w:hAnsi="Helvetica" w:cs="Times New Roman"/>
      <w:sz w:val="20"/>
      <w:szCs w:val="20"/>
    </w:rPr>
  </w:style>
  <w:style w:type="character" w:styleId="CommentReference">
    <w:name w:val="annotation reference"/>
    <w:basedOn w:val="DefaultParagraphFont"/>
    <w:uiPriority w:val="99"/>
    <w:unhideWhenUsed/>
    <w:rsid w:val="0027743E"/>
    <w:rPr>
      <w:sz w:val="16"/>
      <w:szCs w:val="16"/>
    </w:rPr>
  </w:style>
  <w:style w:type="paragraph" w:styleId="CommentText">
    <w:name w:val="annotation text"/>
    <w:basedOn w:val="Normal"/>
    <w:link w:val="CommentTextChar"/>
    <w:uiPriority w:val="99"/>
    <w:unhideWhenUsed/>
    <w:rsid w:val="0027743E"/>
    <w:rPr>
      <w:rFonts w:ascii="Times New Roman" w:hAnsi="Times New Roman"/>
      <w:lang w:val="nb-NO" w:eastAsia="nb-NO"/>
    </w:rPr>
  </w:style>
  <w:style w:type="character" w:customStyle="1" w:styleId="CommentTextChar">
    <w:name w:val="Comment Text Char"/>
    <w:basedOn w:val="DefaultParagraphFont"/>
    <w:link w:val="CommentText"/>
    <w:uiPriority w:val="99"/>
    <w:rsid w:val="0027743E"/>
    <w:rPr>
      <w:rFonts w:ascii="Times New Roman" w:eastAsia="Times New Roman" w:hAnsi="Times New Roman" w:cs="Times New Roman"/>
      <w:sz w:val="20"/>
      <w:szCs w:val="20"/>
      <w:lang w:val="nb-NO" w:eastAsia="nb-NO"/>
    </w:rPr>
  </w:style>
  <w:style w:type="paragraph" w:styleId="BalloonText">
    <w:name w:val="Balloon Text"/>
    <w:basedOn w:val="Normal"/>
    <w:link w:val="BalloonTextChar"/>
    <w:rsid w:val="0027743E"/>
    <w:rPr>
      <w:rFonts w:ascii="Tahoma" w:hAnsi="Tahoma" w:cs="Tahoma"/>
      <w:sz w:val="16"/>
      <w:szCs w:val="16"/>
    </w:rPr>
  </w:style>
  <w:style w:type="character" w:customStyle="1" w:styleId="BalloonTextChar">
    <w:name w:val="Balloon Text Char"/>
    <w:basedOn w:val="DefaultParagraphFont"/>
    <w:link w:val="BalloonText"/>
    <w:rsid w:val="0027743E"/>
    <w:rPr>
      <w:rFonts w:ascii="Tahoma" w:eastAsia="Times New Roman" w:hAnsi="Tahoma" w:cs="Tahoma"/>
      <w:sz w:val="16"/>
      <w:szCs w:val="16"/>
    </w:rPr>
  </w:style>
  <w:style w:type="paragraph" w:styleId="BodyText3">
    <w:name w:val="Body Text 3"/>
    <w:basedOn w:val="Normal"/>
    <w:link w:val="BodyText3Char"/>
    <w:rsid w:val="0027743E"/>
    <w:pPr>
      <w:spacing w:after="120"/>
    </w:pPr>
    <w:rPr>
      <w:sz w:val="16"/>
      <w:szCs w:val="16"/>
    </w:rPr>
  </w:style>
  <w:style w:type="character" w:customStyle="1" w:styleId="BodyText3Char">
    <w:name w:val="Body Text 3 Char"/>
    <w:basedOn w:val="DefaultParagraphFont"/>
    <w:link w:val="BodyText3"/>
    <w:rsid w:val="0027743E"/>
    <w:rPr>
      <w:rFonts w:ascii="Helvetica" w:eastAsia="Times New Roman" w:hAnsi="Helvetica" w:cs="Times New Roman"/>
      <w:sz w:val="16"/>
      <w:szCs w:val="16"/>
    </w:rPr>
  </w:style>
  <w:style w:type="character" w:styleId="LineNumber">
    <w:name w:val="line number"/>
    <w:basedOn w:val="DefaultParagraphFont"/>
    <w:rsid w:val="0027743E"/>
  </w:style>
  <w:style w:type="character" w:styleId="Emphasis">
    <w:name w:val="Emphasis"/>
    <w:basedOn w:val="DefaultParagraphFont"/>
    <w:uiPriority w:val="20"/>
    <w:qFormat/>
    <w:rsid w:val="0027743E"/>
    <w:rPr>
      <w:i/>
      <w:iCs/>
    </w:rPr>
  </w:style>
  <w:style w:type="character" w:styleId="UnresolvedMention">
    <w:name w:val="Unresolved Mention"/>
    <w:basedOn w:val="DefaultParagraphFont"/>
    <w:uiPriority w:val="99"/>
    <w:semiHidden/>
    <w:unhideWhenUsed/>
    <w:rsid w:val="0027743E"/>
    <w:rPr>
      <w:color w:val="605E5C"/>
      <w:shd w:val="clear" w:color="auto" w:fill="E1DFDD"/>
    </w:rPr>
  </w:style>
  <w:style w:type="character" w:styleId="Strong">
    <w:name w:val="Strong"/>
    <w:basedOn w:val="DefaultParagraphFont"/>
    <w:uiPriority w:val="22"/>
    <w:qFormat/>
    <w:rsid w:val="0027743E"/>
    <w:rPr>
      <w:b/>
      <w:bCs/>
    </w:rPr>
  </w:style>
  <w:style w:type="paragraph" w:styleId="NormalWeb">
    <w:name w:val="Normal (Web)"/>
    <w:basedOn w:val="Normal"/>
    <w:uiPriority w:val="99"/>
    <w:unhideWhenUsed/>
    <w:rsid w:val="0027743E"/>
    <w:pPr>
      <w:spacing w:before="100" w:beforeAutospacing="1" w:after="100" w:afterAutospacing="1"/>
    </w:pPr>
    <w:rPr>
      <w:rFonts w:ascii="Times New Roman" w:hAnsi="Times New Roman"/>
      <w:sz w:val="24"/>
      <w:szCs w:val="24"/>
      <w:lang w:val="en-AE" w:eastAsia="en-AE"/>
    </w:rPr>
  </w:style>
  <w:style w:type="paragraph" w:styleId="ListParagraph">
    <w:name w:val="List Paragraph"/>
    <w:basedOn w:val="Normal"/>
    <w:uiPriority w:val="1"/>
    <w:qFormat/>
    <w:rsid w:val="0027743E"/>
    <w:pPr>
      <w:ind w:left="720"/>
      <w:contextualSpacing/>
    </w:pPr>
  </w:style>
  <w:style w:type="character" w:customStyle="1" w:styleId="Heading3Char">
    <w:name w:val="Heading 3 Char"/>
    <w:basedOn w:val="DefaultParagraphFont"/>
    <w:link w:val="Heading3"/>
    <w:uiPriority w:val="9"/>
    <w:semiHidden/>
    <w:rsid w:val="00C14F5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86/s40538-023-00381-z" TargetMode="External"/><Relationship Id="rId21" Type="http://schemas.openxmlformats.org/officeDocument/2006/relationships/hyperlink" Target="https://doi.org/10.3390/su17094223" TargetMode="External"/><Relationship Id="rId42" Type="http://schemas.openxmlformats.org/officeDocument/2006/relationships/hyperlink" Target="https://doi.org/10.3390/agronomy14112636" TargetMode="External"/><Relationship Id="rId47" Type="http://schemas.openxmlformats.org/officeDocument/2006/relationships/hyperlink" Target="https://doi.org/10.3390/plants13162225" TargetMode="External"/><Relationship Id="rId63" Type="http://schemas.openxmlformats.org/officeDocument/2006/relationships/hyperlink" Target="https://doi.org/10.5772/intechopen.108970" TargetMode="External"/><Relationship Id="rId68" Type="http://schemas.openxmlformats.org/officeDocument/2006/relationships/hyperlink" Target="https://doi.org/10.1016/j.geoderma.2022.116117" TargetMode="External"/><Relationship Id="rId84" Type="http://schemas.openxmlformats.org/officeDocument/2006/relationships/fontTable" Target="fontTable.xml"/><Relationship Id="rId16" Type="http://schemas.openxmlformats.org/officeDocument/2006/relationships/hyperlink" Target="https://doi.org/10.3390/agronomy13020542" TargetMode="External"/><Relationship Id="rId11" Type="http://schemas.openxmlformats.org/officeDocument/2006/relationships/footer" Target="footer2.xml"/><Relationship Id="rId32" Type="http://schemas.openxmlformats.org/officeDocument/2006/relationships/hyperlink" Target="https://doi.org/10.1186/s42834-019-0012-9" TargetMode="External"/><Relationship Id="rId37" Type="http://schemas.openxmlformats.org/officeDocument/2006/relationships/hyperlink" Target="https://doi.org/10.3390/su142315641" TargetMode="External"/><Relationship Id="rId53" Type="http://schemas.openxmlformats.org/officeDocument/2006/relationships/hyperlink" Target="https://doi.org/10.3390/plants11070877" TargetMode="External"/><Relationship Id="rId58" Type="http://schemas.openxmlformats.org/officeDocument/2006/relationships/hyperlink" Target="https://doi.org/10.1371/journal.pone.0289935" TargetMode="External"/><Relationship Id="rId74" Type="http://schemas.openxmlformats.org/officeDocument/2006/relationships/hyperlink" Target="https://doi.org/10.1186/s13068-016-0656-1" TargetMode="External"/><Relationship Id="rId79" Type="http://schemas.openxmlformats.org/officeDocument/2006/relationships/hyperlink" Target="https://doi.org/10.3389/fchem.2019.00874" TargetMode="External"/><Relationship Id="rId5" Type="http://schemas.openxmlformats.org/officeDocument/2006/relationships/webSettings" Target="webSettings.xml"/><Relationship Id="rId19" Type="http://schemas.openxmlformats.org/officeDocument/2006/relationships/hyperlink" Target="https://doi.org/10.3390/en15124480" TargetMode="External"/><Relationship Id="rId14" Type="http://schemas.openxmlformats.org/officeDocument/2006/relationships/image" Target="media/image1.jpg"/><Relationship Id="rId22" Type="http://schemas.openxmlformats.org/officeDocument/2006/relationships/hyperlink" Target="https://doi.org/10.1016/j.biortech.2023.128644" TargetMode="External"/><Relationship Id="rId27" Type="http://schemas.openxmlformats.org/officeDocument/2006/relationships/hyperlink" Target="https://doi.org/10.1128/aem.01756-23" TargetMode="External"/><Relationship Id="rId30" Type="http://schemas.openxmlformats.org/officeDocument/2006/relationships/hyperlink" Target="https://doi.org/10.1007/s11104-025-07720-z" TargetMode="External"/><Relationship Id="rId35" Type="http://schemas.openxmlformats.org/officeDocument/2006/relationships/hyperlink" Target="https://doi.org/10.3390/su13115879" TargetMode="External"/><Relationship Id="rId43" Type="http://schemas.openxmlformats.org/officeDocument/2006/relationships/hyperlink" Target="https://doi.org/10.1016/j.jenvman.2024.120638" TargetMode="External"/><Relationship Id="rId48" Type="http://schemas.openxmlformats.org/officeDocument/2006/relationships/hyperlink" Target="https://doi.org/10.3389/fmicb.2019.00529" TargetMode="External"/><Relationship Id="rId56" Type="http://schemas.openxmlformats.org/officeDocument/2006/relationships/hyperlink" Target="https://doi.org/10.1016/j.tifs.2022.11.020" TargetMode="External"/><Relationship Id="rId64" Type="http://schemas.openxmlformats.org/officeDocument/2006/relationships/hyperlink" Target="https://doi.org/10.1016/j.envint.2008.06.009" TargetMode="External"/><Relationship Id="rId69" Type="http://schemas.openxmlformats.org/officeDocument/2006/relationships/hyperlink" Target="https://doi.org/10.3390/pr9040675" TargetMode="External"/><Relationship Id="rId77" Type="http://schemas.openxmlformats.org/officeDocument/2006/relationships/hyperlink" Target="https://doi.org/10.3390/biology11081181" TargetMode="External"/><Relationship Id="rId8" Type="http://schemas.openxmlformats.org/officeDocument/2006/relationships/header" Target="header1.xml"/><Relationship Id="rId51" Type="http://schemas.openxmlformats.org/officeDocument/2006/relationships/hyperlink" Target="https://doi.org/10.1021/acsomega.3c06516" TargetMode="External"/><Relationship Id="rId72" Type="http://schemas.openxmlformats.org/officeDocument/2006/relationships/hyperlink" Target="https://doi.org/10.3389/fmicb.2023.1253415" TargetMode="External"/><Relationship Id="rId80" Type="http://schemas.openxmlformats.org/officeDocument/2006/relationships/header" Target="header4.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16/j.enconman.2023.116877" TargetMode="External"/><Relationship Id="rId25" Type="http://schemas.openxmlformats.org/officeDocument/2006/relationships/hyperlink" Target="https://doi.org/10.1016/j.jenvman.2024.122502" TargetMode="External"/><Relationship Id="rId33" Type="http://schemas.openxmlformats.org/officeDocument/2006/relationships/hyperlink" Target="https://doi.org/10.4209/aaqr.2013.01.0031" TargetMode="External"/><Relationship Id="rId38" Type="http://schemas.openxmlformats.org/officeDocument/2006/relationships/hyperlink" Target="https://doi.org/10.1039/D0RA09358K" TargetMode="External"/><Relationship Id="rId46" Type="http://schemas.openxmlformats.org/officeDocument/2006/relationships/hyperlink" Target="https://doi.org/10.3390/su16156329" TargetMode="External"/><Relationship Id="rId59" Type="http://schemas.openxmlformats.org/officeDocument/2006/relationships/hyperlink" Target="https://doi.org/10.1155/2015/279381" TargetMode="External"/><Relationship Id="rId67" Type="http://schemas.openxmlformats.org/officeDocument/2006/relationships/hyperlink" Target="https://doi.org/10.3390/biology11040569" TargetMode="External"/><Relationship Id="rId20" Type="http://schemas.openxmlformats.org/officeDocument/2006/relationships/hyperlink" Target="https://doi.org/10.3389/fpls.2022.972789" TargetMode="External"/><Relationship Id="rId41" Type="http://schemas.openxmlformats.org/officeDocument/2006/relationships/hyperlink" Target="https://doi.org/10.1016/j.biortech.2023.128996" TargetMode="External"/><Relationship Id="rId54" Type="http://schemas.openxmlformats.org/officeDocument/2006/relationships/hyperlink" Target="https://doi.org/10.1016/j.sciaf.2024.e02121" TargetMode="External"/><Relationship Id="rId62" Type="http://schemas.openxmlformats.org/officeDocument/2006/relationships/hyperlink" Target="https://doi.org/10.3389/fsoil.2022.833181" TargetMode="External"/><Relationship Id="rId70" Type="http://schemas.openxmlformats.org/officeDocument/2006/relationships/hyperlink" Target="https://doi.org/10.3390/pr11030731" TargetMode="External"/><Relationship Id="rId75" Type="http://schemas.openxmlformats.org/officeDocument/2006/relationships/hyperlink" Target="https://doi.org/10.3389/fmicb.2022.957444" TargetMode="External"/><Relationship Id="rId83"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80/09712119.2022.2076685" TargetMode="External"/><Relationship Id="rId23" Type="http://schemas.openxmlformats.org/officeDocument/2006/relationships/hyperlink" Target="https://doi.org/10.3389/fsufs.2020.00002" TargetMode="External"/><Relationship Id="rId28" Type="http://schemas.openxmlformats.org/officeDocument/2006/relationships/hyperlink" Target="https://doi.org/10.1016/j.scitotenv.2022.154439" TargetMode="External"/><Relationship Id="rId36" Type="http://schemas.openxmlformats.org/officeDocument/2006/relationships/hyperlink" Target="https://doi.org/10.1016/j.wasman.2023.09.040" TargetMode="External"/><Relationship Id="rId49" Type="http://schemas.openxmlformats.org/officeDocument/2006/relationships/hyperlink" Target="https://doi.org/10.1007/s00128-024-03894-x" TargetMode="External"/><Relationship Id="rId57" Type="http://schemas.openxmlformats.org/officeDocument/2006/relationships/hyperlink" Target="https://doi.org/10.1007/s43621-024-00492-z" TargetMode="External"/><Relationship Id="rId10" Type="http://schemas.openxmlformats.org/officeDocument/2006/relationships/footer" Target="footer1.xml"/><Relationship Id="rId31" Type="http://schemas.openxmlformats.org/officeDocument/2006/relationships/hyperlink" Target="https://doi.org/10.1016/j.wasman.2021.02.048" TargetMode="External"/><Relationship Id="rId44" Type="http://schemas.openxmlformats.org/officeDocument/2006/relationships/hyperlink" Target="https://doi.org/10.3389/fpls.2023.1289288" TargetMode="External"/><Relationship Id="rId52" Type="http://schemas.openxmlformats.org/officeDocument/2006/relationships/hyperlink" Target="https://doi.org/10.1021/acs.est.2c05846" TargetMode="External"/><Relationship Id="rId60" Type="http://schemas.openxmlformats.org/officeDocument/2006/relationships/hyperlink" Target="https://doi.org/10.1007/s12649-017-0059-y" TargetMode="External"/><Relationship Id="rId65" Type="http://schemas.openxmlformats.org/officeDocument/2006/relationships/hyperlink" Target="https://doi.org/10.3389/fmicb.2021.746718" TargetMode="External"/><Relationship Id="rId73" Type="http://schemas.openxmlformats.org/officeDocument/2006/relationships/hyperlink" Target="https://doi.org/10.3389/fmicb.2022.1084171" TargetMode="External"/><Relationship Id="rId78" Type="http://schemas.openxmlformats.org/officeDocument/2006/relationships/hyperlink" Target="https://doi.org/10.1016/j.biortech.2022.127296" TargetMode="External"/><Relationship Id="rId8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3390/su12114456" TargetMode="External"/><Relationship Id="rId39" Type="http://schemas.openxmlformats.org/officeDocument/2006/relationships/hyperlink" Target="https://doi.org/10.1080/21655979.2021.2017624" TargetMode="External"/><Relationship Id="rId34" Type="http://schemas.openxmlformats.org/officeDocument/2006/relationships/hyperlink" Target="https://doi.org/10.1134/S0003683821010105" TargetMode="External"/><Relationship Id="rId50" Type="http://schemas.openxmlformats.org/officeDocument/2006/relationships/hyperlink" Target="https://doi.org/10.3390/fermentation8040152" TargetMode="External"/><Relationship Id="rId55" Type="http://schemas.openxmlformats.org/officeDocument/2006/relationships/hyperlink" Target="https://doi.org/10.3390/su152316395" TargetMode="External"/><Relationship Id="rId76" Type="http://schemas.openxmlformats.org/officeDocument/2006/relationships/hyperlink" Target="https://doi.org/10.3390/su9112020" TargetMode="External"/><Relationship Id="rId7" Type="http://schemas.openxmlformats.org/officeDocument/2006/relationships/endnotes" Target="endnotes.xml"/><Relationship Id="rId71" Type="http://schemas.openxmlformats.org/officeDocument/2006/relationships/hyperlink" Target="https://doi.org/10.7717/peerj.15757" TargetMode="External"/><Relationship Id="rId2" Type="http://schemas.openxmlformats.org/officeDocument/2006/relationships/numbering" Target="numbering.xml"/><Relationship Id="rId29" Type="http://schemas.openxmlformats.org/officeDocument/2006/relationships/hyperlink" Target="https://doi.org/10.1016/j.still.2024.106282" TargetMode="External"/><Relationship Id="rId24" Type="http://schemas.openxmlformats.org/officeDocument/2006/relationships/hyperlink" Target="https://doi.org/10.1007/s44169-023-00055-9" TargetMode="External"/><Relationship Id="rId40" Type="http://schemas.openxmlformats.org/officeDocument/2006/relationships/hyperlink" Target="https://doi.org/10.1007/s10529-022-03313-3" TargetMode="External"/><Relationship Id="rId45" Type="http://schemas.openxmlformats.org/officeDocument/2006/relationships/hyperlink" Target="https://doi.org/10.1016/j.nexus.2022.100062" TargetMode="External"/><Relationship Id="rId66" Type="http://schemas.openxmlformats.org/officeDocument/2006/relationships/hyperlink" Target="https://doi.org/10.1016/j.heliyon.2022.e08865" TargetMode="External"/><Relationship Id="rId61" Type="http://schemas.openxmlformats.org/officeDocument/2006/relationships/hyperlink" Target="https://doi.org/10.3390/plants12223801" TargetMode="External"/><Relationship Id="rId8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B878D-7B46-45E8-A656-80856964A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8191</Words>
  <Characters>46691</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ANJANA PRADEEP</dc:creator>
  <cp:keywords/>
  <dc:description/>
  <cp:lastModifiedBy>SDI 1180</cp:lastModifiedBy>
  <cp:revision>19</cp:revision>
  <cp:lastPrinted>2025-11-19T03:03:00Z</cp:lastPrinted>
  <dcterms:created xsi:type="dcterms:W3CDTF">2025-11-20T05:04:00Z</dcterms:created>
  <dcterms:modified xsi:type="dcterms:W3CDTF">2025-11-20T11:09:00Z</dcterms:modified>
</cp:coreProperties>
</file>