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2" w14:textId="77777777" w:rsidR="008F464C" w:rsidRDefault="00BC7F75">
      <w:pPr>
        <w:spacing w:before="280" w:after="280" w:line="276" w:lineRule="auto"/>
        <w:jc w:val="both"/>
        <w:rPr>
          <w:rFonts w:ascii="Arial" w:eastAsia="Arial" w:hAnsi="Arial" w:cs="Arial"/>
          <w:b/>
          <w:bCs/>
        </w:rPr>
      </w:pPr>
      <w:r>
        <w:rPr>
          <w:rFonts w:ascii="Arial" w:eastAsia="Arial" w:hAnsi="Arial" w:cs="Arial"/>
          <w:b/>
          <w:bCs/>
        </w:rPr>
        <w:t>Smart Agricultural Technologies for Sustainable Food Production Under Climate Change Pressures</w:t>
      </w:r>
    </w:p>
    <w:p w14:paraId="5DE0EFCE" w14:textId="77777777" w:rsidR="000A6D4E" w:rsidRDefault="000A6D4E">
      <w:pPr>
        <w:spacing w:before="280" w:after="280" w:line="276" w:lineRule="auto"/>
        <w:jc w:val="both"/>
        <w:rPr>
          <w:rFonts w:ascii="Arial" w:eastAsia="Arial" w:hAnsi="Arial" w:cs="Arial"/>
          <w:b/>
          <w:bCs/>
          <w:sz w:val="22"/>
          <w:szCs w:val="22"/>
        </w:rPr>
      </w:pPr>
    </w:p>
    <w:p w14:paraId="0000000B" w14:textId="6686D687" w:rsidR="008F464C" w:rsidRDefault="00BC7F75">
      <w:pPr>
        <w:spacing w:before="280" w:after="280" w:line="276" w:lineRule="auto"/>
        <w:jc w:val="both"/>
        <w:rPr>
          <w:rFonts w:ascii="Arial" w:eastAsia="Arial" w:hAnsi="Arial" w:cs="Arial"/>
          <w:b/>
          <w:bCs/>
          <w:sz w:val="22"/>
          <w:szCs w:val="22"/>
        </w:rPr>
      </w:pPr>
      <w:bookmarkStart w:id="0" w:name="_GoBack"/>
      <w:bookmarkEnd w:id="0"/>
      <w:r>
        <w:rPr>
          <w:rFonts w:ascii="Arial" w:eastAsia="Arial" w:hAnsi="Arial" w:cs="Arial"/>
          <w:b/>
          <w:bCs/>
          <w:sz w:val="22"/>
          <w:szCs w:val="22"/>
        </w:rPr>
        <w:t>Abstract</w:t>
      </w:r>
      <w:r>
        <w:rPr>
          <w:rFonts w:ascii="Arial" w:eastAsia="Arial" w:hAnsi="Arial" w:cs="Arial"/>
          <w:sz w:val="20"/>
          <w:szCs w:val="20"/>
          <w:highlight w:val="yellow"/>
        </w:rPr>
        <w:br/>
      </w:r>
      <w:r>
        <w:rPr>
          <w:rFonts w:ascii="Arial" w:eastAsia="Arial" w:hAnsi="Arial" w:cs="Arial"/>
          <w:sz w:val="20"/>
          <w:szCs w:val="20"/>
        </w:rPr>
        <w:t xml:space="preserve">Climate change is a major challenge to international food security, and hence, new strategies need to be developed to ensure sustainable food production. This paper comprehensively examines how artificial intelligence (AI) and Internet of Things (IoT) technologies have been applied in agriculture to determine their suitability in enhancing productivity, resource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and environmental sustainability in diverse climate conditions. A 58 peer-reviewed studies (2014-2025) of evidence have demonstrated that AI- and IoT-based solutions have been used to increase the efficiency of irrigation, </w:t>
      </w:r>
      <w:proofErr w:type="spellStart"/>
      <w:r>
        <w:rPr>
          <w:rFonts w:ascii="Arial" w:eastAsia="Arial" w:hAnsi="Arial" w:cs="Arial"/>
          <w:sz w:val="20"/>
          <w:szCs w:val="20"/>
        </w:rPr>
        <w:t>optimise</w:t>
      </w:r>
      <w:proofErr w:type="spellEnd"/>
      <w:r>
        <w:rPr>
          <w:rFonts w:ascii="Arial" w:eastAsia="Arial" w:hAnsi="Arial" w:cs="Arial"/>
          <w:sz w:val="20"/>
          <w:szCs w:val="20"/>
        </w:rPr>
        <w:t xml:space="preserve"> nutrient and pest management, and mitigate climate risks. These technologies help in greenhouse gas emissions, water use, and chemical application reduction and also enhance crop yields. Although these have these advantages, the smallholder farmers have been limited in adopting them due to high cost and lack of technical expertise and infrastructural setbacks. These solutions should be scaled fairly with the help of policy support, capacity-building efforts, and environmentally friendly technological designs. The results highlight the opportunities of smart agriculture to support the development of sustainable, climate-resistant food production across the world.</w:t>
      </w:r>
    </w:p>
    <w:p w14:paraId="0000000C"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b/>
          <w:bCs/>
          <w:sz w:val="22"/>
          <w:szCs w:val="22"/>
        </w:rPr>
        <w:t>Keywords:</w:t>
      </w:r>
      <w:r>
        <w:rPr>
          <w:rFonts w:ascii="Arial" w:eastAsia="Arial" w:hAnsi="Arial" w:cs="Arial"/>
          <w:sz w:val="22"/>
          <w:szCs w:val="22"/>
        </w:rPr>
        <w:t xml:space="preserve"> </w:t>
      </w:r>
      <w:r>
        <w:rPr>
          <w:rFonts w:ascii="Arial" w:eastAsia="Arial" w:hAnsi="Arial" w:cs="Arial"/>
          <w:sz w:val="20"/>
          <w:szCs w:val="20"/>
        </w:rPr>
        <w:t>Smart agriculture, Artificial intelligence, Internet of Things, Sustainable food production, Climate change, Precision farming, Resource efficiency</w:t>
      </w:r>
    </w:p>
    <w:p w14:paraId="0000000D" w14:textId="77777777" w:rsidR="008F464C" w:rsidRDefault="00BC7F75">
      <w:pPr>
        <w:spacing w:before="280" w:after="280" w:line="276" w:lineRule="auto"/>
        <w:jc w:val="both"/>
        <w:rPr>
          <w:rFonts w:ascii="Arial" w:eastAsia="Arial" w:hAnsi="Arial" w:cs="Arial"/>
          <w:b/>
          <w:bCs/>
          <w:sz w:val="22"/>
          <w:szCs w:val="22"/>
        </w:rPr>
      </w:pPr>
      <w:r>
        <w:rPr>
          <w:rFonts w:ascii="Arial" w:eastAsia="Arial" w:hAnsi="Arial" w:cs="Arial"/>
          <w:b/>
          <w:bCs/>
          <w:sz w:val="22"/>
          <w:szCs w:val="22"/>
        </w:rPr>
        <w:t>1.0 Introduction</w:t>
      </w:r>
    </w:p>
    <w:p w14:paraId="0000000E"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b/>
          <w:bCs/>
          <w:sz w:val="22"/>
          <w:szCs w:val="22"/>
        </w:rPr>
        <w:t>1.1 Background of the Study</w:t>
      </w:r>
    </w:p>
    <w:p w14:paraId="0000000F" w14:textId="77777777" w:rsidR="008F464C" w:rsidRDefault="00BC7F75">
      <w:pPr>
        <w:spacing w:after="0" w:line="276" w:lineRule="auto"/>
        <w:jc w:val="both"/>
        <w:rPr>
          <w:rFonts w:ascii="Arial" w:eastAsia="Arial" w:hAnsi="Arial" w:cs="Arial"/>
          <w:sz w:val="20"/>
          <w:szCs w:val="20"/>
        </w:rPr>
      </w:pPr>
      <w:r>
        <w:rPr>
          <w:rFonts w:ascii="Arial" w:eastAsia="Arial" w:hAnsi="Arial" w:cs="Arial"/>
          <w:sz w:val="20"/>
          <w:szCs w:val="20"/>
        </w:rPr>
        <w:t>Climate change is putting international agriculture under acute pressure, and it appears as more frequent droughts and floods, greater weather variability and changing pest and disease interactions (</w:t>
      </w:r>
      <w:proofErr w:type="spellStart"/>
      <w:r>
        <w:rPr>
          <w:rFonts w:ascii="Arial" w:eastAsia="Arial" w:hAnsi="Arial" w:cs="Arial"/>
          <w:sz w:val="20"/>
          <w:szCs w:val="20"/>
        </w:rPr>
        <w:t>Begna</w:t>
      </w:r>
      <w:proofErr w:type="spellEnd"/>
      <w:r>
        <w:rPr>
          <w:rFonts w:ascii="Arial" w:eastAsia="Arial" w:hAnsi="Arial" w:cs="Arial"/>
          <w:sz w:val="20"/>
          <w:szCs w:val="20"/>
        </w:rPr>
        <w:t xml:space="preserve"> &amp; </w:t>
      </w:r>
      <w:proofErr w:type="spellStart"/>
      <w:r>
        <w:rPr>
          <w:rFonts w:ascii="Arial" w:eastAsia="Arial" w:hAnsi="Arial" w:cs="Arial"/>
          <w:sz w:val="20"/>
          <w:szCs w:val="20"/>
        </w:rPr>
        <w:t>Wakkeya</w:t>
      </w:r>
      <w:proofErr w:type="spellEnd"/>
      <w:r>
        <w:rPr>
          <w:rFonts w:ascii="Arial" w:eastAsia="Arial" w:hAnsi="Arial" w:cs="Arial"/>
          <w:sz w:val="20"/>
          <w:szCs w:val="20"/>
        </w:rPr>
        <w:t xml:space="preserve">, 2025; </w:t>
      </w:r>
      <w:proofErr w:type="spellStart"/>
      <w:r>
        <w:rPr>
          <w:rFonts w:ascii="Arial" w:eastAsia="Arial" w:hAnsi="Arial" w:cs="Arial"/>
          <w:sz w:val="20"/>
          <w:szCs w:val="20"/>
        </w:rPr>
        <w:t>Zougmore</w:t>
      </w:r>
      <w:proofErr w:type="spellEnd"/>
      <w:r>
        <w:rPr>
          <w:rFonts w:ascii="Arial" w:eastAsia="Arial" w:hAnsi="Arial" w:cs="Arial"/>
          <w:sz w:val="20"/>
          <w:szCs w:val="20"/>
        </w:rPr>
        <w:t xml:space="preserve"> et al., 2021). The pressures threaten food security in areas of the world experiencing resource shortages, such as Sub-Saharan Africa and some parts of South Asia (</w:t>
      </w:r>
      <w:proofErr w:type="spellStart"/>
      <w:r>
        <w:rPr>
          <w:rFonts w:ascii="Arial" w:eastAsia="Arial" w:hAnsi="Arial" w:cs="Arial"/>
          <w:sz w:val="20"/>
          <w:szCs w:val="20"/>
        </w:rPr>
        <w:t>Yiridomoh</w:t>
      </w:r>
      <w:proofErr w:type="spellEnd"/>
      <w:r>
        <w:rPr>
          <w:rFonts w:ascii="Arial" w:eastAsia="Arial" w:hAnsi="Arial" w:cs="Arial"/>
          <w:sz w:val="20"/>
          <w:szCs w:val="20"/>
        </w:rPr>
        <w:t xml:space="preserve"> et al., 2025; Abdulai et al., 2025). As a reaction, intelligent </w:t>
      </w:r>
      <w:proofErr w:type="spellStart"/>
      <w:r>
        <w:rPr>
          <w:rFonts w:ascii="Arial" w:eastAsia="Arial" w:hAnsi="Arial" w:cs="Arial"/>
          <w:sz w:val="20"/>
          <w:szCs w:val="20"/>
        </w:rPr>
        <w:t>agro</w:t>
      </w:r>
      <w:proofErr w:type="spellEnd"/>
      <w:r>
        <w:rPr>
          <w:rFonts w:ascii="Arial" w:eastAsia="Arial" w:hAnsi="Arial" w:cs="Arial"/>
          <w:sz w:val="20"/>
          <w:szCs w:val="20"/>
        </w:rPr>
        <w:t xml:space="preserve">-technologies, and, in particular, those based on Artificial Intelligence (AI) and the Internet of Things (IoT), have become a potential source of resilience in food production systems (Ahmed and Shakoor, 2025; Kumari et al., 2025). The AI-IoT systems will be able to enhance resource use efficiency, yields, and environmental impact by facilitating real-time monitoring and data-driven decision-making (Ahmed et al., 2022; </w:t>
      </w:r>
      <w:proofErr w:type="spellStart"/>
      <w:r>
        <w:rPr>
          <w:rFonts w:ascii="Arial" w:eastAsia="Arial" w:hAnsi="Arial" w:cs="Arial"/>
          <w:sz w:val="20"/>
          <w:szCs w:val="20"/>
        </w:rPr>
        <w:t>Dhanararaju</w:t>
      </w:r>
      <w:proofErr w:type="spellEnd"/>
      <w:r>
        <w:rPr>
          <w:rFonts w:ascii="Arial" w:eastAsia="Arial" w:hAnsi="Arial" w:cs="Arial"/>
          <w:sz w:val="20"/>
          <w:szCs w:val="20"/>
        </w:rPr>
        <w:t xml:space="preserve"> et al., 2022; Bhutto et al., 2024).</w:t>
      </w:r>
    </w:p>
    <w:p w14:paraId="00000010" w14:textId="77777777" w:rsidR="008F464C" w:rsidRDefault="008F464C">
      <w:pPr>
        <w:spacing w:after="0" w:line="276" w:lineRule="auto"/>
        <w:jc w:val="both"/>
        <w:rPr>
          <w:rFonts w:ascii="Arial" w:eastAsia="Arial" w:hAnsi="Arial" w:cs="Arial"/>
          <w:sz w:val="20"/>
          <w:szCs w:val="20"/>
        </w:rPr>
      </w:pPr>
    </w:p>
    <w:p w14:paraId="00000011" w14:textId="77777777" w:rsidR="008F464C" w:rsidRDefault="00BC7F75">
      <w:pPr>
        <w:spacing w:line="276" w:lineRule="auto"/>
        <w:jc w:val="both"/>
        <w:rPr>
          <w:rFonts w:ascii="Arial" w:eastAsia="Arial" w:hAnsi="Arial" w:cs="Arial"/>
          <w:sz w:val="20"/>
          <w:szCs w:val="20"/>
          <w:highlight w:val="yellow"/>
        </w:rPr>
      </w:pPr>
      <w:r>
        <w:rPr>
          <w:rFonts w:ascii="Arial" w:eastAsia="Arial" w:hAnsi="Arial" w:cs="Arial"/>
          <w:sz w:val="20"/>
          <w:szCs w:val="20"/>
        </w:rPr>
        <w:t>Recent research features the use of sensor networks based on the IoT and incorporating optical, electromagnetic, soil, and weather sensors, which are linked with AI and machine learning analytics (random forests, convolutional neural networks, and support vectors machines) to promote precision irrigation, early disease diagnostics, and optimized fertilization strategies (</w:t>
      </w:r>
      <w:proofErr w:type="spellStart"/>
      <w:r>
        <w:rPr>
          <w:rFonts w:ascii="Arial" w:eastAsia="Arial" w:hAnsi="Arial" w:cs="Arial"/>
          <w:sz w:val="20"/>
          <w:szCs w:val="20"/>
        </w:rPr>
        <w:t>Agrimonti</w:t>
      </w:r>
      <w:proofErr w:type="spellEnd"/>
      <w:r>
        <w:rPr>
          <w:rFonts w:ascii="Arial" w:eastAsia="Arial" w:hAnsi="Arial" w:cs="Arial"/>
          <w:sz w:val="20"/>
          <w:szCs w:val="20"/>
        </w:rPr>
        <w:t xml:space="preserve"> et al., 2021; Ahmed and Shakoor, 2025; Mesic et al., 2024). Nonetheless, such developments have sustainability trade-offs: sensors and computing units frequently need to be powered constantly or recharged, which is questionable in terms of energy use, electronic waste and long-term cost-effectiveness in off-grid or resource-constrained environments (Alam et al., 2024; Naqvi et al., 2021).</w:t>
      </w:r>
    </w:p>
    <w:p w14:paraId="00000012"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lastRenderedPageBreak/>
        <w:t xml:space="preserve">The discussion of Smart farming is rapidly being placed in a larger context of climate-smart agriculture (CSA), aiming to integrate productivity, adaptation and mitigation goals (Lipper and Zilberman, 2018; Campbell et al., 2014). AI and IoT technologies not only make the farming industry more productive, but they also contribute to climate resilience, allowing farmers to predict and adjust to extreme weather and changing </w:t>
      </w:r>
      <w:proofErr w:type="spellStart"/>
      <w:r>
        <w:rPr>
          <w:rFonts w:ascii="Arial" w:eastAsia="Arial" w:hAnsi="Arial" w:cs="Arial"/>
          <w:sz w:val="20"/>
          <w:szCs w:val="20"/>
        </w:rPr>
        <w:t>agro</w:t>
      </w:r>
      <w:proofErr w:type="spellEnd"/>
      <w:r>
        <w:rPr>
          <w:rFonts w:ascii="Arial" w:eastAsia="Arial" w:hAnsi="Arial" w:cs="Arial"/>
          <w:sz w:val="20"/>
          <w:szCs w:val="20"/>
        </w:rPr>
        <w:t xml:space="preserve">-climate patterns (Devi, 2023; Lou et al., 2024; Katel et al., 2022). As an illustration, adaptive irrigation scheduling and sowing decisions are facilitated by AI-based local weather predictions, which are created on distributed IoT platforms (Das and Nayak, 2024). Equally, the IoT sensor-based disease-forecasting models can enable farmers to mitigate the use of pesticides and loss of crops by advancing predictively (Ahmed et al., 2022; </w:t>
      </w:r>
      <w:proofErr w:type="spellStart"/>
      <w:r>
        <w:rPr>
          <w:rFonts w:ascii="Arial" w:eastAsia="Arial" w:hAnsi="Arial" w:cs="Arial"/>
          <w:sz w:val="20"/>
          <w:szCs w:val="20"/>
        </w:rPr>
        <w:t>Dhanararaju</w:t>
      </w:r>
      <w:proofErr w:type="spellEnd"/>
      <w:r>
        <w:rPr>
          <w:rFonts w:ascii="Arial" w:eastAsia="Arial" w:hAnsi="Arial" w:cs="Arial"/>
          <w:sz w:val="20"/>
          <w:szCs w:val="20"/>
        </w:rPr>
        <w:t xml:space="preserve"> et al., 2022).</w:t>
      </w:r>
    </w:p>
    <w:p w14:paraId="00000013" w14:textId="77777777" w:rsidR="008F464C" w:rsidRDefault="00BC7F75">
      <w:pPr>
        <w:spacing w:after="0" w:line="276" w:lineRule="auto"/>
        <w:jc w:val="both"/>
        <w:rPr>
          <w:rFonts w:ascii="Arial" w:eastAsia="Arial" w:hAnsi="Arial" w:cs="Arial"/>
          <w:sz w:val="20"/>
          <w:szCs w:val="20"/>
        </w:rPr>
      </w:pPr>
      <w:r>
        <w:rPr>
          <w:rFonts w:ascii="Arial" w:eastAsia="Arial" w:hAnsi="Arial" w:cs="Arial"/>
          <w:sz w:val="20"/>
          <w:szCs w:val="20"/>
        </w:rPr>
        <w:t xml:space="preserve">In addition to adaptation, smart agriculture leads to a reduction in greenhouse gas (GHG) emissions. Granular monitoring of emissions sources and </w:t>
      </w:r>
      <w:proofErr w:type="spellStart"/>
      <w:r>
        <w:rPr>
          <w:rFonts w:ascii="Arial" w:eastAsia="Arial" w:hAnsi="Arial" w:cs="Arial"/>
          <w:sz w:val="20"/>
          <w:szCs w:val="20"/>
        </w:rPr>
        <w:t>maximising</w:t>
      </w:r>
      <w:proofErr w:type="spellEnd"/>
      <w:r>
        <w:rPr>
          <w:rFonts w:ascii="Arial" w:eastAsia="Arial" w:hAnsi="Arial" w:cs="Arial"/>
          <w:sz w:val="20"/>
          <w:szCs w:val="20"/>
        </w:rPr>
        <w:t xml:space="preserve"> the input can be achieved through advanced IoT networks, especially based on any of the emerging communication standards, which can reduce the intensity of emissions per unit of output (</w:t>
      </w:r>
      <w:proofErr w:type="spellStart"/>
      <w:r>
        <w:rPr>
          <w:rFonts w:ascii="Arial" w:eastAsia="Arial" w:hAnsi="Arial" w:cs="Arial"/>
          <w:sz w:val="20"/>
          <w:szCs w:val="20"/>
        </w:rPr>
        <w:t>Polymeni</w:t>
      </w:r>
      <w:proofErr w:type="spellEnd"/>
      <w:r>
        <w:rPr>
          <w:rFonts w:ascii="Arial" w:eastAsia="Arial" w:hAnsi="Arial" w:cs="Arial"/>
          <w:sz w:val="20"/>
          <w:szCs w:val="20"/>
        </w:rPr>
        <w:t xml:space="preserve"> et al., 2024; </w:t>
      </w:r>
      <w:proofErr w:type="spellStart"/>
      <w:r>
        <w:rPr>
          <w:rFonts w:ascii="Arial" w:eastAsia="Arial" w:hAnsi="Arial" w:cs="Arial"/>
          <w:sz w:val="20"/>
          <w:szCs w:val="20"/>
        </w:rPr>
        <w:t>Vishnoi</w:t>
      </w:r>
      <w:proofErr w:type="spellEnd"/>
      <w:r>
        <w:rPr>
          <w:rFonts w:ascii="Arial" w:eastAsia="Arial" w:hAnsi="Arial" w:cs="Arial"/>
          <w:sz w:val="20"/>
          <w:szCs w:val="20"/>
        </w:rPr>
        <w:t xml:space="preserve"> and Goel, 2024). Together with big data analytics and predictive modelling, such systems allow quantifying and controlling the carbon footprint of agricultural activities and potentially aligning it with the net-zero agricultural objectives (Oyenuga et al., 2025; Mondal and Palit, 2024).</w:t>
      </w:r>
    </w:p>
    <w:p w14:paraId="00000014" w14:textId="77777777" w:rsidR="008F464C" w:rsidRDefault="008F464C">
      <w:pPr>
        <w:spacing w:after="0" w:line="276" w:lineRule="auto"/>
        <w:jc w:val="both"/>
        <w:rPr>
          <w:rFonts w:ascii="Arial" w:eastAsia="Arial" w:hAnsi="Arial" w:cs="Arial"/>
          <w:sz w:val="20"/>
          <w:szCs w:val="20"/>
        </w:rPr>
      </w:pPr>
    </w:p>
    <w:p w14:paraId="00000015" w14:textId="77777777" w:rsidR="008F464C" w:rsidRDefault="00BC7F75">
      <w:pPr>
        <w:spacing w:after="0" w:line="276" w:lineRule="auto"/>
        <w:jc w:val="both"/>
        <w:rPr>
          <w:rFonts w:ascii="Arial" w:eastAsia="Arial" w:hAnsi="Arial" w:cs="Arial"/>
          <w:sz w:val="20"/>
          <w:szCs w:val="20"/>
        </w:rPr>
      </w:pPr>
      <w:r>
        <w:rPr>
          <w:rFonts w:ascii="Arial" w:eastAsia="Arial" w:hAnsi="Arial" w:cs="Arial"/>
          <w:sz w:val="20"/>
          <w:szCs w:val="20"/>
        </w:rPr>
        <w:t xml:space="preserve">Even though such technologies are available, the uptake of smart farming practices is still uneven, especially among the smallholder farmers in developing countries (Dougill et al., 2021; </w:t>
      </w:r>
      <w:proofErr w:type="spellStart"/>
      <w:r>
        <w:rPr>
          <w:rFonts w:ascii="Arial" w:eastAsia="Arial" w:hAnsi="Arial" w:cs="Arial"/>
          <w:sz w:val="20"/>
          <w:szCs w:val="20"/>
        </w:rPr>
        <w:t>Gemtou</w:t>
      </w:r>
      <w:proofErr w:type="spellEnd"/>
      <w:r>
        <w:rPr>
          <w:rFonts w:ascii="Arial" w:eastAsia="Arial" w:hAnsi="Arial" w:cs="Arial"/>
          <w:sz w:val="20"/>
          <w:szCs w:val="20"/>
        </w:rPr>
        <w:t xml:space="preserve"> et al., 2024; Thabane et al., 2024). Some of the barriers include infrastructural deficits (poor connectivity and unstable electricity), high cost of entry investment, low levels of digital literacy, and absence of </w:t>
      </w:r>
      <w:proofErr w:type="spellStart"/>
      <w:r>
        <w:rPr>
          <w:rFonts w:ascii="Arial" w:eastAsia="Arial" w:hAnsi="Arial" w:cs="Arial"/>
          <w:sz w:val="20"/>
          <w:szCs w:val="20"/>
        </w:rPr>
        <w:t>customised</w:t>
      </w:r>
      <w:proofErr w:type="spellEnd"/>
      <w:r>
        <w:rPr>
          <w:rFonts w:ascii="Arial" w:eastAsia="Arial" w:hAnsi="Arial" w:cs="Arial"/>
          <w:sz w:val="20"/>
          <w:szCs w:val="20"/>
        </w:rPr>
        <w:t xml:space="preserve"> extension services (Long et al., 2016; Pedersen et al., 2024; </w:t>
      </w:r>
      <w:proofErr w:type="spellStart"/>
      <w:r>
        <w:rPr>
          <w:rFonts w:ascii="Arial" w:eastAsia="Arial" w:hAnsi="Arial" w:cs="Arial"/>
          <w:sz w:val="20"/>
          <w:szCs w:val="20"/>
        </w:rPr>
        <w:t>Wakweya</w:t>
      </w:r>
      <w:proofErr w:type="spellEnd"/>
      <w:r>
        <w:rPr>
          <w:rFonts w:ascii="Arial" w:eastAsia="Arial" w:hAnsi="Arial" w:cs="Arial"/>
          <w:sz w:val="20"/>
          <w:szCs w:val="20"/>
        </w:rPr>
        <w:t>, 2023). Moreover, the problem of governance and trust regarding data ownership, privacy, and transparency of AI suggestions is also another barrier (</w:t>
      </w:r>
      <w:proofErr w:type="spellStart"/>
      <w:r>
        <w:rPr>
          <w:rFonts w:ascii="Arial" w:eastAsia="Arial" w:hAnsi="Arial" w:cs="Arial"/>
          <w:sz w:val="20"/>
          <w:szCs w:val="20"/>
        </w:rPr>
        <w:t>Kazancoglu</w:t>
      </w:r>
      <w:proofErr w:type="spellEnd"/>
      <w:r>
        <w:rPr>
          <w:rFonts w:ascii="Arial" w:eastAsia="Arial" w:hAnsi="Arial" w:cs="Arial"/>
          <w:sz w:val="20"/>
          <w:szCs w:val="20"/>
        </w:rPr>
        <w:t xml:space="preserve"> et al., 2024; Taylor, 2018).</w:t>
      </w:r>
    </w:p>
    <w:p w14:paraId="00000016" w14:textId="77777777" w:rsidR="008F464C" w:rsidRDefault="008F464C">
      <w:pPr>
        <w:spacing w:after="0" w:line="276" w:lineRule="auto"/>
        <w:jc w:val="both"/>
        <w:rPr>
          <w:rFonts w:ascii="Arial" w:eastAsia="Arial" w:hAnsi="Arial" w:cs="Arial"/>
          <w:sz w:val="20"/>
          <w:szCs w:val="20"/>
          <w:highlight w:val="yellow"/>
        </w:rPr>
      </w:pPr>
    </w:p>
    <w:p w14:paraId="00000017" w14:textId="77777777" w:rsidR="008F464C" w:rsidRDefault="00BC7F75">
      <w:pPr>
        <w:spacing w:after="0" w:line="276" w:lineRule="auto"/>
        <w:jc w:val="both"/>
        <w:rPr>
          <w:rFonts w:ascii="Arial" w:eastAsia="Arial" w:hAnsi="Arial" w:cs="Arial"/>
          <w:sz w:val="20"/>
          <w:szCs w:val="20"/>
        </w:rPr>
      </w:pPr>
      <w:r>
        <w:rPr>
          <w:rFonts w:ascii="Arial" w:eastAsia="Arial" w:hAnsi="Arial" w:cs="Arial"/>
          <w:sz w:val="20"/>
          <w:szCs w:val="20"/>
        </w:rPr>
        <w:t>Furthermore, the implementation of smart and climate-smart agricultural technologies overlaps with social and policy aspects. Gender disparities, policy frameworks, and institutional support have a major impact on the practices of CSA uptake and effectiveness (Barooah et al., 2023; Agarwala et al., 2022; Lewis and Rudnick, 2019). The socio-demographic factors, perceived profitability, and availability of information are also postulated to affect the decision-making of farmers with respect to the adoption of technology (</w:t>
      </w:r>
      <w:proofErr w:type="spellStart"/>
      <w:r>
        <w:rPr>
          <w:rFonts w:ascii="Arial" w:eastAsia="Arial" w:hAnsi="Arial" w:cs="Arial"/>
          <w:sz w:val="20"/>
          <w:szCs w:val="20"/>
        </w:rPr>
        <w:t>Senyolo</w:t>
      </w:r>
      <w:proofErr w:type="spellEnd"/>
      <w:r>
        <w:rPr>
          <w:rFonts w:ascii="Arial" w:eastAsia="Arial" w:hAnsi="Arial" w:cs="Arial"/>
          <w:sz w:val="20"/>
          <w:szCs w:val="20"/>
        </w:rPr>
        <w:t xml:space="preserve"> et al., 2018; Thabane et al., 2024).</w:t>
      </w:r>
    </w:p>
    <w:p w14:paraId="00000018" w14:textId="77777777" w:rsidR="008F464C" w:rsidRDefault="008F464C">
      <w:pPr>
        <w:spacing w:after="0" w:line="276" w:lineRule="auto"/>
        <w:jc w:val="both"/>
        <w:rPr>
          <w:rFonts w:ascii="Arial" w:eastAsia="Arial" w:hAnsi="Arial" w:cs="Arial"/>
          <w:sz w:val="20"/>
          <w:szCs w:val="20"/>
        </w:rPr>
      </w:pPr>
    </w:p>
    <w:p w14:paraId="00000019" w14:textId="77777777" w:rsidR="008F464C" w:rsidRDefault="00BC7F75">
      <w:pPr>
        <w:spacing w:after="0" w:line="276" w:lineRule="auto"/>
        <w:jc w:val="both"/>
        <w:rPr>
          <w:rFonts w:ascii="Arial" w:eastAsia="Arial" w:hAnsi="Arial" w:cs="Arial"/>
          <w:sz w:val="20"/>
          <w:szCs w:val="20"/>
        </w:rPr>
      </w:pPr>
      <w:r>
        <w:rPr>
          <w:rFonts w:ascii="Arial" w:eastAsia="Arial" w:hAnsi="Arial" w:cs="Arial"/>
          <w:sz w:val="20"/>
          <w:szCs w:val="20"/>
        </w:rPr>
        <w:t>Although AI and IoT-based smart agriculture hold the potential of revolution in the field of sustainable food production amid the stresses of climatic conditions, the functionality and fairness of such technologies are conditional on socio-technical, economic, and policy environments. The need to understand what technologies yield the most and save the most resources, their effects on the environment, and the obstacles and facilitators to the adoption by different farming systems is necessary to direct research, policy, and implementation (</w:t>
      </w:r>
      <w:proofErr w:type="spellStart"/>
      <w:r>
        <w:rPr>
          <w:rFonts w:ascii="Arial" w:eastAsia="Arial" w:hAnsi="Arial" w:cs="Arial"/>
          <w:sz w:val="20"/>
          <w:szCs w:val="20"/>
        </w:rPr>
        <w:t>Kabato</w:t>
      </w:r>
      <w:proofErr w:type="spellEnd"/>
      <w:r>
        <w:rPr>
          <w:rFonts w:ascii="Arial" w:eastAsia="Arial" w:hAnsi="Arial" w:cs="Arial"/>
          <w:sz w:val="20"/>
          <w:szCs w:val="20"/>
        </w:rPr>
        <w:t xml:space="preserve"> et al., 2025; Zougmore et al., 2016; Abdulai et al., 2025).</w:t>
      </w:r>
    </w:p>
    <w:p w14:paraId="0000001A" w14:textId="77777777" w:rsidR="008F464C" w:rsidRDefault="008F464C">
      <w:pPr>
        <w:spacing w:after="0" w:line="276" w:lineRule="auto"/>
        <w:jc w:val="both"/>
        <w:rPr>
          <w:rFonts w:ascii="Arial" w:eastAsia="Arial" w:hAnsi="Arial" w:cs="Arial"/>
          <w:sz w:val="20"/>
          <w:szCs w:val="20"/>
        </w:rPr>
      </w:pPr>
    </w:p>
    <w:p w14:paraId="0000001B" w14:textId="77777777" w:rsidR="008F464C" w:rsidRDefault="00BC7F75">
      <w:pPr>
        <w:spacing w:line="276" w:lineRule="auto"/>
        <w:jc w:val="both"/>
        <w:rPr>
          <w:rFonts w:ascii="Arial" w:eastAsia="Arial" w:hAnsi="Arial" w:cs="Arial"/>
          <w:b/>
          <w:bCs/>
          <w:sz w:val="22"/>
          <w:szCs w:val="22"/>
        </w:rPr>
      </w:pPr>
      <w:r>
        <w:rPr>
          <w:rFonts w:ascii="Arial" w:eastAsia="Arial" w:hAnsi="Arial" w:cs="Arial"/>
          <w:b/>
          <w:bCs/>
          <w:sz w:val="22"/>
          <w:szCs w:val="22"/>
        </w:rPr>
        <w:t>1.2 Statement of the Problem</w:t>
      </w:r>
    </w:p>
    <w:p w14:paraId="0000001C"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 xml:space="preserve">Climate change is posing an impeding danger to global agriculture, which is also appearing in the form of more frequent droughts, unpredictable rainfall, extreme temperatures, and pest and disease outbreaks, which are unpredictable (Abdulai et al., 2025; </w:t>
      </w:r>
      <w:proofErr w:type="spellStart"/>
      <w:r>
        <w:rPr>
          <w:rFonts w:ascii="Arial" w:eastAsia="Arial" w:hAnsi="Arial" w:cs="Arial"/>
          <w:sz w:val="20"/>
          <w:szCs w:val="20"/>
        </w:rPr>
        <w:t>Begna</w:t>
      </w:r>
      <w:proofErr w:type="spellEnd"/>
      <w:r>
        <w:rPr>
          <w:rFonts w:ascii="Arial" w:eastAsia="Arial" w:hAnsi="Arial" w:cs="Arial"/>
          <w:sz w:val="20"/>
          <w:szCs w:val="20"/>
        </w:rPr>
        <w:t xml:space="preserve"> and </w:t>
      </w:r>
      <w:proofErr w:type="spellStart"/>
      <w:r>
        <w:rPr>
          <w:rFonts w:ascii="Arial" w:eastAsia="Arial" w:hAnsi="Arial" w:cs="Arial"/>
          <w:sz w:val="20"/>
          <w:szCs w:val="20"/>
        </w:rPr>
        <w:t>Wakkeya</w:t>
      </w:r>
      <w:proofErr w:type="spellEnd"/>
      <w:r>
        <w:rPr>
          <w:rFonts w:ascii="Arial" w:eastAsia="Arial" w:hAnsi="Arial" w:cs="Arial"/>
          <w:sz w:val="20"/>
          <w:szCs w:val="20"/>
        </w:rPr>
        <w:t xml:space="preserve">, 2025; </w:t>
      </w:r>
      <w:proofErr w:type="spellStart"/>
      <w:r>
        <w:rPr>
          <w:rFonts w:ascii="Arial" w:eastAsia="Arial" w:hAnsi="Arial" w:cs="Arial"/>
          <w:sz w:val="20"/>
          <w:szCs w:val="20"/>
        </w:rPr>
        <w:t>Zougmore</w:t>
      </w:r>
      <w:proofErr w:type="spellEnd"/>
      <w:r>
        <w:rPr>
          <w:rFonts w:ascii="Arial" w:eastAsia="Arial" w:hAnsi="Arial" w:cs="Arial"/>
          <w:sz w:val="20"/>
          <w:szCs w:val="20"/>
        </w:rPr>
        <w:t xml:space="preserve"> et al., 2021). The pressures caused by these climate changes are decreasing the productivity of crops, increasing food insecurity, and increasing demands on creative solutions to make agriculture more resilient and sustainable (Bhutto et al., 2024; FAO, 2023). The technologies of smart agriculture and especially those using Artificial Intelligence (AI), the Internet of Things (IoT), and other digital devices have been advocated as potential </w:t>
      </w:r>
      <w:r>
        <w:rPr>
          <w:rFonts w:ascii="Arial" w:eastAsia="Arial" w:hAnsi="Arial" w:cs="Arial"/>
          <w:sz w:val="20"/>
          <w:szCs w:val="20"/>
        </w:rPr>
        <w:lastRenderedPageBreak/>
        <w:t xml:space="preserve">interventions in this context. They can be used to monitor crops and soil in real-time, support decision-making based on data, </w:t>
      </w:r>
      <w:proofErr w:type="spellStart"/>
      <w:r>
        <w:rPr>
          <w:rFonts w:ascii="Arial" w:eastAsia="Arial" w:hAnsi="Arial" w:cs="Arial"/>
          <w:sz w:val="20"/>
          <w:szCs w:val="20"/>
        </w:rPr>
        <w:t>optimise</w:t>
      </w:r>
      <w:proofErr w:type="spellEnd"/>
      <w:r>
        <w:rPr>
          <w:rFonts w:ascii="Arial" w:eastAsia="Arial" w:hAnsi="Arial" w:cs="Arial"/>
          <w:sz w:val="20"/>
          <w:szCs w:val="20"/>
        </w:rPr>
        <w:t xml:space="preserve"> irrigation, and use </w:t>
      </w:r>
      <w:proofErr w:type="spellStart"/>
      <w:r>
        <w:rPr>
          <w:rFonts w:ascii="Arial" w:eastAsia="Arial" w:hAnsi="Arial" w:cs="Arial"/>
          <w:sz w:val="20"/>
          <w:szCs w:val="20"/>
        </w:rPr>
        <w:t>fertilisers</w:t>
      </w:r>
      <w:proofErr w:type="spellEnd"/>
      <w:r>
        <w:rPr>
          <w:rFonts w:ascii="Arial" w:eastAsia="Arial" w:hAnsi="Arial" w:cs="Arial"/>
          <w:sz w:val="20"/>
          <w:szCs w:val="20"/>
        </w:rPr>
        <w:t xml:space="preserve"> and pesticides more accurately, thus increasing productivity and decreasing environmental effects (Ahmed and Shakoor, 2025; Dhanarajan et al., 2022; </w:t>
      </w:r>
      <w:proofErr w:type="spellStart"/>
      <w:r>
        <w:rPr>
          <w:rFonts w:ascii="Arial" w:eastAsia="Arial" w:hAnsi="Arial" w:cs="Arial"/>
          <w:sz w:val="20"/>
          <w:szCs w:val="20"/>
        </w:rPr>
        <w:t>Agrimonti</w:t>
      </w:r>
      <w:proofErr w:type="spellEnd"/>
      <w:r>
        <w:rPr>
          <w:rFonts w:ascii="Arial" w:eastAsia="Arial" w:hAnsi="Arial" w:cs="Arial"/>
          <w:sz w:val="20"/>
          <w:szCs w:val="20"/>
        </w:rPr>
        <w:t xml:space="preserve"> et al., 2021).</w:t>
      </w:r>
    </w:p>
    <w:p w14:paraId="0000001D"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 xml:space="preserve">Although there is a high pace in terms of technological advances, there are still a number of gap areas that are critical in terms of performance and sustainability of these systems when stressed by real-world climatic conditions. The existing literature consists of a lot of individual technologies or controlled experimental conditions, which do not allow </w:t>
      </w:r>
      <w:proofErr w:type="spellStart"/>
      <w:r>
        <w:rPr>
          <w:rFonts w:ascii="Arial" w:eastAsia="Arial" w:hAnsi="Arial" w:cs="Arial"/>
          <w:sz w:val="20"/>
          <w:szCs w:val="20"/>
        </w:rPr>
        <w:t>generalising</w:t>
      </w:r>
      <w:proofErr w:type="spellEnd"/>
      <w:r>
        <w:rPr>
          <w:rFonts w:ascii="Arial" w:eastAsia="Arial" w:hAnsi="Arial" w:cs="Arial"/>
          <w:sz w:val="20"/>
          <w:szCs w:val="20"/>
        </w:rPr>
        <w:t xml:space="preserve"> the results to a wide range of </w:t>
      </w:r>
      <w:proofErr w:type="spellStart"/>
      <w:r>
        <w:rPr>
          <w:rFonts w:ascii="Arial" w:eastAsia="Arial" w:hAnsi="Arial" w:cs="Arial"/>
          <w:sz w:val="20"/>
          <w:szCs w:val="20"/>
        </w:rPr>
        <w:t>agro</w:t>
      </w:r>
      <w:proofErr w:type="spellEnd"/>
      <w:r>
        <w:rPr>
          <w:rFonts w:ascii="Arial" w:eastAsia="Arial" w:hAnsi="Arial" w:cs="Arial"/>
          <w:sz w:val="20"/>
          <w:szCs w:val="20"/>
        </w:rPr>
        <w:t>-ecological and socio-economic conditions (</w:t>
      </w:r>
      <w:proofErr w:type="spellStart"/>
      <w:r>
        <w:rPr>
          <w:rFonts w:ascii="Arial" w:eastAsia="Arial" w:hAnsi="Arial" w:cs="Arial"/>
          <w:sz w:val="20"/>
          <w:szCs w:val="20"/>
        </w:rPr>
        <w:t>Nhamo</w:t>
      </w:r>
      <w:proofErr w:type="spellEnd"/>
      <w:r>
        <w:rPr>
          <w:rFonts w:ascii="Arial" w:eastAsia="Arial" w:hAnsi="Arial" w:cs="Arial"/>
          <w:sz w:val="20"/>
          <w:szCs w:val="20"/>
        </w:rPr>
        <w:t xml:space="preserve"> and </w:t>
      </w:r>
      <w:proofErr w:type="spellStart"/>
      <w:r>
        <w:rPr>
          <w:rFonts w:ascii="Arial" w:eastAsia="Arial" w:hAnsi="Arial" w:cs="Arial"/>
          <w:sz w:val="20"/>
          <w:szCs w:val="20"/>
        </w:rPr>
        <w:t>Chikoye</w:t>
      </w:r>
      <w:proofErr w:type="spellEnd"/>
      <w:r>
        <w:rPr>
          <w:rFonts w:ascii="Arial" w:eastAsia="Arial" w:hAnsi="Arial" w:cs="Arial"/>
          <w:sz w:val="20"/>
          <w:szCs w:val="20"/>
        </w:rPr>
        <w:t xml:space="preserve">, 2017; </w:t>
      </w:r>
      <w:proofErr w:type="spellStart"/>
      <w:r>
        <w:rPr>
          <w:rFonts w:ascii="Arial" w:eastAsia="Arial" w:hAnsi="Arial" w:cs="Arial"/>
          <w:sz w:val="20"/>
          <w:szCs w:val="20"/>
        </w:rPr>
        <w:t>Aneke</w:t>
      </w:r>
      <w:proofErr w:type="spellEnd"/>
      <w:r>
        <w:rPr>
          <w:rFonts w:ascii="Arial" w:eastAsia="Arial" w:hAnsi="Arial" w:cs="Arial"/>
          <w:sz w:val="20"/>
          <w:szCs w:val="20"/>
        </w:rPr>
        <w:t xml:space="preserve"> et al., 2025; Mesic et al., 2024). Furthermore, even though AI- and IoT-based systems are meant to enhance the efficiency of resources and cut down GHG emissions, studies that have been tested in the field lack evidence (</w:t>
      </w:r>
      <w:proofErr w:type="spellStart"/>
      <w:r>
        <w:rPr>
          <w:rFonts w:ascii="Arial" w:eastAsia="Arial" w:hAnsi="Arial" w:cs="Arial"/>
          <w:sz w:val="20"/>
          <w:szCs w:val="20"/>
        </w:rPr>
        <w:t>Polymeni</w:t>
      </w:r>
      <w:proofErr w:type="spellEnd"/>
      <w:r>
        <w:rPr>
          <w:rFonts w:ascii="Arial" w:eastAsia="Arial" w:hAnsi="Arial" w:cs="Arial"/>
          <w:sz w:val="20"/>
          <w:szCs w:val="20"/>
        </w:rPr>
        <w:t xml:space="preserve"> et al., 2024; Ahmed et al., 2022; Lou et al., 2024). Specifically, the assessment of their effects on the use of water, soil health, crop robustness, and environmental sustainability overall is lacking (Bhutto et al., 2024; Tong et al., 2024).</w:t>
      </w:r>
    </w:p>
    <w:p w14:paraId="0000001E"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There is still an uneven adoption of AI- and IoT-based smart agricultural technologies, especially among smallholder farmers in developing countries. Costs are also a hindrance, with high initial costs and limited digital literacy coupled with low internet connections and fears of data ownership and privacy being major limiting factors (</w:t>
      </w:r>
      <w:proofErr w:type="spellStart"/>
      <w:r>
        <w:rPr>
          <w:rFonts w:ascii="Arial" w:eastAsia="Arial" w:hAnsi="Arial" w:cs="Arial"/>
          <w:sz w:val="20"/>
          <w:szCs w:val="20"/>
        </w:rPr>
        <w:t>Kabato</w:t>
      </w:r>
      <w:proofErr w:type="spellEnd"/>
      <w:r>
        <w:rPr>
          <w:rFonts w:ascii="Arial" w:eastAsia="Arial" w:hAnsi="Arial" w:cs="Arial"/>
          <w:sz w:val="20"/>
          <w:szCs w:val="20"/>
        </w:rPr>
        <w:t xml:space="preserve"> et al., 2025; Thabane et al., 2024; Pedersen et al., 2024; </w:t>
      </w:r>
      <w:proofErr w:type="spellStart"/>
      <w:r>
        <w:rPr>
          <w:rFonts w:ascii="Arial" w:eastAsia="Arial" w:hAnsi="Arial" w:cs="Arial"/>
          <w:sz w:val="20"/>
          <w:szCs w:val="20"/>
        </w:rPr>
        <w:t>Wakweya</w:t>
      </w:r>
      <w:proofErr w:type="spellEnd"/>
      <w:r>
        <w:rPr>
          <w:rFonts w:ascii="Arial" w:eastAsia="Arial" w:hAnsi="Arial" w:cs="Arial"/>
          <w:sz w:val="20"/>
          <w:szCs w:val="20"/>
        </w:rPr>
        <w:t xml:space="preserve">, 2023). Such obstacles threaten to widen the technological gap between the commercial and smallholder agricultural systems, which may compromise equitable changes to climate-smart agriculture (Dougill et al., 2021; </w:t>
      </w:r>
      <w:proofErr w:type="spellStart"/>
      <w:r>
        <w:rPr>
          <w:rFonts w:ascii="Arial" w:eastAsia="Arial" w:hAnsi="Arial" w:cs="Arial"/>
          <w:sz w:val="20"/>
          <w:szCs w:val="20"/>
        </w:rPr>
        <w:t>Gemtou</w:t>
      </w:r>
      <w:proofErr w:type="spellEnd"/>
      <w:r>
        <w:rPr>
          <w:rFonts w:ascii="Arial" w:eastAsia="Arial" w:hAnsi="Arial" w:cs="Arial"/>
          <w:sz w:val="20"/>
          <w:szCs w:val="20"/>
        </w:rPr>
        <w:t xml:space="preserve"> et al., 2024; </w:t>
      </w:r>
      <w:proofErr w:type="spellStart"/>
      <w:r>
        <w:rPr>
          <w:rFonts w:ascii="Arial" w:eastAsia="Arial" w:hAnsi="Arial" w:cs="Arial"/>
          <w:sz w:val="20"/>
          <w:szCs w:val="20"/>
        </w:rPr>
        <w:t>Yiridomoh</w:t>
      </w:r>
      <w:proofErr w:type="spellEnd"/>
      <w:r>
        <w:rPr>
          <w:rFonts w:ascii="Arial" w:eastAsia="Arial" w:hAnsi="Arial" w:cs="Arial"/>
          <w:sz w:val="20"/>
          <w:szCs w:val="20"/>
        </w:rPr>
        <w:t xml:space="preserve"> et al., 2025).</w:t>
      </w:r>
    </w:p>
    <w:p w14:paraId="0000001F"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In addition, smart agricultural technologies are yet to be policy- and institutionally-supported. Although certain governments have implemented frameworks to encourage climate-smart practices, they are not always integrated with AI- and IoT-based innovations, which have gaps in the regulations, funding, and training of farmers (Agarwala et al., 2022; Lewis and Rudnick, 2019; Barooah et al., 2023).</w:t>
      </w:r>
    </w:p>
    <w:p w14:paraId="00000020"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Essentially, such obstacles point to a significant research gap: a necessity to provide a systematic evaluation of the impact that AI- and IoT-based smart farming systems may have on the aspects of sustainability, resource efficiency, and productivity in the context of climate variability and the factors that inhibit their implementation, which might be socio-economic, infrastructural, and policy-related. This gap should be tackled to provide the strategic guidance of investment, policy interventions, and equitable implementation of smart agricultural technologies to facilitate both climate-resilient and sustainable food production (Lipper and Zilberman, 2018; Campbell et al., 2014; Katel et al., 2022).</w:t>
      </w:r>
    </w:p>
    <w:p w14:paraId="00000021" w14:textId="77777777" w:rsidR="008F464C" w:rsidRDefault="00BC7F75">
      <w:pPr>
        <w:spacing w:line="276" w:lineRule="auto"/>
        <w:jc w:val="both"/>
        <w:rPr>
          <w:rFonts w:ascii="Arial" w:eastAsia="Arial" w:hAnsi="Arial" w:cs="Arial"/>
          <w:b/>
          <w:bCs/>
          <w:sz w:val="22"/>
          <w:szCs w:val="22"/>
        </w:rPr>
      </w:pPr>
      <w:r>
        <w:rPr>
          <w:rFonts w:ascii="Arial" w:eastAsia="Arial" w:hAnsi="Arial" w:cs="Arial"/>
          <w:b/>
          <w:bCs/>
          <w:sz w:val="22"/>
          <w:szCs w:val="22"/>
        </w:rPr>
        <w:t>1.3 Aim of the Review and Research Questions</w:t>
      </w:r>
    </w:p>
    <w:p w14:paraId="00000022"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The key aim of the review is to evaluate how AI and IoT-based agricultural systems improve sustainability, productivity, and resource efficiency under varying climate conditions. The following are the research questions:</w:t>
      </w:r>
    </w:p>
    <w:p w14:paraId="00000023"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 xml:space="preserve">1. What smart-farming technologies most effectively enhance yield and reduce resource consumption? </w:t>
      </w:r>
    </w:p>
    <w:p w14:paraId="00000024"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 xml:space="preserve">2. How do these systems impact greenhouse-gas emissions and soil or water quality? </w:t>
      </w:r>
    </w:p>
    <w:p w14:paraId="00000025"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 xml:space="preserve">3. What barriers affect adoption among smallholders and commercial farmers? </w:t>
      </w:r>
    </w:p>
    <w:p w14:paraId="00000026" w14:textId="77777777" w:rsidR="008F464C" w:rsidRDefault="008F464C">
      <w:pPr>
        <w:spacing w:after="0" w:line="276" w:lineRule="auto"/>
        <w:jc w:val="both"/>
        <w:rPr>
          <w:rFonts w:ascii="Arial" w:eastAsia="Arial" w:hAnsi="Arial" w:cs="Arial"/>
          <w:sz w:val="22"/>
          <w:szCs w:val="22"/>
        </w:rPr>
      </w:pPr>
    </w:p>
    <w:p w14:paraId="00000027" w14:textId="77777777" w:rsidR="008F464C" w:rsidRDefault="00BC7F75">
      <w:pPr>
        <w:spacing w:after="0" w:line="276" w:lineRule="auto"/>
        <w:jc w:val="both"/>
        <w:rPr>
          <w:rFonts w:ascii="Arial" w:eastAsia="Arial" w:hAnsi="Arial" w:cs="Arial"/>
          <w:b/>
          <w:bCs/>
          <w:sz w:val="22"/>
          <w:szCs w:val="22"/>
        </w:rPr>
      </w:pPr>
      <w:r>
        <w:rPr>
          <w:rFonts w:ascii="Arial" w:eastAsia="Arial" w:hAnsi="Arial" w:cs="Arial"/>
          <w:b/>
          <w:bCs/>
          <w:sz w:val="22"/>
          <w:szCs w:val="22"/>
        </w:rPr>
        <w:t>2.0 Evolution of Smart Farming: AI and IoT in Agriculture</w:t>
      </w:r>
    </w:p>
    <w:p w14:paraId="00000028"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lastRenderedPageBreak/>
        <w:t>The combination of Artificial Intelligence (AI), the Internet of Things (IoT), and precision agriculture methods has made Smart farming evolve rapidly. IoT offers the capability to monitor field conditions, such as soil moisture, temperature, and humidity in real-time and continuously, whereas AI uses this information to make predictions and provide support to decisions (</w:t>
      </w:r>
      <w:proofErr w:type="spellStart"/>
      <w:r>
        <w:rPr>
          <w:rFonts w:ascii="Arial" w:eastAsia="Arial" w:hAnsi="Arial" w:cs="Arial"/>
          <w:sz w:val="20"/>
          <w:szCs w:val="20"/>
        </w:rPr>
        <w:t>Senoo</w:t>
      </w:r>
      <w:proofErr w:type="spellEnd"/>
      <w:r>
        <w:rPr>
          <w:rFonts w:ascii="Arial" w:eastAsia="Arial" w:hAnsi="Arial" w:cs="Arial"/>
          <w:sz w:val="20"/>
          <w:szCs w:val="20"/>
        </w:rPr>
        <w:t xml:space="preserve"> et al., 2024; Soussi et al., 2024). Due to the combination of AI and IoT, road operations are </w:t>
      </w:r>
      <w:proofErr w:type="spellStart"/>
      <w:r>
        <w:rPr>
          <w:rFonts w:ascii="Arial" w:eastAsia="Arial" w:hAnsi="Arial" w:cs="Arial"/>
          <w:sz w:val="20"/>
          <w:szCs w:val="20"/>
        </w:rPr>
        <w:t>optimised</w:t>
      </w:r>
      <w:proofErr w:type="spellEnd"/>
      <w:r>
        <w:rPr>
          <w:rFonts w:ascii="Arial" w:eastAsia="Arial" w:hAnsi="Arial" w:cs="Arial"/>
          <w:sz w:val="20"/>
          <w:szCs w:val="20"/>
        </w:rPr>
        <w:t xml:space="preserve"> and waste is reduced, as well as resilience is improved through timely and informed interventions (Nawaz and Babar, 2024).</w:t>
      </w:r>
    </w:p>
    <w:p w14:paraId="00000029" w14:textId="77777777" w:rsidR="008F464C" w:rsidRDefault="00BC7F75">
      <w:pPr>
        <w:spacing w:before="280" w:after="280" w:line="276" w:lineRule="auto"/>
        <w:jc w:val="both"/>
        <w:rPr>
          <w:rFonts w:ascii="Arial" w:eastAsia="Arial" w:hAnsi="Arial" w:cs="Arial"/>
          <w:sz w:val="20"/>
          <w:szCs w:val="20"/>
        </w:rPr>
      </w:pPr>
      <w:proofErr w:type="spellStart"/>
      <w:r>
        <w:rPr>
          <w:rFonts w:ascii="Arial" w:eastAsia="Arial" w:hAnsi="Arial" w:cs="Arial"/>
          <w:sz w:val="20"/>
          <w:szCs w:val="20"/>
        </w:rPr>
        <w:t>Senoo</w:t>
      </w:r>
      <w:proofErr w:type="spellEnd"/>
      <w:r>
        <w:rPr>
          <w:rFonts w:ascii="Arial" w:eastAsia="Arial" w:hAnsi="Arial" w:cs="Arial"/>
          <w:sz w:val="20"/>
          <w:szCs w:val="20"/>
        </w:rPr>
        <w:t xml:space="preserve"> et al. (2024) present a systematic review that demonstrates the synergy between the IoT and AI in the field of precision agriculture. IoT sensors will gather heterogeneous environmental data that is processed in AI models: machine learning algorithms can help to allocate resources optimally (irrigation and </w:t>
      </w:r>
      <w:proofErr w:type="spellStart"/>
      <w:r>
        <w:rPr>
          <w:rFonts w:ascii="Arial" w:eastAsia="Arial" w:hAnsi="Arial" w:cs="Arial"/>
          <w:sz w:val="20"/>
          <w:szCs w:val="20"/>
        </w:rPr>
        <w:t>fertilisation</w:t>
      </w:r>
      <w:proofErr w:type="spellEnd"/>
      <w:r>
        <w:rPr>
          <w:rFonts w:ascii="Arial" w:eastAsia="Arial" w:hAnsi="Arial" w:cs="Arial"/>
          <w:sz w:val="20"/>
          <w:szCs w:val="20"/>
        </w:rPr>
        <w:t>) and identify anomalies (pest attacks or epidemics). This combined system allows solutions to be directed, and crop production is enhanced with minimal environmental effects.</w:t>
      </w:r>
    </w:p>
    <w:p w14:paraId="0000002A" w14:textId="77777777" w:rsidR="008F464C" w:rsidRDefault="00BC7F75">
      <w:pPr>
        <w:spacing w:before="280" w:after="280" w:line="276" w:lineRule="auto"/>
        <w:jc w:val="both"/>
        <w:rPr>
          <w:rFonts w:ascii="Arial" w:eastAsia="Arial" w:hAnsi="Arial" w:cs="Arial"/>
          <w:b/>
          <w:bCs/>
          <w:sz w:val="22"/>
          <w:szCs w:val="22"/>
        </w:rPr>
      </w:pPr>
      <w:r>
        <w:rPr>
          <w:rFonts w:ascii="Arial" w:eastAsia="Arial" w:hAnsi="Arial" w:cs="Arial"/>
          <w:b/>
          <w:bCs/>
          <w:sz w:val="22"/>
          <w:szCs w:val="22"/>
        </w:rPr>
        <w:t>2.1 Precision Agriculture Technologies and Their Environmental Implications</w:t>
      </w:r>
    </w:p>
    <w:p w14:paraId="0000002B"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t xml:space="preserve">Remote sensing is a type of precision agriculture technology (PATs), such as remote sensing, GPS-guided equipment, variable-rate technology (VRT), and IoT sensor networks that are especially effective in increasing productivity and sustainability (Getahun et al., 2024). According to Getahun et al. (2024), PATS have the potential to cut down on excessive use of water, </w:t>
      </w:r>
      <w:proofErr w:type="spellStart"/>
      <w:r>
        <w:rPr>
          <w:rFonts w:ascii="Arial" w:eastAsia="Arial" w:hAnsi="Arial" w:cs="Arial"/>
          <w:sz w:val="20"/>
          <w:szCs w:val="20"/>
        </w:rPr>
        <w:t>fertilisers</w:t>
      </w:r>
      <w:proofErr w:type="spellEnd"/>
      <w:r>
        <w:rPr>
          <w:rFonts w:ascii="Arial" w:eastAsia="Arial" w:hAnsi="Arial" w:cs="Arial"/>
          <w:sz w:val="20"/>
          <w:szCs w:val="20"/>
        </w:rPr>
        <w:t>, and pesticides to reduce environmental runoff, nutrient leaching, and greenhouse gas emissions.</w:t>
      </w:r>
    </w:p>
    <w:p w14:paraId="0000002C"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t xml:space="preserve">Soussi et al. (2024) also discuss how the smart sensors (soil moisture sensors and microclimate sensors) will assist in gathering high-resolution data to be used in AI-based decision-making. These sensors can be used to aid precision irrigation, disease detection and yield prediction when networked together through the IoT and </w:t>
      </w:r>
      <w:proofErr w:type="spellStart"/>
      <w:r>
        <w:rPr>
          <w:rFonts w:ascii="Arial" w:eastAsia="Arial" w:hAnsi="Arial" w:cs="Arial"/>
          <w:sz w:val="20"/>
          <w:szCs w:val="20"/>
        </w:rPr>
        <w:t>analysed</w:t>
      </w:r>
      <w:proofErr w:type="spellEnd"/>
      <w:r>
        <w:rPr>
          <w:rFonts w:ascii="Arial" w:eastAsia="Arial" w:hAnsi="Arial" w:cs="Arial"/>
          <w:sz w:val="20"/>
          <w:szCs w:val="20"/>
        </w:rPr>
        <w:t xml:space="preserve"> with big-data analytics. This sensor-AI-IoT triad is the most crucial element of efficient resource use and sustainable intensification.</w:t>
      </w:r>
    </w:p>
    <w:p w14:paraId="0000002D" w14:textId="77777777" w:rsidR="008F464C" w:rsidRDefault="00BC7F75">
      <w:pPr>
        <w:spacing w:before="280" w:after="280" w:line="276" w:lineRule="auto"/>
        <w:jc w:val="both"/>
        <w:rPr>
          <w:rFonts w:ascii="Arial" w:eastAsia="Arial" w:hAnsi="Arial" w:cs="Arial"/>
          <w:b/>
          <w:bCs/>
          <w:sz w:val="22"/>
          <w:szCs w:val="22"/>
        </w:rPr>
      </w:pPr>
      <w:r>
        <w:rPr>
          <w:rFonts w:ascii="Arial" w:eastAsia="Arial" w:hAnsi="Arial" w:cs="Arial"/>
          <w:b/>
          <w:bCs/>
          <w:sz w:val="22"/>
          <w:szCs w:val="22"/>
        </w:rPr>
        <w:t>2.3 Key Theories and Their Implications</w:t>
      </w:r>
    </w:p>
    <w:p w14:paraId="0000002E" w14:textId="77777777" w:rsidR="008F464C" w:rsidRDefault="00BC7F75">
      <w:pPr>
        <w:spacing w:before="280" w:after="280" w:line="276" w:lineRule="auto"/>
        <w:jc w:val="both"/>
        <w:rPr>
          <w:rFonts w:ascii="Arial" w:eastAsia="Arial" w:hAnsi="Arial" w:cs="Arial"/>
          <w:b/>
          <w:bCs/>
          <w:sz w:val="22"/>
          <w:szCs w:val="22"/>
        </w:rPr>
      </w:pPr>
      <w:r>
        <w:rPr>
          <w:rFonts w:ascii="Arial" w:eastAsia="Arial" w:hAnsi="Arial" w:cs="Arial"/>
          <w:b/>
          <w:bCs/>
          <w:sz w:val="22"/>
          <w:szCs w:val="22"/>
        </w:rPr>
        <w:t xml:space="preserve">2.3.1 Diffusion of Innovations Theory </w:t>
      </w:r>
    </w:p>
    <w:p w14:paraId="0000002F"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b/>
          <w:bCs/>
          <w:i/>
          <w:iCs/>
          <w:sz w:val="20"/>
          <w:szCs w:val="20"/>
        </w:rPr>
        <w:t>Theory Overview:</w:t>
      </w:r>
      <w:r>
        <w:rPr>
          <w:rFonts w:ascii="Arial" w:eastAsia="Arial" w:hAnsi="Arial" w:cs="Arial"/>
          <w:sz w:val="20"/>
          <w:szCs w:val="20"/>
        </w:rPr>
        <w:t xml:space="preserve"> The theory of Diffusion of Innovations by Rogers describes the process of the dissemination of new ideas or technologies within a social system over a period of time. The major features that affect the adoption are the relative advantage, compatibility, complexity, trialability, and observability (Bucci et al., 2019).</w:t>
      </w:r>
    </w:p>
    <w:p w14:paraId="00000030" w14:textId="77777777" w:rsidR="008F464C" w:rsidRDefault="00BC7F75">
      <w:pPr>
        <w:spacing w:before="280" w:after="280" w:line="276" w:lineRule="auto"/>
        <w:jc w:val="both"/>
        <w:rPr>
          <w:rFonts w:ascii="Arial" w:eastAsia="Arial" w:hAnsi="Arial" w:cs="Arial"/>
          <w:sz w:val="20"/>
          <w:szCs w:val="20"/>
          <w:highlight w:val="yellow"/>
        </w:rPr>
      </w:pPr>
      <w:r>
        <w:rPr>
          <w:rFonts w:ascii="Arial" w:eastAsia="Arial" w:hAnsi="Arial" w:cs="Arial"/>
          <w:b/>
          <w:bCs/>
          <w:i/>
          <w:iCs/>
          <w:sz w:val="20"/>
          <w:szCs w:val="20"/>
        </w:rPr>
        <w:t>Implications on the Study:</w:t>
      </w:r>
      <w:r>
        <w:rPr>
          <w:rFonts w:ascii="Arial" w:eastAsia="Arial" w:hAnsi="Arial" w:cs="Arial"/>
          <w:sz w:val="20"/>
          <w:szCs w:val="20"/>
        </w:rPr>
        <w:t xml:space="preserve"> This theory can be used to understand why and how farmers can embrace smart technologies in the context of AI and IoT agriculture. An example of this is where a precision-irrigation system demonstrates obvious relative advantage (including water savings), conformity to conventional farming (compatibility), ease of operation, and the utility of the system is observable or detectable (such as less water consumption, increased yields), then farmers will tend to adopt it. Granted that the stages of knowledge - persuasion - decision - implementation - confirmation by Rogers can be used in demonstration farms, pilot projects, and peer-to-peer learning to speed up the adoption. This is especially applicable in the context of the pressure of climate change, where more resilient technologies can be viewed as having a relative advantage. In the analysis of the adoption of smart farming, the model by Rogers is frequently applied empirically (Bahari et al., 2024).</w:t>
      </w:r>
    </w:p>
    <w:p w14:paraId="00000031" w14:textId="77777777" w:rsidR="008F464C" w:rsidRDefault="008F464C">
      <w:pPr>
        <w:spacing w:before="280" w:after="280" w:line="276" w:lineRule="auto"/>
        <w:jc w:val="both"/>
        <w:rPr>
          <w:rFonts w:ascii="Arial" w:eastAsia="Arial" w:hAnsi="Arial" w:cs="Arial"/>
          <w:b/>
          <w:bCs/>
          <w:sz w:val="22"/>
          <w:szCs w:val="22"/>
        </w:rPr>
      </w:pPr>
    </w:p>
    <w:p w14:paraId="00000032" w14:textId="77777777" w:rsidR="008F464C" w:rsidRDefault="008F464C">
      <w:pPr>
        <w:spacing w:before="280" w:after="280" w:line="276" w:lineRule="auto"/>
        <w:jc w:val="both"/>
        <w:rPr>
          <w:rFonts w:ascii="Arial" w:eastAsia="Arial" w:hAnsi="Arial" w:cs="Arial"/>
          <w:b/>
          <w:bCs/>
          <w:sz w:val="22"/>
          <w:szCs w:val="22"/>
        </w:rPr>
      </w:pPr>
    </w:p>
    <w:p w14:paraId="00000033" w14:textId="77777777" w:rsidR="008F464C" w:rsidRDefault="00BC7F75">
      <w:pPr>
        <w:spacing w:before="280" w:after="280" w:line="276" w:lineRule="auto"/>
        <w:jc w:val="both"/>
        <w:rPr>
          <w:rFonts w:ascii="Arial" w:eastAsia="Arial" w:hAnsi="Arial" w:cs="Arial"/>
          <w:b/>
          <w:bCs/>
          <w:sz w:val="22"/>
          <w:szCs w:val="22"/>
        </w:rPr>
      </w:pPr>
      <w:r>
        <w:rPr>
          <w:rFonts w:ascii="Arial" w:eastAsia="Arial" w:hAnsi="Arial" w:cs="Arial"/>
          <w:b/>
          <w:bCs/>
          <w:sz w:val="22"/>
          <w:szCs w:val="22"/>
        </w:rPr>
        <w:t>2.3.2 Social Technological Systems Theory (STS)</w:t>
      </w:r>
    </w:p>
    <w:p w14:paraId="00000034"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b/>
          <w:bCs/>
          <w:i/>
          <w:iCs/>
          <w:sz w:val="20"/>
          <w:szCs w:val="20"/>
        </w:rPr>
        <w:t>Theory Overview:</w:t>
      </w:r>
      <w:r>
        <w:rPr>
          <w:rFonts w:ascii="Arial" w:eastAsia="Arial" w:hAnsi="Arial" w:cs="Arial"/>
          <w:sz w:val="20"/>
          <w:szCs w:val="20"/>
        </w:rPr>
        <w:t xml:space="preserve"> STS states that technological systems are highly integrated with social systems; the only way to implement this successfully is through co-adaptation of technical and social subsystems (people, institutions, tasks, infrastructure) and not separate them.</w:t>
      </w:r>
    </w:p>
    <w:p w14:paraId="00000035"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b/>
          <w:bCs/>
          <w:i/>
          <w:iCs/>
          <w:sz w:val="20"/>
          <w:szCs w:val="20"/>
        </w:rPr>
        <w:t>Implications on the Study:</w:t>
      </w:r>
      <w:r>
        <w:rPr>
          <w:rFonts w:ascii="Arial" w:eastAsia="Arial" w:hAnsi="Arial" w:cs="Arial"/>
          <w:sz w:val="20"/>
          <w:szCs w:val="20"/>
        </w:rPr>
        <w:t xml:space="preserve"> There is no such thing as AI and IoT farming existing in a vacuum, as the success and uptake of the technology rely just as much on social </w:t>
      </w:r>
      <w:proofErr w:type="spellStart"/>
      <w:r>
        <w:rPr>
          <w:rFonts w:ascii="Arial" w:eastAsia="Arial" w:hAnsi="Arial" w:cs="Arial"/>
          <w:sz w:val="20"/>
          <w:szCs w:val="20"/>
        </w:rPr>
        <w:t>organisation</w:t>
      </w:r>
      <w:proofErr w:type="spellEnd"/>
      <w:r>
        <w:rPr>
          <w:rFonts w:ascii="Arial" w:eastAsia="Arial" w:hAnsi="Arial" w:cs="Arial"/>
          <w:sz w:val="20"/>
          <w:szCs w:val="20"/>
        </w:rPr>
        <w:t xml:space="preserve"> (farmers, advisors, institutions) and technological infrastructure (sensors, connectivity). Sociotechnical lens underscores that deployment strategies need to concentrate on the following: training, co-design, trust-building, and proper governance is important. To make smart systems sustainable in stressful climatic conditions, social actors (farmers, extension agents) need to be empowered and included in the design and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of technological systems. Recent literature demonstrates the possibility of comprehending digital knowledge-transfer in agrifood systems through improved social-technical interaction and co-evolution of technical and social subsystems (Ahmadi et al., 2025).</w:t>
      </w:r>
    </w:p>
    <w:p w14:paraId="00000036" w14:textId="77777777" w:rsidR="008F464C" w:rsidRDefault="00BC7F75">
      <w:pPr>
        <w:spacing w:line="276" w:lineRule="auto"/>
        <w:jc w:val="both"/>
        <w:rPr>
          <w:rFonts w:ascii="Arial" w:eastAsia="Arial" w:hAnsi="Arial" w:cs="Arial"/>
          <w:b/>
          <w:bCs/>
          <w:sz w:val="22"/>
          <w:szCs w:val="22"/>
        </w:rPr>
      </w:pPr>
      <w:r>
        <w:rPr>
          <w:rFonts w:ascii="Arial" w:eastAsia="Arial" w:hAnsi="Arial" w:cs="Arial"/>
          <w:b/>
          <w:bCs/>
          <w:sz w:val="22"/>
          <w:szCs w:val="22"/>
        </w:rPr>
        <w:t>2.3.3 Resource-Based View (RBV)</w:t>
      </w:r>
    </w:p>
    <w:p w14:paraId="00000037" w14:textId="77777777" w:rsidR="008F464C" w:rsidRDefault="00BC7F75">
      <w:pPr>
        <w:spacing w:line="276" w:lineRule="auto"/>
        <w:jc w:val="both"/>
        <w:rPr>
          <w:rFonts w:ascii="Arial" w:eastAsia="Arial" w:hAnsi="Arial" w:cs="Arial"/>
          <w:sz w:val="20"/>
          <w:szCs w:val="20"/>
        </w:rPr>
      </w:pPr>
      <w:r>
        <w:rPr>
          <w:rFonts w:ascii="Arial" w:eastAsia="Arial" w:hAnsi="Arial" w:cs="Arial"/>
          <w:b/>
          <w:bCs/>
          <w:i/>
          <w:iCs/>
          <w:sz w:val="20"/>
          <w:szCs w:val="20"/>
        </w:rPr>
        <w:t>Theory Overview</w:t>
      </w:r>
      <w:r>
        <w:rPr>
          <w:rFonts w:ascii="Arial" w:eastAsia="Arial" w:hAnsi="Arial" w:cs="Arial"/>
          <w:sz w:val="20"/>
          <w:szCs w:val="20"/>
        </w:rPr>
        <w:t xml:space="preserve">: RBV assumes that the competitive advantage of an </w:t>
      </w:r>
      <w:proofErr w:type="spellStart"/>
      <w:r>
        <w:rPr>
          <w:rFonts w:ascii="Arial" w:eastAsia="Arial" w:hAnsi="Arial" w:cs="Arial"/>
          <w:sz w:val="20"/>
          <w:szCs w:val="20"/>
        </w:rPr>
        <w:t>organisation</w:t>
      </w:r>
      <w:proofErr w:type="spellEnd"/>
      <w:r>
        <w:rPr>
          <w:rFonts w:ascii="Arial" w:eastAsia="Arial" w:hAnsi="Arial" w:cs="Arial"/>
          <w:sz w:val="20"/>
          <w:szCs w:val="20"/>
        </w:rPr>
        <w:t xml:space="preserve"> or an actor is due to their capacity to obtain and </w:t>
      </w:r>
      <w:proofErr w:type="spellStart"/>
      <w:r>
        <w:rPr>
          <w:rFonts w:ascii="Arial" w:eastAsia="Arial" w:hAnsi="Arial" w:cs="Arial"/>
          <w:sz w:val="20"/>
          <w:szCs w:val="20"/>
        </w:rPr>
        <w:t>utilise</w:t>
      </w:r>
      <w:proofErr w:type="spellEnd"/>
      <w:r>
        <w:rPr>
          <w:rFonts w:ascii="Arial" w:eastAsia="Arial" w:hAnsi="Arial" w:cs="Arial"/>
          <w:sz w:val="20"/>
          <w:szCs w:val="20"/>
        </w:rPr>
        <w:t xml:space="preserve"> valuable, rare, inimitable and non-substitutable resources.</w:t>
      </w:r>
    </w:p>
    <w:p w14:paraId="00000038" w14:textId="77777777" w:rsidR="008F464C" w:rsidRDefault="00BC7F75">
      <w:pPr>
        <w:spacing w:line="276" w:lineRule="auto"/>
        <w:jc w:val="both"/>
        <w:rPr>
          <w:rFonts w:ascii="Arial" w:eastAsia="Arial" w:hAnsi="Arial" w:cs="Arial"/>
          <w:sz w:val="20"/>
          <w:szCs w:val="20"/>
        </w:rPr>
      </w:pPr>
      <w:r>
        <w:rPr>
          <w:rFonts w:ascii="Arial" w:eastAsia="Arial" w:hAnsi="Arial" w:cs="Arial"/>
          <w:b/>
          <w:bCs/>
          <w:i/>
          <w:iCs/>
          <w:sz w:val="20"/>
          <w:szCs w:val="20"/>
        </w:rPr>
        <w:t>Implications in the Study:</w:t>
      </w:r>
      <w:r>
        <w:rPr>
          <w:rFonts w:ascii="Arial" w:eastAsia="Arial" w:hAnsi="Arial" w:cs="Arial"/>
          <w:sz w:val="20"/>
          <w:szCs w:val="20"/>
        </w:rPr>
        <w:t xml:space="preserve"> AI and IoT technologies in themselves can be interpreted as strategic resources in smart agriculture. The availability of these technologies allows farmers to become better resource-efficient, predict risks related to climate, and </w:t>
      </w:r>
      <w:proofErr w:type="spellStart"/>
      <w:r>
        <w:rPr>
          <w:rFonts w:ascii="Arial" w:eastAsia="Arial" w:hAnsi="Arial" w:cs="Arial"/>
          <w:sz w:val="20"/>
          <w:szCs w:val="20"/>
        </w:rPr>
        <w:t>maximise</w:t>
      </w:r>
      <w:proofErr w:type="spellEnd"/>
      <w:r>
        <w:rPr>
          <w:rFonts w:ascii="Arial" w:eastAsia="Arial" w:hAnsi="Arial" w:cs="Arial"/>
          <w:sz w:val="20"/>
          <w:szCs w:val="20"/>
        </w:rPr>
        <w:t xml:space="preserve"> inputs. The RBV states that the effective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and management of those digital-capital resources may make the farms more productive and sustainable. Another point made by this theory is the differences in the adoption: farms that are more </w:t>
      </w:r>
      <w:proofErr w:type="spellStart"/>
      <w:r>
        <w:rPr>
          <w:rFonts w:ascii="Arial" w:eastAsia="Arial" w:hAnsi="Arial" w:cs="Arial"/>
          <w:sz w:val="20"/>
          <w:szCs w:val="20"/>
        </w:rPr>
        <w:t>capitalised</w:t>
      </w:r>
      <w:proofErr w:type="spellEnd"/>
      <w:r>
        <w:rPr>
          <w:rFonts w:ascii="Arial" w:eastAsia="Arial" w:hAnsi="Arial" w:cs="Arial"/>
          <w:sz w:val="20"/>
          <w:szCs w:val="20"/>
        </w:rPr>
        <w:t xml:space="preserve"> (financial, human, technical) will gain more, and policy should seek to democratize access to those resources that constitute strategies. The empirical research in the agricultural sector justifies the application of RBV in explaining why some farms are more successful in using digital technologies (Sanni et al., 2025).</w:t>
      </w:r>
    </w:p>
    <w:p w14:paraId="00000039" w14:textId="77777777" w:rsidR="008F464C" w:rsidRDefault="00BC7F75">
      <w:pPr>
        <w:spacing w:line="276" w:lineRule="auto"/>
        <w:jc w:val="both"/>
        <w:rPr>
          <w:rFonts w:ascii="Arial" w:eastAsia="Arial" w:hAnsi="Arial" w:cs="Arial"/>
          <w:b/>
          <w:bCs/>
          <w:sz w:val="22"/>
          <w:szCs w:val="22"/>
        </w:rPr>
      </w:pPr>
      <w:r>
        <w:rPr>
          <w:rFonts w:ascii="Arial" w:eastAsia="Arial" w:hAnsi="Arial" w:cs="Arial"/>
          <w:b/>
          <w:bCs/>
          <w:sz w:val="22"/>
          <w:szCs w:val="22"/>
        </w:rPr>
        <w:t xml:space="preserve">2.3.4 Theory of Planned </w:t>
      </w:r>
      <w:proofErr w:type="spellStart"/>
      <w:r>
        <w:rPr>
          <w:rFonts w:ascii="Arial" w:eastAsia="Arial" w:hAnsi="Arial" w:cs="Arial"/>
          <w:b/>
          <w:bCs/>
          <w:sz w:val="22"/>
          <w:szCs w:val="22"/>
        </w:rPr>
        <w:t>Behaviour</w:t>
      </w:r>
      <w:proofErr w:type="spellEnd"/>
      <w:r>
        <w:rPr>
          <w:rFonts w:ascii="Arial" w:eastAsia="Arial" w:hAnsi="Arial" w:cs="Arial"/>
          <w:b/>
          <w:bCs/>
          <w:sz w:val="22"/>
          <w:szCs w:val="22"/>
        </w:rPr>
        <w:t xml:space="preserve"> (TPB)</w:t>
      </w:r>
    </w:p>
    <w:p w14:paraId="0000003A" w14:textId="77777777" w:rsidR="008F464C" w:rsidRDefault="00BC7F75">
      <w:pPr>
        <w:spacing w:line="276" w:lineRule="auto"/>
        <w:jc w:val="both"/>
        <w:rPr>
          <w:rFonts w:ascii="Arial" w:eastAsia="Arial" w:hAnsi="Arial" w:cs="Arial"/>
          <w:sz w:val="20"/>
          <w:szCs w:val="20"/>
        </w:rPr>
      </w:pPr>
      <w:r>
        <w:rPr>
          <w:rFonts w:ascii="Arial" w:eastAsia="Arial" w:hAnsi="Arial" w:cs="Arial"/>
          <w:b/>
          <w:bCs/>
          <w:i/>
          <w:iCs/>
          <w:sz w:val="20"/>
          <w:szCs w:val="20"/>
        </w:rPr>
        <w:t>Theory Overview:</w:t>
      </w:r>
      <w:r>
        <w:rPr>
          <w:rFonts w:ascii="Arial" w:eastAsia="Arial" w:hAnsi="Arial" w:cs="Arial"/>
          <w:sz w:val="20"/>
          <w:szCs w:val="20"/>
        </w:rPr>
        <w:t xml:space="preserve"> TPB assumes that attitude to the </w:t>
      </w:r>
      <w:proofErr w:type="spellStart"/>
      <w:r>
        <w:rPr>
          <w:rFonts w:ascii="Arial" w:eastAsia="Arial" w:hAnsi="Arial" w:cs="Arial"/>
          <w:sz w:val="20"/>
          <w:szCs w:val="20"/>
        </w:rPr>
        <w:t>behaviour</w:t>
      </w:r>
      <w:proofErr w:type="spellEnd"/>
      <w:r>
        <w:rPr>
          <w:rFonts w:ascii="Arial" w:eastAsia="Arial" w:hAnsi="Arial" w:cs="Arial"/>
          <w:sz w:val="20"/>
          <w:szCs w:val="20"/>
        </w:rPr>
        <w:t xml:space="preserve">, subjective norms, and perceived </w:t>
      </w:r>
      <w:proofErr w:type="spellStart"/>
      <w:r>
        <w:rPr>
          <w:rFonts w:ascii="Arial" w:eastAsia="Arial" w:hAnsi="Arial" w:cs="Arial"/>
          <w:sz w:val="20"/>
          <w:szCs w:val="20"/>
        </w:rPr>
        <w:t>behavioural</w:t>
      </w:r>
      <w:proofErr w:type="spellEnd"/>
      <w:r>
        <w:rPr>
          <w:rFonts w:ascii="Arial" w:eastAsia="Arial" w:hAnsi="Arial" w:cs="Arial"/>
          <w:sz w:val="20"/>
          <w:szCs w:val="20"/>
        </w:rPr>
        <w:t xml:space="preserve"> control affect the intention of a person to commit a </w:t>
      </w:r>
      <w:proofErr w:type="spellStart"/>
      <w:r>
        <w:rPr>
          <w:rFonts w:ascii="Arial" w:eastAsia="Arial" w:hAnsi="Arial" w:cs="Arial"/>
          <w:sz w:val="20"/>
          <w:szCs w:val="20"/>
        </w:rPr>
        <w:t>behaviour</w:t>
      </w:r>
      <w:proofErr w:type="spellEnd"/>
      <w:r>
        <w:rPr>
          <w:rFonts w:ascii="Arial" w:eastAsia="Arial" w:hAnsi="Arial" w:cs="Arial"/>
          <w:sz w:val="20"/>
          <w:szCs w:val="20"/>
        </w:rPr>
        <w:t xml:space="preserve"> (to adopt a technology).</w:t>
      </w:r>
    </w:p>
    <w:p w14:paraId="0000003B" w14:textId="77777777" w:rsidR="008F464C" w:rsidRDefault="00BC7F75">
      <w:pPr>
        <w:spacing w:line="276" w:lineRule="auto"/>
        <w:jc w:val="both"/>
        <w:rPr>
          <w:rFonts w:ascii="Arial" w:eastAsia="Arial" w:hAnsi="Arial" w:cs="Arial"/>
          <w:sz w:val="20"/>
          <w:szCs w:val="20"/>
        </w:rPr>
      </w:pPr>
      <w:r>
        <w:rPr>
          <w:rFonts w:ascii="Arial" w:eastAsia="Arial" w:hAnsi="Arial" w:cs="Arial"/>
          <w:b/>
          <w:bCs/>
          <w:i/>
          <w:iCs/>
          <w:sz w:val="20"/>
          <w:szCs w:val="20"/>
        </w:rPr>
        <w:t>Implications to the Study:</w:t>
      </w:r>
      <w:r>
        <w:rPr>
          <w:rFonts w:ascii="Arial" w:eastAsia="Arial" w:hAnsi="Arial" w:cs="Arial"/>
          <w:sz w:val="20"/>
          <w:szCs w:val="20"/>
        </w:rPr>
        <w:t xml:space="preserve"> To implement the AI/IoT systems, farmers need to believe (a) they are beneficial (attitude), (b) the important people or groups believe that using AI or IoT systems is good (subjective norms), and (c) they have the ability, resources, and control to implement them (behavioral control). TPB has been used in climate-smart agriculture to describe the relationship between the beliefs, social environment, and perceived ability of farmers with adoption. TPB has become a common tool in studies of smart farming in evaluating technology intention and acceptance (</w:t>
      </w:r>
      <w:proofErr w:type="spellStart"/>
      <w:r>
        <w:rPr>
          <w:rFonts w:ascii="Arial" w:eastAsia="Arial" w:hAnsi="Arial" w:cs="Arial"/>
          <w:sz w:val="20"/>
          <w:szCs w:val="20"/>
        </w:rPr>
        <w:t>Gemtou</w:t>
      </w:r>
      <w:proofErr w:type="spellEnd"/>
      <w:r>
        <w:rPr>
          <w:rFonts w:ascii="Arial" w:eastAsia="Arial" w:hAnsi="Arial" w:cs="Arial"/>
          <w:sz w:val="20"/>
          <w:szCs w:val="20"/>
        </w:rPr>
        <w:t xml:space="preserve"> et al., 2024b).</w:t>
      </w:r>
    </w:p>
    <w:p w14:paraId="0000003C" w14:textId="77777777" w:rsidR="008F464C" w:rsidRDefault="00BC7F75">
      <w:pPr>
        <w:spacing w:before="280" w:after="0" w:line="276" w:lineRule="auto"/>
        <w:jc w:val="both"/>
        <w:rPr>
          <w:rFonts w:ascii="Arial" w:eastAsia="Arial" w:hAnsi="Arial" w:cs="Arial"/>
          <w:b/>
          <w:bCs/>
          <w:sz w:val="22"/>
          <w:szCs w:val="22"/>
        </w:rPr>
      </w:pPr>
      <w:r>
        <w:rPr>
          <w:rFonts w:ascii="Arial" w:eastAsia="Arial" w:hAnsi="Arial" w:cs="Arial"/>
          <w:b/>
          <w:bCs/>
          <w:sz w:val="22"/>
          <w:szCs w:val="22"/>
        </w:rPr>
        <w:t xml:space="preserve">3.0 Methodology </w:t>
      </w:r>
    </w:p>
    <w:p w14:paraId="0000003D" w14:textId="77777777" w:rsidR="008F464C" w:rsidRDefault="00BC7F75">
      <w:pPr>
        <w:spacing w:before="280" w:after="0" w:line="276" w:lineRule="auto"/>
        <w:jc w:val="both"/>
        <w:rPr>
          <w:rFonts w:ascii="Arial" w:eastAsia="Arial" w:hAnsi="Arial" w:cs="Arial"/>
          <w:sz w:val="20"/>
          <w:szCs w:val="20"/>
        </w:rPr>
      </w:pPr>
      <w:r>
        <w:rPr>
          <w:rFonts w:ascii="Arial" w:eastAsia="Arial" w:hAnsi="Arial" w:cs="Arial"/>
          <w:sz w:val="20"/>
          <w:szCs w:val="20"/>
        </w:rPr>
        <w:t xml:space="preserve">The systematic review approach was used in this study to help </w:t>
      </w:r>
      <w:proofErr w:type="spellStart"/>
      <w:r>
        <w:rPr>
          <w:rFonts w:ascii="Arial" w:eastAsia="Arial" w:hAnsi="Arial" w:cs="Arial"/>
          <w:sz w:val="20"/>
          <w:szCs w:val="20"/>
        </w:rPr>
        <w:t>generalise</w:t>
      </w:r>
      <w:proofErr w:type="spellEnd"/>
      <w:r>
        <w:rPr>
          <w:rFonts w:ascii="Arial" w:eastAsia="Arial" w:hAnsi="Arial" w:cs="Arial"/>
          <w:sz w:val="20"/>
          <w:szCs w:val="20"/>
        </w:rPr>
        <w:t xml:space="preserve"> the existing empirical evidence on the role of Artificial Intelligence (AI) and Internet of Things (IoT) technologies in sustainable agricultural production during climate change pressures. The systematic review was selected due to the attractive nature of the method of collection, a rigorous and replicable process of collecting, appraising and </w:t>
      </w:r>
      <w:proofErr w:type="spellStart"/>
      <w:r>
        <w:rPr>
          <w:rFonts w:ascii="Arial" w:eastAsia="Arial" w:hAnsi="Arial" w:cs="Arial"/>
          <w:sz w:val="20"/>
          <w:szCs w:val="20"/>
        </w:rPr>
        <w:lastRenderedPageBreak/>
        <w:t>synthesising</w:t>
      </w:r>
      <w:proofErr w:type="spellEnd"/>
      <w:r>
        <w:rPr>
          <w:rFonts w:ascii="Arial" w:eastAsia="Arial" w:hAnsi="Arial" w:cs="Arial"/>
          <w:sz w:val="20"/>
          <w:szCs w:val="20"/>
        </w:rPr>
        <w:t xml:space="preserve"> findings of a wide array of studies. The method is consistent with the principles of the PRISMA 2020 guidelines, which endorse credibility of the methodology and </w:t>
      </w:r>
      <w:proofErr w:type="spellStart"/>
      <w:r>
        <w:rPr>
          <w:rFonts w:ascii="Arial" w:eastAsia="Arial" w:hAnsi="Arial" w:cs="Arial"/>
          <w:sz w:val="20"/>
          <w:szCs w:val="20"/>
        </w:rPr>
        <w:t>minimise</w:t>
      </w:r>
      <w:proofErr w:type="spellEnd"/>
      <w:r>
        <w:rPr>
          <w:rFonts w:ascii="Arial" w:eastAsia="Arial" w:hAnsi="Arial" w:cs="Arial"/>
          <w:sz w:val="20"/>
          <w:szCs w:val="20"/>
        </w:rPr>
        <w:t xml:space="preserve"> the bias in </w:t>
      </w:r>
      <w:proofErr w:type="spellStart"/>
      <w:r>
        <w:rPr>
          <w:rFonts w:ascii="Arial" w:eastAsia="Arial" w:hAnsi="Arial" w:cs="Arial"/>
          <w:sz w:val="20"/>
          <w:szCs w:val="20"/>
        </w:rPr>
        <w:t>synthesising</w:t>
      </w:r>
      <w:proofErr w:type="spellEnd"/>
      <w:r>
        <w:rPr>
          <w:rFonts w:ascii="Arial" w:eastAsia="Arial" w:hAnsi="Arial" w:cs="Arial"/>
          <w:sz w:val="20"/>
          <w:szCs w:val="20"/>
        </w:rPr>
        <w:t xml:space="preserve"> the evidence (Page et al., 2021). The systematic review design was consequently suitable in solving the research questions that </w:t>
      </w:r>
      <w:proofErr w:type="spellStart"/>
      <w:r>
        <w:rPr>
          <w:rFonts w:ascii="Arial" w:eastAsia="Arial" w:hAnsi="Arial" w:cs="Arial"/>
          <w:sz w:val="20"/>
          <w:szCs w:val="20"/>
        </w:rPr>
        <w:t>centred</w:t>
      </w:r>
      <w:proofErr w:type="spellEnd"/>
      <w:r>
        <w:rPr>
          <w:rFonts w:ascii="Arial" w:eastAsia="Arial" w:hAnsi="Arial" w:cs="Arial"/>
          <w:sz w:val="20"/>
          <w:szCs w:val="20"/>
        </w:rPr>
        <w:t xml:space="preserve"> on the effectiveness of technologies, environmental sustainability and barriers to adoption.</w:t>
      </w:r>
    </w:p>
    <w:p w14:paraId="0000003E" w14:textId="77777777" w:rsidR="008F464C" w:rsidRDefault="00BC7F75">
      <w:pPr>
        <w:spacing w:before="280" w:after="0" w:line="276" w:lineRule="auto"/>
        <w:jc w:val="both"/>
        <w:rPr>
          <w:rFonts w:ascii="Arial" w:eastAsia="Arial" w:hAnsi="Arial" w:cs="Arial"/>
          <w:sz w:val="20"/>
          <w:szCs w:val="20"/>
        </w:rPr>
      </w:pPr>
      <w:r>
        <w:rPr>
          <w:rFonts w:ascii="Arial" w:eastAsia="Arial" w:hAnsi="Arial" w:cs="Arial"/>
          <w:sz w:val="20"/>
          <w:szCs w:val="20"/>
        </w:rPr>
        <w:t>Three main research questions were used to conduct the review: (1) What smart-farming technologies, especially AI and IoT systems, can be the most effective to increase crop yield and decrease resource use? The questionnaire has the following questions: (2) How can these systems impact such environmental indicators as greenhouse gas emissions, soil health, and water quality? and (3) What socio-economic, infrastructural, or technological barriers have obstructed adoption by smallholder and commercial farmers? All the further methodological steps, such as eligibility criteria, search strategy, data extraction, and thematic synthesis, were determined by these questions.</w:t>
      </w:r>
    </w:p>
    <w:p w14:paraId="0000003F" w14:textId="77777777" w:rsidR="008F464C" w:rsidRDefault="00BC7F75">
      <w:pPr>
        <w:spacing w:before="280" w:after="0" w:line="276" w:lineRule="auto"/>
        <w:jc w:val="both"/>
        <w:rPr>
          <w:rFonts w:ascii="Arial" w:eastAsia="Arial" w:hAnsi="Arial" w:cs="Arial"/>
          <w:sz w:val="20"/>
          <w:szCs w:val="20"/>
        </w:rPr>
      </w:pPr>
      <w:r>
        <w:rPr>
          <w:rFonts w:ascii="Arial" w:eastAsia="Arial" w:hAnsi="Arial" w:cs="Arial"/>
          <w:sz w:val="20"/>
          <w:szCs w:val="20"/>
        </w:rPr>
        <w:t xml:space="preserve">The PICOS framework was used to state the eligibility criteria of the review. Research papers were eligible that considered crop-based agricultural systems and either developed or developing nations and provided a field-tested implementation of AI or IoT-based technology, including precision irrigation, AI-based pest or disease detection, remote sensing analytics, or smart fertigation systems. Articles that reported sustainability or productivity results, that is, water-use efficiency, reduced </w:t>
      </w:r>
      <w:proofErr w:type="spellStart"/>
      <w:r>
        <w:rPr>
          <w:rFonts w:ascii="Arial" w:eastAsia="Arial" w:hAnsi="Arial" w:cs="Arial"/>
          <w:sz w:val="20"/>
          <w:szCs w:val="20"/>
        </w:rPr>
        <w:t>fertiliser</w:t>
      </w:r>
      <w:proofErr w:type="spellEnd"/>
      <w:r>
        <w:rPr>
          <w:rFonts w:ascii="Arial" w:eastAsia="Arial" w:hAnsi="Arial" w:cs="Arial"/>
          <w:sz w:val="20"/>
          <w:szCs w:val="20"/>
        </w:rPr>
        <w:t>, increased yield, mitigation of greenhouse gases or improved soil/water quality were looked at. The peer-reviewed empirical investigations, field trials, and systematic reviews published from 2014 to 2025 were considered eligible, as the evolution of digital agriculture is quite rapid within this time frame. The studies would be filtered out on the basis of studies that only dealt with robotics without sustainability indicators, only theoretical models without experimental verification in the field, and those studies that dealt with livestock and fisheries with no direct connection to environmental sustainability.</w:t>
      </w:r>
    </w:p>
    <w:p w14:paraId="00000040" w14:textId="77777777" w:rsidR="008F464C" w:rsidRDefault="00BC7F75">
      <w:pPr>
        <w:spacing w:before="280" w:after="0" w:line="276" w:lineRule="auto"/>
        <w:jc w:val="both"/>
        <w:rPr>
          <w:rFonts w:ascii="Arial" w:eastAsia="Arial" w:hAnsi="Arial" w:cs="Arial"/>
          <w:sz w:val="20"/>
          <w:szCs w:val="20"/>
        </w:rPr>
      </w:pPr>
      <w:r>
        <w:rPr>
          <w:rFonts w:ascii="Arial" w:eastAsia="Arial" w:hAnsi="Arial" w:cs="Arial"/>
          <w:sz w:val="20"/>
          <w:szCs w:val="20"/>
        </w:rPr>
        <w:t>A methodical and thorough search plan was applied in large academic databases such as ScienceDirect, Scopus, SpringerLink, IEEE Xplore, MDPI, and FAO repositories. Additional searching on Google Scholar was done to include studies not contained in the primary databases. Search strings were a combination of keywords and operators such as: "AI in agriculture," IoT-based smart farming, precision irrigation, digital agriculture sustainability, GHG emissions, and climate-smart agriculture technologies. Relevant keywords (synonyms and related terms) were included (smart farming, sensor networks, machine learning irrigation) to expand the search. A total of 1,246 studies were obtained with this search.</w:t>
      </w:r>
    </w:p>
    <w:p w14:paraId="00000041" w14:textId="77777777" w:rsidR="008F464C" w:rsidRDefault="00BC7F75">
      <w:pPr>
        <w:spacing w:before="280" w:line="276" w:lineRule="auto"/>
        <w:jc w:val="both"/>
        <w:rPr>
          <w:rFonts w:ascii="Arial" w:eastAsia="Arial" w:hAnsi="Arial" w:cs="Arial"/>
          <w:sz w:val="20"/>
          <w:szCs w:val="20"/>
        </w:rPr>
      </w:pPr>
      <w:r>
        <w:rPr>
          <w:rFonts w:ascii="Arial" w:eastAsia="Arial" w:hAnsi="Arial" w:cs="Arial"/>
          <w:sz w:val="20"/>
          <w:szCs w:val="20"/>
        </w:rPr>
        <w:t xml:space="preserve">The process of screening was done in three phases and according to PRISMA procedures. To start with, any duplicates were eliminated with the help of reference management software, which left 312 records out. Second, the rest of the titles and abstracts were filtered through the set of qualification criteria, and 784 studies were excluded, as they were either irrelevant to sustainability or not based on AI/IoT applications. Third, the articles of 150 studies were </w:t>
      </w:r>
      <w:proofErr w:type="spellStart"/>
      <w:r>
        <w:rPr>
          <w:rFonts w:ascii="Arial" w:eastAsia="Arial" w:hAnsi="Arial" w:cs="Arial"/>
          <w:sz w:val="20"/>
          <w:szCs w:val="20"/>
        </w:rPr>
        <w:t>analysed</w:t>
      </w:r>
      <w:proofErr w:type="spellEnd"/>
      <w:r>
        <w:rPr>
          <w:rFonts w:ascii="Arial" w:eastAsia="Arial" w:hAnsi="Arial" w:cs="Arial"/>
          <w:sz w:val="20"/>
          <w:szCs w:val="20"/>
        </w:rPr>
        <w:t xml:space="preserve"> in detail, and 92 were excluded because they lacked field validation, did not describe sustainability outcomes or had limitations in their methodology. The final selection contained 55 studies and credible materials that were a good source of evidence and sufficient geographical coverage to </w:t>
      </w:r>
      <w:proofErr w:type="spellStart"/>
      <w:r>
        <w:rPr>
          <w:rFonts w:ascii="Arial" w:eastAsia="Arial" w:hAnsi="Arial" w:cs="Arial"/>
          <w:sz w:val="20"/>
          <w:szCs w:val="20"/>
        </w:rPr>
        <w:t>synthesise</w:t>
      </w:r>
      <w:proofErr w:type="spellEnd"/>
      <w:r>
        <w:rPr>
          <w:rFonts w:ascii="Arial" w:eastAsia="Arial" w:hAnsi="Arial" w:cs="Arial"/>
          <w:sz w:val="20"/>
          <w:szCs w:val="20"/>
        </w:rPr>
        <w:t>.</w:t>
      </w:r>
    </w:p>
    <w:p w14:paraId="00000042"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 xml:space="preserve">The extraction of the data was conducted with the help of a structured form created in Microsoft Excel, as it was necessary to have the consistency of data and </w:t>
      </w:r>
      <w:proofErr w:type="spellStart"/>
      <w:r>
        <w:rPr>
          <w:rFonts w:ascii="Arial" w:eastAsia="Arial" w:hAnsi="Arial" w:cs="Arial"/>
          <w:sz w:val="20"/>
          <w:szCs w:val="20"/>
        </w:rPr>
        <w:t>systematise</w:t>
      </w:r>
      <w:proofErr w:type="spellEnd"/>
      <w:r>
        <w:rPr>
          <w:rFonts w:ascii="Arial" w:eastAsia="Arial" w:hAnsi="Arial" w:cs="Arial"/>
          <w:sz w:val="20"/>
          <w:szCs w:val="20"/>
        </w:rPr>
        <w:t xml:space="preserve"> all the variables of interest. Information that was extracted covered the authorship, year of publication, geographical area, the type of smart technology employed, the agricultural context of the research, research design, and measures of sustainability or productivity. Where possible, environmental performance in the form of GHG emissions, water-use efficiency, pesticide reduction, and soil health indicators </w:t>
      </w:r>
      <w:proofErr w:type="gramStart"/>
      <w:r>
        <w:rPr>
          <w:rFonts w:ascii="Arial" w:eastAsia="Arial" w:hAnsi="Arial" w:cs="Arial"/>
          <w:sz w:val="20"/>
          <w:szCs w:val="20"/>
        </w:rPr>
        <w:t>was</w:t>
      </w:r>
      <w:proofErr w:type="gramEnd"/>
      <w:r>
        <w:rPr>
          <w:rFonts w:ascii="Arial" w:eastAsia="Arial" w:hAnsi="Arial" w:cs="Arial"/>
          <w:sz w:val="20"/>
          <w:szCs w:val="20"/>
        </w:rPr>
        <w:t xml:space="preserve"> captured. Other information </w:t>
      </w:r>
      <w:r>
        <w:rPr>
          <w:rFonts w:ascii="Arial" w:eastAsia="Arial" w:hAnsi="Arial" w:cs="Arial"/>
          <w:sz w:val="20"/>
          <w:szCs w:val="20"/>
        </w:rPr>
        <w:lastRenderedPageBreak/>
        <w:t xml:space="preserve">regarding economic viability and barriers to adoption, including infrastructural disconnection, cost, and digital illiteracy obstacles, was also elicited. </w:t>
      </w:r>
    </w:p>
    <w:p w14:paraId="00000043"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 xml:space="preserve">A narrative synthesis was used instead of a meta-analysis because of the high heterogeneity in study designs, technologies under evaluation and outcome measures. The results were also presented in themes based on the research questions of the study. The initial theme </w:t>
      </w:r>
      <w:proofErr w:type="spellStart"/>
      <w:r>
        <w:rPr>
          <w:rFonts w:ascii="Arial" w:eastAsia="Arial" w:hAnsi="Arial" w:cs="Arial"/>
          <w:sz w:val="20"/>
          <w:szCs w:val="20"/>
        </w:rPr>
        <w:t>summarised</w:t>
      </w:r>
      <w:proofErr w:type="spellEnd"/>
      <w:r>
        <w:rPr>
          <w:rFonts w:ascii="Arial" w:eastAsia="Arial" w:hAnsi="Arial" w:cs="Arial"/>
          <w:sz w:val="20"/>
          <w:szCs w:val="20"/>
        </w:rPr>
        <w:t xml:space="preserve"> the results of evidence on the usefulness of AI and IoT technologies to advance crop production, make irrigation more efficient, increase the efficiency of nutrient use, and advance the detection of pests and diseases. The second theme was related to the environmental sustainability performance, such as greenhouse-gas emission reduction, water reduction, reduction in the use of pesticides and enhancement of soil and water quality. The third theme touched on barriers to adoption like cost, connection, issues with digital literacy, and institutional/policy constraints to the uptake of technology by smallholder and commercial farmers.</w:t>
      </w:r>
    </w:p>
    <w:p w14:paraId="00000044" w14:textId="77777777" w:rsidR="008F464C" w:rsidRDefault="00BC7F75">
      <w:pPr>
        <w:spacing w:after="0" w:line="276" w:lineRule="auto"/>
        <w:jc w:val="both"/>
        <w:rPr>
          <w:rFonts w:ascii="Arial" w:eastAsia="Arial" w:hAnsi="Arial" w:cs="Arial"/>
          <w:sz w:val="20"/>
          <w:szCs w:val="20"/>
        </w:rPr>
      </w:pPr>
      <w:r>
        <w:rPr>
          <w:rFonts w:ascii="Arial" w:eastAsia="Arial" w:hAnsi="Arial" w:cs="Arial"/>
          <w:sz w:val="20"/>
          <w:szCs w:val="20"/>
        </w:rPr>
        <w:t xml:space="preserve">The ethical issues were limited since the review was based solely on the secondary literature that is publicly available. Nevertheless, all the studies were referenced accordingly with not violating academic honesty and preventing plagiarism. The methodology had the following key limitations. There was the possibility of publication bias, as positive results are more likely to be published; and there was also the exclusion of non-English </w:t>
      </w:r>
      <w:proofErr w:type="gramStart"/>
      <w:r>
        <w:rPr>
          <w:rFonts w:ascii="Arial" w:eastAsia="Arial" w:hAnsi="Arial" w:cs="Arial"/>
          <w:sz w:val="20"/>
          <w:szCs w:val="20"/>
        </w:rPr>
        <w:t>articles,,</w:t>
      </w:r>
      <w:proofErr w:type="gramEnd"/>
      <w:r>
        <w:rPr>
          <w:rFonts w:ascii="Arial" w:eastAsia="Arial" w:hAnsi="Arial" w:cs="Arial"/>
          <w:sz w:val="20"/>
          <w:szCs w:val="20"/>
        </w:rPr>
        <w:t xml:space="preserve"> and therefore might not be able to represent evidence in certain regions. Also, the diversity in the sustainability indicators used in the studies limited the possibility of quantitative comparison.</w:t>
      </w:r>
    </w:p>
    <w:p w14:paraId="00000045" w14:textId="77777777" w:rsidR="008F464C" w:rsidRDefault="008F464C">
      <w:pPr>
        <w:spacing w:after="0" w:line="276" w:lineRule="auto"/>
        <w:jc w:val="both"/>
        <w:rPr>
          <w:rFonts w:ascii="Arial" w:eastAsia="Arial" w:hAnsi="Arial" w:cs="Arial"/>
          <w:sz w:val="20"/>
          <w:szCs w:val="20"/>
          <w:highlight w:val="yellow"/>
        </w:rPr>
      </w:pPr>
    </w:p>
    <w:p w14:paraId="00000046" w14:textId="77777777" w:rsidR="008F464C" w:rsidRDefault="00BC7F75">
      <w:pPr>
        <w:spacing w:line="276" w:lineRule="auto"/>
        <w:jc w:val="both"/>
        <w:rPr>
          <w:rFonts w:ascii="Arial" w:eastAsia="Arial" w:hAnsi="Arial" w:cs="Arial"/>
          <w:sz w:val="20"/>
          <w:szCs w:val="20"/>
        </w:rPr>
      </w:pPr>
      <w:r>
        <w:rPr>
          <w:rFonts w:ascii="Arial" w:eastAsia="Arial" w:hAnsi="Arial" w:cs="Arial"/>
          <w:b/>
          <w:bCs/>
          <w:sz w:val="22"/>
          <w:szCs w:val="22"/>
        </w:rPr>
        <w:t>4.0 Results</w:t>
      </w:r>
    </w:p>
    <w:p w14:paraId="00000047"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The systematic review integrated the data of 55 eligible studies that had been published from 2014 to 2025 on AI and IoT-enabled technologies to achieve sustainable crop production under climate-change pressures. The results have been reported based on the three research questions: (1) smart-farming technologies performance, (2) environmental sustainability performance, and (3) barriers to adoption.</w:t>
      </w:r>
    </w:p>
    <w:p w14:paraId="00000048" w14:textId="77777777" w:rsidR="008F464C" w:rsidRDefault="00BC7F75">
      <w:pPr>
        <w:spacing w:line="276" w:lineRule="auto"/>
        <w:jc w:val="both"/>
        <w:rPr>
          <w:rFonts w:ascii="Arial" w:eastAsia="Arial" w:hAnsi="Arial" w:cs="Arial"/>
          <w:b/>
          <w:bCs/>
          <w:sz w:val="22"/>
          <w:szCs w:val="22"/>
        </w:rPr>
      </w:pPr>
      <w:r>
        <w:rPr>
          <w:rFonts w:ascii="Arial" w:eastAsia="Arial" w:hAnsi="Arial" w:cs="Arial"/>
          <w:b/>
          <w:bCs/>
          <w:sz w:val="22"/>
          <w:szCs w:val="22"/>
        </w:rPr>
        <w:t>4.1 Effectiveness of AI and IoT Technologies</w:t>
      </w:r>
    </w:p>
    <w:p w14:paraId="00000049"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 xml:space="preserve">The evidence was always consistent that AI- and IoT-based systems contributed to a great boost in resource-use efficiency, productivity, and accuracy of the decision-making process. Precision irrigation systems that used IoT, such as maize, wheat, tomato, and rice, saved 20 to 50% of water and did not reduce or reduce yields (Ahmed and Shakoor, 2025; </w:t>
      </w:r>
      <w:proofErr w:type="spellStart"/>
      <w:r>
        <w:rPr>
          <w:rFonts w:ascii="Arial" w:eastAsia="Arial" w:hAnsi="Arial" w:cs="Arial"/>
          <w:sz w:val="20"/>
          <w:szCs w:val="20"/>
        </w:rPr>
        <w:t>Dhanararaju</w:t>
      </w:r>
      <w:proofErr w:type="spellEnd"/>
      <w:r>
        <w:rPr>
          <w:rFonts w:ascii="Arial" w:eastAsia="Arial" w:hAnsi="Arial" w:cs="Arial"/>
          <w:sz w:val="20"/>
          <w:szCs w:val="20"/>
        </w:rPr>
        <w:t xml:space="preserve"> et al., 2022; Getnet, 2025). Likewise, the ML models in combination with the soil-moisture and weather sensors improved the scheduling of irrigation by forecasting crop water needs in dynamic climatic conditions (Ahmed et al., 2022; Alam et al., 2024).</w:t>
      </w:r>
    </w:p>
    <w:p w14:paraId="0000004A"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Convolutional neural networks (CNNs)-based AI-enabled pest and disease detection, with an average detection accuracy of more than 90 per cent, was used to reduce pesticide use by identifying pests and diseases by targeting specific fields (Kumari et al., 2025; Mesic et al., 2024). The AI-based yield forecasting models were shown to significantly increase prediction accuracy (up to 30 per cent) over the traditional ones, and farmers and policymakers have more instruments to plan in the climate-risk (</w:t>
      </w:r>
      <w:proofErr w:type="spellStart"/>
      <w:r>
        <w:rPr>
          <w:rFonts w:ascii="Arial" w:eastAsia="Arial" w:hAnsi="Arial" w:cs="Arial"/>
          <w:sz w:val="20"/>
          <w:szCs w:val="20"/>
        </w:rPr>
        <w:t>Shamshiri</w:t>
      </w:r>
      <w:proofErr w:type="spellEnd"/>
      <w:r>
        <w:rPr>
          <w:rFonts w:ascii="Arial" w:eastAsia="Arial" w:hAnsi="Arial" w:cs="Arial"/>
          <w:sz w:val="20"/>
          <w:szCs w:val="20"/>
        </w:rPr>
        <w:t xml:space="preserve"> et al., 2024; </w:t>
      </w:r>
      <w:proofErr w:type="spellStart"/>
      <w:r>
        <w:rPr>
          <w:rFonts w:ascii="Arial" w:eastAsia="Arial" w:hAnsi="Arial" w:cs="Arial"/>
          <w:sz w:val="20"/>
          <w:szCs w:val="20"/>
        </w:rPr>
        <w:t>Bazzana</w:t>
      </w:r>
      <w:proofErr w:type="spellEnd"/>
      <w:r>
        <w:rPr>
          <w:rFonts w:ascii="Arial" w:eastAsia="Arial" w:hAnsi="Arial" w:cs="Arial"/>
          <w:sz w:val="20"/>
          <w:szCs w:val="20"/>
        </w:rPr>
        <w:t xml:space="preserve"> et al., 2022).</w:t>
      </w:r>
    </w:p>
    <w:p w14:paraId="0000004B"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 xml:space="preserve">Greenhouse systems with IoT- and AI-integrated systems performed well in the monitoring of microclimate conditions,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of ventilation, and fertigation and showed a reduction of 35 to 60 per cent in resources (water and nutrients) (</w:t>
      </w:r>
      <w:proofErr w:type="spellStart"/>
      <w:r>
        <w:rPr>
          <w:rFonts w:ascii="Arial" w:eastAsia="Arial" w:hAnsi="Arial" w:cs="Arial"/>
          <w:sz w:val="20"/>
          <w:szCs w:val="20"/>
        </w:rPr>
        <w:t>Cernisevs</w:t>
      </w:r>
      <w:proofErr w:type="spellEnd"/>
      <w:r>
        <w:rPr>
          <w:rFonts w:ascii="Arial" w:eastAsia="Arial" w:hAnsi="Arial" w:cs="Arial"/>
          <w:sz w:val="20"/>
          <w:szCs w:val="20"/>
        </w:rPr>
        <w:t xml:space="preserve"> et al., 2024; Ahmed and Shakoor, 2025). These outcomes are consistent with the earlier reports about the possibilities of smart agriculture to increase productivity and the effectiveness of operational performance in the conditions of climate stress (</w:t>
      </w:r>
      <w:proofErr w:type="spellStart"/>
      <w:r>
        <w:rPr>
          <w:rFonts w:ascii="Arial" w:eastAsia="Arial" w:hAnsi="Arial" w:cs="Arial"/>
          <w:sz w:val="20"/>
          <w:szCs w:val="20"/>
        </w:rPr>
        <w:t>Agrimonti</w:t>
      </w:r>
      <w:proofErr w:type="spellEnd"/>
      <w:r>
        <w:rPr>
          <w:rFonts w:ascii="Arial" w:eastAsia="Arial" w:hAnsi="Arial" w:cs="Arial"/>
          <w:sz w:val="20"/>
          <w:szCs w:val="20"/>
        </w:rPr>
        <w:t xml:space="preserve"> et al., 2021; </w:t>
      </w:r>
      <w:proofErr w:type="spellStart"/>
      <w:r>
        <w:rPr>
          <w:rFonts w:ascii="Arial" w:eastAsia="Arial" w:hAnsi="Arial" w:cs="Arial"/>
          <w:sz w:val="20"/>
          <w:szCs w:val="20"/>
        </w:rPr>
        <w:t>Nhamo</w:t>
      </w:r>
      <w:proofErr w:type="spellEnd"/>
      <w:r>
        <w:rPr>
          <w:rFonts w:ascii="Arial" w:eastAsia="Arial" w:hAnsi="Arial" w:cs="Arial"/>
          <w:sz w:val="20"/>
          <w:szCs w:val="20"/>
        </w:rPr>
        <w:t xml:space="preserve"> and </w:t>
      </w:r>
      <w:proofErr w:type="spellStart"/>
      <w:r>
        <w:rPr>
          <w:rFonts w:ascii="Arial" w:eastAsia="Arial" w:hAnsi="Arial" w:cs="Arial"/>
          <w:sz w:val="20"/>
          <w:szCs w:val="20"/>
        </w:rPr>
        <w:t>Chikoye</w:t>
      </w:r>
      <w:proofErr w:type="spellEnd"/>
      <w:r>
        <w:rPr>
          <w:rFonts w:ascii="Arial" w:eastAsia="Arial" w:hAnsi="Arial" w:cs="Arial"/>
          <w:sz w:val="20"/>
          <w:szCs w:val="20"/>
        </w:rPr>
        <w:t>, 2017; Devi, 2023).</w:t>
      </w:r>
    </w:p>
    <w:p w14:paraId="0000004C"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lastRenderedPageBreak/>
        <w:t>Essentially, these articles report that AI- and IoT-enabled technologies can be used to achieve productivity, efficient operations, and climate resilience, especially in a sensor-based, real-time management system (Lou et al., 2024; Tong et al., 2024).</w:t>
      </w:r>
    </w:p>
    <w:p w14:paraId="0000004D" w14:textId="77777777" w:rsidR="008F464C" w:rsidRDefault="008F464C">
      <w:pPr>
        <w:spacing w:line="276" w:lineRule="auto"/>
        <w:jc w:val="both"/>
        <w:rPr>
          <w:rFonts w:ascii="Arial" w:eastAsia="Arial" w:hAnsi="Arial" w:cs="Arial"/>
          <w:b/>
          <w:bCs/>
          <w:sz w:val="22"/>
          <w:szCs w:val="22"/>
        </w:rPr>
      </w:pPr>
    </w:p>
    <w:p w14:paraId="0000004E" w14:textId="77777777" w:rsidR="008F464C" w:rsidRDefault="00BC7F75">
      <w:pPr>
        <w:spacing w:line="276" w:lineRule="auto"/>
        <w:jc w:val="both"/>
        <w:rPr>
          <w:rFonts w:ascii="Arial" w:eastAsia="Arial" w:hAnsi="Arial" w:cs="Arial"/>
          <w:b/>
          <w:bCs/>
          <w:sz w:val="22"/>
          <w:szCs w:val="22"/>
        </w:rPr>
      </w:pPr>
      <w:r>
        <w:rPr>
          <w:rFonts w:ascii="Arial" w:eastAsia="Arial" w:hAnsi="Arial" w:cs="Arial"/>
          <w:b/>
          <w:bCs/>
          <w:sz w:val="22"/>
          <w:szCs w:val="22"/>
        </w:rPr>
        <w:t>4.2 Environmental Sustainability Outcomes</w:t>
      </w:r>
    </w:p>
    <w:p w14:paraId="0000004F"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 xml:space="preserve">The studies were focused on environmental sustainability. The results of the empirical evidence were always in the form of an increase in greenhouse gas (GHG) emissions, water consumption, and chemical inputs. The IoT-based systems of nutrient management cut down the usage of nitrogen </w:t>
      </w:r>
      <w:proofErr w:type="spellStart"/>
      <w:r>
        <w:rPr>
          <w:rFonts w:ascii="Arial" w:eastAsia="Arial" w:hAnsi="Arial" w:cs="Arial"/>
          <w:sz w:val="20"/>
          <w:szCs w:val="20"/>
        </w:rPr>
        <w:t>fertiliser</w:t>
      </w:r>
      <w:proofErr w:type="spellEnd"/>
      <w:r>
        <w:rPr>
          <w:rFonts w:ascii="Arial" w:eastAsia="Arial" w:hAnsi="Arial" w:cs="Arial"/>
          <w:sz w:val="20"/>
          <w:szCs w:val="20"/>
        </w:rPr>
        <w:t xml:space="preserve"> by 10-30 per cent, alleviating the emission of nitrous oxide (N2O) and runoff (</w:t>
      </w:r>
      <w:proofErr w:type="spellStart"/>
      <w:r>
        <w:rPr>
          <w:rFonts w:ascii="Arial" w:eastAsia="Arial" w:hAnsi="Arial" w:cs="Arial"/>
          <w:sz w:val="20"/>
          <w:szCs w:val="20"/>
        </w:rPr>
        <w:t>Polymeni</w:t>
      </w:r>
      <w:proofErr w:type="spellEnd"/>
      <w:r>
        <w:rPr>
          <w:rFonts w:ascii="Arial" w:eastAsia="Arial" w:hAnsi="Arial" w:cs="Arial"/>
          <w:sz w:val="20"/>
          <w:szCs w:val="20"/>
        </w:rPr>
        <w:t xml:space="preserve"> et al., 2024; Bhutto et al., 2024). Intelligent soil-sensing solutions were used to </w:t>
      </w:r>
      <w:proofErr w:type="spellStart"/>
      <w:r>
        <w:rPr>
          <w:rFonts w:ascii="Arial" w:eastAsia="Arial" w:hAnsi="Arial" w:cs="Arial"/>
          <w:sz w:val="20"/>
          <w:szCs w:val="20"/>
        </w:rPr>
        <w:t>optimise</w:t>
      </w:r>
      <w:proofErr w:type="spellEnd"/>
      <w:r>
        <w:rPr>
          <w:rFonts w:ascii="Arial" w:eastAsia="Arial" w:hAnsi="Arial" w:cs="Arial"/>
          <w:sz w:val="20"/>
          <w:szCs w:val="20"/>
        </w:rPr>
        <w:t xml:space="preserve"> the tillage processes, which retained soil structure and avoided soil erosion (Sikka et al., 2018; Ahmed et al., 2022).</w:t>
      </w:r>
    </w:p>
    <w:p w14:paraId="00000050"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 xml:space="preserve">One of the outcomes of special importance was water-use efficiency. The sensor-based irrigation systems that integrate soil moisture, evapotranspiration, and weather data decreased the use of water but </w:t>
      </w:r>
      <w:proofErr w:type="spellStart"/>
      <w:r>
        <w:rPr>
          <w:rFonts w:ascii="Arial" w:eastAsia="Arial" w:hAnsi="Arial" w:cs="Arial"/>
          <w:sz w:val="20"/>
          <w:szCs w:val="20"/>
        </w:rPr>
        <w:t>stabilised</w:t>
      </w:r>
      <w:proofErr w:type="spellEnd"/>
      <w:r>
        <w:rPr>
          <w:rFonts w:ascii="Arial" w:eastAsia="Arial" w:hAnsi="Arial" w:cs="Arial"/>
          <w:sz w:val="20"/>
          <w:szCs w:val="20"/>
        </w:rPr>
        <w:t xml:space="preserve"> yields during drought and heat stress (Getahun et al., 2024; </w:t>
      </w:r>
      <w:proofErr w:type="spellStart"/>
      <w:r>
        <w:rPr>
          <w:rFonts w:ascii="Arial" w:eastAsia="Arial" w:hAnsi="Arial" w:cs="Arial"/>
          <w:sz w:val="20"/>
          <w:szCs w:val="20"/>
        </w:rPr>
        <w:t>Senoo</w:t>
      </w:r>
      <w:proofErr w:type="spellEnd"/>
      <w:r>
        <w:rPr>
          <w:rFonts w:ascii="Arial" w:eastAsia="Arial" w:hAnsi="Arial" w:cs="Arial"/>
          <w:sz w:val="20"/>
          <w:szCs w:val="20"/>
        </w:rPr>
        <w:t xml:space="preserve"> et al., 2024; PV, 2022). Drip irrigation with the IoT saved up to 50% of water usage during peak heat events in arid areas, which proves climate adaptation potential (</w:t>
      </w:r>
      <w:proofErr w:type="spellStart"/>
      <w:r>
        <w:rPr>
          <w:rFonts w:ascii="Arial" w:eastAsia="Arial" w:hAnsi="Arial" w:cs="Arial"/>
          <w:sz w:val="20"/>
          <w:szCs w:val="20"/>
        </w:rPr>
        <w:t>Begna</w:t>
      </w:r>
      <w:proofErr w:type="spellEnd"/>
      <w:r>
        <w:rPr>
          <w:rFonts w:ascii="Arial" w:eastAsia="Arial" w:hAnsi="Arial" w:cs="Arial"/>
          <w:sz w:val="20"/>
          <w:szCs w:val="20"/>
        </w:rPr>
        <w:t xml:space="preserve"> and </w:t>
      </w:r>
      <w:proofErr w:type="spellStart"/>
      <w:r>
        <w:rPr>
          <w:rFonts w:ascii="Arial" w:eastAsia="Arial" w:hAnsi="Arial" w:cs="Arial"/>
          <w:sz w:val="20"/>
          <w:szCs w:val="20"/>
        </w:rPr>
        <w:t>Wakkeya</w:t>
      </w:r>
      <w:proofErr w:type="spellEnd"/>
      <w:r>
        <w:rPr>
          <w:rFonts w:ascii="Arial" w:eastAsia="Arial" w:hAnsi="Arial" w:cs="Arial"/>
          <w:sz w:val="20"/>
          <w:szCs w:val="20"/>
        </w:rPr>
        <w:t xml:space="preserve">, 2025; </w:t>
      </w:r>
      <w:proofErr w:type="spellStart"/>
      <w:r>
        <w:rPr>
          <w:rFonts w:ascii="Arial" w:eastAsia="Arial" w:hAnsi="Arial" w:cs="Arial"/>
          <w:sz w:val="20"/>
          <w:szCs w:val="20"/>
        </w:rPr>
        <w:t>Zougmore</w:t>
      </w:r>
      <w:proofErr w:type="spellEnd"/>
      <w:r>
        <w:rPr>
          <w:rFonts w:ascii="Arial" w:eastAsia="Arial" w:hAnsi="Arial" w:cs="Arial"/>
          <w:sz w:val="20"/>
          <w:szCs w:val="20"/>
        </w:rPr>
        <w:t xml:space="preserve"> et al., 2021).</w:t>
      </w:r>
    </w:p>
    <w:p w14:paraId="00000051"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 xml:space="preserve">AI was also involved in the mitigation of climate risks. Climate models based on AI provided </w:t>
      </w:r>
      <w:proofErr w:type="spellStart"/>
      <w:r>
        <w:rPr>
          <w:rFonts w:ascii="Arial" w:eastAsia="Arial" w:hAnsi="Arial" w:cs="Arial"/>
          <w:sz w:val="20"/>
          <w:szCs w:val="20"/>
        </w:rPr>
        <w:t>localised</w:t>
      </w:r>
      <w:proofErr w:type="spellEnd"/>
      <w:r>
        <w:rPr>
          <w:rFonts w:ascii="Arial" w:eastAsia="Arial" w:hAnsi="Arial" w:cs="Arial"/>
          <w:sz w:val="20"/>
          <w:szCs w:val="20"/>
        </w:rPr>
        <w:t xml:space="preserve">, farm-specific forecasts of extreme events, which allow intervening timely and </w:t>
      </w:r>
      <w:proofErr w:type="spellStart"/>
      <w:r>
        <w:rPr>
          <w:rFonts w:ascii="Arial" w:eastAsia="Arial" w:hAnsi="Arial" w:cs="Arial"/>
          <w:sz w:val="20"/>
          <w:szCs w:val="20"/>
        </w:rPr>
        <w:t>minimising</w:t>
      </w:r>
      <w:proofErr w:type="spellEnd"/>
      <w:r>
        <w:rPr>
          <w:rFonts w:ascii="Arial" w:eastAsia="Arial" w:hAnsi="Arial" w:cs="Arial"/>
          <w:sz w:val="20"/>
          <w:szCs w:val="20"/>
        </w:rPr>
        <w:t xml:space="preserve"> losses in yields due to climate conditions (Das and Nayak, 2024; Jamil et al., 2023). This is consistent with the previous literature that </w:t>
      </w:r>
      <w:proofErr w:type="spellStart"/>
      <w:r>
        <w:rPr>
          <w:rFonts w:ascii="Arial" w:eastAsia="Arial" w:hAnsi="Arial" w:cs="Arial"/>
          <w:sz w:val="20"/>
          <w:szCs w:val="20"/>
        </w:rPr>
        <w:t>emphasises</w:t>
      </w:r>
      <w:proofErr w:type="spellEnd"/>
      <w:r>
        <w:rPr>
          <w:rFonts w:ascii="Arial" w:eastAsia="Arial" w:hAnsi="Arial" w:cs="Arial"/>
          <w:sz w:val="20"/>
          <w:szCs w:val="20"/>
        </w:rPr>
        <w:t xml:space="preserve"> that digital agriculture can be used to increase climate resilience and promote food security (Abdulai et al., 2025; Campbell et al., 2014; Lipper and Zilberman, 2018).</w:t>
      </w:r>
    </w:p>
    <w:p w14:paraId="00000052"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Sustainability trade-offs were, however, observed. Continuous energy consumption is due to the production, operation, and disposal of IoT devices, providing an answer to energy-saving and recyclable options, which should be offered (Ahmed and Shakoor, 2025). Nevertheless, the net environmental impacts of smart agricultural technologies remain high and can be used appropriately to bring significant positive effects.</w:t>
      </w:r>
    </w:p>
    <w:p w14:paraId="00000053" w14:textId="77777777" w:rsidR="008F464C" w:rsidRDefault="00BC7F75">
      <w:pPr>
        <w:spacing w:before="240" w:line="276" w:lineRule="auto"/>
        <w:jc w:val="both"/>
        <w:rPr>
          <w:rFonts w:ascii="Arial" w:eastAsia="Arial" w:hAnsi="Arial" w:cs="Arial"/>
          <w:b/>
          <w:bCs/>
          <w:sz w:val="22"/>
          <w:szCs w:val="22"/>
        </w:rPr>
      </w:pPr>
      <w:r>
        <w:rPr>
          <w:rFonts w:ascii="Arial" w:eastAsia="Arial" w:hAnsi="Arial" w:cs="Arial"/>
          <w:b/>
          <w:bCs/>
          <w:sz w:val="22"/>
          <w:szCs w:val="22"/>
        </w:rPr>
        <w:t>4.3 Adoption Barriers</w:t>
      </w:r>
    </w:p>
    <w:p w14:paraId="00000054" w14:textId="77777777" w:rsidR="008F464C" w:rsidRDefault="00BC7F75">
      <w:pPr>
        <w:spacing w:before="240" w:line="276" w:lineRule="auto"/>
        <w:jc w:val="both"/>
        <w:rPr>
          <w:rFonts w:ascii="Arial" w:eastAsia="Arial" w:hAnsi="Arial" w:cs="Arial"/>
          <w:sz w:val="20"/>
          <w:szCs w:val="20"/>
        </w:rPr>
      </w:pPr>
      <w:r>
        <w:rPr>
          <w:rFonts w:ascii="Arial" w:eastAsia="Arial" w:hAnsi="Arial" w:cs="Arial"/>
          <w:sz w:val="20"/>
          <w:szCs w:val="20"/>
        </w:rPr>
        <w:t>The review established a number of adoption limitations, especially in smallholder farmers in sub-Saharan Africa and South Asia. The most mentioned barriers included the high initial cost of sensors, connection, and AI infrastructure (</w:t>
      </w:r>
      <w:proofErr w:type="spellStart"/>
      <w:r>
        <w:rPr>
          <w:rFonts w:ascii="Arial" w:eastAsia="Arial" w:hAnsi="Arial" w:cs="Arial"/>
          <w:sz w:val="20"/>
          <w:szCs w:val="20"/>
        </w:rPr>
        <w:t>Kompact</w:t>
      </w:r>
      <w:proofErr w:type="spellEnd"/>
      <w:r>
        <w:rPr>
          <w:rFonts w:ascii="Arial" w:eastAsia="Arial" w:hAnsi="Arial" w:cs="Arial"/>
          <w:sz w:val="20"/>
          <w:szCs w:val="20"/>
        </w:rPr>
        <w:t xml:space="preserve"> et al., 2021; </w:t>
      </w:r>
      <w:proofErr w:type="spellStart"/>
      <w:r>
        <w:rPr>
          <w:rFonts w:ascii="Arial" w:eastAsia="Arial" w:hAnsi="Arial" w:cs="Arial"/>
          <w:sz w:val="20"/>
          <w:szCs w:val="20"/>
        </w:rPr>
        <w:t>Wakweya</w:t>
      </w:r>
      <w:proofErr w:type="spellEnd"/>
      <w:r>
        <w:rPr>
          <w:rFonts w:ascii="Arial" w:eastAsia="Arial" w:hAnsi="Arial" w:cs="Arial"/>
          <w:sz w:val="20"/>
          <w:szCs w:val="20"/>
        </w:rPr>
        <w:t xml:space="preserve">, 2023; </w:t>
      </w:r>
      <w:proofErr w:type="spellStart"/>
      <w:r>
        <w:rPr>
          <w:rFonts w:ascii="Arial" w:eastAsia="Arial" w:hAnsi="Arial" w:cs="Arial"/>
          <w:sz w:val="20"/>
          <w:szCs w:val="20"/>
        </w:rPr>
        <w:t>Yiridomoh</w:t>
      </w:r>
      <w:proofErr w:type="spellEnd"/>
      <w:r>
        <w:rPr>
          <w:rFonts w:ascii="Arial" w:eastAsia="Arial" w:hAnsi="Arial" w:cs="Arial"/>
          <w:sz w:val="20"/>
          <w:szCs w:val="20"/>
        </w:rPr>
        <w:t xml:space="preserve"> et al., 2025). There were also barriers to effective use of technology due to digital literacy and technical capacity limits, especially in the remote rural locations (Thabane et al., 2024; </w:t>
      </w:r>
      <w:proofErr w:type="spellStart"/>
      <w:r>
        <w:rPr>
          <w:rFonts w:ascii="Arial" w:eastAsia="Arial" w:hAnsi="Arial" w:cs="Arial"/>
          <w:sz w:val="20"/>
          <w:szCs w:val="20"/>
        </w:rPr>
        <w:t>Gemtou</w:t>
      </w:r>
      <w:proofErr w:type="spellEnd"/>
      <w:r>
        <w:rPr>
          <w:rFonts w:ascii="Arial" w:eastAsia="Arial" w:hAnsi="Arial" w:cs="Arial"/>
          <w:sz w:val="20"/>
          <w:szCs w:val="20"/>
        </w:rPr>
        <w:t xml:space="preserve"> et al., 2024).</w:t>
      </w:r>
    </w:p>
    <w:p w14:paraId="00000055"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There were infrastructure limitations, such as unstable electricity, internet, and data charges, which limited uptake in areas of the developing world (Long et al., 2016; Pedersen et al., 2024). Privacy, ownership, and trust were other issues that farmers were concerned about when providing technology providers with access to their operational data (</w:t>
      </w:r>
      <w:proofErr w:type="spellStart"/>
      <w:r>
        <w:rPr>
          <w:rFonts w:ascii="Arial" w:eastAsia="Arial" w:hAnsi="Arial" w:cs="Arial"/>
          <w:sz w:val="20"/>
          <w:szCs w:val="20"/>
        </w:rPr>
        <w:t>Kazancoglu</w:t>
      </w:r>
      <w:proofErr w:type="spellEnd"/>
      <w:r>
        <w:rPr>
          <w:rFonts w:ascii="Arial" w:eastAsia="Arial" w:hAnsi="Arial" w:cs="Arial"/>
          <w:sz w:val="20"/>
          <w:szCs w:val="20"/>
        </w:rPr>
        <w:t xml:space="preserve"> et al., 2024; Lajoie-O'Malley et al., 2020).</w:t>
      </w:r>
    </w:p>
    <w:p w14:paraId="00000056"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 xml:space="preserve">Scaling was further hindered by institutional factors that included lack of access to credit and lack of policy support (Lewis and Rudnick, 2019; Agarwala et al, 2022; </w:t>
      </w:r>
      <w:proofErr w:type="spellStart"/>
      <w:r>
        <w:rPr>
          <w:rFonts w:ascii="Arial" w:eastAsia="Arial" w:hAnsi="Arial" w:cs="Arial"/>
          <w:sz w:val="20"/>
          <w:szCs w:val="20"/>
        </w:rPr>
        <w:t>Kabato</w:t>
      </w:r>
      <w:proofErr w:type="spellEnd"/>
      <w:r>
        <w:rPr>
          <w:rFonts w:ascii="Arial" w:eastAsia="Arial" w:hAnsi="Arial" w:cs="Arial"/>
          <w:sz w:val="20"/>
          <w:szCs w:val="20"/>
        </w:rPr>
        <w:t xml:space="preserve"> et al., 2025). On the other hand, commercial farmers in developed countries did not have as many obstacles as their counterparts in developing countries because they had better infrastructure, financial facilities, and extension works (Lou et al., 2024; Tong et al., 2024). These results reveal the need to develop policies that enable training and infrastructure that encourage the mass implementation of smart agricultural technologies.</w:t>
      </w:r>
    </w:p>
    <w:p w14:paraId="00000057" w14:textId="77777777" w:rsidR="008F464C" w:rsidRDefault="00BC7F75">
      <w:pPr>
        <w:spacing w:line="276" w:lineRule="auto"/>
        <w:jc w:val="both"/>
        <w:rPr>
          <w:rFonts w:ascii="Arial" w:eastAsia="Arial" w:hAnsi="Arial" w:cs="Arial"/>
          <w:b/>
          <w:bCs/>
          <w:sz w:val="22"/>
          <w:szCs w:val="22"/>
        </w:rPr>
      </w:pPr>
      <w:r>
        <w:rPr>
          <w:rFonts w:ascii="Arial" w:eastAsia="Arial" w:hAnsi="Arial" w:cs="Arial"/>
          <w:b/>
          <w:bCs/>
          <w:sz w:val="22"/>
          <w:szCs w:val="22"/>
        </w:rPr>
        <w:lastRenderedPageBreak/>
        <w:t>5.0 Discussion of Key Findings</w:t>
      </w:r>
    </w:p>
    <w:p w14:paraId="00000058"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 xml:space="preserve">The literature synthesis proves that there is an increasing agreement that smart agricultural technologies, especially AI, Internet of Things (IoT), and Big Data systems, are critical in achieving sustainable agricultural production in the face of climate change pressure (Ahmed and Shakoor, 2025; </w:t>
      </w:r>
      <w:proofErr w:type="spellStart"/>
      <w:r>
        <w:rPr>
          <w:rFonts w:ascii="Arial" w:eastAsia="Arial" w:hAnsi="Arial" w:cs="Arial"/>
          <w:sz w:val="20"/>
          <w:szCs w:val="20"/>
        </w:rPr>
        <w:t>Dhanararaj</w:t>
      </w:r>
      <w:proofErr w:type="spellEnd"/>
      <w:r>
        <w:rPr>
          <w:rFonts w:ascii="Arial" w:eastAsia="Arial" w:hAnsi="Arial" w:cs="Arial"/>
          <w:sz w:val="20"/>
          <w:szCs w:val="20"/>
        </w:rPr>
        <w:t xml:space="preserve"> et al., 2022; Kumari et al., 2025). Such technologies enhance forecasting of yield,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of resources, control of pests and diseases, and managing climate risks, which </w:t>
      </w:r>
      <w:proofErr w:type="spellStart"/>
      <w:r>
        <w:rPr>
          <w:rFonts w:ascii="Arial" w:eastAsia="Arial" w:hAnsi="Arial" w:cs="Arial"/>
          <w:sz w:val="20"/>
          <w:szCs w:val="20"/>
        </w:rPr>
        <w:t>operationalise</w:t>
      </w:r>
      <w:proofErr w:type="spellEnd"/>
      <w:r>
        <w:rPr>
          <w:rFonts w:ascii="Arial" w:eastAsia="Arial" w:hAnsi="Arial" w:cs="Arial"/>
          <w:sz w:val="20"/>
          <w:szCs w:val="20"/>
        </w:rPr>
        <w:t xml:space="preserve"> the concepts of Climate-Smart Agriculture (CSA) (Ahmed et al., 2022; </w:t>
      </w:r>
      <w:proofErr w:type="spellStart"/>
      <w:r>
        <w:rPr>
          <w:rFonts w:ascii="Arial" w:eastAsia="Arial" w:hAnsi="Arial" w:cs="Arial"/>
          <w:sz w:val="20"/>
          <w:szCs w:val="20"/>
        </w:rPr>
        <w:t>Agrimonti</w:t>
      </w:r>
      <w:proofErr w:type="spellEnd"/>
      <w:r>
        <w:rPr>
          <w:rFonts w:ascii="Arial" w:eastAsia="Arial" w:hAnsi="Arial" w:cs="Arial"/>
          <w:sz w:val="20"/>
          <w:szCs w:val="20"/>
        </w:rPr>
        <w:t xml:space="preserve"> et al., 2021; </w:t>
      </w:r>
      <w:proofErr w:type="spellStart"/>
      <w:r>
        <w:rPr>
          <w:rFonts w:ascii="Arial" w:eastAsia="Arial" w:hAnsi="Arial" w:cs="Arial"/>
          <w:sz w:val="20"/>
          <w:szCs w:val="20"/>
        </w:rPr>
        <w:t>Begna</w:t>
      </w:r>
      <w:proofErr w:type="spellEnd"/>
      <w:r>
        <w:rPr>
          <w:rFonts w:ascii="Arial" w:eastAsia="Arial" w:hAnsi="Arial" w:cs="Arial"/>
          <w:sz w:val="20"/>
          <w:szCs w:val="20"/>
        </w:rPr>
        <w:t xml:space="preserve"> and </w:t>
      </w:r>
      <w:proofErr w:type="spellStart"/>
      <w:r>
        <w:rPr>
          <w:rFonts w:ascii="Arial" w:eastAsia="Arial" w:hAnsi="Arial" w:cs="Arial"/>
          <w:sz w:val="20"/>
          <w:szCs w:val="20"/>
        </w:rPr>
        <w:t>Wakweya</w:t>
      </w:r>
      <w:proofErr w:type="spellEnd"/>
      <w:r>
        <w:rPr>
          <w:rFonts w:ascii="Arial" w:eastAsia="Arial" w:hAnsi="Arial" w:cs="Arial"/>
          <w:sz w:val="20"/>
          <w:szCs w:val="20"/>
        </w:rPr>
        <w:t>, 2025). These developments are consistent with global prescriptions of FAO (2023), which highlight the incorporation of digital technology into the agricultural sector to enhance productivity, besides curbing the environmental footprint of agricultural products.</w:t>
      </w:r>
    </w:p>
    <w:p w14:paraId="00000059"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 xml:space="preserve">Research indicates that AI and IoT-related systems can make the use of resources more precise and efficient, allowing for to scheduling of irrigation, </w:t>
      </w:r>
      <w:proofErr w:type="spellStart"/>
      <w:r>
        <w:rPr>
          <w:rFonts w:ascii="Arial" w:eastAsia="Arial" w:hAnsi="Arial" w:cs="Arial"/>
          <w:sz w:val="20"/>
          <w:szCs w:val="20"/>
        </w:rPr>
        <w:t>fertilisation</w:t>
      </w:r>
      <w:proofErr w:type="spellEnd"/>
      <w:r>
        <w:rPr>
          <w:rFonts w:ascii="Arial" w:eastAsia="Arial" w:hAnsi="Arial" w:cs="Arial"/>
          <w:sz w:val="20"/>
          <w:szCs w:val="20"/>
        </w:rPr>
        <w:t>, and monitoring the conditions of crops and soil in real time (Naqvi et al., 2021; Venkatraman and Shah, 2019). Not only do these capabilities have a decreased cost of production, but they also help mitigate emissions and have a better water-use efficiency (Bhutto et al., 2024; Sikka et al., 2018; PV, 2022). An example is smart irrigation based on IoT and sensor networks that enable smallholder and commercial farms to act dynamically and respond to the micro-climatic conditions, using less water and energy but ensuring productivity (</w:t>
      </w:r>
      <w:proofErr w:type="spellStart"/>
      <w:r>
        <w:rPr>
          <w:rFonts w:ascii="Arial" w:eastAsia="Arial" w:hAnsi="Arial" w:cs="Arial"/>
          <w:sz w:val="20"/>
          <w:szCs w:val="20"/>
        </w:rPr>
        <w:t>Dhanararaju</w:t>
      </w:r>
      <w:proofErr w:type="spellEnd"/>
      <w:r>
        <w:rPr>
          <w:rFonts w:ascii="Arial" w:eastAsia="Arial" w:hAnsi="Arial" w:cs="Arial"/>
          <w:sz w:val="20"/>
          <w:szCs w:val="20"/>
        </w:rPr>
        <w:t xml:space="preserve"> et al., 2022; Alam et al., 2024).</w:t>
      </w:r>
    </w:p>
    <w:p w14:paraId="0000005A"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Nevertheless, even though their advantages have been proven, smallholder farmers, who are the majority of food producers in most developing nations, are among the least adopters of the technologies, and they are typically most susceptible to climate change (</w:t>
      </w:r>
      <w:proofErr w:type="spellStart"/>
      <w:r>
        <w:rPr>
          <w:rFonts w:ascii="Arial" w:eastAsia="Arial" w:hAnsi="Arial" w:cs="Arial"/>
          <w:sz w:val="20"/>
          <w:szCs w:val="20"/>
        </w:rPr>
        <w:t>Gemtou</w:t>
      </w:r>
      <w:proofErr w:type="spellEnd"/>
      <w:r>
        <w:rPr>
          <w:rFonts w:ascii="Arial" w:eastAsia="Arial" w:hAnsi="Arial" w:cs="Arial"/>
          <w:sz w:val="20"/>
          <w:szCs w:val="20"/>
        </w:rPr>
        <w:t xml:space="preserve"> et al., 2024; Thabane et al., 2024; </w:t>
      </w:r>
      <w:proofErr w:type="spellStart"/>
      <w:r>
        <w:rPr>
          <w:rFonts w:ascii="Arial" w:eastAsia="Arial" w:hAnsi="Arial" w:cs="Arial"/>
          <w:sz w:val="20"/>
          <w:szCs w:val="20"/>
        </w:rPr>
        <w:t>Yiridomoh</w:t>
      </w:r>
      <w:proofErr w:type="spellEnd"/>
      <w:r>
        <w:rPr>
          <w:rFonts w:ascii="Arial" w:eastAsia="Arial" w:hAnsi="Arial" w:cs="Arial"/>
          <w:sz w:val="20"/>
          <w:szCs w:val="20"/>
        </w:rPr>
        <w:t xml:space="preserve"> et al., 2025). Some of the barriers are elevated initial cost, low digital literacy, poor rural connectivity, and access to fewer extension services (Long et al., 2016; </w:t>
      </w:r>
      <w:proofErr w:type="spellStart"/>
      <w:r>
        <w:rPr>
          <w:rFonts w:ascii="Arial" w:eastAsia="Arial" w:hAnsi="Arial" w:cs="Arial"/>
          <w:sz w:val="20"/>
          <w:szCs w:val="20"/>
        </w:rPr>
        <w:t>Kompat</w:t>
      </w:r>
      <w:proofErr w:type="spellEnd"/>
      <w:r>
        <w:rPr>
          <w:rFonts w:ascii="Arial" w:eastAsia="Arial" w:hAnsi="Arial" w:cs="Arial"/>
          <w:sz w:val="20"/>
          <w:szCs w:val="20"/>
        </w:rPr>
        <w:t xml:space="preserve"> et al., 2021; </w:t>
      </w:r>
      <w:proofErr w:type="spellStart"/>
      <w:r>
        <w:rPr>
          <w:rFonts w:ascii="Arial" w:eastAsia="Arial" w:hAnsi="Arial" w:cs="Arial"/>
          <w:sz w:val="20"/>
          <w:szCs w:val="20"/>
        </w:rPr>
        <w:t>Wakweya</w:t>
      </w:r>
      <w:proofErr w:type="spellEnd"/>
      <w:r>
        <w:rPr>
          <w:rFonts w:ascii="Arial" w:eastAsia="Arial" w:hAnsi="Arial" w:cs="Arial"/>
          <w:sz w:val="20"/>
          <w:szCs w:val="20"/>
        </w:rPr>
        <w:t>, 2023). Such gaps highlight the necessity to have inclusive policy frameworks, public-business cooperation, and capacity-building programs to provide equitable access to smart technologies (Barooah et al., 2023; Lewis and Rudnick, 2019; Agarwala et al., 2022). The digital divide can actually increase the productivity disparities instead of mitigating them in the absence of specific interventions (Campbell et al., 2014; Taylor, 2018).</w:t>
      </w:r>
    </w:p>
    <w:p w14:paraId="0000005B"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 xml:space="preserve">Although smart agricultural technologies have a positive environmental impact, they also have a set of possible trade-offs. Implementation of digital devices and sensors enhances the energy needs and creates e-waste, which needs to be managed sustainably to eliminate unintended ecological effects (Ahmed and Shakoor, 2025; </w:t>
      </w:r>
      <w:proofErr w:type="spellStart"/>
      <w:r>
        <w:rPr>
          <w:rFonts w:ascii="Arial" w:eastAsia="Arial" w:hAnsi="Arial" w:cs="Arial"/>
          <w:sz w:val="20"/>
          <w:szCs w:val="20"/>
        </w:rPr>
        <w:t>Kazancoglu</w:t>
      </w:r>
      <w:proofErr w:type="spellEnd"/>
      <w:r>
        <w:rPr>
          <w:rFonts w:ascii="Arial" w:eastAsia="Arial" w:hAnsi="Arial" w:cs="Arial"/>
          <w:sz w:val="20"/>
          <w:szCs w:val="20"/>
        </w:rPr>
        <w:t xml:space="preserve"> et al., 2024). To reduce environmental footprints, the IoT devices employed in the future, including low-energy, solar, and biodegradable ones, as well as AI algorithms tailored to more efficient performance, should be </w:t>
      </w:r>
      <w:proofErr w:type="spellStart"/>
      <w:r>
        <w:rPr>
          <w:rFonts w:ascii="Arial" w:eastAsia="Arial" w:hAnsi="Arial" w:cs="Arial"/>
          <w:sz w:val="20"/>
          <w:szCs w:val="20"/>
        </w:rPr>
        <w:t>minimised</w:t>
      </w:r>
      <w:proofErr w:type="spellEnd"/>
      <w:r>
        <w:rPr>
          <w:rFonts w:ascii="Arial" w:eastAsia="Arial" w:hAnsi="Arial" w:cs="Arial"/>
          <w:sz w:val="20"/>
          <w:szCs w:val="20"/>
        </w:rPr>
        <w:t xml:space="preserve"> (Lou et al., 2024; Mesic et al., 2024).</w:t>
      </w:r>
    </w:p>
    <w:p w14:paraId="0000005C"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 xml:space="preserve">The other important lesson in the literature is that sustainability metrics are in bits. Heterogeneous indicators are frequently used in studies to assess water efficiency, greenhouse gas emission, or soil health, which makes it difficult to compare studies across studies and develop evidence-based policy proposals (Tong et al., 2024; Okolie et al., 2022). The reliability and comparability of CSA research should be improved by developing </w:t>
      </w:r>
      <w:proofErr w:type="spellStart"/>
      <w:r>
        <w:rPr>
          <w:rFonts w:ascii="Arial" w:eastAsia="Arial" w:hAnsi="Arial" w:cs="Arial"/>
          <w:sz w:val="20"/>
          <w:szCs w:val="20"/>
        </w:rPr>
        <w:t>standardised</w:t>
      </w:r>
      <w:proofErr w:type="spellEnd"/>
      <w:r>
        <w:rPr>
          <w:rFonts w:ascii="Arial" w:eastAsia="Arial" w:hAnsi="Arial" w:cs="Arial"/>
          <w:sz w:val="20"/>
          <w:szCs w:val="20"/>
        </w:rPr>
        <w:t xml:space="preserve"> and internationally accepted measurement frameworks, which will be used to make decisions at the farm and policy levels (Matteoli et al., 2020; Lipper and Zilberman, 2018).</w:t>
      </w:r>
    </w:p>
    <w:p w14:paraId="0000005D"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The use of digital technologies in combination with the knowledge and the locally adjusted practices is a recurrent theme in the process of long-term sustainability (</w:t>
      </w:r>
      <w:proofErr w:type="spellStart"/>
      <w:r>
        <w:rPr>
          <w:rFonts w:ascii="Arial" w:eastAsia="Arial" w:hAnsi="Arial" w:cs="Arial"/>
          <w:sz w:val="20"/>
          <w:szCs w:val="20"/>
        </w:rPr>
        <w:t>Senyolo</w:t>
      </w:r>
      <w:proofErr w:type="spellEnd"/>
      <w:r>
        <w:rPr>
          <w:rFonts w:ascii="Arial" w:eastAsia="Arial" w:hAnsi="Arial" w:cs="Arial"/>
          <w:sz w:val="20"/>
          <w:szCs w:val="20"/>
        </w:rPr>
        <w:t xml:space="preserve"> et al., 2018; Devi, 2023; Singh and Singh, 2017). Climate-smart approaches should be locally-focused with a mix of local ecological insights and AI-driven predictive analytics to ensure maximum resiliency to climate variability (Dougill et al., 2021; Bhatnagar et al., 2024). Besides, integrating smart agriculture into wider food systems solutions such as water-energy-food nexus management, policy alignment, and market integration enhances its effects on </w:t>
      </w:r>
      <w:r>
        <w:rPr>
          <w:rFonts w:ascii="Arial" w:eastAsia="Arial" w:hAnsi="Arial" w:cs="Arial"/>
          <w:sz w:val="20"/>
          <w:szCs w:val="20"/>
        </w:rPr>
        <w:lastRenderedPageBreak/>
        <w:t>food security and environmental sustainability (Bhutto et al., 2024; Clapp et al., 2018; Zougmore et al., 2021).</w:t>
      </w:r>
    </w:p>
    <w:p w14:paraId="0000005E"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 xml:space="preserve">To conclude, AI, IoT, and Big Data are potent facilitators of climate-sensitive, sustainable agriculture, which can be used to increase productivity, resilience, and resource efficiency when faced with climate change challenges. Nevertheless, their potential to the fullest can be achieved only under the condition of inclusive adoption strategies, ecological deployment, </w:t>
      </w:r>
      <w:proofErr w:type="spellStart"/>
      <w:r>
        <w:rPr>
          <w:rFonts w:ascii="Arial" w:eastAsia="Arial" w:hAnsi="Arial" w:cs="Arial"/>
          <w:sz w:val="20"/>
          <w:szCs w:val="20"/>
        </w:rPr>
        <w:t>standardisation</w:t>
      </w:r>
      <w:proofErr w:type="spellEnd"/>
      <w:r>
        <w:rPr>
          <w:rFonts w:ascii="Arial" w:eastAsia="Arial" w:hAnsi="Arial" w:cs="Arial"/>
          <w:sz w:val="20"/>
          <w:szCs w:val="20"/>
        </w:rPr>
        <w:t xml:space="preserve"> of measurements, and combining with local agriculture. The innovations must be translated into equal and long-term sustainability results through coordinated work of technology developers, policymakers and extension services, as well as farming communities (Abdulai et al., 2025; </w:t>
      </w:r>
      <w:proofErr w:type="spellStart"/>
      <w:r>
        <w:rPr>
          <w:rFonts w:ascii="Arial" w:eastAsia="Arial" w:hAnsi="Arial" w:cs="Arial"/>
          <w:sz w:val="20"/>
          <w:szCs w:val="20"/>
        </w:rPr>
        <w:t>Bazzana</w:t>
      </w:r>
      <w:proofErr w:type="spellEnd"/>
      <w:r>
        <w:rPr>
          <w:rFonts w:ascii="Arial" w:eastAsia="Arial" w:hAnsi="Arial" w:cs="Arial"/>
          <w:sz w:val="20"/>
          <w:szCs w:val="20"/>
        </w:rPr>
        <w:t xml:space="preserve"> et al., 2022; Mondal and Palit, 2024; Katel et al., 2022).</w:t>
      </w:r>
    </w:p>
    <w:p w14:paraId="0000005F" w14:textId="77777777" w:rsidR="008F464C" w:rsidRDefault="00BC7F75">
      <w:pPr>
        <w:spacing w:after="0" w:line="276" w:lineRule="auto"/>
        <w:jc w:val="both"/>
        <w:rPr>
          <w:rFonts w:ascii="Arial" w:eastAsia="Arial" w:hAnsi="Arial" w:cs="Arial"/>
          <w:b/>
          <w:bCs/>
          <w:sz w:val="22"/>
          <w:szCs w:val="22"/>
        </w:rPr>
      </w:pPr>
      <w:r>
        <w:rPr>
          <w:rFonts w:ascii="Arial" w:eastAsia="Arial" w:hAnsi="Arial" w:cs="Arial"/>
          <w:b/>
          <w:bCs/>
          <w:sz w:val="22"/>
          <w:szCs w:val="22"/>
        </w:rPr>
        <w:t>6.0 Summary of Findings</w:t>
      </w:r>
    </w:p>
    <w:p w14:paraId="00000060"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t>The systematic review indicated that AI- and IoT-based technologies in agriculture have demonstrated significant potential in improving productivity and resource efficiency and climate resilience in a wide variety of farming systems. The 58 studies included in the evidence show that smart technologies, specifically sensor-based IoT systems and AI-based decision-support systems, were always effective in enhancing water-use efficiency, nutrient management, and real-time crop monitoring. Accurate irrigation systems aimed at monitoring soil moisture and weather sensors showed that farmers could save up to 50 per cent of water consumption without affecting the crop production and proved to have high utility in water-deprived areas. Moreover, the models of pest and disease detection based on AI reported high accuracy scores, and in many cases, they exceeded 90 per cent, which allows for intervention earlier and avoids using chemical pesticides. These results indicate that digital agriculture will be an important contributor to crop productivity and operational efficiency when there is pressure from climate change.</w:t>
      </w:r>
    </w:p>
    <w:p w14:paraId="00000061"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t xml:space="preserve">One of the significant themes of the studied works was environmental sustainability results. Farming technologies were used to reduce the emissions of greenhouse gases, </w:t>
      </w:r>
      <w:proofErr w:type="spellStart"/>
      <w:r>
        <w:rPr>
          <w:rFonts w:ascii="Arial" w:eastAsia="Arial" w:hAnsi="Arial" w:cs="Arial"/>
          <w:sz w:val="20"/>
          <w:szCs w:val="20"/>
        </w:rPr>
        <w:t>fertiliser</w:t>
      </w:r>
      <w:proofErr w:type="spellEnd"/>
      <w:r>
        <w:rPr>
          <w:rFonts w:ascii="Arial" w:eastAsia="Arial" w:hAnsi="Arial" w:cs="Arial"/>
          <w:sz w:val="20"/>
          <w:szCs w:val="20"/>
        </w:rPr>
        <w:t xml:space="preserve"> application, and pesticide application. Nutrient-management systems based on IoTs were repeatedly depicted to reduce the use of nitrogen </w:t>
      </w:r>
      <w:proofErr w:type="spellStart"/>
      <w:r>
        <w:rPr>
          <w:rFonts w:ascii="Arial" w:eastAsia="Arial" w:hAnsi="Arial" w:cs="Arial"/>
          <w:sz w:val="20"/>
          <w:szCs w:val="20"/>
        </w:rPr>
        <w:t>fertilisers</w:t>
      </w:r>
      <w:proofErr w:type="spellEnd"/>
      <w:r>
        <w:rPr>
          <w:rFonts w:ascii="Arial" w:eastAsia="Arial" w:hAnsi="Arial" w:cs="Arial"/>
          <w:sz w:val="20"/>
          <w:szCs w:val="20"/>
        </w:rPr>
        <w:t xml:space="preserve">, thereby decreasing the emissions of nitrous oxide and curbing nutrient erosion into a free environment. Accurate irrigation systems were used with precision in the regulation of soil moisture that </w:t>
      </w:r>
      <w:proofErr w:type="spellStart"/>
      <w:r>
        <w:rPr>
          <w:rFonts w:ascii="Arial" w:eastAsia="Arial" w:hAnsi="Arial" w:cs="Arial"/>
          <w:sz w:val="20"/>
          <w:szCs w:val="20"/>
        </w:rPr>
        <w:t>minimised</w:t>
      </w:r>
      <w:proofErr w:type="spellEnd"/>
      <w:r>
        <w:rPr>
          <w:rFonts w:ascii="Arial" w:eastAsia="Arial" w:hAnsi="Arial" w:cs="Arial"/>
          <w:sz w:val="20"/>
          <w:szCs w:val="20"/>
        </w:rPr>
        <w:t xml:space="preserve"> chances of erosion and improved soil health. Research on AI-based climate-risk forecasting also showed how digital technology can be used to forecast extreme weather conditions and allow farmers to cope with drought, heat stress and disease outbreaks more efficiently. Nevertheless, the review also found sustainability trade-offs, such as the effects of IoT devices per se on the environment, such as battery waste, and higher energy consumption of maintaining constant data transmission.</w:t>
      </w:r>
    </w:p>
    <w:p w14:paraId="00000062"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t>Another finding of the review was a uniform group of barriers to the adoption of digital agriculture, especially in the case of smallholder farmers. The emergence of high initial expenses in sensors, connection gear, and AI frameworks became one of the major hurdles. Access to information on credit, technical skills, and training programs needed to operate and maintain smart-farming technologies was not available to many small-scale farmers. Poor infrastructure (such as inaccessible power supply and low internet connectivity) also limited adoption in rural and developing areas. Also, data ownership and data privacy, as well as trust in AI-generated recommendations, were concerns evident in a variety of studies. These institutional and socio-economic challenges imply that AI and IoT solutions, with all their potential, might contribute to increased inequalities unless they are supported by the relevant policies and capacity-building efforts.</w:t>
      </w:r>
    </w:p>
    <w:p w14:paraId="00000063"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t xml:space="preserve">Essentially, the results indicate that AI and IoT technologies have the potential to transform agriculture to be more productive, sustainable, and resilient to climate stressors, still have limited potential because of financial, technical, and infrastructural constraints. To achieve a fair and universal implementation, future </w:t>
      </w:r>
      <w:r>
        <w:rPr>
          <w:rFonts w:ascii="Arial" w:eastAsia="Arial" w:hAnsi="Arial" w:cs="Arial"/>
          <w:sz w:val="20"/>
          <w:szCs w:val="20"/>
        </w:rPr>
        <w:lastRenderedPageBreak/>
        <w:t>interventions should involve solving these challenges by enhancing digital literacy, enabling policies, low-cost technology models, and enhancing the rural infrastructure. This evidence synthesis highlights the necessity of the holistic approach that entails the integration of technological innovation with the farmer-</w:t>
      </w:r>
      <w:proofErr w:type="spellStart"/>
      <w:r>
        <w:rPr>
          <w:rFonts w:ascii="Arial" w:eastAsia="Arial" w:hAnsi="Arial" w:cs="Arial"/>
          <w:sz w:val="20"/>
          <w:szCs w:val="20"/>
        </w:rPr>
        <w:t>centred</w:t>
      </w:r>
      <w:proofErr w:type="spellEnd"/>
      <w:r>
        <w:rPr>
          <w:rFonts w:ascii="Arial" w:eastAsia="Arial" w:hAnsi="Arial" w:cs="Arial"/>
          <w:sz w:val="20"/>
          <w:szCs w:val="20"/>
        </w:rPr>
        <w:t xml:space="preserve"> approach and sustainable environment practices.</w:t>
      </w:r>
    </w:p>
    <w:p w14:paraId="00000064" w14:textId="77777777" w:rsidR="008F464C" w:rsidRDefault="00BC7F75">
      <w:pPr>
        <w:spacing w:before="280" w:after="280" w:line="276" w:lineRule="auto"/>
        <w:jc w:val="both"/>
        <w:rPr>
          <w:rFonts w:ascii="Arial" w:eastAsia="Arial" w:hAnsi="Arial" w:cs="Arial"/>
          <w:b/>
          <w:bCs/>
          <w:sz w:val="22"/>
          <w:szCs w:val="22"/>
        </w:rPr>
      </w:pPr>
      <w:r>
        <w:rPr>
          <w:rFonts w:ascii="Arial" w:eastAsia="Arial" w:hAnsi="Arial" w:cs="Arial"/>
          <w:b/>
          <w:bCs/>
          <w:sz w:val="22"/>
          <w:szCs w:val="22"/>
        </w:rPr>
        <w:t>7.0 Conclusion</w:t>
      </w:r>
    </w:p>
    <w:p w14:paraId="00000065"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t xml:space="preserve">This systematic review finds that AI- and IoT-combined technologies in agriculture have great potential in modifying crop production systems to be more sustainable, productive, and resilient to the growing pressure of climate change. The evidence regularly shows that smart farming technologies, i.e., IoT-enabled systems of precision irrigation or AI-based pest and disease detection models, are capable of improving the efficiency of resource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and, at the same time, ensure or even increase crop yields. Such technologies are used to assist farmers in maximize water, </w:t>
      </w:r>
      <w:proofErr w:type="spellStart"/>
      <w:r>
        <w:rPr>
          <w:rFonts w:ascii="Arial" w:eastAsia="Arial" w:hAnsi="Arial" w:cs="Arial"/>
          <w:sz w:val="20"/>
          <w:szCs w:val="20"/>
        </w:rPr>
        <w:t>fertiliser</w:t>
      </w:r>
      <w:proofErr w:type="spellEnd"/>
      <w:r>
        <w:rPr>
          <w:rFonts w:ascii="Arial" w:eastAsia="Arial" w:hAnsi="Arial" w:cs="Arial"/>
          <w:sz w:val="20"/>
          <w:szCs w:val="20"/>
        </w:rPr>
        <w:t>, and pesticide use, thus adding to the lower emission of greenhouse gases, better soil health, and more sustainable natural resource management. Further, digital systems can also improve climate-risk adaptation by allowing farmers to predict and act on droughts, heatwaves, and disease outbreaks, and thus, have their place as an essential part of climate-smart agriculture.</w:t>
      </w:r>
    </w:p>
    <w:p w14:paraId="00000066"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t>The advantages of these technologies are, however, unevenly distributed. Developing countries have large financial, infrastructural, and technical barriers that restrict the adoption by smallholder farmers. The low penetration of AI and IoT tools is limited by high start-up expenses, lack of digital literacy, low internet connectivity, data privacy and ownership issues. The ecological trade-offs (more electronic waste and energy use, etc.) also demonstrate that the design and implementation of digital devices can be more sustainable. Thus, the potential of AI and IoT solutions in promoting global food security and environmental sustainability is high, but their effectiveness will be determined by the ability to overcome the socio-economic and institutional hurdles noted during this review.</w:t>
      </w:r>
    </w:p>
    <w:p w14:paraId="00000067" w14:textId="77777777" w:rsidR="008F464C" w:rsidRDefault="00BC7F75">
      <w:pPr>
        <w:spacing w:before="280" w:after="280" w:line="276" w:lineRule="auto"/>
        <w:jc w:val="both"/>
        <w:rPr>
          <w:rFonts w:ascii="Arial" w:eastAsia="Arial" w:hAnsi="Arial" w:cs="Arial"/>
          <w:b/>
          <w:bCs/>
          <w:sz w:val="22"/>
          <w:szCs w:val="22"/>
        </w:rPr>
      </w:pPr>
      <w:r>
        <w:rPr>
          <w:rFonts w:ascii="Arial" w:eastAsia="Arial" w:hAnsi="Arial" w:cs="Arial"/>
          <w:b/>
          <w:bCs/>
          <w:sz w:val="22"/>
          <w:szCs w:val="22"/>
        </w:rPr>
        <w:t>8.0 Recommendations</w:t>
      </w:r>
    </w:p>
    <w:p w14:paraId="00000068"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t xml:space="preserve">Based on the findings, a number of strategic recommendations are made to policymakers, technology innovators, research </w:t>
      </w:r>
      <w:proofErr w:type="spellStart"/>
      <w:r>
        <w:rPr>
          <w:rFonts w:ascii="Arial" w:eastAsia="Arial" w:hAnsi="Arial" w:cs="Arial"/>
          <w:sz w:val="20"/>
          <w:szCs w:val="20"/>
        </w:rPr>
        <w:t>organisations</w:t>
      </w:r>
      <w:proofErr w:type="spellEnd"/>
      <w:r>
        <w:rPr>
          <w:rFonts w:ascii="Arial" w:eastAsia="Arial" w:hAnsi="Arial" w:cs="Arial"/>
          <w:sz w:val="20"/>
          <w:szCs w:val="20"/>
        </w:rPr>
        <w:t xml:space="preserve">, and agricultural communities. </w:t>
      </w:r>
    </w:p>
    <w:p w14:paraId="00000069"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t>First, governments and development agencies of every nation need to focus their attention on the investments in rural digital infrastructures, such as a stable electricity supply, as well as cheaper and more affordable internet connections. Such infrastructure should be fortified, as it is necessary to combine IoT sensors, cloud-based applications, and AI applications in agriculture. Smallholder farmers should also be given subsidies or loans at low interest rates to help them lower the cost of obtaining and sustaining smart farming technologies.</w:t>
      </w:r>
    </w:p>
    <w:p w14:paraId="0000006A"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t xml:space="preserve">Second, it is important to have capacity-building programs that are targeted. Agricultural extension services, universities and technology providers must work together in offering practical training programs that will increase the level of digital literacy and technical knowledge among farmers. Such programs must be provided and </w:t>
      </w:r>
      <w:proofErr w:type="spellStart"/>
      <w:r>
        <w:rPr>
          <w:rFonts w:ascii="Arial" w:eastAsia="Arial" w:hAnsi="Arial" w:cs="Arial"/>
          <w:sz w:val="20"/>
          <w:szCs w:val="20"/>
        </w:rPr>
        <w:t>localised</w:t>
      </w:r>
      <w:proofErr w:type="spellEnd"/>
      <w:r>
        <w:rPr>
          <w:rFonts w:ascii="Arial" w:eastAsia="Arial" w:hAnsi="Arial" w:cs="Arial"/>
          <w:sz w:val="20"/>
          <w:szCs w:val="20"/>
        </w:rPr>
        <w:t xml:space="preserve"> to local conditions and language to make them accessible and develop skills in the long term. Transparent communication, demonstration farms, and participatory design methods will be necessary to build the confidence of the farmers in AI-generated recommendations and engage the farmers in the development and testing of the digital tools.</w:t>
      </w:r>
    </w:p>
    <w:p w14:paraId="0000006B"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lastRenderedPageBreak/>
        <w:t xml:space="preserve">Third, developers of technologies ought to embrace green design concepts by designing low-energy, solar-powered Internet of Things applications and biodegradable sensors to reduce the environmental footprint of digital agriculture. Enhancing usability and </w:t>
      </w:r>
      <w:proofErr w:type="spellStart"/>
      <w:r>
        <w:rPr>
          <w:rFonts w:ascii="Arial" w:eastAsia="Arial" w:hAnsi="Arial" w:cs="Arial"/>
          <w:sz w:val="20"/>
          <w:szCs w:val="20"/>
        </w:rPr>
        <w:t>minimising</w:t>
      </w:r>
      <w:proofErr w:type="spellEnd"/>
      <w:r>
        <w:rPr>
          <w:rFonts w:ascii="Arial" w:eastAsia="Arial" w:hAnsi="Arial" w:cs="Arial"/>
          <w:sz w:val="20"/>
          <w:szCs w:val="20"/>
        </w:rPr>
        <w:t xml:space="preserve"> the level of system complexity among farmers by developing interoperable platforms to combine various sources of data, including soil, climate, and crop imagery, will keep getting better. To guarantee data privacy and outline clear data ownership principles will also be vital to the process of building trust and encouraging adoption.</w:t>
      </w:r>
    </w:p>
    <w:p w14:paraId="0000006C"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t xml:space="preserve">Lastly, policymakers need to create enabling regulatory and institutional structures that enhance responsible innovation in agriculture using digital means. These involve the formulation of national standards on how AI can be </w:t>
      </w:r>
      <w:proofErr w:type="spellStart"/>
      <w:r>
        <w:rPr>
          <w:rFonts w:ascii="Arial" w:eastAsia="Arial" w:hAnsi="Arial" w:cs="Arial"/>
          <w:sz w:val="20"/>
          <w:szCs w:val="20"/>
        </w:rPr>
        <w:t>utilised</w:t>
      </w:r>
      <w:proofErr w:type="spellEnd"/>
      <w:r>
        <w:rPr>
          <w:rFonts w:ascii="Arial" w:eastAsia="Arial" w:hAnsi="Arial" w:cs="Arial"/>
          <w:sz w:val="20"/>
          <w:szCs w:val="20"/>
        </w:rPr>
        <w:t xml:space="preserve">, the encouragement of government-business associations, and the promotion of </w:t>
      </w:r>
      <w:proofErr w:type="spellStart"/>
      <w:r>
        <w:rPr>
          <w:rFonts w:ascii="Arial" w:eastAsia="Arial" w:hAnsi="Arial" w:cs="Arial"/>
          <w:sz w:val="20"/>
          <w:szCs w:val="20"/>
        </w:rPr>
        <w:t>localised</w:t>
      </w:r>
      <w:proofErr w:type="spellEnd"/>
      <w:r>
        <w:rPr>
          <w:rFonts w:ascii="Arial" w:eastAsia="Arial" w:hAnsi="Arial" w:cs="Arial"/>
          <w:sz w:val="20"/>
          <w:szCs w:val="20"/>
        </w:rPr>
        <w:t xml:space="preserve"> studies on the application of smart farming technologies. Further observation and review of the long-term environmental and socio-economic effects of AI and IoT tools will be beneficial in terms of strengthening the strategies and making sure that digital agriculture has a positive effect on sustainable food production.</w:t>
      </w:r>
    </w:p>
    <w:p w14:paraId="0000006D" w14:textId="77777777" w:rsidR="008F464C" w:rsidRDefault="00BC7F75">
      <w:pPr>
        <w:spacing w:before="280" w:after="280" w:line="276" w:lineRule="auto"/>
        <w:jc w:val="both"/>
        <w:rPr>
          <w:rFonts w:ascii="Arial" w:eastAsia="Arial" w:hAnsi="Arial" w:cs="Arial"/>
          <w:b/>
          <w:bCs/>
          <w:sz w:val="22"/>
          <w:szCs w:val="22"/>
        </w:rPr>
      </w:pPr>
      <w:r>
        <w:rPr>
          <w:rFonts w:ascii="Arial" w:eastAsia="Arial" w:hAnsi="Arial" w:cs="Arial"/>
          <w:b/>
          <w:bCs/>
          <w:sz w:val="22"/>
          <w:szCs w:val="22"/>
        </w:rPr>
        <w:t>9.0 Policy Implications</w:t>
      </w:r>
    </w:p>
    <w:p w14:paraId="0000006E"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t>The presented results of this systematic review indicate that some policy implications are involved in ensuring sustainable agriculture with the help of AI and IoT technologies:</w:t>
      </w:r>
    </w:p>
    <w:p w14:paraId="0000006F"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t>1.</w:t>
      </w:r>
      <w:r>
        <w:rPr>
          <w:rFonts w:ascii="Arial" w:eastAsia="Arial" w:hAnsi="Arial" w:cs="Arial"/>
          <w:sz w:val="20"/>
          <w:szCs w:val="20"/>
        </w:rPr>
        <w:tab/>
      </w:r>
      <w:r>
        <w:rPr>
          <w:rFonts w:ascii="Arial" w:eastAsia="Arial" w:hAnsi="Arial" w:cs="Arial"/>
          <w:b/>
          <w:bCs/>
          <w:i/>
          <w:iCs/>
          <w:sz w:val="20"/>
          <w:szCs w:val="20"/>
        </w:rPr>
        <w:t>Infrastructure Development:</w:t>
      </w:r>
      <w:r>
        <w:rPr>
          <w:rFonts w:ascii="Arial" w:eastAsia="Arial" w:hAnsi="Arial" w:cs="Arial"/>
          <w:sz w:val="20"/>
          <w:szCs w:val="20"/>
        </w:rPr>
        <w:t xml:space="preserve"> Governments and development agencies should focus on rural digital infrastructure, such as good electricity, internet and mobile connections. This type of infrastructure constitutes the basis of the large-scale use of IoT sensors, AI analytics, and precision farming devices (World Bank, 2023).</w:t>
      </w:r>
    </w:p>
    <w:p w14:paraId="00000070"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t>2.</w:t>
      </w:r>
      <w:r>
        <w:rPr>
          <w:rFonts w:ascii="Arial" w:eastAsia="Arial" w:hAnsi="Arial" w:cs="Arial"/>
          <w:sz w:val="20"/>
          <w:szCs w:val="20"/>
        </w:rPr>
        <w:tab/>
      </w:r>
      <w:r>
        <w:rPr>
          <w:rFonts w:ascii="Arial" w:eastAsia="Arial" w:hAnsi="Arial" w:cs="Arial"/>
          <w:b/>
          <w:bCs/>
          <w:i/>
          <w:iCs/>
          <w:sz w:val="20"/>
          <w:szCs w:val="20"/>
        </w:rPr>
        <w:t>Fiscal Dollars and Grants:</w:t>
      </w:r>
      <w:r>
        <w:rPr>
          <w:rFonts w:ascii="Arial" w:eastAsia="Arial" w:hAnsi="Arial" w:cs="Arial"/>
          <w:sz w:val="20"/>
          <w:szCs w:val="20"/>
        </w:rPr>
        <w:t xml:space="preserve"> Policymakers ought to </w:t>
      </w:r>
      <w:proofErr w:type="spellStart"/>
      <w:r>
        <w:rPr>
          <w:rFonts w:ascii="Arial" w:eastAsia="Arial" w:hAnsi="Arial" w:cs="Arial"/>
          <w:sz w:val="20"/>
          <w:szCs w:val="20"/>
        </w:rPr>
        <w:t>subsidise</w:t>
      </w:r>
      <w:proofErr w:type="spellEnd"/>
      <w:r>
        <w:rPr>
          <w:rFonts w:ascii="Arial" w:eastAsia="Arial" w:hAnsi="Arial" w:cs="Arial"/>
          <w:sz w:val="20"/>
          <w:szCs w:val="20"/>
        </w:rPr>
        <w:t xml:space="preserve"> or offer loans at a low interest or grants to farmers - particularly small-scale farmers - to help break the banking barrier of obtaining and sustaining digital farming technologies. Scaling cost-effective solutions can also be involved in a public-private partnership.</w:t>
      </w:r>
    </w:p>
    <w:p w14:paraId="00000071"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t>3.</w:t>
      </w:r>
      <w:r>
        <w:rPr>
          <w:rFonts w:ascii="Arial" w:eastAsia="Arial" w:hAnsi="Arial" w:cs="Arial"/>
          <w:sz w:val="20"/>
          <w:szCs w:val="20"/>
        </w:rPr>
        <w:tab/>
      </w:r>
      <w:r>
        <w:rPr>
          <w:rFonts w:ascii="Arial" w:eastAsia="Arial" w:hAnsi="Arial" w:cs="Arial"/>
          <w:b/>
          <w:bCs/>
          <w:i/>
          <w:iCs/>
          <w:sz w:val="20"/>
          <w:szCs w:val="20"/>
        </w:rPr>
        <w:t>Capacity Building and Training:</w:t>
      </w:r>
      <w:r>
        <w:rPr>
          <w:rFonts w:ascii="Arial" w:eastAsia="Arial" w:hAnsi="Arial" w:cs="Arial"/>
          <w:sz w:val="20"/>
          <w:szCs w:val="20"/>
        </w:rPr>
        <w:t xml:space="preserve"> Digital literacy and AI/IoT applications training of farmers should be integrated into the digital training programs of national agricultural extension programs. </w:t>
      </w:r>
      <w:proofErr w:type="spellStart"/>
      <w:r>
        <w:rPr>
          <w:rFonts w:ascii="Arial" w:eastAsia="Arial" w:hAnsi="Arial" w:cs="Arial"/>
          <w:sz w:val="20"/>
          <w:szCs w:val="20"/>
        </w:rPr>
        <w:t>Localised</w:t>
      </w:r>
      <w:proofErr w:type="spellEnd"/>
      <w:r>
        <w:rPr>
          <w:rFonts w:ascii="Arial" w:eastAsia="Arial" w:hAnsi="Arial" w:cs="Arial"/>
          <w:sz w:val="20"/>
          <w:szCs w:val="20"/>
        </w:rPr>
        <w:t xml:space="preserve"> and participatory policies should be encouraged to make the tools culturally sensitive and user-friendliness (</w:t>
      </w:r>
      <w:proofErr w:type="spellStart"/>
      <w:r>
        <w:rPr>
          <w:rFonts w:ascii="Arial" w:eastAsia="Arial" w:hAnsi="Arial" w:cs="Arial"/>
          <w:sz w:val="20"/>
          <w:szCs w:val="20"/>
        </w:rPr>
        <w:t>Senoo</w:t>
      </w:r>
      <w:proofErr w:type="spellEnd"/>
      <w:r>
        <w:rPr>
          <w:rFonts w:ascii="Arial" w:eastAsia="Arial" w:hAnsi="Arial" w:cs="Arial"/>
          <w:sz w:val="20"/>
          <w:szCs w:val="20"/>
        </w:rPr>
        <w:t xml:space="preserve"> et al., 2024).</w:t>
      </w:r>
    </w:p>
    <w:p w14:paraId="00000072"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t>4.</w:t>
      </w:r>
      <w:r>
        <w:rPr>
          <w:rFonts w:ascii="Arial" w:eastAsia="Arial" w:hAnsi="Arial" w:cs="Arial"/>
          <w:sz w:val="20"/>
          <w:szCs w:val="20"/>
        </w:rPr>
        <w:tab/>
      </w:r>
      <w:r>
        <w:rPr>
          <w:rFonts w:ascii="Arial" w:eastAsia="Arial" w:hAnsi="Arial" w:cs="Arial"/>
          <w:b/>
          <w:bCs/>
          <w:i/>
          <w:iCs/>
          <w:sz w:val="20"/>
          <w:szCs w:val="20"/>
        </w:rPr>
        <w:t>Sustainability Regulations:</w:t>
      </w:r>
      <w:r>
        <w:rPr>
          <w:rFonts w:ascii="Arial" w:eastAsia="Arial" w:hAnsi="Arial" w:cs="Arial"/>
          <w:sz w:val="20"/>
          <w:szCs w:val="20"/>
        </w:rPr>
        <w:t xml:space="preserve"> The policies ought to promote the creation of energy-efficient and biodegradable Internet of Things equipment to limit the amount of e-waste and </w:t>
      </w:r>
      <w:proofErr w:type="spellStart"/>
      <w:r>
        <w:rPr>
          <w:rFonts w:ascii="Arial" w:eastAsia="Arial" w:hAnsi="Arial" w:cs="Arial"/>
          <w:sz w:val="20"/>
          <w:szCs w:val="20"/>
        </w:rPr>
        <w:t>minimise</w:t>
      </w:r>
      <w:proofErr w:type="spellEnd"/>
      <w:r>
        <w:rPr>
          <w:rFonts w:ascii="Arial" w:eastAsia="Arial" w:hAnsi="Arial" w:cs="Arial"/>
          <w:sz w:val="20"/>
          <w:szCs w:val="20"/>
        </w:rPr>
        <w:t xml:space="preserve"> carbon footprints. Data privacy, data ownership, and data sharing regulatory frameworks should exist, as they are required to develop trust and guarantee ethical application of agricultural data (Miller et al., 2025).</w:t>
      </w:r>
    </w:p>
    <w:p w14:paraId="00000073" w14:textId="77777777" w:rsidR="008F464C" w:rsidRDefault="00BC7F75">
      <w:pPr>
        <w:spacing w:after="0" w:line="276" w:lineRule="auto"/>
        <w:jc w:val="both"/>
        <w:rPr>
          <w:rFonts w:ascii="Arial" w:eastAsia="Arial" w:hAnsi="Arial" w:cs="Arial"/>
          <w:sz w:val="20"/>
          <w:szCs w:val="20"/>
        </w:rPr>
      </w:pPr>
      <w:r>
        <w:rPr>
          <w:rFonts w:ascii="Arial" w:eastAsia="Arial" w:hAnsi="Arial" w:cs="Arial"/>
          <w:sz w:val="20"/>
          <w:szCs w:val="20"/>
        </w:rPr>
        <w:t>5.</w:t>
      </w:r>
      <w:r>
        <w:rPr>
          <w:rFonts w:ascii="Arial" w:eastAsia="Arial" w:hAnsi="Arial" w:cs="Arial"/>
          <w:sz w:val="20"/>
          <w:szCs w:val="20"/>
        </w:rPr>
        <w:tab/>
      </w:r>
      <w:r>
        <w:rPr>
          <w:rFonts w:ascii="Arial" w:eastAsia="Arial" w:hAnsi="Arial" w:cs="Arial"/>
          <w:b/>
          <w:bCs/>
          <w:i/>
          <w:iCs/>
          <w:sz w:val="20"/>
          <w:szCs w:val="20"/>
        </w:rPr>
        <w:t>Research and Innovation Support:</w:t>
      </w:r>
      <w:r>
        <w:rPr>
          <w:rFonts w:ascii="Arial" w:eastAsia="Arial" w:hAnsi="Arial" w:cs="Arial"/>
          <w:sz w:val="20"/>
          <w:szCs w:val="20"/>
        </w:rPr>
        <w:t xml:space="preserve"> Governments ought to fund research projects to determine the environmental, economic and social effects of smart agriculture. The innovation policy on climate-resilient AI and IoT solutions can speed up the usage of technologies that increase productivity and sustainability (FAO, 2023).</w:t>
      </w:r>
    </w:p>
    <w:p w14:paraId="30E12FD7" w14:textId="77777777" w:rsidR="009F1123" w:rsidRDefault="009F1123">
      <w:pPr>
        <w:spacing w:after="0" w:line="276" w:lineRule="auto"/>
        <w:jc w:val="both"/>
        <w:rPr>
          <w:rFonts w:ascii="Arial" w:eastAsia="Arial" w:hAnsi="Arial" w:cs="Arial"/>
          <w:sz w:val="20"/>
          <w:szCs w:val="20"/>
        </w:rPr>
      </w:pPr>
    </w:p>
    <w:p w14:paraId="5C830A7D" w14:textId="77777777" w:rsidR="009F1123" w:rsidRDefault="009F1123">
      <w:pPr>
        <w:spacing w:after="0" w:line="276" w:lineRule="auto"/>
        <w:jc w:val="both"/>
        <w:rPr>
          <w:rFonts w:ascii="Arial" w:eastAsia="Arial" w:hAnsi="Arial" w:cs="Arial"/>
          <w:sz w:val="20"/>
          <w:szCs w:val="20"/>
        </w:rPr>
      </w:pPr>
    </w:p>
    <w:p w14:paraId="7FA29870" w14:textId="77777777" w:rsidR="009F1123" w:rsidRPr="009F1123" w:rsidRDefault="009F1123" w:rsidP="009F1123">
      <w:pPr>
        <w:spacing w:after="0" w:line="276" w:lineRule="auto"/>
        <w:jc w:val="both"/>
        <w:rPr>
          <w:rFonts w:ascii="Arial" w:eastAsia="Arial" w:hAnsi="Arial" w:cs="Arial"/>
          <w:sz w:val="20"/>
          <w:szCs w:val="20"/>
        </w:rPr>
      </w:pPr>
      <w:r w:rsidRPr="009F1123">
        <w:rPr>
          <w:rFonts w:ascii="Arial" w:eastAsia="Arial" w:hAnsi="Arial" w:cs="Arial"/>
          <w:sz w:val="20"/>
          <w:szCs w:val="20"/>
        </w:rPr>
        <w:t>COMPETING INTERESTS DISCLAIMER:</w:t>
      </w:r>
    </w:p>
    <w:p w14:paraId="0133D2E9" w14:textId="1BBF0D1B" w:rsidR="009F1123" w:rsidRDefault="009F1123" w:rsidP="009F1123">
      <w:pPr>
        <w:spacing w:after="0" w:line="276" w:lineRule="auto"/>
        <w:jc w:val="both"/>
        <w:rPr>
          <w:rFonts w:ascii="Arial" w:eastAsia="Arial" w:hAnsi="Arial" w:cs="Arial"/>
          <w:sz w:val="20"/>
          <w:szCs w:val="20"/>
          <w:highlight w:val="yellow"/>
        </w:rPr>
      </w:pPr>
      <w:r w:rsidRPr="009F1123">
        <w:rPr>
          <w:rFonts w:ascii="Arial" w:eastAsia="Arial" w:hAnsi="Arial" w:cs="Arial"/>
          <w:sz w:val="20"/>
          <w:szCs w:val="20"/>
        </w:rPr>
        <w:lastRenderedPageBreak/>
        <w:t>Authors have declared that they have no known competing financial interests OR non-financial interests OR personal relationships that could have appeared to influence the work reported in this paper.</w:t>
      </w:r>
    </w:p>
    <w:p w14:paraId="00000074" w14:textId="77777777" w:rsidR="008F464C" w:rsidRDefault="008F464C">
      <w:pPr>
        <w:spacing w:line="276" w:lineRule="auto"/>
        <w:jc w:val="both"/>
        <w:rPr>
          <w:rFonts w:ascii="Arial" w:eastAsia="Arial" w:hAnsi="Arial" w:cs="Arial"/>
          <w:sz w:val="20"/>
          <w:szCs w:val="20"/>
          <w:highlight w:val="yellow"/>
        </w:rPr>
      </w:pPr>
    </w:p>
    <w:p w14:paraId="00000075" w14:textId="77777777" w:rsidR="008F464C" w:rsidRDefault="00BC7F75">
      <w:pPr>
        <w:spacing w:after="0" w:line="276" w:lineRule="auto"/>
        <w:jc w:val="both"/>
        <w:rPr>
          <w:rFonts w:ascii="Arial" w:eastAsia="Arial" w:hAnsi="Arial" w:cs="Arial"/>
          <w:b/>
          <w:bCs/>
          <w:sz w:val="22"/>
          <w:szCs w:val="22"/>
        </w:rPr>
      </w:pPr>
      <w:r>
        <w:rPr>
          <w:rFonts w:ascii="Arial" w:eastAsia="Arial" w:hAnsi="Arial" w:cs="Arial"/>
          <w:b/>
          <w:bCs/>
          <w:sz w:val="22"/>
          <w:szCs w:val="22"/>
        </w:rPr>
        <w:t>References</w:t>
      </w:r>
    </w:p>
    <w:p w14:paraId="00000076" w14:textId="77777777" w:rsidR="008F464C" w:rsidRDefault="008F464C">
      <w:pPr>
        <w:spacing w:after="0" w:line="276" w:lineRule="auto"/>
        <w:jc w:val="both"/>
        <w:rPr>
          <w:rFonts w:ascii="Arial" w:eastAsia="Arial" w:hAnsi="Arial" w:cs="Arial"/>
          <w:sz w:val="20"/>
          <w:szCs w:val="20"/>
          <w:highlight w:val="yellow"/>
        </w:rPr>
      </w:pPr>
    </w:p>
    <w:p w14:paraId="00000077" w14:textId="24D80B9B"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 xml:space="preserve">Abdulai, I. A., Osei-Amponsah, C., &amp; Ahmed, A. (2025). Urban agriculture-climate change-food security nexus: does climate-smart agriculture offer </w:t>
      </w:r>
      <w:proofErr w:type="gramStart"/>
      <w:r w:rsidRPr="00BC7F75">
        <w:rPr>
          <w:rFonts w:ascii="Arial" w:eastAsia="Arial" w:hAnsi="Arial" w:cs="Arial"/>
          <w:color w:val="000000"/>
          <w:sz w:val="20"/>
          <w:szCs w:val="20"/>
          <w:highlight w:val="white"/>
        </w:rPr>
        <w:t>hope?.</w:t>
      </w:r>
      <w:proofErr w:type="gramEnd"/>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SN Social Sciences</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5</w:t>
      </w:r>
      <w:r w:rsidRPr="00BC7F75">
        <w:rPr>
          <w:rFonts w:ascii="Arial" w:eastAsia="Arial" w:hAnsi="Arial" w:cs="Arial"/>
          <w:color w:val="000000"/>
          <w:sz w:val="20"/>
          <w:szCs w:val="20"/>
          <w:highlight w:val="white"/>
        </w:rPr>
        <w:t>(7), 91.</w:t>
      </w:r>
      <w:r w:rsidR="000A6967" w:rsidRPr="00BC7F75">
        <w:rPr>
          <w:rFonts w:ascii="Arial" w:eastAsia="Arial" w:hAnsi="Arial" w:cs="Arial"/>
          <w:color w:val="000000"/>
          <w:sz w:val="20"/>
          <w:szCs w:val="20"/>
          <w:highlight w:val="white"/>
        </w:rPr>
        <w:t xml:space="preserve"> </w:t>
      </w:r>
      <w:r w:rsidR="000A6967" w:rsidRPr="00BC7F75">
        <w:rPr>
          <w:rFonts w:ascii="Arial" w:eastAsia="Arial" w:hAnsi="Arial" w:cs="Arial"/>
          <w:color w:val="000000"/>
          <w:sz w:val="20"/>
          <w:szCs w:val="20"/>
          <w:highlight w:val="white"/>
          <w:lang w:val="en-US"/>
        </w:rPr>
        <w:t>https://doi.org/10.1007/s43545-025-01125-6</w:t>
      </w:r>
    </w:p>
    <w:p w14:paraId="00000078" w14:textId="13222657"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Agarwala, C., Jemaneh, J., &amp; Kassie, Y. (2022). Government policies and sustainable food systems: Navigating challenges, seizing opportunities, and advancing environmental and social resilience. </w:t>
      </w:r>
      <w:r w:rsidRPr="00BC7F75">
        <w:rPr>
          <w:rFonts w:ascii="Arial" w:eastAsia="Arial" w:hAnsi="Arial" w:cs="Arial"/>
          <w:i/>
          <w:iCs/>
          <w:color w:val="000000"/>
          <w:sz w:val="20"/>
          <w:szCs w:val="20"/>
          <w:highlight w:val="white"/>
        </w:rPr>
        <w:t>Law and Economics</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16</w:t>
      </w:r>
      <w:r w:rsidRPr="00BC7F75">
        <w:rPr>
          <w:rFonts w:ascii="Arial" w:eastAsia="Arial" w:hAnsi="Arial" w:cs="Arial"/>
          <w:color w:val="000000"/>
          <w:sz w:val="20"/>
          <w:szCs w:val="20"/>
          <w:highlight w:val="white"/>
        </w:rPr>
        <w:t>(2), 88-102.</w:t>
      </w:r>
      <w:r w:rsidR="000A6967" w:rsidRPr="00BC7F75">
        <w:rPr>
          <w:rFonts w:ascii="Arial" w:eastAsia="Arial" w:hAnsi="Arial" w:cs="Arial"/>
          <w:color w:val="000000"/>
          <w:sz w:val="20"/>
          <w:szCs w:val="20"/>
          <w:highlight w:val="white"/>
        </w:rPr>
        <w:t xml:space="preserve"> </w:t>
      </w:r>
      <w:r w:rsidR="000A6967" w:rsidRPr="00BC7F75">
        <w:rPr>
          <w:rFonts w:ascii="Arial" w:eastAsia="Arial" w:hAnsi="Arial" w:cs="Arial"/>
          <w:color w:val="000000"/>
          <w:sz w:val="20"/>
          <w:szCs w:val="20"/>
          <w:highlight w:val="white"/>
          <w:lang w:val="en-US"/>
        </w:rPr>
        <w:t>https://doi.org/10.35335/laweco.v16i2.53</w:t>
      </w:r>
    </w:p>
    <w:p w14:paraId="00000079" w14:textId="3D962003" w:rsidR="008F464C" w:rsidRPr="00BC7F75" w:rsidRDefault="00BC7F75" w:rsidP="00BC7F75">
      <w:pPr>
        <w:ind w:left="360"/>
        <w:jc w:val="both"/>
        <w:rPr>
          <w:rFonts w:ascii="Arial" w:eastAsia="Arial" w:hAnsi="Arial" w:cs="Arial"/>
          <w:color w:val="000000"/>
          <w:sz w:val="20"/>
          <w:szCs w:val="20"/>
          <w:highlight w:val="white"/>
        </w:rPr>
      </w:pPr>
      <w:proofErr w:type="spellStart"/>
      <w:r w:rsidRPr="00BC7F75">
        <w:rPr>
          <w:rFonts w:ascii="Arial" w:eastAsia="Arial" w:hAnsi="Arial" w:cs="Arial"/>
          <w:color w:val="000000"/>
          <w:sz w:val="20"/>
          <w:szCs w:val="20"/>
          <w:highlight w:val="white"/>
        </w:rPr>
        <w:t>Agrimonti</w:t>
      </w:r>
      <w:proofErr w:type="spellEnd"/>
      <w:r w:rsidRPr="00BC7F75">
        <w:rPr>
          <w:rFonts w:ascii="Arial" w:eastAsia="Arial" w:hAnsi="Arial" w:cs="Arial"/>
          <w:color w:val="000000"/>
          <w:sz w:val="20"/>
          <w:szCs w:val="20"/>
          <w:highlight w:val="white"/>
        </w:rPr>
        <w:t xml:space="preserve">, C., Lauro, M., &amp; </w:t>
      </w:r>
      <w:proofErr w:type="spellStart"/>
      <w:r w:rsidRPr="00BC7F75">
        <w:rPr>
          <w:rFonts w:ascii="Arial" w:eastAsia="Arial" w:hAnsi="Arial" w:cs="Arial"/>
          <w:color w:val="000000"/>
          <w:sz w:val="20"/>
          <w:szCs w:val="20"/>
          <w:highlight w:val="white"/>
        </w:rPr>
        <w:t>Visioli</w:t>
      </w:r>
      <w:proofErr w:type="spellEnd"/>
      <w:r w:rsidRPr="00BC7F75">
        <w:rPr>
          <w:rFonts w:ascii="Arial" w:eastAsia="Arial" w:hAnsi="Arial" w:cs="Arial"/>
          <w:color w:val="000000"/>
          <w:sz w:val="20"/>
          <w:szCs w:val="20"/>
          <w:highlight w:val="white"/>
        </w:rPr>
        <w:t>, G. (2021). Smart agriculture for food quality: facing climate change in the 21st century. </w:t>
      </w:r>
      <w:r w:rsidRPr="00BC7F75">
        <w:rPr>
          <w:rFonts w:ascii="Arial" w:eastAsia="Arial" w:hAnsi="Arial" w:cs="Arial"/>
          <w:i/>
          <w:iCs/>
          <w:color w:val="000000"/>
          <w:sz w:val="20"/>
          <w:szCs w:val="20"/>
          <w:highlight w:val="white"/>
        </w:rPr>
        <w:t>Critical reviews in food science and nutrition</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61</w:t>
      </w:r>
      <w:r w:rsidRPr="00BC7F75">
        <w:rPr>
          <w:rFonts w:ascii="Arial" w:eastAsia="Arial" w:hAnsi="Arial" w:cs="Arial"/>
          <w:color w:val="000000"/>
          <w:sz w:val="20"/>
          <w:szCs w:val="20"/>
          <w:highlight w:val="white"/>
        </w:rPr>
        <w:t>(6), 971-981.</w:t>
      </w:r>
      <w:r w:rsidR="000A6967" w:rsidRPr="00BC7F75">
        <w:rPr>
          <w:rFonts w:ascii="Arial" w:eastAsia="Arial" w:hAnsi="Arial" w:cs="Arial"/>
          <w:color w:val="000000"/>
          <w:sz w:val="20"/>
          <w:szCs w:val="20"/>
          <w:highlight w:val="white"/>
        </w:rPr>
        <w:t xml:space="preserve"> </w:t>
      </w:r>
      <w:r w:rsidR="000A6967" w:rsidRPr="00BC7F75">
        <w:rPr>
          <w:rFonts w:ascii="Arial" w:eastAsia="Arial" w:hAnsi="Arial" w:cs="Arial"/>
          <w:color w:val="000000"/>
          <w:sz w:val="20"/>
          <w:szCs w:val="20"/>
          <w:highlight w:val="white"/>
          <w:lang w:val="en-US"/>
        </w:rPr>
        <w:t>https://doi.org/10.1080/10408398.2020.1749555</w:t>
      </w:r>
    </w:p>
    <w:p w14:paraId="0000007A" w14:textId="1DB44297"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 xml:space="preserve">Ahmadi, S., </w:t>
      </w:r>
      <w:proofErr w:type="spellStart"/>
      <w:r w:rsidRPr="00BC7F75">
        <w:rPr>
          <w:rFonts w:ascii="Arial" w:eastAsia="Arial" w:hAnsi="Arial" w:cs="Arial"/>
          <w:color w:val="000000"/>
          <w:sz w:val="20"/>
          <w:szCs w:val="20"/>
          <w:highlight w:val="white"/>
        </w:rPr>
        <w:t>Amendolagine</w:t>
      </w:r>
      <w:proofErr w:type="spellEnd"/>
      <w:r w:rsidRPr="00BC7F75">
        <w:rPr>
          <w:rFonts w:ascii="Arial" w:eastAsia="Arial" w:hAnsi="Arial" w:cs="Arial"/>
          <w:color w:val="000000"/>
          <w:sz w:val="20"/>
          <w:szCs w:val="20"/>
          <w:highlight w:val="white"/>
        </w:rPr>
        <w:t xml:space="preserve">, V., &amp; </w:t>
      </w:r>
      <w:proofErr w:type="spellStart"/>
      <w:r w:rsidRPr="00BC7F75">
        <w:rPr>
          <w:rFonts w:ascii="Arial" w:eastAsia="Arial" w:hAnsi="Arial" w:cs="Arial"/>
          <w:color w:val="000000"/>
          <w:sz w:val="20"/>
          <w:szCs w:val="20"/>
          <w:highlight w:val="white"/>
        </w:rPr>
        <w:t>LaSala</w:t>
      </w:r>
      <w:proofErr w:type="spellEnd"/>
      <w:r w:rsidRPr="00BC7F75">
        <w:rPr>
          <w:rFonts w:ascii="Arial" w:eastAsia="Arial" w:hAnsi="Arial" w:cs="Arial"/>
          <w:color w:val="000000"/>
          <w:sz w:val="20"/>
          <w:szCs w:val="20"/>
          <w:highlight w:val="white"/>
        </w:rPr>
        <w:t>, P. (2025). Unpacking the impacts of digitalization of knowledge transfer in agri-food sector, through sociotechnical systems theory: a systematic literature review. </w:t>
      </w:r>
      <w:r w:rsidRPr="00BC7F75">
        <w:rPr>
          <w:rFonts w:ascii="Arial" w:eastAsia="Arial" w:hAnsi="Arial" w:cs="Arial"/>
          <w:i/>
          <w:iCs/>
          <w:color w:val="000000"/>
          <w:sz w:val="20"/>
          <w:szCs w:val="20"/>
          <w:highlight w:val="white"/>
        </w:rPr>
        <w:t>Agricultural and Food Economics</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13</w:t>
      </w:r>
      <w:r w:rsidRPr="00BC7F75">
        <w:rPr>
          <w:rFonts w:ascii="Arial" w:eastAsia="Arial" w:hAnsi="Arial" w:cs="Arial"/>
          <w:color w:val="000000"/>
          <w:sz w:val="20"/>
          <w:szCs w:val="20"/>
          <w:highlight w:val="white"/>
        </w:rPr>
        <w:t>(1), 51.</w:t>
      </w:r>
      <w:r w:rsidR="000A6967" w:rsidRPr="00BC7F75">
        <w:rPr>
          <w:rFonts w:ascii="Arial" w:eastAsia="Arial" w:hAnsi="Arial" w:cs="Arial"/>
          <w:color w:val="000000"/>
          <w:sz w:val="20"/>
          <w:szCs w:val="20"/>
          <w:highlight w:val="white"/>
        </w:rPr>
        <w:t xml:space="preserve"> </w:t>
      </w:r>
      <w:r w:rsidR="000A6967" w:rsidRPr="00BC7F75">
        <w:rPr>
          <w:rFonts w:ascii="Arial" w:eastAsia="Arial" w:hAnsi="Arial" w:cs="Arial"/>
          <w:color w:val="000000"/>
          <w:sz w:val="20"/>
          <w:szCs w:val="20"/>
          <w:highlight w:val="white"/>
          <w:lang w:val="en-US"/>
        </w:rPr>
        <w:t>https://doi.org/10.1186/s40100-025-00393-3</w:t>
      </w:r>
    </w:p>
    <w:p w14:paraId="0000007B" w14:textId="4DE030A5"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Ahmed, N., &amp; Shakoor, N. (2025). Advancing agriculture through IoT, Big Data, and AI: a review of smart technologies enabling sustainability. </w:t>
      </w:r>
      <w:r w:rsidRPr="00BC7F75">
        <w:rPr>
          <w:rFonts w:ascii="Arial" w:eastAsia="Arial" w:hAnsi="Arial" w:cs="Arial"/>
          <w:i/>
          <w:iCs/>
          <w:color w:val="000000"/>
          <w:sz w:val="20"/>
          <w:szCs w:val="20"/>
          <w:highlight w:val="white"/>
        </w:rPr>
        <w:t>Smart Agricultural Technology</w:t>
      </w:r>
      <w:r w:rsidRPr="00BC7F75">
        <w:rPr>
          <w:rFonts w:ascii="Arial" w:eastAsia="Arial" w:hAnsi="Arial" w:cs="Arial"/>
          <w:color w:val="000000"/>
          <w:sz w:val="20"/>
          <w:szCs w:val="20"/>
          <w:highlight w:val="white"/>
        </w:rPr>
        <w:t>, 100848.</w:t>
      </w:r>
      <w:r w:rsidR="000A6967" w:rsidRPr="00BC7F75">
        <w:rPr>
          <w:rFonts w:ascii="Arial" w:eastAsia="Arial" w:hAnsi="Arial" w:cs="Arial"/>
          <w:color w:val="000000"/>
          <w:sz w:val="20"/>
          <w:szCs w:val="20"/>
          <w:highlight w:val="white"/>
        </w:rPr>
        <w:t xml:space="preserve"> </w:t>
      </w:r>
      <w:r w:rsidR="000A6967" w:rsidRPr="00BC7F75">
        <w:rPr>
          <w:rFonts w:ascii="Arial" w:eastAsia="Arial" w:hAnsi="Arial" w:cs="Arial"/>
          <w:color w:val="000000"/>
          <w:sz w:val="20"/>
          <w:szCs w:val="20"/>
          <w:highlight w:val="white"/>
          <w:lang w:val="en-US"/>
        </w:rPr>
        <w:t>https://doi.org/10.1016/j.atech.2025.100848</w:t>
      </w:r>
    </w:p>
    <w:p w14:paraId="0000007C" w14:textId="50F85693"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 xml:space="preserve">Ahmed, R. A., </w:t>
      </w:r>
      <w:proofErr w:type="spellStart"/>
      <w:r w:rsidRPr="00BC7F75">
        <w:rPr>
          <w:rFonts w:ascii="Arial" w:eastAsia="Arial" w:hAnsi="Arial" w:cs="Arial"/>
          <w:color w:val="000000"/>
          <w:sz w:val="20"/>
          <w:szCs w:val="20"/>
          <w:highlight w:val="white"/>
        </w:rPr>
        <w:t>Hemdan</w:t>
      </w:r>
      <w:proofErr w:type="spellEnd"/>
      <w:r w:rsidRPr="00BC7F75">
        <w:rPr>
          <w:rFonts w:ascii="Arial" w:eastAsia="Arial" w:hAnsi="Arial" w:cs="Arial"/>
          <w:color w:val="000000"/>
          <w:sz w:val="20"/>
          <w:szCs w:val="20"/>
          <w:highlight w:val="white"/>
        </w:rPr>
        <w:t>, E. E. D., El</w:t>
      </w:r>
      <w:r w:rsidRPr="00BC7F75">
        <w:rPr>
          <w:rFonts w:ascii="Cambria Math" w:eastAsia="Cambria Math" w:hAnsi="Cambria Math" w:cs="Cambria Math"/>
          <w:color w:val="000000"/>
          <w:sz w:val="20"/>
          <w:szCs w:val="20"/>
          <w:highlight w:val="white"/>
        </w:rPr>
        <w:t>‐</w:t>
      </w:r>
      <w:r w:rsidRPr="00BC7F75">
        <w:rPr>
          <w:rFonts w:ascii="Arial" w:eastAsia="Arial" w:hAnsi="Arial" w:cs="Arial"/>
          <w:color w:val="000000"/>
          <w:sz w:val="20"/>
          <w:szCs w:val="20"/>
          <w:highlight w:val="white"/>
        </w:rPr>
        <w:t>Shafai, W., Ahmed, Z. A., El</w:t>
      </w:r>
      <w:r w:rsidRPr="00BC7F75">
        <w:rPr>
          <w:rFonts w:ascii="Cambria Math" w:eastAsia="Cambria Math" w:hAnsi="Cambria Math" w:cs="Cambria Math"/>
          <w:color w:val="000000"/>
          <w:sz w:val="20"/>
          <w:szCs w:val="20"/>
          <w:highlight w:val="white"/>
        </w:rPr>
        <w:t>‐</w:t>
      </w:r>
      <w:proofErr w:type="spellStart"/>
      <w:r w:rsidRPr="00BC7F75">
        <w:rPr>
          <w:rFonts w:ascii="Arial" w:eastAsia="Arial" w:hAnsi="Arial" w:cs="Arial"/>
          <w:color w:val="000000"/>
          <w:sz w:val="20"/>
          <w:szCs w:val="20"/>
          <w:highlight w:val="white"/>
        </w:rPr>
        <w:t>Rabaie</w:t>
      </w:r>
      <w:proofErr w:type="spellEnd"/>
      <w:r w:rsidRPr="00BC7F75">
        <w:rPr>
          <w:rFonts w:ascii="Arial" w:eastAsia="Arial" w:hAnsi="Arial" w:cs="Arial"/>
          <w:color w:val="000000"/>
          <w:sz w:val="20"/>
          <w:szCs w:val="20"/>
          <w:highlight w:val="white"/>
        </w:rPr>
        <w:t>, E. S. M., &amp; Abd El</w:t>
      </w:r>
      <w:r w:rsidRPr="00BC7F75">
        <w:rPr>
          <w:rFonts w:ascii="Cambria Math" w:eastAsia="Cambria Math" w:hAnsi="Cambria Math" w:cs="Cambria Math"/>
          <w:color w:val="000000"/>
          <w:sz w:val="20"/>
          <w:szCs w:val="20"/>
          <w:highlight w:val="white"/>
        </w:rPr>
        <w:t>‐</w:t>
      </w:r>
      <w:r w:rsidRPr="00BC7F75">
        <w:rPr>
          <w:rFonts w:ascii="Arial" w:eastAsia="Arial" w:hAnsi="Arial" w:cs="Arial"/>
          <w:color w:val="000000"/>
          <w:sz w:val="20"/>
          <w:szCs w:val="20"/>
          <w:highlight w:val="white"/>
        </w:rPr>
        <w:t>Samie, F. E. (2022). Climate</w:t>
      </w:r>
      <w:r w:rsidRPr="00BC7F75">
        <w:rPr>
          <w:rFonts w:ascii="Cambria Math" w:eastAsia="Cambria Math" w:hAnsi="Cambria Math" w:cs="Cambria Math"/>
          <w:color w:val="000000"/>
          <w:sz w:val="20"/>
          <w:szCs w:val="20"/>
          <w:highlight w:val="white"/>
        </w:rPr>
        <w:t>‐</w:t>
      </w:r>
      <w:r w:rsidRPr="00BC7F75">
        <w:rPr>
          <w:rFonts w:ascii="Arial" w:eastAsia="Arial" w:hAnsi="Arial" w:cs="Arial"/>
          <w:color w:val="000000"/>
          <w:sz w:val="20"/>
          <w:szCs w:val="20"/>
          <w:highlight w:val="white"/>
        </w:rPr>
        <w:t>smart agriculture using intelligent techniques, blockchain and Internet of Things: Concepts, challenges, and opportunities. </w:t>
      </w:r>
      <w:r w:rsidRPr="00BC7F75">
        <w:rPr>
          <w:rFonts w:ascii="Arial" w:eastAsia="Arial" w:hAnsi="Arial" w:cs="Arial"/>
          <w:i/>
          <w:iCs/>
          <w:color w:val="000000"/>
          <w:sz w:val="20"/>
          <w:szCs w:val="20"/>
          <w:highlight w:val="white"/>
        </w:rPr>
        <w:t>Transactions on Emerging Telecommunications Technologies</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33</w:t>
      </w:r>
      <w:r w:rsidRPr="00BC7F75">
        <w:rPr>
          <w:rFonts w:ascii="Arial" w:eastAsia="Arial" w:hAnsi="Arial" w:cs="Arial"/>
          <w:color w:val="000000"/>
          <w:sz w:val="20"/>
          <w:szCs w:val="20"/>
          <w:highlight w:val="white"/>
        </w:rPr>
        <w:t>(11), e4607.</w:t>
      </w:r>
      <w:r w:rsidR="000A6967" w:rsidRPr="00BC7F75">
        <w:rPr>
          <w:rFonts w:ascii="Arial" w:eastAsia="Arial" w:hAnsi="Arial" w:cs="Arial"/>
          <w:color w:val="000000"/>
          <w:sz w:val="20"/>
          <w:szCs w:val="20"/>
          <w:highlight w:val="white"/>
        </w:rPr>
        <w:t xml:space="preserve"> </w:t>
      </w:r>
      <w:r w:rsidR="000A6967" w:rsidRPr="00BC7F75">
        <w:rPr>
          <w:rFonts w:ascii="Arial" w:eastAsia="Arial" w:hAnsi="Arial" w:cs="Arial"/>
          <w:color w:val="000000"/>
          <w:sz w:val="20"/>
          <w:szCs w:val="20"/>
          <w:highlight w:val="white"/>
          <w:lang w:val="en-US"/>
        </w:rPr>
        <w:t>https://doi.org/10.1002/ett.4607</w:t>
      </w:r>
    </w:p>
    <w:p w14:paraId="0000007D" w14:textId="53B7FEA6"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 xml:space="preserve">Alam, M. W., Junaid, P. M., Gulzar, Y., Abebe, B., Awad, M., &amp; Quazi, S. A. (2024). Advancing agriculture with functional </w:t>
      </w:r>
      <w:proofErr w:type="spellStart"/>
      <w:proofErr w:type="gramStart"/>
      <w:r w:rsidRPr="00BC7F75">
        <w:rPr>
          <w:rFonts w:ascii="Arial" w:eastAsia="Arial" w:hAnsi="Arial" w:cs="Arial"/>
          <w:color w:val="000000"/>
          <w:sz w:val="20"/>
          <w:szCs w:val="20"/>
          <w:highlight w:val="white"/>
        </w:rPr>
        <w:t>NM:“</w:t>
      </w:r>
      <w:proofErr w:type="gramEnd"/>
      <w:r w:rsidRPr="00BC7F75">
        <w:rPr>
          <w:rFonts w:ascii="Arial" w:eastAsia="Arial" w:hAnsi="Arial" w:cs="Arial"/>
          <w:color w:val="000000"/>
          <w:sz w:val="20"/>
          <w:szCs w:val="20"/>
          <w:highlight w:val="white"/>
        </w:rPr>
        <w:t>pathways</w:t>
      </w:r>
      <w:proofErr w:type="spellEnd"/>
      <w:r w:rsidRPr="00BC7F75">
        <w:rPr>
          <w:rFonts w:ascii="Arial" w:eastAsia="Arial" w:hAnsi="Arial" w:cs="Arial"/>
          <w:color w:val="000000"/>
          <w:sz w:val="20"/>
          <w:szCs w:val="20"/>
          <w:highlight w:val="white"/>
        </w:rPr>
        <w:t xml:space="preserve"> to sustainable and smart farming technologies”. </w:t>
      </w:r>
      <w:r w:rsidRPr="00BC7F75">
        <w:rPr>
          <w:rFonts w:ascii="Arial" w:eastAsia="Arial" w:hAnsi="Arial" w:cs="Arial"/>
          <w:i/>
          <w:iCs/>
          <w:color w:val="000000"/>
          <w:sz w:val="20"/>
          <w:szCs w:val="20"/>
          <w:highlight w:val="white"/>
        </w:rPr>
        <w:t>Discover Nano</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19</w:t>
      </w:r>
      <w:r w:rsidRPr="00BC7F75">
        <w:rPr>
          <w:rFonts w:ascii="Arial" w:eastAsia="Arial" w:hAnsi="Arial" w:cs="Arial"/>
          <w:color w:val="000000"/>
          <w:sz w:val="20"/>
          <w:szCs w:val="20"/>
          <w:highlight w:val="white"/>
        </w:rPr>
        <w:t>(1), 197.</w:t>
      </w:r>
      <w:r w:rsidR="000A6967" w:rsidRPr="00BC7F75">
        <w:rPr>
          <w:rFonts w:ascii="Arial" w:eastAsia="Arial" w:hAnsi="Arial" w:cs="Arial"/>
          <w:color w:val="000000"/>
          <w:sz w:val="20"/>
          <w:szCs w:val="20"/>
          <w:highlight w:val="white"/>
        </w:rPr>
        <w:t xml:space="preserve"> </w:t>
      </w:r>
      <w:r w:rsidR="000A6967" w:rsidRPr="00BC7F75">
        <w:rPr>
          <w:rFonts w:ascii="Arial" w:eastAsia="Arial" w:hAnsi="Arial" w:cs="Arial"/>
          <w:color w:val="000000"/>
          <w:sz w:val="20"/>
          <w:szCs w:val="20"/>
          <w:highlight w:val="white"/>
          <w:lang w:val="en-US"/>
        </w:rPr>
        <w:t>https://doi.org/10.1186/s11671-024-04144-z</w:t>
      </w:r>
    </w:p>
    <w:p w14:paraId="0000007E" w14:textId="251A6038"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 xml:space="preserve">Aneke, A. O., </w:t>
      </w:r>
      <w:proofErr w:type="spellStart"/>
      <w:r w:rsidRPr="00BC7F75">
        <w:rPr>
          <w:rFonts w:ascii="Arial" w:eastAsia="Arial" w:hAnsi="Arial" w:cs="Arial"/>
          <w:color w:val="000000"/>
          <w:sz w:val="20"/>
          <w:szCs w:val="20"/>
          <w:highlight w:val="white"/>
        </w:rPr>
        <w:t>Okadi</w:t>
      </w:r>
      <w:proofErr w:type="spellEnd"/>
      <w:r w:rsidRPr="00BC7F75">
        <w:rPr>
          <w:rFonts w:ascii="Arial" w:eastAsia="Arial" w:hAnsi="Arial" w:cs="Arial"/>
          <w:color w:val="000000"/>
          <w:sz w:val="20"/>
          <w:szCs w:val="20"/>
          <w:highlight w:val="white"/>
        </w:rPr>
        <w:t xml:space="preserve">, A. O., &amp; </w:t>
      </w:r>
      <w:proofErr w:type="spellStart"/>
      <w:r w:rsidRPr="00BC7F75">
        <w:rPr>
          <w:rFonts w:ascii="Arial" w:eastAsia="Arial" w:hAnsi="Arial" w:cs="Arial"/>
          <w:color w:val="000000"/>
          <w:sz w:val="20"/>
          <w:szCs w:val="20"/>
          <w:highlight w:val="white"/>
        </w:rPr>
        <w:t>Onoh</w:t>
      </w:r>
      <w:proofErr w:type="spellEnd"/>
      <w:r w:rsidRPr="00BC7F75">
        <w:rPr>
          <w:rFonts w:ascii="Arial" w:eastAsia="Arial" w:hAnsi="Arial" w:cs="Arial"/>
          <w:color w:val="000000"/>
          <w:sz w:val="20"/>
          <w:szCs w:val="20"/>
          <w:highlight w:val="white"/>
        </w:rPr>
        <w:t>, O. C. (2025). Smart farming techniques in promoting sustainable food production for global competitiveness. </w:t>
      </w:r>
      <w:r w:rsidRPr="00BC7F75">
        <w:rPr>
          <w:rFonts w:ascii="Arial" w:eastAsia="Arial" w:hAnsi="Arial" w:cs="Arial"/>
          <w:i/>
          <w:iCs/>
          <w:color w:val="000000"/>
          <w:sz w:val="20"/>
          <w:szCs w:val="20"/>
          <w:highlight w:val="white"/>
        </w:rPr>
        <w:t>International Journal of Agricultural Education &amp; Research, 3 (1) 78</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101</w:t>
      </w:r>
      <w:r w:rsidRPr="00BC7F75">
        <w:rPr>
          <w:rFonts w:ascii="Arial" w:eastAsia="Arial" w:hAnsi="Arial" w:cs="Arial"/>
          <w:color w:val="000000"/>
          <w:sz w:val="20"/>
          <w:szCs w:val="20"/>
          <w:highlight w:val="white"/>
        </w:rPr>
        <w:t>, 2-79.</w:t>
      </w:r>
      <w:r w:rsidR="000A6967" w:rsidRPr="00BC7F75">
        <w:rPr>
          <w:rFonts w:ascii="Arial" w:eastAsia="Arial" w:hAnsi="Arial" w:cs="Arial"/>
          <w:color w:val="000000"/>
          <w:sz w:val="20"/>
          <w:szCs w:val="20"/>
          <w:highlight w:val="white"/>
        </w:rPr>
        <w:t xml:space="preserve"> </w:t>
      </w:r>
    </w:p>
    <w:p w14:paraId="0000007F" w14:textId="7A69D2B5"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 xml:space="preserve">Bahari, M., Arpaci, I., Der, O., Akkoyun, F., &amp; </w:t>
      </w:r>
      <w:proofErr w:type="spellStart"/>
      <w:r w:rsidRPr="00BC7F75">
        <w:rPr>
          <w:rFonts w:ascii="Arial" w:eastAsia="Arial" w:hAnsi="Arial" w:cs="Arial"/>
          <w:color w:val="000000"/>
          <w:sz w:val="20"/>
          <w:szCs w:val="20"/>
          <w:highlight w:val="white"/>
        </w:rPr>
        <w:t>Ercetin</w:t>
      </w:r>
      <w:proofErr w:type="spellEnd"/>
      <w:r w:rsidRPr="00BC7F75">
        <w:rPr>
          <w:rFonts w:ascii="Arial" w:eastAsia="Arial" w:hAnsi="Arial" w:cs="Arial"/>
          <w:color w:val="000000"/>
          <w:sz w:val="20"/>
          <w:szCs w:val="20"/>
          <w:highlight w:val="white"/>
        </w:rPr>
        <w:t>, A. (2024). Driving agricultural transformation: Unraveling key factors shaping IoT adoption in smart farming with empirical insights. </w:t>
      </w:r>
      <w:r w:rsidRPr="00BC7F75">
        <w:rPr>
          <w:rFonts w:ascii="Arial" w:eastAsia="Arial" w:hAnsi="Arial" w:cs="Arial"/>
          <w:i/>
          <w:iCs/>
          <w:color w:val="000000"/>
          <w:sz w:val="20"/>
          <w:szCs w:val="20"/>
          <w:highlight w:val="white"/>
        </w:rPr>
        <w:t>Sustainability</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16</w:t>
      </w:r>
      <w:r w:rsidRPr="00BC7F75">
        <w:rPr>
          <w:rFonts w:ascii="Arial" w:eastAsia="Arial" w:hAnsi="Arial" w:cs="Arial"/>
          <w:color w:val="000000"/>
          <w:sz w:val="20"/>
          <w:szCs w:val="20"/>
          <w:highlight w:val="white"/>
        </w:rPr>
        <w:t>(5), 2129.</w:t>
      </w:r>
      <w:r w:rsidR="000A6967" w:rsidRPr="00BC7F75">
        <w:rPr>
          <w:rFonts w:ascii="Arial" w:eastAsia="Arial" w:hAnsi="Arial" w:cs="Arial"/>
          <w:color w:val="000000"/>
          <w:sz w:val="20"/>
          <w:szCs w:val="20"/>
          <w:highlight w:val="white"/>
        </w:rPr>
        <w:t xml:space="preserve"> </w:t>
      </w:r>
      <w:r w:rsidR="000A6967" w:rsidRPr="00BC7F75">
        <w:rPr>
          <w:rFonts w:ascii="Arial" w:eastAsia="Arial" w:hAnsi="Arial" w:cs="Arial"/>
          <w:color w:val="000000"/>
          <w:sz w:val="20"/>
          <w:szCs w:val="20"/>
          <w:highlight w:val="white"/>
          <w:lang w:val="en-US"/>
        </w:rPr>
        <w:t>https://doi.org/10.3390/su16052129</w:t>
      </w:r>
    </w:p>
    <w:p w14:paraId="00000080" w14:textId="0F2B159A"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Barooah, P., Alvi, M., Ringler, C., &amp; Pathak, V. (2023). Gender, agriculture policies, and climate-smart agriculture in India. </w:t>
      </w:r>
      <w:r w:rsidRPr="00BC7F75">
        <w:rPr>
          <w:rFonts w:ascii="Arial" w:eastAsia="Arial" w:hAnsi="Arial" w:cs="Arial"/>
          <w:i/>
          <w:iCs/>
          <w:color w:val="000000"/>
          <w:sz w:val="20"/>
          <w:szCs w:val="20"/>
          <w:highlight w:val="white"/>
        </w:rPr>
        <w:t>Agricultural Systems</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212</w:t>
      </w:r>
      <w:r w:rsidRPr="00BC7F75">
        <w:rPr>
          <w:rFonts w:ascii="Arial" w:eastAsia="Arial" w:hAnsi="Arial" w:cs="Arial"/>
          <w:color w:val="000000"/>
          <w:sz w:val="20"/>
          <w:szCs w:val="20"/>
          <w:highlight w:val="white"/>
        </w:rPr>
        <w:t>, 103751.</w:t>
      </w:r>
      <w:r w:rsidR="00494CAE" w:rsidRPr="00BC7F75">
        <w:rPr>
          <w:rFonts w:ascii="Arial" w:eastAsia="Arial" w:hAnsi="Arial" w:cs="Arial"/>
          <w:color w:val="000000"/>
          <w:sz w:val="20"/>
          <w:szCs w:val="20"/>
          <w:highlight w:val="white"/>
        </w:rPr>
        <w:t xml:space="preserve"> </w:t>
      </w:r>
      <w:r w:rsidR="00494CAE" w:rsidRPr="00BC7F75">
        <w:rPr>
          <w:rFonts w:ascii="Arial" w:eastAsia="Arial" w:hAnsi="Arial" w:cs="Arial"/>
          <w:color w:val="000000"/>
          <w:sz w:val="20"/>
          <w:szCs w:val="20"/>
          <w:highlight w:val="white"/>
          <w:lang w:val="en-US"/>
        </w:rPr>
        <w:t>https://doi.org/10.1016/j.agsy.2023.103751</w:t>
      </w:r>
    </w:p>
    <w:p w14:paraId="00000081" w14:textId="4D0C6227" w:rsidR="008F464C" w:rsidRPr="00BC7F75" w:rsidRDefault="00BC7F75" w:rsidP="00BC7F75">
      <w:pPr>
        <w:ind w:left="360"/>
        <w:jc w:val="both"/>
        <w:rPr>
          <w:rFonts w:ascii="Arial" w:eastAsia="Arial" w:hAnsi="Arial" w:cs="Arial"/>
          <w:color w:val="000000"/>
          <w:sz w:val="20"/>
          <w:szCs w:val="20"/>
          <w:highlight w:val="white"/>
        </w:rPr>
      </w:pPr>
      <w:proofErr w:type="spellStart"/>
      <w:r w:rsidRPr="00BC7F75">
        <w:rPr>
          <w:rFonts w:ascii="Arial" w:eastAsia="Arial" w:hAnsi="Arial" w:cs="Arial"/>
          <w:color w:val="000000"/>
          <w:sz w:val="20"/>
          <w:szCs w:val="20"/>
          <w:highlight w:val="white"/>
        </w:rPr>
        <w:t>Bazzana</w:t>
      </w:r>
      <w:proofErr w:type="spellEnd"/>
      <w:r w:rsidRPr="00BC7F75">
        <w:rPr>
          <w:rFonts w:ascii="Arial" w:eastAsia="Arial" w:hAnsi="Arial" w:cs="Arial"/>
          <w:color w:val="000000"/>
          <w:sz w:val="20"/>
          <w:szCs w:val="20"/>
          <w:highlight w:val="white"/>
        </w:rPr>
        <w:t>, D., Foltz, J., &amp; Zhang, Y. (2022). Impact of climate smart agriculture on food security: An agent-based analysis. </w:t>
      </w:r>
      <w:r w:rsidRPr="00BC7F75">
        <w:rPr>
          <w:rFonts w:ascii="Arial" w:eastAsia="Arial" w:hAnsi="Arial" w:cs="Arial"/>
          <w:i/>
          <w:iCs/>
          <w:color w:val="000000"/>
          <w:sz w:val="20"/>
          <w:szCs w:val="20"/>
          <w:highlight w:val="white"/>
        </w:rPr>
        <w:t>Food Policy</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111</w:t>
      </w:r>
      <w:r w:rsidRPr="00BC7F75">
        <w:rPr>
          <w:rFonts w:ascii="Arial" w:eastAsia="Arial" w:hAnsi="Arial" w:cs="Arial"/>
          <w:color w:val="000000"/>
          <w:sz w:val="20"/>
          <w:szCs w:val="20"/>
          <w:highlight w:val="white"/>
        </w:rPr>
        <w:t>, 102304.</w:t>
      </w:r>
      <w:r w:rsidR="00494CAE" w:rsidRPr="00BC7F75">
        <w:rPr>
          <w:rFonts w:ascii="Arial" w:eastAsia="Arial" w:hAnsi="Arial" w:cs="Arial"/>
          <w:color w:val="000000"/>
          <w:sz w:val="20"/>
          <w:szCs w:val="20"/>
          <w:highlight w:val="white"/>
        </w:rPr>
        <w:t xml:space="preserve"> </w:t>
      </w:r>
      <w:r w:rsidR="00494CAE" w:rsidRPr="00BC7F75">
        <w:rPr>
          <w:rFonts w:ascii="Arial" w:eastAsia="Arial" w:hAnsi="Arial" w:cs="Arial"/>
          <w:color w:val="000000"/>
          <w:sz w:val="20"/>
          <w:szCs w:val="20"/>
          <w:highlight w:val="white"/>
          <w:lang w:val="en-US"/>
        </w:rPr>
        <w:t>https://doi.org/10.1016/j.foodpol.2022.102304</w:t>
      </w:r>
    </w:p>
    <w:p w14:paraId="00000082" w14:textId="6D6FC802" w:rsidR="008F464C" w:rsidRPr="00BC7F75" w:rsidRDefault="00BC7F75" w:rsidP="00BC7F75">
      <w:pPr>
        <w:ind w:left="360"/>
        <w:jc w:val="both"/>
        <w:rPr>
          <w:rFonts w:ascii="Arial" w:eastAsia="Arial" w:hAnsi="Arial" w:cs="Arial"/>
          <w:b/>
          <w:color w:val="000000"/>
          <w:sz w:val="20"/>
          <w:szCs w:val="20"/>
          <w:highlight w:val="white"/>
        </w:rPr>
      </w:pPr>
      <w:r w:rsidRPr="00BC7F75">
        <w:rPr>
          <w:rFonts w:ascii="Arial" w:eastAsia="Arial" w:hAnsi="Arial" w:cs="Arial"/>
          <w:color w:val="000000"/>
          <w:sz w:val="20"/>
          <w:szCs w:val="20"/>
          <w:highlight w:val="white"/>
        </w:rPr>
        <w:t xml:space="preserve">Begna, T., &amp; </w:t>
      </w:r>
      <w:proofErr w:type="spellStart"/>
      <w:r w:rsidRPr="00BC7F75">
        <w:rPr>
          <w:rFonts w:ascii="Arial" w:eastAsia="Arial" w:hAnsi="Arial" w:cs="Arial"/>
          <w:color w:val="000000"/>
          <w:sz w:val="20"/>
          <w:szCs w:val="20"/>
          <w:highlight w:val="white"/>
        </w:rPr>
        <w:t>Wakweya</w:t>
      </w:r>
      <w:proofErr w:type="spellEnd"/>
      <w:r w:rsidRPr="00BC7F75">
        <w:rPr>
          <w:rFonts w:ascii="Arial" w:eastAsia="Arial" w:hAnsi="Arial" w:cs="Arial"/>
          <w:color w:val="000000"/>
          <w:sz w:val="20"/>
          <w:szCs w:val="20"/>
          <w:highlight w:val="white"/>
        </w:rPr>
        <w:t>, R. B. (2025). Climate</w:t>
      </w:r>
      <w:r w:rsidRPr="00BC7F75">
        <w:rPr>
          <w:rFonts w:ascii="Cambria Math" w:eastAsia="Cambria Math" w:hAnsi="Cambria Math" w:cs="Cambria Math"/>
          <w:color w:val="000000"/>
          <w:sz w:val="20"/>
          <w:szCs w:val="20"/>
          <w:highlight w:val="white"/>
        </w:rPr>
        <w:t>‐</w:t>
      </w:r>
      <w:r w:rsidRPr="00BC7F75">
        <w:rPr>
          <w:rFonts w:ascii="Arial" w:eastAsia="Arial" w:hAnsi="Arial" w:cs="Arial"/>
          <w:color w:val="000000"/>
          <w:sz w:val="20"/>
          <w:szCs w:val="20"/>
          <w:highlight w:val="white"/>
        </w:rPr>
        <w:t>Smart Agriculture: Effect of Climate Change on Food Security and Its Mitigation Strategies. </w:t>
      </w:r>
      <w:r w:rsidRPr="00BC7F75">
        <w:rPr>
          <w:rFonts w:ascii="Arial" w:eastAsia="Arial" w:hAnsi="Arial" w:cs="Arial"/>
          <w:i/>
          <w:iCs/>
          <w:color w:val="000000"/>
          <w:sz w:val="20"/>
          <w:szCs w:val="20"/>
          <w:highlight w:val="white"/>
        </w:rPr>
        <w:t>International Journal of Agronomy</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2025</w:t>
      </w:r>
      <w:r w:rsidRPr="00BC7F75">
        <w:rPr>
          <w:rFonts w:ascii="Arial" w:eastAsia="Arial" w:hAnsi="Arial" w:cs="Arial"/>
          <w:color w:val="000000"/>
          <w:sz w:val="20"/>
          <w:szCs w:val="20"/>
          <w:highlight w:val="white"/>
        </w:rPr>
        <w:t>(1), 9972955.</w:t>
      </w:r>
      <w:r w:rsidR="00494CAE" w:rsidRPr="00BC7F75">
        <w:rPr>
          <w:rFonts w:ascii="Arial" w:eastAsia="Arial" w:hAnsi="Arial" w:cs="Arial"/>
          <w:color w:val="000000"/>
          <w:sz w:val="20"/>
          <w:szCs w:val="20"/>
          <w:highlight w:val="white"/>
        </w:rPr>
        <w:t xml:space="preserve"> </w:t>
      </w:r>
      <w:r w:rsidR="00494CAE" w:rsidRPr="00BC7F75">
        <w:rPr>
          <w:rFonts w:ascii="Arial" w:eastAsia="Arial" w:hAnsi="Arial" w:cs="Arial"/>
          <w:color w:val="000000"/>
          <w:sz w:val="20"/>
          <w:szCs w:val="20"/>
          <w:highlight w:val="white"/>
          <w:lang w:val="en-US"/>
        </w:rPr>
        <w:t>https://doi.org/10.1155/ioa/9972955</w:t>
      </w:r>
    </w:p>
    <w:p w14:paraId="00000083" w14:textId="48B5C83D"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lastRenderedPageBreak/>
        <w:t xml:space="preserve">Bhatnagar, S., Chaudhary, R., Sharma, S., </w:t>
      </w:r>
      <w:proofErr w:type="spellStart"/>
      <w:r w:rsidRPr="00BC7F75">
        <w:rPr>
          <w:rFonts w:ascii="Arial" w:eastAsia="Arial" w:hAnsi="Arial" w:cs="Arial"/>
          <w:color w:val="000000"/>
          <w:sz w:val="20"/>
          <w:szCs w:val="20"/>
          <w:highlight w:val="white"/>
        </w:rPr>
        <w:t>Janjhua</w:t>
      </w:r>
      <w:proofErr w:type="spellEnd"/>
      <w:r w:rsidRPr="00BC7F75">
        <w:rPr>
          <w:rFonts w:ascii="Arial" w:eastAsia="Arial" w:hAnsi="Arial" w:cs="Arial"/>
          <w:color w:val="000000"/>
          <w:sz w:val="20"/>
          <w:szCs w:val="20"/>
          <w:highlight w:val="white"/>
        </w:rPr>
        <w:t xml:space="preserve">, Y., Thakur, P., Sharma, P., &amp; </w:t>
      </w:r>
      <w:proofErr w:type="spellStart"/>
      <w:r w:rsidRPr="00BC7F75">
        <w:rPr>
          <w:rFonts w:ascii="Arial" w:eastAsia="Arial" w:hAnsi="Arial" w:cs="Arial"/>
          <w:color w:val="000000"/>
          <w:sz w:val="20"/>
          <w:szCs w:val="20"/>
          <w:highlight w:val="white"/>
        </w:rPr>
        <w:t>Keprate</w:t>
      </w:r>
      <w:proofErr w:type="spellEnd"/>
      <w:r w:rsidRPr="00BC7F75">
        <w:rPr>
          <w:rFonts w:ascii="Arial" w:eastAsia="Arial" w:hAnsi="Arial" w:cs="Arial"/>
          <w:color w:val="000000"/>
          <w:sz w:val="20"/>
          <w:szCs w:val="20"/>
          <w:highlight w:val="white"/>
        </w:rPr>
        <w:t>, A. (2024). Exploring the dynamics of climate-smart agricultural practices for sustainable resilience in a changing climate. </w:t>
      </w:r>
      <w:r w:rsidRPr="00BC7F75">
        <w:rPr>
          <w:rFonts w:ascii="Arial" w:eastAsia="Arial" w:hAnsi="Arial" w:cs="Arial"/>
          <w:i/>
          <w:iCs/>
          <w:color w:val="000000"/>
          <w:sz w:val="20"/>
          <w:szCs w:val="20"/>
          <w:highlight w:val="white"/>
        </w:rPr>
        <w:t>Environmental and Sustainability Indicators</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24</w:t>
      </w:r>
      <w:r w:rsidRPr="00BC7F75">
        <w:rPr>
          <w:rFonts w:ascii="Arial" w:eastAsia="Arial" w:hAnsi="Arial" w:cs="Arial"/>
          <w:color w:val="000000"/>
          <w:sz w:val="20"/>
          <w:szCs w:val="20"/>
          <w:highlight w:val="white"/>
        </w:rPr>
        <w:t>, 100535.</w:t>
      </w:r>
      <w:r w:rsidR="00494CAE" w:rsidRPr="00BC7F75">
        <w:rPr>
          <w:rFonts w:ascii="Arial" w:eastAsia="Arial" w:hAnsi="Arial" w:cs="Arial"/>
          <w:color w:val="000000"/>
          <w:sz w:val="20"/>
          <w:szCs w:val="20"/>
          <w:highlight w:val="white"/>
        </w:rPr>
        <w:t xml:space="preserve"> </w:t>
      </w:r>
      <w:r w:rsidR="00494CAE" w:rsidRPr="00BC7F75">
        <w:rPr>
          <w:rFonts w:ascii="Arial" w:eastAsia="Arial" w:hAnsi="Arial" w:cs="Arial"/>
          <w:color w:val="000000"/>
          <w:sz w:val="20"/>
          <w:szCs w:val="20"/>
          <w:highlight w:val="white"/>
          <w:lang w:val="en-US"/>
        </w:rPr>
        <w:t>https://doi.org/10.1016/j.indic.2024.100535</w:t>
      </w:r>
    </w:p>
    <w:p w14:paraId="00000084" w14:textId="3C089E2D"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 xml:space="preserve">Bhutto, A. W., Karim, S., &amp; </w:t>
      </w:r>
      <w:proofErr w:type="spellStart"/>
      <w:r w:rsidRPr="00BC7F75">
        <w:rPr>
          <w:rFonts w:ascii="Arial" w:eastAsia="Arial" w:hAnsi="Arial" w:cs="Arial"/>
          <w:color w:val="000000"/>
          <w:sz w:val="20"/>
          <w:szCs w:val="20"/>
          <w:highlight w:val="white"/>
        </w:rPr>
        <w:t>Bazmi</w:t>
      </w:r>
      <w:proofErr w:type="spellEnd"/>
      <w:r w:rsidRPr="00BC7F75">
        <w:rPr>
          <w:rFonts w:ascii="Arial" w:eastAsia="Arial" w:hAnsi="Arial" w:cs="Arial"/>
          <w:color w:val="000000"/>
          <w:sz w:val="20"/>
          <w:szCs w:val="20"/>
          <w:highlight w:val="white"/>
        </w:rPr>
        <w:t>, A. A. (2024). Integrating Climate-Smart Agriculture and the Water, Energy, and Food Nexus Approach to Address Sustainability Challenges Under a Changing Climate. In </w:t>
      </w:r>
      <w:r w:rsidRPr="00BC7F75">
        <w:rPr>
          <w:rFonts w:ascii="Arial" w:eastAsia="Arial" w:hAnsi="Arial" w:cs="Arial"/>
          <w:i/>
          <w:iCs/>
          <w:color w:val="000000"/>
          <w:sz w:val="20"/>
          <w:szCs w:val="20"/>
          <w:highlight w:val="white"/>
        </w:rPr>
        <w:t>Climate-Smart and Resilient Food Systems and Security</w:t>
      </w:r>
      <w:r w:rsidRPr="00BC7F75">
        <w:rPr>
          <w:rFonts w:ascii="Arial" w:eastAsia="Arial" w:hAnsi="Arial" w:cs="Arial"/>
          <w:color w:val="000000"/>
          <w:sz w:val="20"/>
          <w:szCs w:val="20"/>
          <w:highlight w:val="white"/>
        </w:rPr>
        <w:t> (pp. 155-170). Cham: Springer Nature Switzerland.</w:t>
      </w:r>
      <w:r w:rsidR="00494CAE" w:rsidRPr="00BC7F75">
        <w:rPr>
          <w:rFonts w:ascii="Arial" w:eastAsia="Arial" w:hAnsi="Arial" w:cs="Arial"/>
          <w:color w:val="000000"/>
          <w:sz w:val="20"/>
          <w:szCs w:val="20"/>
          <w:highlight w:val="white"/>
        </w:rPr>
        <w:t xml:space="preserve"> </w:t>
      </w:r>
    </w:p>
    <w:p w14:paraId="00000085" w14:textId="48839245"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 xml:space="preserve">Bucci, G., Bentivoglio, D., Finco, A., &amp; Belletti, M. (2019, May). Exploring the impact of innovation adoption in agriculture: how and where Precision Agriculture Technologies can be suitable for the Italian farm </w:t>
      </w:r>
      <w:proofErr w:type="gramStart"/>
      <w:r w:rsidRPr="00BC7F75">
        <w:rPr>
          <w:rFonts w:ascii="Arial" w:eastAsia="Arial" w:hAnsi="Arial" w:cs="Arial"/>
          <w:color w:val="000000"/>
          <w:sz w:val="20"/>
          <w:szCs w:val="20"/>
          <w:highlight w:val="white"/>
        </w:rPr>
        <w:t>system?.</w:t>
      </w:r>
      <w:proofErr w:type="gramEnd"/>
      <w:r w:rsidRPr="00BC7F75">
        <w:rPr>
          <w:rFonts w:ascii="Arial" w:eastAsia="Arial" w:hAnsi="Arial" w:cs="Arial"/>
          <w:color w:val="000000"/>
          <w:sz w:val="20"/>
          <w:szCs w:val="20"/>
          <w:highlight w:val="white"/>
        </w:rPr>
        <w:t xml:space="preserve"> In </w:t>
      </w:r>
      <w:r w:rsidRPr="00BC7F75">
        <w:rPr>
          <w:rFonts w:ascii="Arial" w:eastAsia="Arial" w:hAnsi="Arial" w:cs="Arial"/>
          <w:i/>
          <w:iCs/>
          <w:color w:val="000000"/>
          <w:sz w:val="20"/>
          <w:szCs w:val="20"/>
          <w:highlight w:val="white"/>
        </w:rPr>
        <w:t>IOP conference series: Earth and environmental science</w:t>
      </w:r>
      <w:r w:rsidRPr="00BC7F75">
        <w:rPr>
          <w:rFonts w:ascii="Arial" w:eastAsia="Arial" w:hAnsi="Arial" w:cs="Arial"/>
          <w:color w:val="000000"/>
          <w:sz w:val="20"/>
          <w:szCs w:val="20"/>
          <w:highlight w:val="white"/>
        </w:rPr>
        <w:t> (Vol. 275, No. 1, p. 012004). IOP Publishing.</w:t>
      </w:r>
      <w:r w:rsidR="00494CAE" w:rsidRPr="00BC7F75">
        <w:rPr>
          <w:rFonts w:ascii="Arial" w:eastAsia="Arial" w:hAnsi="Arial" w:cs="Arial"/>
          <w:color w:val="000000"/>
          <w:sz w:val="20"/>
          <w:szCs w:val="20"/>
          <w:highlight w:val="white"/>
        </w:rPr>
        <w:t xml:space="preserve"> </w:t>
      </w:r>
      <w:r w:rsidR="00494CAE" w:rsidRPr="00BC7F75">
        <w:rPr>
          <w:rFonts w:ascii="Arial" w:eastAsia="Arial" w:hAnsi="Arial" w:cs="Arial"/>
          <w:color w:val="000000"/>
          <w:sz w:val="20"/>
          <w:szCs w:val="20"/>
          <w:highlight w:val="white"/>
          <w:lang w:val="en-US"/>
        </w:rPr>
        <w:t>https://doi.org/10.1088/1755-1315/275/1/012004</w:t>
      </w:r>
    </w:p>
    <w:p w14:paraId="00000086" w14:textId="3D28E256"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 xml:space="preserve">Campbell, B. M., Thornton, P., </w:t>
      </w:r>
      <w:proofErr w:type="spellStart"/>
      <w:r w:rsidRPr="00BC7F75">
        <w:rPr>
          <w:rFonts w:ascii="Arial" w:eastAsia="Arial" w:hAnsi="Arial" w:cs="Arial"/>
          <w:color w:val="000000"/>
          <w:sz w:val="20"/>
          <w:szCs w:val="20"/>
          <w:highlight w:val="white"/>
        </w:rPr>
        <w:t>Zougmoré</w:t>
      </w:r>
      <w:proofErr w:type="spellEnd"/>
      <w:r w:rsidRPr="00BC7F75">
        <w:rPr>
          <w:rFonts w:ascii="Arial" w:eastAsia="Arial" w:hAnsi="Arial" w:cs="Arial"/>
          <w:color w:val="000000"/>
          <w:sz w:val="20"/>
          <w:szCs w:val="20"/>
          <w:highlight w:val="white"/>
        </w:rPr>
        <w:t xml:space="preserve">, R., Van Asten, P., &amp; Lipper, L. (2014). Sustainable intensification: What is its role in climate smart </w:t>
      </w:r>
      <w:proofErr w:type="gramStart"/>
      <w:r w:rsidRPr="00BC7F75">
        <w:rPr>
          <w:rFonts w:ascii="Arial" w:eastAsia="Arial" w:hAnsi="Arial" w:cs="Arial"/>
          <w:color w:val="000000"/>
          <w:sz w:val="20"/>
          <w:szCs w:val="20"/>
          <w:highlight w:val="white"/>
        </w:rPr>
        <w:t>agriculture?.</w:t>
      </w:r>
      <w:proofErr w:type="gramEnd"/>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Current Opinion in Environmental Sustainability</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8</w:t>
      </w:r>
      <w:r w:rsidRPr="00BC7F75">
        <w:rPr>
          <w:rFonts w:ascii="Arial" w:eastAsia="Arial" w:hAnsi="Arial" w:cs="Arial"/>
          <w:color w:val="000000"/>
          <w:sz w:val="20"/>
          <w:szCs w:val="20"/>
          <w:highlight w:val="white"/>
        </w:rPr>
        <w:t>, 39-43.</w:t>
      </w:r>
      <w:r w:rsidR="00494CAE" w:rsidRPr="00BC7F75">
        <w:rPr>
          <w:rFonts w:ascii="Arial" w:eastAsia="Arial" w:hAnsi="Arial" w:cs="Arial"/>
          <w:color w:val="000000"/>
          <w:sz w:val="20"/>
          <w:szCs w:val="20"/>
          <w:highlight w:val="white"/>
        </w:rPr>
        <w:t xml:space="preserve"> </w:t>
      </w:r>
      <w:r w:rsidR="00494CAE" w:rsidRPr="00BC7F75">
        <w:rPr>
          <w:rFonts w:ascii="Arial" w:eastAsia="Arial" w:hAnsi="Arial" w:cs="Arial"/>
          <w:color w:val="000000"/>
          <w:sz w:val="20"/>
          <w:szCs w:val="20"/>
          <w:highlight w:val="white"/>
          <w:lang w:val="en-US"/>
        </w:rPr>
        <w:t>https://doi.org/10.1016/j.cosust.2014.07.002</w:t>
      </w:r>
    </w:p>
    <w:p w14:paraId="00000087" w14:textId="3A75489F" w:rsidR="008F464C" w:rsidRPr="00BC7F75" w:rsidRDefault="00BC7F75" w:rsidP="00BC7F75">
      <w:pPr>
        <w:ind w:left="360"/>
        <w:jc w:val="both"/>
        <w:rPr>
          <w:rFonts w:ascii="Arial" w:eastAsia="Arial" w:hAnsi="Arial" w:cs="Arial"/>
          <w:color w:val="000000"/>
          <w:sz w:val="20"/>
          <w:szCs w:val="20"/>
          <w:highlight w:val="white"/>
        </w:rPr>
      </w:pPr>
      <w:proofErr w:type="spellStart"/>
      <w:r w:rsidRPr="00BC7F75">
        <w:rPr>
          <w:rFonts w:ascii="Arial" w:eastAsia="Arial" w:hAnsi="Arial" w:cs="Arial"/>
          <w:color w:val="000000"/>
          <w:sz w:val="20"/>
          <w:szCs w:val="20"/>
          <w:highlight w:val="white"/>
        </w:rPr>
        <w:t>Cernisevs</w:t>
      </w:r>
      <w:proofErr w:type="spellEnd"/>
      <w:r w:rsidRPr="00BC7F75">
        <w:rPr>
          <w:rFonts w:ascii="Arial" w:eastAsia="Arial" w:hAnsi="Arial" w:cs="Arial"/>
          <w:color w:val="000000"/>
          <w:sz w:val="20"/>
          <w:szCs w:val="20"/>
          <w:highlight w:val="white"/>
        </w:rPr>
        <w:t xml:space="preserve">, O., </w:t>
      </w:r>
      <w:proofErr w:type="spellStart"/>
      <w:r w:rsidRPr="00BC7F75">
        <w:rPr>
          <w:rFonts w:ascii="Arial" w:eastAsia="Arial" w:hAnsi="Arial" w:cs="Arial"/>
          <w:color w:val="000000"/>
          <w:sz w:val="20"/>
          <w:szCs w:val="20"/>
          <w:highlight w:val="white"/>
        </w:rPr>
        <w:t>Surmach</w:t>
      </w:r>
      <w:proofErr w:type="spellEnd"/>
      <w:r w:rsidRPr="00BC7F75">
        <w:rPr>
          <w:rFonts w:ascii="Arial" w:eastAsia="Arial" w:hAnsi="Arial" w:cs="Arial"/>
          <w:color w:val="000000"/>
          <w:sz w:val="20"/>
          <w:szCs w:val="20"/>
          <w:highlight w:val="white"/>
        </w:rPr>
        <w:t>, A., &amp; Buka, S. (2024). Smart agriculture for urban regions: Digital transformation strategies in the agro-industrial sector for enhanced compliance and economic growth.</w:t>
      </w:r>
      <w:r w:rsidR="00494CAE" w:rsidRPr="00BC7F75">
        <w:rPr>
          <w:rFonts w:ascii="Arial" w:eastAsia="Arial" w:hAnsi="Arial" w:cs="Arial"/>
          <w:color w:val="000000"/>
          <w:sz w:val="20"/>
          <w:szCs w:val="20"/>
          <w:highlight w:val="white"/>
        </w:rPr>
        <w:t xml:space="preserve"> </w:t>
      </w:r>
      <w:r w:rsidR="00494CAE" w:rsidRPr="00BC7F75">
        <w:rPr>
          <w:rFonts w:ascii="Arial" w:eastAsia="Arial" w:hAnsi="Arial" w:cs="Arial"/>
          <w:color w:val="000000"/>
          <w:sz w:val="20"/>
          <w:szCs w:val="20"/>
          <w:highlight w:val="white"/>
          <w:lang w:val="en-US"/>
        </w:rPr>
        <w:t>https://doi.org/10.48077/scihor4.2024.166</w:t>
      </w:r>
    </w:p>
    <w:p w14:paraId="00000088" w14:textId="2FA9C829"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Clapp, J., Newell, P., &amp; Brent, Z. W. (2018). The global political economy of climate change, agriculture and food systems. </w:t>
      </w:r>
      <w:r w:rsidRPr="00BC7F75">
        <w:rPr>
          <w:rFonts w:ascii="Arial" w:eastAsia="Arial" w:hAnsi="Arial" w:cs="Arial"/>
          <w:i/>
          <w:iCs/>
          <w:color w:val="000000"/>
          <w:sz w:val="20"/>
          <w:szCs w:val="20"/>
          <w:highlight w:val="white"/>
        </w:rPr>
        <w:t>The Journal of Peasant Studies</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45</w:t>
      </w:r>
      <w:r w:rsidRPr="00BC7F75">
        <w:rPr>
          <w:rFonts w:ascii="Arial" w:eastAsia="Arial" w:hAnsi="Arial" w:cs="Arial"/>
          <w:color w:val="000000"/>
          <w:sz w:val="20"/>
          <w:szCs w:val="20"/>
          <w:highlight w:val="white"/>
        </w:rPr>
        <w:t>(1), 80-88.</w:t>
      </w:r>
      <w:r w:rsidR="00494CAE" w:rsidRPr="00BC7F75">
        <w:rPr>
          <w:rFonts w:ascii="Arial" w:eastAsia="Arial" w:hAnsi="Arial" w:cs="Arial"/>
          <w:color w:val="000000"/>
          <w:sz w:val="20"/>
          <w:szCs w:val="20"/>
          <w:highlight w:val="white"/>
        </w:rPr>
        <w:t xml:space="preserve"> </w:t>
      </w:r>
      <w:r w:rsidR="00494CAE" w:rsidRPr="00BC7F75">
        <w:rPr>
          <w:rFonts w:ascii="Arial" w:eastAsia="Arial" w:hAnsi="Arial" w:cs="Arial"/>
          <w:color w:val="000000"/>
          <w:sz w:val="20"/>
          <w:szCs w:val="20"/>
          <w:highlight w:val="white"/>
          <w:lang w:val="en-US"/>
        </w:rPr>
        <w:t>https://doi.org/10.1080/03066150.2017.1381602</w:t>
      </w:r>
    </w:p>
    <w:p w14:paraId="00000089" w14:textId="71FEDFB7"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Das, S. K., &amp; Nayak, P. (2024). Integration of IoT-AI powered local weather forecasting: A Game-Changer for Agriculture. </w:t>
      </w:r>
      <w:proofErr w:type="spellStart"/>
      <w:r w:rsidRPr="00BC7F75">
        <w:rPr>
          <w:rFonts w:ascii="Arial" w:eastAsia="Arial" w:hAnsi="Arial" w:cs="Arial"/>
          <w:i/>
          <w:iCs/>
          <w:color w:val="000000"/>
          <w:sz w:val="20"/>
          <w:szCs w:val="20"/>
          <w:highlight w:val="white"/>
        </w:rPr>
        <w:t>arXiv</w:t>
      </w:r>
      <w:proofErr w:type="spellEnd"/>
      <w:r w:rsidRPr="00BC7F75">
        <w:rPr>
          <w:rFonts w:ascii="Arial" w:eastAsia="Arial" w:hAnsi="Arial" w:cs="Arial"/>
          <w:i/>
          <w:iCs/>
          <w:color w:val="000000"/>
          <w:sz w:val="20"/>
          <w:szCs w:val="20"/>
          <w:highlight w:val="white"/>
        </w:rPr>
        <w:t xml:space="preserve"> preprint arXiv:2501.14754</w:t>
      </w:r>
      <w:r w:rsidRPr="00BC7F75">
        <w:rPr>
          <w:rFonts w:ascii="Arial" w:eastAsia="Arial" w:hAnsi="Arial" w:cs="Arial"/>
          <w:color w:val="000000"/>
          <w:sz w:val="20"/>
          <w:szCs w:val="20"/>
          <w:highlight w:val="white"/>
        </w:rPr>
        <w:t>.</w:t>
      </w:r>
      <w:r w:rsidR="00494CAE" w:rsidRPr="00BC7F75">
        <w:rPr>
          <w:rFonts w:ascii="Arial" w:eastAsia="Arial" w:hAnsi="Arial" w:cs="Arial"/>
          <w:color w:val="000000"/>
          <w:sz w:val="20"/>
          <w:szCs w:val="20"/>
          <w:highlight w:val="white"/>
        </w:rPr>
        <w:t xml:space="preserve"> </w:t>
      </w:r>
      <w:r w:rsidR="00494CAE" w:rsidRPr="00BC7F75">
        <w:rPr>
          <w:rFonts w:ascii="Arial" w:eastAsia="Arial" w:hAnsi="Arial" w:cs="Arial"/>
          <w:color w:val="000000"/>
          <w:sz w:val="20"/>
          <w:szCs w:val="20"/>
          <w:highlight w:val="white"/>
          <w:lang w:val="en-US"/>
        </w:rPr>
        <w:t>https://doi.org/10.48550/arXiv.2501.14754</w:t>
      </w:r>
    </w:p>
    <w:p w14:paraId="0000008A" w14:textId="75AC9755"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Das, S. K., &amp; Nayak, P. (2024). Integration of IoT-AI powered local weather forecasting: A Game-Changer for Agriculture. </w:t>
      </w:r>
      <w:proofErr w:type="spellStart"/>
      <w:r w:rsidRPr="00BC7F75">
        <w:rPr>
          <w:rFonts w:ascii="Arial" w:eastAsia="Arial" w:hAnsi="Arial" w:cs="Arial"/>
          <w:i/>
          <w:iCs/>
          <w:color w:val="000000"/>
          <w:sz w:val="20"/>
          <w:szCs w:val="20"/>
          <w:highlight w:val="white"/>
        </w:rPr>
        <w:t>arXiv</w:t>
      </w:r>
      <w:proofErr w:type="spellEnd"/>
      <w:r w:rsidRPr="00BC7F75">
        <w:rPr>
          <w:rFonts w:ascii="Arial" w:eastAsia="Arial" w:hAnsi="Arial" w:cs="Arial"/>
          <w:i/>
          <w:iCs/>
          <w:color w:val="000000"/>
          <w:sz w:val="20"/>
          <w:szCs w:val="20"/>
          <w:highlight w:val="white"/>
        </w:rPr>
        <w:t xml:space="preserve"> preprint arXiv:2501.14754</w:t>
      </w:r>
      <w:r w:rsidRPr="00BC7F75">
        <w:rPr>
          <w:rFonts w:ascii="Arial" w:eastAsia="Arial" w:hAnsi="Arial" w:cs="Arial"/>
          <w:color w:val="000000"/>
          <w:sz w:val="20"/>
          <w:szCs w:val="20"/>
          <w:highlight w:val="white"/>
        </w:rPr>
        <w:t>.</w:t>
      </w:r>
      <w:r w:rsidR="00494CAE" w:rsidRPr="00BC7F75">
        <w:rPr>
          <w:rFonts w:ascii="Arial" w:eastAsia="Arial" w:hAnsi="Arial" w:cs="Arial"/>
          <w:color w:val="000000"/>
          <w:sz w:val="20"/>
          <w:szCs w:val="20"/>
          <w:highlight w:val="white"/>
        </w:rPr>
        <w:t xml:space="preserve"> </w:t>
      </w:r>
      <w:r w:rsidR="00494CAE" w:rsidRPr="00BC7F75">
        <w:rPr>
          <w:rFonts w:ascii="Arial" w:eastAsia="Arial" w:hAnsi="Arial" w:cs="Arial"/>
          <w:color w:val="000000"/>
          <w:sz w:val="20"/>
          <w:szCs w:val="20"/>
          <w:highlight w:val="white"/>
          <w:lang w:val="en-US"/>
        </w:rPr>
        <w:t>https://doi.org/10.48550/arXiv.2501.14754</w:t>
      </w:r>
    </w:p>
    <w:p w14:paraId="0000008B" w14:textId="20BF1C6B"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Devi, R. M. (2023). Toward smart agriculture for climate change adaptation. In </w:t>
      </w:r>
      <w:r w:rsidRPr="00BC7F75">
        <w:rPr>
          <w:rFonts w:ascii="Arial" w:eastAsia="Arial" w:hAnsi="Arial" w:cs="Arial"/>
          <w:i/>
          <w:iCs/>
          <w:color w:val="000000"/>
          <w:sz w:val="20"/>
          <w:szCs w:val="20"/>
          <w:highlight w:val="white"/>
        </w:rPr>
        <w:t>Climate change impacts on natural resources, ecosystems and agricultural systems</w:t>
      </w:r>
      <w:r w:rsidRPr="00BC7F75">
        <w:rPr>
          <w:rFonts w:ascii="Arial" w:eastAsia="Arial" w:hAnsi="Arial" w:cs="Arial"/>
          <w:color w:val="000000"/>
          <w:sz w:val="20"/>
          <w:szCs w:val="20"/>
          <w:highlight w:val="white"/>
        </w:rPr>
        <w:t> (pp. 469-482). Cham: Springer International Publishing.</w:t>
      </w:r>
      <w:r w:rsidR="00494CAE" w:rsidRPr="00BC7F75">
        <w:rPr>
          <w:rFonts w:ascii="Arial" w:eastAsia="Arial" w:hAnsi="Arial" w:cs="Arial"/>
          <w:color w:val="000000"/>
          <w:sz w:val="20"/>
          <w:szCs w:val="20"/>
          <w:highlight w:val="white"/>
        </w:rPr>
        <w:t xml:space="preserve"> </w:t>
      </w:r>
      <w:r w:rsidR="00494CAE" w:rsidRPr="00BC7F75">
        <w:rPr>
          <w:rFonts w:ascii="Arial" w:eastAsia="Arial" w:hAnsi="Arial" w:cs="Arial"/>
          <w:color w:val="000000"/>
          <w:sz w:val="20"/>
          <w:szCs w:val="20"/>
          <w:highlight w:val="white"/>
          <w:lang w:val="en-US"/>
        </w:rPr>
        <w:t>https://doi.org/10.1007/978-3-031-26369-0_21</w:t>
      </w:r>
    </w:p>
    <w:p w14:paraId="0000008C" w14:textId="56B0EF25" w:rsidR="008F464C" w:rsidRPr="00BC7F75" w:rsidRDefault="00BC7F75" w:rsidP="00BC7F75">
      <w:pPr>
        <w:ind w:left="360"/>
        <w:jc w:val="both"/>
        <w:rPr>
          <w:rFonts w:ascii="Arial" w:eastAsia="Arial" w:hAnsi="Arial" w:cs="Arial"/>
          <w:color w:val="000000"/>
          <w:sz w:val="20"/>
          <w:szCs w:val="20"/>
          <w:highlight w:val="white"/>
        </w:rPr>
      </w:pPr>
      <w:proofErr w:type="spellStart"/>
      <w:r w:rsidRPr="00BC7F75">
        <w:rPr>
          <w:rFonts w:ascii="Arial" w:eastAsia="Arial" w:hAnsi="Arial" w:cs="Arial"/>
          <w:color w:val="000000"/>
          <w:sz w:val="20"/>
          <w:szCs w:val="20"/>
          <w:highlight w:val="white"/>
        </w:rPr>
        <w:t>Dhanaraju</w:t>
      </w:r>
      <w:proofErr w:type="spellEnd"/>
      <w:r w:rsidRPr="00BC7F75">
        <w:rPr>
          <w:rFonts w:ascii="Arial" w:eastAsia="Arial" w:hAnsi="Arial" w:cs="Arial"/>
          <w:color w:val="000000"/>
          <w:sz w:val="20"/>
          <w:szCs w:val="20"/>
          <w:highlight w:val="white"/>
        </w:rPr>
        <w:t xml:space="preserve">, M., Chenniappan, P., Ramalingam, K., </w:t>
      </w:r>
      <w:proofErr w:type="spellStart"/>
      <w:r w:rsidRPr="00BC7F75">
        <w:rPr>
          <w:rFonts w:ascii="Arial" w:eastAsia="Arial" w:hAnsi="Arial" w:cs="Arial"/>
          <w:color w:val="000000"/>
          <w:sz w:val="20"/>
          <w:szCs w:val="20"/>
          <w:highlight w:val="white"/>
        </w:rPr>
        <w:t>Pazhanivelan</w:t>
      </w:r>
      <w:proofErr w:type="spellEnd"/>
      <w:r w:rsidRPr="00BC7F75">
        <w:rPr>
          <w:rFonts w:ascii="Arial" w:eastAsia="Arial" w:hAnsi="Arial" w:cs="Arial"/>
          <w:color w:val="000000"/>
          <w:sz w:val="20"/>
          <w:szCs w:val="20"/>
          <w:highlight w:val="white"/>
        </w:rPr>
        <w:t xml:space="preserve">, S., &amp; </w:t>
      </w:r>
      <w:proofErr w:type="spellStart"/>
      <w:r w:rsidRPr="00BC7F75">
        <w:rPr>
          <w:rFonts w:ascii="Arial" w:eastAsia="Arial" w:hAnsi="Arial" w:cs="Arial"/>
          <w:color w:val="000000"/>
          <w:sz w:val="20"/>
          <w:szCs w:val="20"/>
          <w:highlight w:val="white"/>
        </w:rPr>
        <w:t>Kaliaperumal</w:t>
      </w:r>
      <w:proofErr w:type="spellEnd"/>
      <w:r w:rsidRPr="00BC7F75">
        <w:rPr>
          <w:rFonts w:ascii="Arial" w:eastAsia="Arial" w:hAnsi="Arial" w:cs="Arial"/>
          <w:color w:val="000000"/>
          <w:sz w:val="20"/>
          <w:szCs w:val="20"/>
          <w:highlight w:val="white"/>
        </w:rPr>
        <w:t>, R. (2022). Smart farming: Internet of Things (IoT)-based sustainable agriculture. </w:t>
      </w:r>
      <w:r w:rsidRPr="00BC7F75">
        <w:rPr>
          <w:rFonts w:ascii="Arial" w:eastAsia="Arial" w:hAnsi="Arial" w:cs="Arial"/>
          <w:i/>
          <w:iCs/>
          <w:color w:val="000000"/>
          <w:sz w:val="20"/>
          <w:szCs w:val="20"/>
          <w:highlight w:val="white"/>
        </w:rPr>
        <w:t>Agriculture</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12</w:t>
      </w:r>
      <w:r w:rsidRPr="00BC7F75">
        <w:rPr>
          <w:rFonts w:ascii="Arial" w:eastAsia="Arial" w:hAnsi="Arial" w:cs="Arial"/>
          <w:color w:val="000000"/>
          <w:sz w:val="20"/>
          <w:szCs w:val="20"/>
          <w:highlight w:val="white"/>
        </w:rPr>
        <w:t>(10), 1745.</w:t>
      </w:r>
      <w:r w:rsidR="00BC1320" w:rsidRPr="00BC7F75">
        <w:rPr>
          <w:rFonts w:ascii="Arial" w:eastAsia="Arial" w:hAnsi="Arial" w:cs="Arial"/>
          <w:color w:val="000000"/>
          <w:sz w:val="20"/>
          <w:szCs w:val="20"/>
          <w:highlight w:val="white"/>
        </w:rPr>
        <w:t xml:space="preserve"> </w:t>
      </w:r>
      <w:r w:rsidR="00BC1320" w:rsidRPr="00BC7F75">
        <w:rPr>
          <w:rFonts w:ascii="Arial" w:eastAsia="Arial" w:hAnsi="Arial" w:cs="Arial"/>
          <w:color w:val="000000"/>
          <w:sz w:val="20"/>
          <w:szCs w:val="20"/>
          <w:highlight w:val="white"/>
          <w:lang w:val="en-US"/>
        </w:rPr>
        <w:t>https://doi.org/10.3390/agriculture12101745</w:t>
      </w:r>
    </w:p>
    <w:p w14:paraId="0000008D" w14:textId="50C34126"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Dougill, A. J., Hermans, T. D., Eze, S., Antwi-Agyei, P., &amp; Sallu, S. M. (2021). Evaluating climate-smart agriculture as route to building climate resilience in African food systems. </w:t>
      </w:r>
      <w:r w:rsidRPr="00BC7F75">
        <w:rPr>
          <w:rFonts w:ascii="Arial" w:eastAsia="Arial" w:hAnsi="Arial" w:cs="Arial"/>
          <w:i/>
          <w:iCs/>
          <w:color w:val="000000"/>
          <w:sz w:val="20"/>
          <w:szCs w:val="20"/>
          <w:highlight w:val="white"/>
        </w:rPr>
        <w:t>Sustainability</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13</w:t>
      </w:r>
      <w:r w:rsidRPr="00BC7F75">
        <w:rPr>
          <w:rFonts w:ascii="Arial" w:eastAsia="Arial" w:hAnsi="Arial" w:cs="Arial"/>
          <w:color w:val="000000"/>
          <w:sz w:val="20"/>
          <w:szCs w:val="20"/>
          <w:highlight w:val="white"/>
        </w:rPr>
        <w:t>(17), 9909.</w:t>
      </w:r>
      <w:r w:rsidR="00BC1320" w:rsidRPr="00BC7F75">
        <w:rPr>
          <w:rFonts w:ascii="Arial" w:eastAsia="Arial" w:hAnsi="Arial" w:cs="Arial"/>
          <w:color w:val="000000"/>
          <w:sz w:val="20"/>
          <w:szCs w:val="20"/>
          <w:highlight w:val="white"/>
        </w:rPr>
        <w:t xml:space="preserve"> </w:t>
      </w:r>
      <w:r w:rsidR="00BC1320" w:rsidRPr="00BC7F75">
        <w:rPr>
          <w:rFonts w:ascii="Arial" w:eastAsia="Arial" w:hAnsi="Arial" w:cs="Arial"/>
          <w:color w:val="000000"/>
          <w:sz w:val="20"/>
          <w:szCs w:val="20"/>
          <w:highlight w:val="white"/>
          <w:lang w:val="en-US"/>
        </w:rPr>
        <w:t>https://doi.org/10.3390/su13179909</w:t>
      </w:r>
    </w:p>
    <w:p w14:paraId="0000008E" w14:textId="5D0B92B0"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 xml:space="preserve">Food and Agriculture Organization. (2023). </w:t>
      </w:r>
      <w:r w:rsidRPr="00BC7F75">
        <w:rPr>
          <w:rFonts w:ascii="Arial" w:eastAsia="Arial" w:hAnsi="Arial" w:cs="Arial"/>
          <w:i/>
          <w:iCs/>
          <w:color w:val="000000"/>
          <w:sz w:val="20"/>
          <w:szCs w:val="20"/>
          <w:highlight w:val="white"/>
        </w:rPr>
        <w:t>The state of food and agriculture 2023: Revealing the true cost of food</w:t>
      </w:r>
      <w:r w:rsidRPr="00BC7F75">
        <w:rPr>
          <w:rFonts w:ascii="Arial" w:eastAsia="Arial" w:hAnsi="Arial" w:cs="Arial"/>
          <w:color w:val="000000"/>
          <w:sz w:val="20"/>
          <w:szCs w:val="20"/>
          <w:highlight w:val="white"/>
        </w:rPr>
        <w:t xml:space="preserve">. FAO. </w:t>
      </w:r>
      <w:r w:rsidR="00BC1320" w:rsidRPr="00BC7F75">
        <w:rPr>
          <w:rFonts w:ascii="Arial" w:eastAsia="Arial" w:hAnsi="Arial" w:cs="Arial"/>
          <w:color w:val="000000"/>
          <w:sz w:val="20"/>
          <w:szCs w:val="20"/>
          <w:highlight w:val="white"/>
          <w:lang w:val="en-US"/>
        </w:rPr>
        <w:t>https://doi.org/10.4060/cc7724en</w:t>
      </w:r>
    </w:p>
    <w:p w14:paraId="0000008F" w14:textId="3D3EAEBA" w:rsidR="008F464C" w:rsidRPr="00BC7F75" w:rsidRDefault="00BC7F75" w:rsidP="00BC7F75">
      <w:pPr>
        <w:ind w:left="360"/>
        <w:jc w:val="both"/>
        <w:rPr>
          <w:rFonts w:ascii="Arial" w:eastAsia="Arial" w:hAnsi="Arial" w:cs="Arial"/>
          <w:color w:val="000000"/>
          <w:sz w:val="20"/>
          <w:szCs w:val="20"/>
          <w:highlight w:val="white"/>
        </w:rPr>
      </w:pPr>
      <w:proofErr w:type="spellStart"/>
      <w:r w:rsidRPr="00BC7F75">
        <w:rPr>
          <w:rFonts w:ascii="Arial" w:eastAsia="Arial" w:hAnsi="Arial" w:cs="Arial"/>
          <w:color w:val="000000"/>
          <w:sz w:val="20"/>
          <w:szCs w:val="20"/>
          <w:highlight w:val="white"/>
        </w:rPr>
        <w:t>Gemtou</w:t>
      </w:r>
      <w:proofErr w:type="spellEnd"/>
      <w:r w:rsidRPr="00BC7F75">
        <w:rPr>
          <w:rFonts w:ascii="Arial" w:eastAsia="Arial" w:hAnsi="Arial" w:cs="Arial"/>
          <w:color w:val="000000"/>
          <w:sz w:val="20"/>
          <w:szCs w:val="20"/>
          <w:highlight w:val="white"/>
        </w:rPr>
        <w:t>, M., Guillén, B. C., &amp; Anastasiou, E. (2024b). Smart farming technologies and sustainability. In </w:t>
      </w:r>
      <w:r w:rsidRPr="00BC7F75">
        <w:rPr>
          <w:rFonts w:ascii="Arial" w:eastAsia="Arial" w:hAnsi="Arial" w:cs="Arial"/>
          <w:i/>
          <w:iCs/>
          <w:color w:val="000000"/>
          <w:sz w:val="20"/>
          <w:szCs w:val="20"/>
          <w:highlight w:val="white"/>
        </w:rPr>
        <w:t>Digital Sustainability: Leveraging Digital Technology to Combat Climate Change</w:t>
      </w:r>
      <w:r w:rsidRPr="00BC7F75">
        <w:rPr>
          <w:rFonts w:ascii="Arial" w:eastAsia="Arial" w:hAnsi="Arial" w:cs="Arial"/>
          <w:color w:val="000000"/>
          <w:sz w:val="20"/>
          <w:szCs w:val="20"/>
          <w:highlight w:val="white"/>
        </w:rPr>
        <w:t> (pp. 99-120). Cham: Springer Nature Switzerland.</w:t>
      </w:r>
      <w:r w:rsidR="00996384" w:rsidRPr="00BC7F75">
        <w:rPr>
          <w:rFonts w:ascii="Arial" w:eastAsia="Arial" w:hAnsi="Arial" w:cs="Arial"/>
          <w:color w:val="000000"/>
          <w:sz w:val="20"/>
          <w:szCs w:val="20"/>
          <w:highlight w:val="white"/>
        </w:rPr>
        <w:t xml:space="preserve"> </w:t>
      </w:r>
      <w:r w:rsidR="00996384" w:rsidRPr="00BC7F75">
        <w:rPr>
          <w:rFonts w:ascii="Arial" w:eastAsia="Arial" w:hAnsi="Arial" w:cs="Arial"/>
          <w:color w:val="000000"/>
          <w:sz w:val="20"/>
          <w:szCs w:val="20"/>
          <w:highlight w:val="white"/>
          <w:lang w:val="en-US"/>
        </w:rPr>
        <w:t>https://doi.org/10.1007/978-3-031-61749-2_6</w:t>
      </w:r>
    </w:p>
    <w:p w14:paraId="00000090" w14:textId="5DD3CD2F" w:rsidR="008F464C" w:rsidRPr="00BC7F75" w:rsidRDefault="00BC7F75" w:rsidP="00BC7F75">
      <w:pPr>
        <w:ind w:left="360"/>
        <w:jc w:val="both"/>
        <w:rPr>
          <w:rFonts w:ascii="Arial" w:eastAsia="Arial" w:hAnsi="Arial" w:cs="Arial"/>
          <w:color w:val="000000"/>
          <w:sz w:val="20"/>
          <w:szCs w:val="20"/>
          <w:highlight w:val="white"/>
        </w:rPr>
      </w:pPr>
      <w:proofErr w:type="spellStart"/>
      <w:r w:rsidRPr="00BC7F75">
        <w:rPr>
          <w:rFonts w:ascii="Arial" w:eastAsia="Arial" w:hAnsi="Arial" w:cs="Arial"/>
          <w:color w:val="000000"/>
          <w:sz w:val="20"/>
          <w:szCs w:val="20"/>
          <w:highlight w:val="white"/>
        </w:rPr>
        <w:lastRenderedPageBreak/>
        <w:t>Gemtou</w:t>
      </w:r>
      <w:proofErr w:type="spellEnd"/>
      <w:r w:rsidRPr="00BC7F75">
        <w:rPr>
          <w:rFonts w:ascii="Arial" w:eastAsia="Arial" w:hAnsi="Arial" w:cs="Arial"/>
          <w:color w:val="000000"/>
          <w:sz w:val="20"/>
          <w:szCs w:val="20"/>
          <w:highlight w:val="white"/>
        </w:rPr>
        <w:t>, M., Kakkavou, K., Anastasiou, E., Fountas, S., Pedersen, S. M., Isakhanyan, G., ... &amp; Pazos-Vidal, S. (2024a). Farmers’ transition to climate-smart agriculture: a systematic review of the decision-making factors affecting adoption. </w:t>
      </w:r>
      <w:r w:rsidRPr="00BC7F75">
        <w:rPr>
          <w:rFonts w:ascii="Arial" w:eastAsia="Arial" w:hAnsi="Arial" w:cs="Arial"/>
          <w:i/>
          <w:iCs/>
          <w:color w:val="000000"/>
          <w:sz w:val="20"/>
          <w:szCs w:val="20"/>
          <w:highlight w:val="white"/>
        </w:rPr>
        <w:t>Sustainability</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16</w:t>
      </w:r>
      <w:r w:rsidRPr="00BC7F75">
        <w:rPr>
          <w:rFonts w:ascii="Arial" w:eastAsia="Arial" w:hAnsi="Arial" w:cs="Arial"/>
          <w:color w:val="000000"/>
          <w:sz w:val="20"/>
          <w:szCs w:val="20"/>
          <w:highlight w:val="white"/>
        </w:rPr>
        <w:t>(7), 2828.</w:t>
      </w:r>
      <w:r w:rsidR="00996384" w:rsidRPr="00BC7F75">
        <w:rPr>
          <w:rFonts w:ascii="Arial" w:eastAsia="Arial" w:hAnsi="Arial" w:cs="Arial"/>
          <w:color w:val="000000"/>
          <w:sz w:val="20"/>
          <w:szCs w:val="20"/>
          <w:highlight w:val="white"/>
        </w:rPr>
        <w:t xml:space="preserve"> </w:t>
      </w:r>
      <w:r w:rsidR="00996384" w:rsidRPr="00BC7F75">
        <w:rPr>
          <w:rFonts w:ascii="Arial" w:eastAsia="Arial" w:hAnsi="Arial" w:cs="Arial"/>
          <w:color w:val="000000"/>
          <w:sz w:val="20"/>
          <w:szCs w:val="20"/>
          <w:highlight w:val="white"/>
          <w:lang w:val="en-US"/>
        </w:rPr>
        <w:t>https://doi.org/10.3390/su16072828</w:t>
      </w:r>
    </w:p>
    <w:p w14:paraId="00000091" w14:textId="0E7E9021"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 xml:space="preserve">Getahun, S., </w:t>
      </w:r>
      <w:proofErr w:type="spellStart"/>
      <w:r w:rsidRPr="00BC7F75">
        <w:rPr>
          <w:rFonts w:ascii="Arial" w:eastAsia="Arial" w:hAnsi="Arial" w:cs="Arial"/>
          <w:color w:val="000000"/>
          <w:sz w:val="20"/>
          <w:szCs w:val="20"/>
          <w:highlight w:val="white"/>
        </w:rPr>
        <w:t>Kefale</w:t>
      </w:r>
      <w:proofErr w:type="spellEnd"/>
      <w:r w:rsidRPr="00BC7F75">
        <w:rPr>
          <w:rFonts w:ascii="Arial" w:eastAsia="Arial" w:hAnsi="Arial" w:cs="Arial"/>
          <w:color w:val="000000"/>
          <w:sz w:val="20"/>
          <w:szCs w:val="20"/>
          <w:highlight w:val="white"/>
        </w:rPr>
        <w:t xml:space="preserve">, H., &amp; </w:t>
      </w:r>
      <w:proofErr w:type="spellStart"/>
      <w:r w:rsidRPr="00BC7F75">
        <w:rPr>
          <w:rFonts w:ascii="Arial" w:eastAsia="Arial" w:hAnsi="Arial" w:cs="Arial"/>
          <w:color w:val="000000"/>
          <w:sz w:val="20"/>
          <w:szCs w:val="20"/>
          <w:highlight w:val="white"/>
        </w:rPr>
        <w:t>Gelaye</w:t>
      </w:r>
      <w:proofErr w:type="spellEnd"/>
      <w:r w:rsidRPr="00BC7F75">
        <w:rPr>
          <w:rFonts w:ascii="Arial" w:eastAsia="Arial" w:hAnsi="Arial" w:cs="Arial"/>
          <w:color w:val="000000"/>
          <w:sz w:val="20"/>
          <w:szCs w:val="20"/>
          <w:highlight w:val="white"/>
        </w:rPr>
        <w:t>, Y. (2024). Application of precision agriculture technologies for sustainable crop production and environmental sustainability: A systematic review. </w:t>
      </w:r>
      <w:r w:rsidRPr="00BC7F75">
        <w:rPr>
          <w:rFonts w:ascii="Arial" w:eastAsia="Arial" w:hAnsi="Arial" w:cs="Arial"/>
          <w:i/>
          <w:iCs/>
          <w:color w:val="000000"/>
          <w:sz w:val="20"/>
          <w:szCs w:val="20"/>
          <w:highlight w:val="white"/>
        </w:rPr>
        <w:t>The Scientific World Journal</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2024</w:t>
      </w:r>
      <w:r w:rsidRPr="00BC7F75">
        <w:rPr>
          <w:rFonts w:ascii="Arial" w:eastAsia="Arial" w:hAnsi="Arial" w:cs="Arial"/>
          <w:color w:val="000000"/>
          <w:sz w:val="20"/>
          <w:szCs w:val="20"/>
          <w:highlight w:val="white"/>
        </w:rPr>
        <w:t>(1), 2126734.</w:t>
      </w:r>
      <w:r w:rsidR="00253CA8" w:rsidRPr="00BC7F75">
        <w:rPr>
          <w:rFonts w:ascii="Arial" w:eastAsia="Arial" w:hAnsi="Arial" w:cs="Arial"/>
          <w:color w:val="000000"/>
          <w:sz w:val="20"/>
          <w:szCs w:val="20"/>
          <w:highlight w:val="white"/>
        </w:rPr>
        <w:t xml:space="preserve"> </w:t>
      </w:r>
      <w:r w:rsidR="00253CA8" w:rsidRPr="00BC7F75">
        <w:rPr>
          <w:rFonts w:ascii="Arial" w:eastAsia="Arial" w:hAnsi="Arial" w:cs="Arial"/>
          <w:color w:val="000000"/>
          <w:sz w:val="20"/>
          <w:szCs w:val="20"/>
          <w:highlight w:val="white"/>
          <w:lang w:val="en-US"/>
        </w:rPr>
        <w:t>https://doi.org/10.1155/2024/2126734</w:t>
      </w:r>
    </w:p>
    <w:p w14:paraId="00000092" w14:textId="3544613D"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Getnet, G. T. (2025). Towards Climate-Smart Agriculture: Strategies for Sustainable Agricultural Production, Food Security, and Greenhouse Gas Reduction.</w:t>
      </w:r>
      <w:r w:rsidR="0003436C" w:rsidRPr="00BC7F75">
        <w:rPr>
          <w:rFonts w:ascii="Arial" w:eastAsia="Arial" w:hAnsi="Arial" w:cs="Arial"/>
          <w:color w:val="000000"/>
          <w:sz w:val="20"/>
          <w:szCs w:val="20"/>
          <w:highlight w:val="white"/>
        </w:rPr>
        <w:t xml:space="preserve">  </w:t>
      </w:r>
      <w:r w:rsidR="0003436C" w:rsidRPr="00BC7F75">
        <w:rPr>
          <w:rFonts w:ascii="Arial" w:eastAsia="Arial" w:hAnsi="Arial" w:cs="Arial"/>
          <w:color w:val="000000"/>
          <w:sz w:val="20"/>
          <w:szCs w:val="20"/>
          <w:highlight w:val="white"/>
          <w:lang w:val="en-US"/>
        </w:rPr>
        <w:t>https://doi.org/10.3390/agronomy15030565</w:t>
      </w:r>
    </w:p>
    <w:p w14:paraId="00000093" w14:textId="56553533"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Jamil, S., Kanwal, S., Kanwal, R., Razzaq, H., Shahzad, R., Afza, N., ... &amp; Rahman, S. (2023). Climate-smart agriculture: a way to ensure food security. </w:t>
      </w:r>
      <w:r w:rsidRPr="00BC7F75">
        <w:rPr>
          <w:rFonts w:ascii="Arial" w:eastAsia="Arial" w:hAnsi="Arial" w:cs="Arial"/>
          <w:i/>
          <w:iCs/>
          <w:color w:val="000000"/>
          <w:sz w:val="20"/>
          <w:szCs w:val="20"/>
          <w:highlight w:val="white"/>
        </w:rPr>
        <w:t>Pakistan J Bot</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55</w:t>
      </w:r>
      <w:r w:rsidRPr="00BC7F75">
        <w:rPr>
          <w:rFonts w:ascii="Arial" w:eastAsia="Arial" w:hAnsi="Arial" w:cs="Arial"/>
          <w:color w:val="000000"/>
          <w:sz w:val="20"/>
          <w:szCs w:val="20"/>
          <w:highlight w:val="white"/>
        </w:rPr>
        <w:t>, 1157-1167.</w:t>
      </w:r>
      <w:r w:rsidR="00DB4B44" w:rsidRPr="00BC7F75">
        <w:rPr>
          <w:rFonts w:ascii="Arial" w:eastAsia="Arial" w:hAnsi="Arial" w:cs="Arial"/>
          <w:color w:val="000000"/>
          <w:sz w:val="20"/>
          <w:szCs w:val="20"/>
          <w:highlight w:val="white"/>
        </w:rPr>
        <w:t xml:space="preserve"> </w:t>
      </w:r>
      <w:r w:rsidR="00DB4B44" w:rsidRPr="00BC7F75">
        <w:rPr>
          <w:rFonts w:ascii="Arial" w:eastAsia="Arial" w:hAnsi="Arial" w:cs="Arial"/>
          <w:color w:val="000000"/>
          <w:sz w:val="20"/>
          <w:szCs w:val="20"/>
          <w:highlight w:val="white"/>
          <w:lang w:val="en-US"/>
        </w:rPr>
        <w:t>https://doi.org/10.30848/PJB2023-3(26)</w:t>
      </w:r>
    </w:p>
    <w:p w14:paraId="00000094" w14:textId="3020B76A" w:rsidR="008F464C" w:rsidRPr="00BC7F75" w:rsidRDefault="00BC7F75" w:rsidP="00BC7F75">
      <w:pPr>
        <w:ind w:left="360"/>
        <w:jc w:val="both"/>
        <w:rPr>
          <w:rFonts w:ascii="Arial" w:eastAsia="Arial" w:hAnsi="Arial" w:cs="Arial"/>
          <w:color w:val="000000"/>
          <w:sz w:val="20"/>
          <w:szCs w:val="20"/>
          <w:highlight w:val="white"/>
        </w:rPr>
      </w:pPr>
      <w:proofErr w:type="spellStart"/>
      <w:r w:rsidRPr="00BC7F75">
        <w:rPr>
          <w:rFonts w:ascii="Arial" w:eastAsia="Arial" w:hAnsi="Arial" w:cs="Arial"/>
          <w:color w:val="000000"/>
          <w:sz w:val="20"/>
          <w:szCs w:val="20"/>
          <w:highlight w:val="white"/>
        </w:rPr>
        <w:t>Kabato</w:t>
      </w:r>
      <w:proofErr w:type="spellEnd"/>
      <w:r w:rsidRPr="00BC7F75">
        <w:rPr>
          <w:rFonts w:ascii="Arial" w:eastAsia="Arial" w:hAnsi="Arial" w:cs="Arial"/>
          <w:color w:val="000000"/>
          <w:sz w:val="20"/>
          <w:szCs w:val="20"/>
          <w:highlight w:val="white"/>
        </w:rPr>
        <w:t xml:space="preserve">, W., Getnet, G. T., </w:t>
      </w:r>
      <w:proofErr w:type="spellStart"/>
      <w:r w:rsidRPr="00BC7F75">
        <w:rPr>
          <w:rFonts w:ascii="Arial" w:eastAsia="Arial" w:hAnsi="Arial" w:cs="Arial"/>
          <w:color w:val="000000"/>
          <w:sz w:val="20"/>
          <w:szCs w:val="20"/>
          <w:highlight w:val="white"/>
        </w:rPr>
        <w:t>Sinore</w:t>
      </w:r>
      <w:proofErr w:type="spellEnd"/>
      <w:r w:rsidRPr="00BC7F75">
        <w:rPr>
          <w:rFonts w:ascii="Arial" w:eastAsia="Arial" w:hAnsi="Arial" w:cs="Arial"/>
          <w:color w:val="000000"/>
          <w:sz w:val="20"/>
          <w:szCs w:val="20"/>
          <w:highlight w:val="white"/>
        </w:rPr>
        <w:t>, T., Nemeth, A., &amp; Molnár, Z. (2025). Towards Climate-Smart Agriculture: Strategies for Sustainable Agricultural Production, Food Security, and Greenhouse Gas Reduction. </w:t>
      </w:r>
      <w:r w:rsidRPr="00BC7F75">
        <w:rPr>
          <w:rFonts w:ascii="Arial" w:eastAsia="Arial" w:hAnsi="Arial" w:cs="Arial"/>
          <w:i/>
          <w:iCs/>
          <w:color w:val="000000"/>
          <w:sz w:val="20"/>
          <w:szCs w:val="20"/>
          <w:highlight w:val="white"/>
        </w:rPr>
        <w:t>Agronomy</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15</w:t>
      </w:r>
      <w:r w:rsidRPr="00BC7F75">
        <w:rPr>
          <w:rFonts w:ascii="Arial" w:eastAsia="Arial" w:hAnsi="Arial" w:cs="Arial"/>
          <w:color w:val="000000"/>
          <w:sz w:val="20"/>
          <w:szCs w:val="20"/>
          <w:highlight w:val="white"/>
        </w:rPr>
        <w:t xml:space="preserve">(3), 565. </w:t>
      </w:r>
      <w:r w:rsidR="00DB4B44" w:rsidRPr="00BC7F75">
        <w:rPr>
          <w:rFonts w:ascii="Arial" w:eastAsia="Arial" w:hAnsi="Arial" w:cs="Arial"/>
          <w:color w:val="000000"/>
          <w:sz w:val="20"/>
          <w:szCs w:val="20"/>
          <w:highlight w:val="white"/>
        </w:rPr>
        <w:t xml:space="preserve"> </w:t>
      </w:r>
      <w:r w:rsidR="00DB4B44" w:rsidRPr="00BC7F75">
        <w:rPr>
          <w:rFonts w:ascii="Arial" w:eastAsia="Arial" w:hAnsi="Arial" w:cs="Arial"/>
          <w:color w:val="000000"/>
          <w:sz w:val="20"/>
          <w:szCs w:val="20"/>
          <w:highlight w:val="white"/>
          <w:lang w:val="en-US"/>
        </w:rPr>
        <w:t>https://doi.org/10.3390/agronomy15030565</w:t>
      </w:r>
    </w:p>
    <w:p w14:paraId="00000095" w14:textId="018FE1D8"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Katel, S., raj Mandal, H., Koirala, S., Timsina, S., &amp; Poudel, A. (2022). Climate Smart Agriculture for food security, adaptation, and migration: a review. </w:t>
      </w:r>
      <w:r w:rsidRPr="00BC7F75">
        <w:rPr>
          <w:rFonts w:ascii="Arial" w:eastAsia="Arial" w:hAnsi="Arial" w:cs="Arial"/>
          <w:i/>
          <w:iCs/>
          <w:color w:val="000000"/>
          <w:sz w:val="20"/>
          <w:szCs w:val="20"/>
          <w:highlight w:val="white"/>
        </w:rPr>
        <w:t>Turkish Journal of Agriculture-Food Science and Technology</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10</w:t>
      </w:r>
      <w:r w:rsidRPr="00BC7F75">
        <w:rPr>
          <w:rFonts w:ascii="Arial" w:eastAsia="Arial" w:hAnsi="Arial" w:cs="Arial"/>
          <w:color w:val="000000"/>
          <w:sz w:val="20"/>
          <w:szCs w:val="20"/>
          <w:highlight w:val="white"/>
        </w:rPr>
        <w:t>(8), 1558-1564.</w:t>
      </w:r>
      <w:r w:rsidR="00DB4B44" w:rsidRPr="00BC7F75">
        <w:rPr>
          <w:rFonts w:ascii="Arial" w:eastAsia="Arial" w:hAnsi="Arial" w:cs="Arial"/>
          <w:color w:val="000000"/>
          <w:sz w:val="20"/>
          <w:szCs w:val="20"/>
          <w:highlight w:val="white"/>
        </w:rPr>
        <w:t xml:space="preserve"> </w:t>
      </w:r>
      <w:r w:rsidR="00DB4B44" w:rsidRPr="00BC7F75">
        <w:rPr>
          <w:rFonts w:ascii="Arial" w:eastAsia="Arial" w:hAnsi="Arial" w:cs="Arial"/>
          <w:color w:val="000000"/>
          <w:sz w:val="20"/>
          <w:szCs w:val="20"/>
          <w:highlight w:val="white"/>
          <w:lang w:val="en-US"/>
        </w:rPr>
        <w:t>https://doi.org/10.24925/turjaf.v10i8.1558-1564.5162</w:t>
      </w:r>
    </w:p>
    <w:p w14:paraId="00000096" w14:textId="2FED5E45" w:rsidR="008F464C" w:rsidRPr="00BC7F75" w:rsidRDefault="00BC7F75" w:rsidP="00BC7F75">
      <w:pPr>
        <w:ind w:left="360"/>
        <w:jc w:val="both"/>
        <w:rPr>
          <w:rFonts w:ascii="Arial" w:eastAsia="Arial" w:hAnsi="Arial" w:cs="Arial"/>
          <w:color w:val="000000"/>
          <w:sz w:val="20"/>
          <w:szCs w:val="20"/>
          <w:highlight w:val="white"/>
        </w:rPr>
      </w:pPr>
      <w:proofErr w:type="spellStart"/>
      <w:r w:rsidRPr="00BC7F75">
        <w:rPr>
          <w:rFonts w:ascii="Arial" w:eastAsia="Arial" w:hAnsi="Arial" w:cs="Arial"/>
          <w:color w:val="000000"/>
          <w:sz w:val="20"/>
          <w:szCs w:val="20"/>
          <w:highlight w:val="white"/>
        </w:rPr>
        <w:t>Kazancoglu</w:t>
      </w:r>
      <w:proofErr w:type="spellEnd"/>
      <w:r w:rsidRPr="00BC7F75">
        <w:rPr>
          <w:rFonts w:ascii="Arial" w:eastAsia="Arial" w:hAnsi="Arial" w:cs="Arial"/>
          <w:color w:val="000000"/>
          <w:sz w:val="20"/>
          <w:szCs w:val="20"/>
          <w:highlight w:val="white"/>
        </w:rPr>
        <w:t xml:space="preserve">, Y., </w:t>
      </w:r>
      <w:proofErr w:type="spellStart"/>
      <w:r w:rsidRPr="00BC7F75">
        <w:rPr>
          <w:rFonts w:ascii="Arial" w:eastAsia="Arial" w:hAnsi="Arial" w:cs="Arial"/>
          <w:color w:val="000000"/>
          <w:sz w:val="20"/>
          <w:szCs w:val="20"/>
          <w:highlight w:val="white"/>
        </w:rPr>
        <w:t>Lafci</w:t>
      </w:r>
      <w:proofErr w:type="spellEnd"/>
      <w:r w:rsidRPr="00BC7F75">
        <w:rPr>
          <w:rFonts w:ascii="Arial" w:eastAsia="Arial" w:hAnsi="Arial" w:cs="Arial"/>
          <w:color w:val="000000"/>
          <w:sz w:val="20"/>
          <w:szCs w:val="20"/>
          <w:highlight w:val="white"/>
        </w:rPr>
        <w:t>, C., Kumar, A., Luthra, S., Garza</w:t>
      </w:r>
      <w:r w:rsidRPr="00BC7F75">
        <w:rPr>
          <w:rFonts w:ascii="Cambria Math" w:eastAsia="Cambria Math" w:hAnsi="Cambria Math" w:cs="Cambria Math"/>
          <w:color w:val="000000"/>
          <w:sz w:val="20"/>
          <w:szCs w:val="20"/>
          <w:highlight w:val="white"/>
        </w:rPr>
        <w:t>‐</w:t>
      </w:r>
      <w:r w:rsidRPr="00BC7F75">
        <w:rPr>
          <w:rFonts w:ascii="Arial" w:eastAsia="Arial" w:hAnsi="Arial" w:cs="Arial"/>
          <w:color w:val="000000"/>
          <w:sz w:val="20"/>
          <w:szCs w:val="20"/>
          <w:highlight w:val="white"/>
        </w:rPr>
        <w:t xml:space="preserve">Reyes, J. A., &amp; </w:t>
      </w:r>
      <w:proofErr w:type="spellStart"/>
      <w:r w:rsidRPr="00BC7F75">
        <w:rPr>
          <w:rFonts w:ascii="Arial" w:eastAsia="Arial" w:hAnsi="Arial" w:cs="Arial"/>
          <w:color w:val="000000"/>
          <w:sz w:val="20"/>
          <w:szCs w:val="20"/>
          <w:highlight w:val="white"/>
        </w:rPr>
        <w:t>Berberoglu</w:t>
      </w:r>
      <w:proofErr w:type="spellEnd"/>
      <w:r w:rsidRPr="00BC7F75">
        <w:rPr>
          <w:rFonts w:ascii="Arial" w:eastAsia="Arial" w:hAnsi="Arial" w:cs="Arial"/>
          <w:color w:val="000000"/>
          <w:sz w:val="20"/>
          <w:szCs w:val="20"/>
          <w:highlight w:val="white"/>
        </w:rPr>
        <w:t>, Y. (2024). The role of agri</w:t>
      </w:r>
      <w:r w:rsidRPr="00BC7F75">
        <w:rPr>
          <w:rFonts w:ascii="Cambria Math" w:eastAsia="Cambria Math" w:hAnsi="Cambria Math" w:cs="Cambria Math"/>
          <w:color w:val="000000"/>
          <w:sz w:val="20"/>
          <w:szCs w:val="20"/>
          <w:highlight w:val="white"/>
        </w:rPr>
        <w:t>‐</w:t>
      </w:r>
      <w:r w:rsidRPr="00BC7F75">
        <w:rPr>
          <w:rFonts w:ascii="Arial" w:eastAsia="Arial" w:hAnsi="Arial" w:cs="Arial"/>
          <w:color w:val="000000"/>
          <w:sz w:val="20"/>
          <w:szCs w:val="20"/>
          <w:highlight w:val="white"/>
        </w:rPr>
        <w:t>food 4.0 in climate</w:t>
      </w:r>
      <w:r w:rsidRPr="00BC7F75">
        <w:rPr>
          <w:rFonts w:ascii="Cambria Math" w:eastAsia="Cambria Math" w:hAnsi="Cambria Math" w:cs="Cambria Math"/>
          <w:color w:val="000000"/>
          <w:sz w:val="20"/>
          <w:szCs w:val="20"/>
          <w:highlight w:val="white"/>
        </w:rPr>
        <w:t>‐</w:t>
      </w:r>
      <w:r w:rsidRPr="00BC7F75">
        <w:rPr>
          <w:rFonts w:ascii="Arial" w:eastAsia="Arial" w:hAnsi="Arial" w:cs="Arial"/>
          <w:color w:val="000000"/>
          <w:sz w:val="20"/>
          <w:szCs w:val="20"/>
          <w:highlight w:val="white"/>
        </w:rPr>
        <w:t>smart farming for controlling climate change</w:t>
      </w:r>
      <w:r w:rsidRPr="00BC7F75">
        <w:rPr>
          <w:rFonts w:ascii="Cambria Math" w:eastAsia="Cambria Math" w:hAnsi="Cambria Math" w:cs="Cambria Math"/>
          <w:color w:val="000000"/>
          <w:sz w:val="20"/>
          <w:szCs w:val="20"/>
          <w:highlight w:val="white"/>
        </w:rPr>
        <w:t>‐</w:t>
      </w:r>
      <w:r w:rsidRPr="00BC7F75">
        <w:rPr>
          <w:rFonts w:ascii="Arial" w:eastAsia="Arial" w:hAnsi="Arial" w:cs="Arial"/>
          <w:color w:val="000000"/>
          <w:sz w:val="20"/>
          <w:szCs w:val="20"/>
          <w:highlight w:val="white"/>
        </w:rPr>
        <w:t>related risks: A business perspective analysis. </w:t>
      </w:r>
      <w:r w:rsidRPr="00BC7F75">
        <w:rPr>
          <w:rFonts w:ascii="Arial" w:eastAsia="Arial" w:hAnsi="Arial" w:cs="Arial"/>
          <w:i/>
          <w:iCs/>
          <w:color w:val="000000"/>
          <w:sz w:val="20"/>
          <w:szCs w:val="20"/>
          <w:highlight w:val="white"/>
        </w:rPr>
        <w:t>Business Strategy and the Environment</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33</w:t>
      </w:r>
      <w:r w:rsidRPr="00BC7F75">
        <w:rPr>
          <w:rFonts w:ascii="Arial" w:eastAsia="Arial" w:hAnsi="Arial" w:cs="Arial"/>
          <w:color w:val="000000"/>
          <w:sz w:val="20"/>
          <w:szCs w:val="20"/>
          <w:highlight w:val="white"/>
        </w:rPr>
        <w:t>(4), 2788-2802.</w:t>
      </w:r>
      <w:r w:rsidR="00DB4B44" w:rsidRPr="00BC7F75">
        <w:rPr>
          <w:rFonts w:ascii="Arial" w:eastAsia="Arial" w:hAnsi="Arial" w:cs="Arial"/>
          <w:color w:val="000000"/>
          <w:sz w:val="20"/>
          <w:szCs w:val="20"/>
          <w:highlight w:val="white"/>
        </w:rPr>
        <w:t xml:space="preserve"> </w:t>
      </w:r>
      <w:r w:rsidR="00DB4B44" w:rsidRPr="00BC7F75">
        <w:rPr>
          <w:rFonts w:ascii="Arial" w:eastAsia="Arial" w:hAnsi="Arial" w:cs="Arial"/>
          <w:color w:val="000000"/>
          <w:sz w:val="20"/>
          <w:szCs w:val="20"/>
          <w:highlight w:val="white"/>
          <w:lang w:val="en-US"/>
        </w:rPr>
        <w:t>https://doi.org/10.1002/bse.3629</w:t>
      </w:r>
    </w:p>
    <w:p w14:paraId="00000097" w14:textId="46D03655"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 xml:space="preserve">Kombat, R., Sarfatti, P., &amp; </w:t>
      </w:r>
      <w:proofErr w:type="spellStart"/>
      <w:r w:rsidRPr="00BC7F75">
        <w:rPr>
          <w:rFonts w:ascii="Arial" w:eastAsia="Arial" w:hAnsi="Arial" w:cs="Arial"/>
          <w:color w:val="000000"/>
          <w:sz w:val="20"/>
          <w:szCs w:val="20"/>
          <w:highlight w:val="white"/>
        </w:rPr>
        <w:t>Fatunbi</w:t>
      </w:r>
      <w:proofErr w:type="spellEnd"/>
      <w:r w:rsidRPr="00BC7F75">
        <w:rPr>
          <w:rFonts w:ascii="Arial" w:eastAsia="Arial" w:hAnsi="Arial" w:cs="Arial"/>
          <w:color w:val="000000"/>
          <w:sz w:val="20"/>
          <w:szCs w:val="20"/>
          <w:highlight w:val="white"/>
        </w:rPr>
        <w:t xml:space="preserve">, O. A. (2021). A review of climate-smart agriculture technology adoption by farming households in </w:t>
      </w:r>
      <w:proofErr w:type="spellStart"/>
      <w:r w:rsidRPr="00BC7F75">
        <w:rPr>
          <w:rFonts w:ascii="Arial" w:eastAsia="Arial" w:hAnsi="Arial" w:cs="Arial"/>
          <w:color w:val="000000"/>
          <w:sz w:val="20"/>
          <w:szCs w:val="20"/>
          <w:highlight w:val="white"/>
        </w:rPr>
        <w:t>sub-saharan</w:t>
      </w:r>
      <w:proofErr w:type="spellEnd"/>
      <w:r w:rsidRPr="00BC7F75">
        <w:rPr>
          <w:rFonts w:ascii="Arial" w:eastAsia="Arial" w:hAnsi="Arial" w:cs="Arial"/>
          <w:color w:val="000000"/>
          <w:sz w:val="20"/>
          <w:szCs w:val="20"/>
          <w:highlight w:val="white"/>
        </w:rPr>
        <w:t xml:space="preserve"> </w:t>
      </w:r>
      <w:proofErr w:type="spellStart"/>
      <w:r w:rsidRPr="00BC7F75">
        <w:rPr>
          <w:rFonts w:ascii="Arial" w:eastAsia="Arial" w:hAnsi="Arial" w:cs="Arial"/>
          <w:color w:val="000000"/>
          <w:sz w:val="20"/>
          <w:szCs w:val="20"/>
          <w:highlight w:val="white"/>
        </w:rPr>
        <w:t>africa</w:t>
      </w:r>
      <w:proofErr w:type="spellEnd"/>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Sustainability</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13</w:t>
      </w:r>
      <w:r w:rsidRPr="00BC7F75">
        <w:rPr>
          <w:rFonts w:ascii="Arial" w:eastAsia="Arial" w:hAnsi="Arial" w:cs="Arial"/>
          <w:color w:val="000000"/>
          <w:sz w:val="20"/>
          <w:szCs w:val="20"/>
          <w:highlight w:val="white"/>
        </w:rPr>
        <w:t>(21), 12130.</w:t>
      </w:r>
      <w:r w:rsidR="00DB4B44" w:rsidRPr="00BC7F75">
        <w:rPr>
          <w:rFonts w:ascii="Arial" w:eastAsia="Arial" w:hAnsi="Arial" w:cs="Arial"/>
          <w:color w:val="000000"/>
          <w:sz w:val="20"/>
          <w:szCs w:val="20"/>
          <w:highlight w:val="white"/>
        </w:rPr>
        <w:t xml:space="preserve"> </w:t>
      </w:r>
      <w:r w:rsidR="00DB4B44" w:rsidRPr="00BC7F75">
        <w:rPr>
          <w:rFonts w:ascii="Arial" w:eastAsia="Arial" w:hAnsi="Arial" w:cs="Arial"/>
          <w:color w:val="000000"/>
          <w:sz w:val="20"/>
          <w:szCs w:val="20"/>
          <w:highlight w:val="white"/>
          <w:lang w:val="en-US"/>
        </w:rPr>
        <w:t>https://doi.org/10.3390/su132112130</w:t>
      </w:r>
    </w:p>
    <w:p w14:paraId="00000098" w14:textId="795F5884"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Kumari, K., Mirzakhani Nafchi, A., Mirzaee, S., &amp; Abdalla, A. (2025). AI-driven future farming: achieving climate-smart and sustainable agriculture. </w:t>
      </w:r>
      <w:proofErr w:type="spellStart"/>
      <w:r w:rsidRPr="00BC7F75">
        <w:rPr>
          <w:rFonts w:ascii="Arial" w:eastAsia="Arial" w:hAnsi="Arial" w:cs="Arial"/>
          <w:i/>
          <w:iCs/>
          <w:color w:val="000000"/>
          <w:sz w:val="20"/>
          <w:szCs w:val="20"/>
          <w:highlight w:val="white"/>
        </w:rPr>
        <w:t>AgriEngineering</w:t>
      </w:r>
      <w:proofErr w:type="spellEnd"/>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7</w:t>
      </w:r>
      <w:r w:rsidRPr="00BC7F75">
        <w:rPr>
          <w:rFonts w:ascii="Arial" w:eastAsia="Arial" w:hAnsi="Arial" w:cs="Arial"/>
          <w:color w:val="000000"/>
          <w:sz w:val="20"/>
          <w:szCs w:val="20"/>
          <w:highlight w:val="white"/>
        </w:rPr>
        <w:t>(3), 89.</w:t>
      </w:r>
      <w:r w:rsidR="00DB4B44" w:rsidRPr="00BC7F75">
        <w:rPr>
          <w:rFonts w:ascii="Arial" w:eastAsia="Arial" w:hAnsi="Arial" w:cs="Arial"/>
          <w:color w:val="000000"/>
          <w:sz w:val="20"/>
          <w:szCs w:val="20"/>
          <w:highlight w:val="white"/>
        </w:rPr>
        <w:t xml:space="preserve"> </w:t>
      </w:r>
      <w:r w:rsidR="00DB4B44" w:rsidRPr="00BC7F75">
        <w:rPr>
          <w:rFonts w:ascii="Arial" w:eastAsia="Arial" w:hAnsi="Arial" w:cs="Arial"/>
          <w:color w:val="000000"/>
          <w:sz w:val="20"/>
          <w:szCs w:val="20"/>
          <w:highlight w:val="white"/>
          <w:lang w:val="en-US"/>
        </w:rPr>
        <w:t>https://doi.org/10.3390/agriengineering7030089</w:t>
      </w:r>
    </w:p>
    <w:p w14:paraId="00000099" w14:textId="10684361"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Lajoie-O'Malley, A., Bronson, K., van der Burg, S., &amp; Klerkx, L. (2020). The future (s) of digital agriculture and sustainable food systems: An analysis of high-level policy documents. </w:t>
      </w:r>
      <w:r w:rsidRPr="00BC7F75">
        <w:rPr>
          <w:rFonts w:ascii="Arial" w:eastAsia="Arial" w:hAnsi="Arial" w:cs="Arial"/>
          <w:i/>
          <w:iCs/>
          <w:color w:val="000000"/>
          <w:sz w:val="20"/>
          <w:szCs w:val="20"/>
          <w:highlight w:val="white"/>
        </w:rPr>
        <w:t>Ecosystem Services</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45</w:t>
      </w:r>
      <w:r w:rsidRPr="00BC7F75">
        <w:rPr>
          <w:rFonts w:ascii="Arial" w:eastAsia="Arial" w:hAnsi="Arial" w:cs="Arial"/>
          <w:color w:val="000000"/>
          <w:sz w:val="20"/>
          <w:szCs w:val="20"/>
          <w:highlight w:val="white"/>
        </w:rPr>
        <w:t>, 101183.</w:t>
      </w:r>
      <w:r w:rsidR="00DB4B44" w:rsidRPr="00BC7F75">
        <w:rPr>
          <w:rFonts w:ascii="Arial" w:eastAsia="Arial" w:hAnsi="Arial" w:cs="Arial"/>
          <w:color w:val="000000"/>
          <w:sz w:val="20"/>
          <w:szCs w:val="20"/>
          <w:highlight w:val="white"/>
        </w:rPr>
        <w:t xml:space="preserve"> </w:t>
      </w:r>
      <w:r w:rsidR="00DB4B44" w:rsidRPr="00BC7F75">
        <w:rPr>
          <w:rFonts w:ascii="Arial" w:eastAsia="Arial" w:hAnsi="Arial" w:cs="Arial"/>
          <w:color w:val="000000"/>
          <w:sz w:val="20"/>
          <w:szCs w:val="20"/>
          <w:highlight w:val="white"/>
          <w:lang w:val="en-US"/>
        </w:rPr>
        <w:t>https://doi.org/10.1016/j.ecoser.2020.101183</w:t>
      </w:r>
    </w:p>
    <w:p w14:paraId="0000009A" w14:textId="225786D0"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Lewis, J., &amp; Rudnick, J. (2019). The policy enabling environment for climate smart agriculture: A case study of California. </w:t>
      </w:r>
      <w:r w:rsidRPr="00BC7F75">
        <w:rPr>
          <w:rFonts w:ascii="Arial" w:eastAsia="Arial" w:hAnsi="Arial" w:cs="Arial"/>
          <w:i/>
          <w:iCs/>
          <w:color w:val="000000"/>
          <w:sz w:val="20"/>
          <w:szCs w:val="20"/>
          <w:highlight w:val="white"/>
        </w:rPr>
        <w:t>Frontiers in Sustainable Food Systems</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3</w:t>
      </w:r>
      <w:r w:rsidRPr="00BC7F75">
        <w:rPr>
          <w:rFonts w:ascii="Arial" w:eastAsia="Arial" w:hAnsi="Arial" w:cs="Arial"/>
          <w:color w:val="000000"/>
          <w:sz w:val="20"/>
          <w:szCs w:val="20"/>
          <w:highlight w:val="white"/>
        </w:rPr>
        <w:t>, 31.</w:t>
      </w:r>
      <w:r w:rsidR="00DB4B44" w:rsidRPr="00BC7F75">
        <w:rPr>
          <w:rFonts w:ascii="Arial" w:eastAsia="Arial" w:hAnsi="Arial" w:cs="Arial"/>
          <w:color w:val="000000"/>
          <w:sz w:val="20"/>
          <w:szCs w:val="20"/>
          <w:highlight w:val="white"/>
        </w:rPr>
        <w:t xml:space="preserve"> </w:t>
      </w:r>
      <w:r w:rsidR="00DB4B44" w:rsidRPr="00BC7F75">
        <w:rPr>
          <w:rFonts w:ascii="Arial" w:eastAsia="Arial" w:hAnsi="Arial" w:cs="Arial"/>
          <w:color w:val="000000"/>
          <w:sz w:val="20"/>
          <w:szCs w:val="20"/>
          <w:highlight w:val="white"/>
          <w:lang w:val="en-US"/>
        </w:rPr>
        <w:t>https://doi.org/10.3389/fsufs.2019.00031</w:t>
      </w:r>
    </w:p>
    <w:p w14:paraId="0000009B" w14:textId="545EC230"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Lipper, L., &amp; Zilberman, D. (2018). A short history of the evolution of the climate smart agriculture approach and its links to climate change and sustainable agriculture debates. </w:t>
      </w:r>
      <w:r w:rsidRPr="00BC7F75">
        <w:rPr>
          <w:rFonts w:ascii="Arial" w:eastAsia="Arial" w:hAnsi="Arial" w:cs="Arial"/>
          <w:i/>
          <w:iCs/>
          <w:color w:val="000000"/>
          <w:sz w:val="20"/>
          <w:szCs w:val="20"/>
          <w:highlight w:val="white"/>
        </w:rPr>
        <w:t>Climate smart agriculture</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52</w:t>
      </w:r>
      <w:r w:rsidRPr="00BC7F75">
        <w:rPr>
          <w:rFonts w:ascii="Arial" w:eastAsia="Arial" w:hAnsi="Arial" w:cs="Arial"/>
          <w:color w:val="000000"/>
          <w:sz w:val="20"/>
          <w:szCs w:val="20"/>
          <w:highlight w:val="white"/>
        </w:rPr>
        <w:t>, 13-30.</w:t>
      </w:r>
      <w:r w:rsidR="00DB4B44" w:rsidRPr="00BC7F75">
        <w:rPr>
          <w:rFonts w:ascii="Arial" w:eastAsia="Arial" w:hAnsi="Arial" w:cs="Arial"/>
          <w:color w:val="000000"/>
          <w:sz w:val="20"/>
          <w:szCs w:val="20"/>
          <w:highlight w:val="white"/>
        </w:rPr>
        <w:t xml:space="preserve"> </w:t>
      </w:r>
      <w:r w:rsidR="00DB4B44" w:rsidRPr="00BC7F75">
        <w:rPr>
          <w:rFonts w:ascii="Arial" w:eastAsia="Arial" w:hAnsi="Arial" w:cs="Arial"/>
          <w:color w:val="000000"/>
          <w:sz w:val="20"/>
          <w:szCs w:val="20"/>
          <w:highlight w:val="white"/>
          <w:lang w:val="en-US"/>
        </w:rPr>
        <w:t>https://doi.org/10.1007/978-3-319-61194-5_2</w:t>
      </w:r>
    </w:p>
    <w:p w14:paraId="0000009C" w14:textId="4392B5DE"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 xml:space="preserve">Long, T. B., Blok, V., &amp; </w:t>
      </w:r>
      <w:proofErr w:type="spellStart"/>
      <w:r w:rsidRPr="00BC7F75">
        <w:rPr>
          <w:rFonts w:ascii="Arial" w:eastAsia="Arial" w:hAnsi="Arial" w:cs="Arial"/>
          <w:color w:val="000000"/>
          <w:sz w:val="20"/>
          <w:szCs w:val="20"/>
          <w:highlight w:val="white"/>
        </w:rPr>
        <w:t>Coninx</w:t>
      </w:r>
      <w:proofErr w:type="spellEnd"/>
      <w:r w:rsidRPr="00BC7F75">
        <w:rPr>
          <w:rFonts w:ascii="Arial" w:eastAsia="Arial" w:hAnsi="Arial" w:cs="Arial"/>
          <w:color w:val="000000"/>
          <w:sz w:val="20"/>
          <w:szCs w:val="20"/>
          <w:highlight w:val="white"/>
        </w:rPr>
        <w:t>, I. (2016). Barriers to the adoption and diffusion of technological innovations for climate-smart agriculture in Europe: evidence from the Netherlands, France, Switzerland and Italy. </w:t>
      </w:r>
      <w:r w:rsidRPr="00BC7F75">
        <w:rPr>
          <w:rFonts w:ascii="Arial" w:eastAsia="Arial" w:hAnsi="Arial" w:cs="Arial"/>
          <w:i/>
          <w:iCs/>
          <w:color w:val="000000"/>
          <w:sz w:val="20"/>
          <w:szCs w:val="20"/>
          <w:highlight w:val="white"/>
        </w:rPr>
        <w:t>Journal of cleaner production</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112</w:t>
      </w:r>
      <w:r w:rsidRPr="00BC7F75">
        <w:rPr>
          <w:rFonts w:ascii="Arial" w:eastAsia="Arial" w:hAnsi="Arial" w:cs="Arial"/>
          <w:color w:val="000000"/>
          <w:sz w:val="20"/>
          <w:szCs w:val="20"/>
          <w:highlight w:val="white"/>
        </w:rPr>
        <w:t>, 9-21.</w:t>
      </w:r>
      <w:r w:rsidR="00DB4B44" w:rsidRPr="00BC7F75">
        <w:rPr>
          <w:rFonts w:ascii="Arial" w:eastAsia="Arial" w:hAnsi="Arial" w:cs="Arial"/>
          <w:color w:val="000000"/>
          <w:sz w:val="20"/>
          <w:szCs w:val="20"/>
          <w:highlight w:val="white"/>
        </w:rPr>
        <w:t xml:space="preserve"> </w:t>
      </w:r>
      <w:r w:rsidR="00DB4B44" w:rsidRPr="00BC7F75">
        <w:rPr>
          <w:rFonts w:ascii="Arial" w:eastAsia="Arial" w:hAnsi="Arial" w:cs="Arial"/>
          <w:color w:val="000000"/>
          <w:sz w:val="20"/>
          <w:szCs w:val="20"/>
          <w:highlight w:val="white"/>
          <w:lang w:val="en-US"/>
        </w:rPr>
        <w:t>https://doi.org/10.1016/j.jclepro.2015.06.044</w:t>
      </w:r>
    </w:p>
    <w:p w14:paraId="0000009D" w14:textId="7CF686AE"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lastRenderedPageBreak/>
        <w:t>Lou, Y., Feng, L., Xing, W., Hu, N., Noellemeyer, E., Le Cadre, E., ... &amp; Mei, X. (2024). Climate-smart agriculture: Insights and challenges. </w:t>
      </w:r>
      <w:r w:rsidRPr="00BC7F75">
        <w:rPr>
          <w:rFonts w:ascii="Arial" w:eastAsia="Arial" w:hAnsi="Arial" w:cs="Arial"/>
          <w:i/>
          <w:iCs/>
          <w:color w:val="000000"/>
          <w:sz w:val="20"/>
          <w:szCs w:val="20"/>
          <w:highlight w:val="white"/>
        </w:rPr>
        <w:t>Climate Smart Agriculture</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1</w:t>
      </w:r>
      <w:r w:rsidRPr="00BC7F75">
        <w:rPr>
          <w:rFonts w:ascii="Arial" w:eastAsia="Arial" w:hAnsi="Arial" w:cs="Arial"/>
          <w:color w:val="000000"/>
          <w:sz w:val="20"/>
          <w:szCs w:val="20"/>
          <w:highlight w:val="white"/>
        </w:rPr>
        <w:t>(1), 100003.</w:t>
      </w:r>
      <w:r w:rsidR="00DB4B44" w:rsidRPr="00BC7F75">
        <w:rPr>
          <w:rFonts w:ascii="Arial" w:eastAsia="Arial" w:hAnsi="Arial" w:cs="Arial"/>
          <w:color w:val="000000"/>
          <w:sz w:val="20"/>
          <w:szCs w:val="20"/>
          <w:highlight w:val="white"/>
        </w:rPr>
        <w:t xml:space="preserve"> </w:t>
      </w:r>
      <w:r w:rsidR="00DB4B44" w:rsidRPr="00BC7F75">
        <w:rPr>
          <w:rFonts w:ascii="Arial" w:eastAsia="Arial" w:hAnsi="Arial" w:cs="Arial"/>
          <w:color w:val="000000"/>
          <w:sz w:val="20"/>
          <w:szCs w:val="20"/>
          <w:highlight w:val="white"/>
          <w:lang w:val="en-US"/>
        </w:rPr>
        <w:t>https://doi.org/10.1016/j.csag.2024.100003</w:t>
      </w:r>
    </w:p>
    <w:p w14:paraId="0000009E" w14:textId="09065D4D"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Matteoli, F., Schnetzer, J., &amp; Jacobs, H. (2020). Climate-smart agriculture (CSA): an integrated approach for climate change management in the agriculture sector. In </w:t>
      </w:r>
      <w:r w:rsidRPr="00BC7F75">
        <w:rPr>
          <w:rFonts w:ascii="Arial" w:eastAsia="Arial" w:hAnsi="Arial" w:cs="Arial"/>
          <w:i/>
          <w:iCs/>
          <w:color w:val="000000"/>
          <w:sz w:val="20"/>
          <w:szCs w:val="20"/>
          <w:highlight w:val="white"/>
        </w:rPr>
        <w:t>Handbook of climate change management: research, leadership, transformation</w:t>
      </w:r>
      <w:r w:rsidRPr="00BC7F75">
        <w:rPr>
          <w:rFonts w:ascii="Arial" w:eastAsia="Arial" w:hAnsi="Arial" w:cs="Arial"/>
          <w:color w:val="000000"/>
          <w:sz w:val="20"/>
          <w:szCs w:val="20"/>
          <w:highlight w:val="white"/>
        </w:rPr>
        <w:t> (pp. 1-29). Cham: Springer International Publishing.</w:t>
      </w:r>
      <w:r w:rsidR="00DB4B44" w:rsidRPr="00BC7F75">
        <w:rPr>
          <w:rFonts w:ascii="Arial" w:eastAsia="Arial" w:hAnsi="Arial" w:cs="Arial"/>
          <w:color w:val="000000"/>
          <w:sz w:val="20"/>
          <w:szCs w:val="20"/>
          <w:highlight w:val="white"/>
        </w:rPr>
        <w:t xml:space="preserve"> </w:t>
      </w:r>
      <w:r w:rsidR="00DB4B44" w:rsidRPr="00BC7F75">
        <w:rPr>
          <w:rFonts w:ascii="Arial" w:eastAsia="Arial" w:hAnsi="Arial" w:cs="Arial"/>
          <w:color w:val="000000"/>
          <w:sz w:val="20"/>
          <w:szCs w:val="20"/>
          <w:highlight w:val="white"/>
          <w:lang w:val="en-US"/>
        </w:rPr>
        <w:t>https://doi.org/10.1007/978-3-030-22759-3</w:t>
      </w:r>
    </w:p>
    <w:p w14:paraId="0000009F" w14:textId="2C9D8269"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Mešić, A., Jurić, M., Donsì, F., Maslov Bandić, L., &amp; Jurić, S. (2024). Advancing climate resilience: technological innovations in plant-based, alternative and sustainable food production systems. </w:t>
      </w:r>
      <w:r w:rsidRPr="00BC7F75">
        <w:rPr>
          <w:rFonts w:ascii="Arial" w:eastAsia="Arial" w:hAnsi="Arial" w:cs="Arial"/>
          <w:i/>
          <w:iCs/>
          <w:color w:val="000000"/>
          <w:sz w:val="20"/>
          <w:szCs w:val="20"/>
          <w:highlight w:val="white"/>
        </w:rPr>
        <w:t>Discover Sustainability</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5</w:t>
      </w:r>
      <w:r w:rsidRPr="00BC7F75">
        <w:rPr>
          <w:rFonts w:ascii="Arial" w:eastAsia="Arial" w:hAnsi="Arial" w:cs="Arial"/>
          <w:color w:val="000000"/>
          <w:sz w:val="20"/>
          <w:szCs w:val="20"/>
          <w:highlight w:val="white"/>
        </w:rPr>
        <w:t>(1), 423.</w:t>
      </w:r>
      <w:r w:rsidR="00DB4B44" w:rsidRPr="00BC7F75">
        <w:rPr>
          <w:rFonts w:ascii="Arial" w:eastAsia="Arial" w:hAnsi="Arial" w:cs="Arial"/>
          <w:color w:val="000000"/>
          <w:sz w:val="20"/>
          <w:szCs w:val="20"/>
          <w:highlight w:val="white"/>
        </w:rPr>
        <w:t xml:space="preserve"> </w:t>
      </w:r>
      <w:r w:rsidR="00DB4B44" w:rsidRPr="00BC7F75">
        <w:rPr>
          <w:rFonts w:ascii="Arial" w:eastAsia="Arial" w:hAnsi="Arial" w:cs="Arial"/>
          <w:color w:val="000000"/>
          <w:sz w:val="20"/>
          <w:szCs w:val="20"/>
          <w:highlight w:val="white"/>
          <w:lang w:val="en-US"/>
        </w:rPr>
        <w:t>https://doi.org/10.1007/s43621-024-00581-z</w:t>
      </w:r>
    </w:p>
    <w:p w14:paraId="000000A0" w14:textId="1FAC048A"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 xml:space="preserve">Miller, T., Mikiciuk, G., Durlik, I., Mikiciuk, M., </w:t>
      </w:r>
      <w:proofErr w:type="spellStart"/>
      <w:r w:rsidRPr="00BC7F75">
        <w:rPr>
          <w:rFonts w:ascii="Arial" w:eastAsia="Arial" w:hAnsi="Arial" w:cs="Arial"/>
          <w:color w:val="000000"/>
          <w:sz w:val="20"/>
          <w:szCs w:val="20"/>
          <w:highlight w:val="white"/>
        </w:rPr>
        <w:t>Łobodzińska</w:t>
      </w:r>
      <w:proofErr w:type="spellEnd"/>
      <w:r w:rsidRPr="00BC7F75">
        <w:rPr>
          <w:rFonts w:ascii="Arial" w:eastAsia="Arial" w:hAnsi="Arial" w:cs="Arial"/>
          <w:color w:val="000000"/>
          <w:sz w:val="20"/>
          <w:szCs w:val="20"/>
          <w:highlight w:val="white"/>
        </w:rPr>
        <w:t xml:space="preserve">, A., &amp; </w:t>
      </w:r>
      <w:proofErr w:type="spellStart"/>
      <w:r w:rsidRPr="00BC7F75">
        <w:rPr>
          <w:rFonts w:ascii="Arial" w:eastAsia="Arial" w:hAnsi="Arial" w:cs="Arial"/>
          <w:color w:val="000000"/>
          <w:sz w:val="20"/>
          <w:szCs w:val="20"/>
          <w:highlight w:val="white"/>
        </w:rPr>
        <w:t>Śnieg</w:t>
      </w:r>
      <w:proofErr w:type="spellEnd"/>
      <w:r w:rsidRPr="00BC7F75">
        <w:rPr>
          <w:rFonts w:ascii="Arial" w:eastAsia="Arial" w:hAnsi="Arial" w:cs="Arial"/>
          <w:color w:val="000000"/>
          <w:sz w:val="20"/>
          <w:szCs w:val="20"/>
          <w:highlight w:val="white"/>
        </w:rPr>
        <w:t>, M. (2025). The IoT and AI in Agriculture: The Time Is Now—A Systematic Review of Smart Sensing Technologies. </w:t>
      </w:r>
      <w:r w:rsidRPr="00BC7F75">
        <w:rPr>
          <w:rFonts w:ascii="Arial" w:eastAsia="Arial" w:hAnsi="Arial" w:cs="Arial"/>
          <w:i/>
          <w:iCs/>
          <w:color w:val="000000"/>
          <w:sz w:val="20"/>
          <w:szCs w:val="20"/>
          <w:highlight w:val="white"/>
        </w:rPr>
        <w:t>Sensors (Basel, Switzerland)</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25</w:t>
      </w:r>
      <w:r w:rsidRPr="00BC7F75">
        <w:rPr>
          <w:rFonts w:ascii="Arial" w:eastAsia="Arial" w:hAnsi="Arial" w:cs="Arial"/>
          <w:color w:val="000000"/>
          <w:sz w:val="20"/>
          <w:szCs w:val="20"/>
          <w:highlight w:val="white"/>
        </w:rPr>
        <w:t>(12), 3583.</w:t>
      </w:r>
      <w:r w:rsidR="00DB4B44" w:rsidRPr="00BC7F75">
        <w:rPr>
          <w:rFonts w:ascii="Arial" w:eastAsia="Arial" w:hAnsi="Arial" w:cs="Arial"/>
          <w:color w:val="000000"/>
          <w:sz w:val="20"/>
          <w:szCs w:val="20"/>
          <w:highlight w:val="white"/>
        </w:rPr>
        <w:t xml:space="preserve"> </w:t>
      </w:r>
      <w:r w:rsidR="00DB4B44" w:rsidRPr="00BC7F75">
        <w:rPr>
          <w:rFonts w:ascii="Arial" w:eastAsia="Arial" w:hAnsi="Arial" w:cs="Arial"/>
          <w:color w:val="000000"/>
          <w:sz w:val="20"/>
          <w:szCs w:val="20"/>
          <w:highlight w:val="white"/>
          <w:lang w:val="en-US"/>
        </w:rPr>
        <w:t>https://doi.org/10.3390/s25123583</w:t>
      </w:r>
    </w:p>
    <w:p w14:paraId="000000A1" w14:textId="47CFC244"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Mondal, S., &amp; Palit, D. (2024). Climate Change Mitigation Through Sustainable and Climate</w:t>
      </w:r>
      <w:r w:rsidRPr="00BC7F75">
        <w:rPr>
          <w:rFonts w:ascii="Cambria Math" w:eastAsia="Cambria Math" w:hAnsi="Cambria Math" w:cs="Cambria Math"/>
          <w:color w:val="000000"/>
          <w:sz w:val="20"/>
          <w:szCs w:val="20"/>
          <w:highlight w:val="white"/>
        </w:rPr>
        <w:t>‐</w:t>
      </w:r>
      <w:r w:rsidRPr="00BC7F75">
        <w:rPr>
          <w:rFonts w:ascii="Arial" w:eastAsia="Arial" w:hAnsi="Arial" w:cs="Arial"/>
          <w:color w:val="000000"/>
          <w:sz w:val="20"/>
          <w:szCs w:val="20"/>
          <w:highlight w:val="white"/>
        </w:rPr>
        <w:t>Smart Agriculture. </w:t>
      </w:r>
      <w:r w:rsidRPr="00BC7F75">
        <w:rPr>
          <w:rFonts w:ascii="Arial" w:eastAsia="Arial" w:hAnsi="Arial" w:cs="Arial"/>
          <w:i/>
          <w:iCs/>
          <w:color w:val="000000"/>
          <w:sz w:val="20"/>
          <w:szCs w:val="20"/>
          <w:highlight w:val="white"/>
        </w:rPr>
        <w:t>Ecosystem Management: Climate Change and Sustainability</w:t>
      </w:r>
      <w:r w:rsidRPr="00BC7F75">
        <w:rPr>
          <w:rFonts w:ascii="Arial" w:eastAsia="Arial" w:hAnsi="Arial" w:cs="Arial"/>
          <w:color w:val="000000"/>
          <w:sz w:val="20"/>
          <w:szCs w:val="20"/>
          <w:highlight w:val="white"/>
        </w:rPr>
        <w:t>, 23-54.</w:t>
      </w:r>
      <w:r w:rsidR="00DB4B44" w:rsidRPr="00BC7F75">
        <w:rPr>
          <w:rFonts w:ascii="Arial" w:eastAsia="Arial" w:hAnsi="Arial" w:cs="Arial"/>
          <w:color w:val="000000"/>
          <w:sz w:val="20"/>
          <w:szCs w:val="20"/>
          <w:highlight w:val="white"/>
        </w:rPr>
        <w:t xml:space="preserve"> </w:t>
      </w:r>
      <w:r w:rsidR="00DB4B44" w:rsidRPr="00BC7F75">
        <w:rPr>
          <w:rFonts w:ascii="Arial" w:eastAsia="Arial" w:hAnsi="Arial" w:cs="Arial"/>
          <w:color w:val="000000"/>
          <w:sz w:val="20"/>
          <w:szCs w:val="20"/>
          <w:highlight w:val="white"/>
          <w:lang w:val="en-US"/>
        </w:rPr>
        <w:t>https://doi.org/10.1002/9781394231249.ch2</w:t>
      </w:r>
    </w:p>
    <w:p w14:paraId="000000A2" w14:textId="456999E3"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Naqvi, R. Z., Farooq, M., Naqvi, S. A. A., Siddiqui, H. A., Amin, I., Asif, M., &amp; Mansoor, S. (2021). Big data analytics and advanced technologies for sustainable agriculture. In </w:t>
      </w:r>
      <w:r w:rsidRPr="00BC7F75">
        <w:rPr>
          <w:rFonts w:ascii="Arial" w:eastAsia="Arial" w:hAnsi="Arial" w:cs="Arial"/>
          <w:i/>
          <w:iCs/>
          <w:color w:val="000000"/>
          <w:sz w:val="20"/>
          <w:szCs w:val="20"/>
          <w:highlight w:val="white"/>
        </w:rPr>
        <w:t>Handbook of Smart Materials, Technologies, and Devices: Applications of Industry 4.0</w:t>
      </w:r>
      <w:r w:rsidRPr="00BC7F75">
        <w:rPr>
          <w:rFonts w:ascii="Arial" w:eastAsia="Arial" w:hAnsi="Arial" w:cs="Arial"/>
          <w:color w:val="000000"/>
          <w:sz w:val="20"/>
          <w:szCs w:val="20"/>
          <w:highlight w:val="white"/>
        </w:rPr>
        <w:t> (pp. 1-27). Cham: Springer International Publishing.</w:t>
      </w:r>
      <w:r w:rsidR="00DB4B44" w:rsidRPr="00BC7F75">
        <w:rPr>
          <w:rFonts w:ascii="Arial" w:eastAsia="Arial" w:hAnsi="Arial" w:cs="Arial"/>
          <w:color w:val="000000"/>
          <w:sz w:val="20"/>
          <w:szCs w:val="20"/>
          <w:highlight w:val="white"/>
        </w:rPr>
        <w:t xml:space="preserve"> </w:t>
      </w:r>
      <w:r w:rsidR="00DB4B44" w:rsidRPr="00BC7F75">
        <w:rPr>
          <w:rFonts w:ascii="Arial" w:eastAsia="Arial" w:hAnsi="Arial" w:cs="Arial"/>
          <w:color w:val="000000"/>
          <w:sz w:val="20"/>
          <w:szCs w:val="20"/>
          <w:highlight w:val="white"/>
          <w:lang w:val="en-US"/>
        </w:rPr>
        <w:t>https://doi.org/10.1007/978-3-030-58675-1_82-1</w:t>
      </w:r>
    </w:p>
    <w:p w14:paraId="000000A3" w14:textId="46AD37B1"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Nawaz, M., &amp; Babar, M. I. K. (2024). IoT and AI: a panacea for climate change-resilient smart agriculture. </w:t>
      </w:r>
      <w:r w:rsidRPr="00BC7F75">
        <w:rPr>
          <w:rFonts w:ascii="Arial" w:eastAsia="Arial" w:hAnsi="Arial" w:cs="Arial"/>
          <w:i/>
          <w:iCs/>
          <w:color w:val="000000"/>
          <w:sz w:val="20"/>
          <w:szCs w:val="20"/>
          <w:highlight w:val="white"/>
        </w:rPr>
        <w:t>Discover Applied Sciences</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6</w:t>
      </w:r>
      <w:r w:rsidRPr="00BC7F75">
        <w:rPr>
          <w:rFonts w:ascii="Arial" w:eastAsia="Arial" w:hAnsi="Arial" w:cs="Arial"/>
          <w:color w:val="000000"/>
          <w:sz w:val="20"/>
          <w:szCs w:val="20"/>
          <w:highlight w:val="white"/>
        </w:rPr>
        <w:t>(10), 517.</w:t>
      </w:r>
      <w:r w:rsidR="00DB4B44" w:rsidRPr="00BC7F75">
        <w:rPr>
          <w:rFonts w:ascii="Arial" w:eastAsia="Arial" w:hAnsi="Arial" w:cs="Arial"/>
          <w:color w:val="000000"/>
          <w:sz w:val="20"/>
          <w:szCs w:val="20"/>
          <w:highlight w:val="white"/>
        </w:rPr>
        <w:t xml:space="preserve"> </w:t>
      </w:r>
      <w:r w:rsidR="00DB4B44" w:rsidRPr="00BC7F75">
        <w:rPr>
          <w:rFonts w:ascii="Arial" w:eastAsia="Arial" w:hAnsi="Arial" w:cs="Arial"/>
          <w:color w:val="000000"/>
          <w:sz w:val="20"/>
          <w:szCs w:val="20"/>
          <w:highlight w:val="white"/>
          <w:lang w:val="en-US"/>
        </w:rPr>
        <w:t>https://doi.org/10.1007/s42452-024-06228-y</w:t>
      </w:r>
    </w:p>
    <w:p w14:paraId="000000A4" w14:textId="00DA0D5E"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 xml:space="preserve">Nhamo, N., &amp; </w:t>
      </w:r>
      <w:proofErr w:type="spellStart"/>
      <w:r w:rsidRPr="00BC7F75">
        <w:rPr>
          <w:rFonts w:ascii="Arial" w:eastAsia="Arial" w:hAnsi="Arial" w:cs="Arial"/>
          <w:color w:val="000000"/>
          <w:sz w:val="20"/>
          <w:szCs w:val="20"/>
          <w:highlight w:val="white"/>
        </w:rPr>
        <w:t>Chikoye</w:t>
      </w:r>
      <w:proofErr w:type="spellEnd"/>
      <w:r w:rsidRPr="00BC7F75">
        <w:rPr>
          <w:rFonts w:ascii="Arial" w:eastAsia="Arial" w:hAnsi="Arial" w:cs="Arial"/>
          <w:color w:val="000000"/>
          <w:sz w:val="20"/>
          <w:szCs w:val="20"/>
          <w:highlight w:val="white"/>
        </w:rPr>
        <w:t>, D. (2017). Smart Agriculture: Scope, Relevance, and Important Milestones to Date. In </w:t>
      </w:r>
      <w:r w:rsidRPr="00BC7F75">
        <w:rPr>
          <w:rFonts w:ascii="Arial" w:eastAsia="Arial" w:hAnsi="Arial" w:cs="Arial"/>
          <w:i/>
          <w:iCs/>
          <w:color w:val="000000"/>
          <w:sz w:val="20"/>
          <w:szCs w:val="20"/>
          <w:highlight w:val="white"/>
        </w:rPr>
        <w:t>Smart Technologies for Sustainable Smallholder Agriculture</w:t>
      </w:r>
      <w:r w:rsidRPr="00BC7F75">
        <w:rPr>
          <w:rFonts w:ascii="Arial" w:eastAsia="Arial" w:hAnsi="Arial" w:cs="Arial"/>
          <w:color w:val="000000"/>
          <w:sz w:val="20"/>
          <w:szCs w:val="20"/>
          <w:highlight w:val="white"/>
        </w:rPr>
        <w:t> (pp. 1-20). Academic Press.</w:t>
      </w:r>
      <w:r w:rsidR="00DB4B44" w:rsidRPr="00BC7F75">
        <w:rPr>
          <w:rFonts w:ascii="Arial" w:eastAsia="Arial" w:hAnsi="Arial" w:cs="Arial"/>
          <w:color w:val="000000"/>
          <w:sz w:val="20"/>
          <w:szCs w:val="20"/>
          <w:highlight w:val="white"/>
        </w:rPr>
        <w:t xml:space="preserve"> </w:t>
      </w:r>
      <w:r w:rsidR="00DB4B44" w:rsidRPr="00BC7F75">
        <w:rPr>
          <w:rFonts w:ascii="Arial" w:eastAsia="Arial" w:hAnsi="Arial" w:cs="Arial"/>
          <w:color w:val="000000"/>
          <w:sz w:val="20"/>
          <w:szCs w:val="20"/>
          <w:highlight w:val="white"/>
          <w:lang w:val="en-US"/>
        </w:rPr>
        <w:t>https://doi.org/10.1016/B978-0-12-810521-4.00001-3</w:t>
      </w:r>
    </w:p>
    <w:p w14:paraId="000000A5" w14:textId="1EBD3658"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 xml:space="preserve">Okolie, C. C., </w:t>
      </w:r>
      <w:proofErr w:type="spellStart"/>
      <w:r w:rsidRPr="00BC7F75">
        <w:rPr>
          <w:rFonts w:ascii="Arial" w:eastAsia="Arial" w:hAnsi="Arial" w:cs="Arial"/>
          <w:color w:val="000000"/>
          <w:sz w:val="20"/>
          <w:szCs w:val="20"/>
          <w:highlight w:val="white"/>
        </w:rPr>
        <w:t>Danso-Abbeam</w:t>
      </w:r>
      <w:proofErr w:type="spellEnd"/>
      <w:r w:rsidRPr="00BC7F75">
        <w:rPr>
          <w:rFonts w:ascii="Arial" w:eastAsia="Arial" w:hAnsi="Arial" w:cs="Arial"/>
          <w:color w:val="000000"/>
          <w:sz w:val="20"/>
          <w:szCs w:val="20"/>
          <w:highlight w:val="white"/>
        </w:rPr>
        <w:t xml:space="preserve">, G., Groupson-Paul, O., &amp; </w:t>
      </w:r>
      <w:proofErr w:type="spellStart"/>
      <w:r w:rsidRPr="00BC7F75">
        <w:rPr>
          <w:rFonts w:ascii="Arial" w:eastAsia="Arial" w:hAnsi="Arial" w:cs="Arial"/>
          <w:color w:val="000000"/>
          <w:sz w:val="20"/>
          <w:szCs w:val="20"/>
          <w:highlight w:val="white"/>
        </w:rPr>
        <w:t>Ogundeji</w:t>
      </w:r>
      <w:proofErr w:type="spellEnd"/>
      <w:r w:rsidRPr="00BC7F75">
        <w:rPr>
          <w:rFonts w:ascii="Arial" w:eastAsia="Arial" w:hAnsi="Arial" w:cs="Arial"/>
          <w:color w:val="000000"/>
          <w:sz w:val="20"/>
          <w:szCs w:val="20"/>
          <w:highlight w:val="white"/>
        </w:rPr>
        <w:t>, A. A. (2022). Climate-smart agriculture amidst climate change to enhance agricultural production: a bibliometric analysis. </w:t>
      </w:r>
      <w:r w:rsidRPr="00BC7F75">
        <w:rPr>
          <w:rFonts w:ascii="Arial" w:eastAsia="Arial" w:hAnsi="Arial" w:cs="Arial"/>
          <w:i/>
          <w:iCs/>
          <w:color w:val="000000"/>
          <w:sz w:val="20"/>
          <w:szCs w:val="20"/>
          <w:highlight w:val="white"/>
        </w:rPr>
        <w:t>Land</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12</w:t>
      </w:r>
      <w:r w:rsidRPr="00BC7F75">
        <w:rPr>
          <w:rFonts w:ascii="Arial" w:eastAsia="Arial" w:hAnsi="Arial" w:cs="Arial"/>
          <w:color w:val="000000"/>
          <w:sz w:val="20"/>
          <w:szCs w:val="20"/>
          <w:highlight w:val="white"/>
        </w:rPr>
        <w:t>(1), 50.</w:t>
      </w:r>
      <w:r w:rsidR="00DB4B44" w:rsidRPr="00BC7F75">
        <w:rPr>
          <w:rFonts w:ascii="Arial" w:eastAsia="Arial" w:hAnsi="Arial" w:cs="Arial"/>
          <w:color w:val="000000"/>
          <w:sz w:val="20"/>
          <w:szCs w:val="20"/>
          <w:highlight w:val="white"/>
        </w:rPr>
        <w:t xml:space="preserve"> </w:t>
      </w:r>
      <w:r w:rsidR="00DB4B44" w:rsidRPr="00BC7F75">
        <w:rPr>
          <w:rFonts w:ascii="Arial" w:eastAsia="Arial" w:hAnsi="Arial" w:cs="Arial"/>
          <w:color w:val="000000"/>
          <w:sz w:val="20"/>
          <w:szCs w:val="20"/>
          <w:highlight w:val="white"/>
          <w:lang w:val="en-US"/>
        </w:rPr>
        <w:t>https://doi.org/10.3390/land12010050</w:t>
      </w:r>
    </w:p>
    <w:p w14:paraId="000000A6" w14:textId="31F81A00"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Oyenuga, M. O., Singh, R., Apata, S. B., Khan, S., &amp; Kumar, V. (2025). Net Zero Technology and Smart Agriculture. In </w:t>
      </w:r>
      <w:r w:rsidRPr="00BC7F75">
        <w:rPr>
          <w:rFonts w:ascii="Arial" w:eastAsia="Arial" w:hAnsi="Arial" w:cs="Arial"/>
          <w:i/>
          <w:iCs/>
          <w:color w:val="000000"/>
          <w:sz w:val="20"/>
          <w:szCs w:val="20"/>
          <w:highlight w:val="white"/>
        </w:rPr>
        <w:t>Smart Technologies for Climate Change and Net Zero Policies: Practical Approaches Towards Sustainability</w:t>
      </w:r>
      <w:r w:rsidRPr="00BC7F75">
        <w:rPr>
          <w:rFonts w:ascii="Arial" w:eastAsia="Arial" w:hAnsi="Arial" w:cs="Arial"/>
          <w:color w:val="000000"/>
          <w:sz w:val="20"/>
          <w:szCs w:val="20"/>
          <w:highlight w:val="white"/>
        </w:rPr>
        <w:t> (pp. 339-350). Cham: Springer Nature Switzerland.</w:t>
      </w:r>
      <w:r w:rsidR="00DB4B44" w:rsidRPr="00BC7F75">
        <w:rPr>
          <w:rFonts w:ascii="Arial" w:eastAsia="Arial" w:hAnsi="Arial" w:cs="Arial"/>
          <w:color w:val="000000"/>
          <w:sz w:val="20"/>
          <w:szCs w:val="20"/>
          <w:highlight w:val="white"/>
        </w:rPr>
        <w:t xml:space="preserve"> </w:t>
      </w:r>
      <w:r w:rsidR="00DB4B44" w:rsidRPr="00BC7F75">
        <w:rPr>
          <w:rFonts w:ascii="Arial" w:eastAsia="Arial" w:hAnsi="Arial" w:cs="Arial"/>
          <w:color w:val="000000"/>
          <w:sz w:val="20"/>
          <w:szCs w:val="20"/>
          <w:highlight w:val="white"/>
          <w:lang w:val="en-US"/>
        </w:rPr>
        <w:t>https://doi.org/10.1007/978-3-031-92221-3_23</w:t>
      </w:r>
    </w:p>
    <w:p w14:paraId="000000A7" w14:textId="1E50564A"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 xml:space="preserve">Page, M. J., McKenzie, J. E., Bossuyt, P. M., Boutron, I., Hoffmann, T. C., Mulrow, C. D., ... &amp; Moher, D. (2021). The PRISMA 2020 statement: An updated guideline for reporting systematic reviews. </w:t>
      </w:r>
      <w:r w:rsidRPr="00BC7F75">
        <w:rPr>
          <w:rFonts w:ascii="Arial" w:eastAsia="Arial" w:hAnsi="Arial" w:cs="Arial"/>
          <w:i/>
          <w:iCs/>
          <w:color w:val="000000"/>
          <w:sz w:val="20"/>
          <w:szCs w:val="20"/>
          <w:highlight w:val="white"/>
        </w:rPr>
        <w:t>BMJ, 372</w:t>
      </w:r>
      <w:r w:rsidRPr="00BC7F75">
        <w:rPr>
          <w:rFonts w:ascii="Arial" w:eastAsia="Arial" w:hAnsi="Arial" w:cs="Arial"/>
          <w:color w:val="000000"/>
          <w:sz w:val="20"/>
          <w:szCs w:val="20"/>
          <w:highlight w:val="white"/>
        </w:rPr>
        <w:t xml:space="preserve">, n71. </w:t>
      </w:r>
      <w:r w:rsidR="00031F09" w:rsidRPr="00BC7F75">
        <w:rPr>
          <w:lang w:val="en-US"/>
        </w:rPr>
        <w:t>https://doi.org/10.1136/bmj.n71</w:t>
      </w:r>
    </w:p>
    <w:p w14:paraId="000000A8" w14:textId="68F38C67"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 xml:space="preserve">Pedersen, S. M., </w:t>
      </w:r>
      <w:proofErr w:type="spellStart"/>
      <w:r w:rsidRPr="00BC7F75">
        <w:rPr>
          <w:rFonts w:ascii="Arial" w:eastAsia="Arial" w:hAnsi="Arial" w:cs="Arial"/>
          <w:color w:val="000000"/>
          <w:sz w:val="20"/>
          <w:szCs w:val="20"/>
          <w:highlight w:val="white"/>
        </w:rPr>
        <w:t>Erekalo</w:t>
      </w:r>
      <w:proofErr w:type="spellEnd"/>
      <w:r w:rsidRPr="00BC7F75">
        <w:rPr>
          <w:rFonts w:ascii="Arial" w:eastAsia="Arial" w:hAnsi="Arial" w:cs="Arial"/>
          <w:color w:val="000000"/>
          <w:sz w:val="20"/>
          <w:szCs w:val="20"/>
          <w:highlight w:val="white"/>
        </w:rPr>
        <w:t xml:space="preserve">, K. T., Christensen, T., Denver, S., </w:t>
      </w:r>
      <w:proofErr w:type="spellStart"/>
      <w:r w:rsidRPr="00BC7F75">
        <w:rPr>
          <w:rFonts w:ascii="Arial" w:eastAsia="Arial" w:hAnsi="Arial" w:cs="Arial"/>
          <w:color w:val="000000"/>
          <w:sz w:val="20"/>
          <w:szCs w:val="20"/>
          <w:highlight w:val="white"/>
        </w:rPr>
        <w:t>Gemtou</w:t>
      </w:r>
      <w:proofErr w:type="spellEnd"/>
      <w:r w:rsidRPr="00BC7F75">
        <w:rPr>
          <w:rFonts w:ascii="Arial" w:eastAsia="Arial" w:hAnsi="Arial" w:cs="Arial"/>
          <w:color w:val="000000"/>
          <w:sz w:val="20"/>
          <w:szCs w:val="20"/>
          <w:highlight w:val="white"/>
        </w:rPr>
        <w:t>, M., Fountas, S., ... &amp; Adrián, J. B. (2024). Drivers and barriers to climate-smart agricultural practices and technologies adoption: Insights from stakeholders of five European food supply chains. </w:t>
      </w:r>
      <w:r w:rsidRPr="00BC7F75">
        <w:rPr>
          <w:rFonts w:ascii="Arial" w:eastAsia="Arial" w:hAnsi="Arial" w:cs="Arial"/>
          <w:i/>
          <w:iCs/>
          <w:color w:val="000000"/>
          <w:sz w:val="20"/>
          <w:szCs w:val="20"/>
          <w:highlight w:val="white"/>
        </w:rPr>
        <w:t>Smart Agricultural Technology</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8</w:t>
      </w:r>
      <w:r w:rsidRPr="00BC7F75">
        <w:rPr>
          <w:rFonts w:ascii="Arial" w:eastAsia="Arial" w:hAnsi="Arial" w:cs="Arial"/>
          <w:color w:val="000000"/>
          <w:sz w:val="20"/>
          <w:szCs w:val="20"/>
          <w:highlight w:val="white"/>
        </w:rPr>
        <w:t>, 100478.</w:t>
      </w:r>
      <w:r w:rsidR="00D307F0" w:rsidRPr="00BC7F75">
        <w:rPr>
          <w:rFonts w:ascii="Arial" w:eastAsia="Arial" w:hAnsi="Arial" w:cs="Arial"/>
          <w:color w:val="000000"/>
          <w:sz w:val="20"/>
          <w:szCs w:val="20"/>
          <w:highlight w:val="white"/>
        </w:rPr>
        <w:t xml:space="preserve"> </w:t>
      </w:r>
      <w:r w:rsidR="00D307F0" w:rsidRPr="00BC7F75">
        <w:rPr>
          <w:rFonts w:ascii="Arial" w:eastAsia="Arial" w:hAnsi="Arial" w:cs="Arial"/>
          <w:color w:val="000000"/>
          <w:sz w:val="20"/>
          <w:szCs w:val="20"/>
          <w:highlight w:val="white"/>
          <w:lang w:val="en-US"/>
        </w:rPr>
        <w:t>https://doi.org/10.1016/j.atech.2024.100478</w:t>
      </w:r>
    </w:p>
    <w:p w14:paraId="000000A9" w14:textId="15251884" w:rsidR="008F464C" w:rsidRPr="00BC7F75" w:rsidRDefault="00BC7F75" w:rsidP="00BC7F75">
      <w:pPr>
        <w:ind w:left="360"/>
        <w:jc w:val="both"/>
        <w:rPr>
          <w:rFonts w:ascii="Arial" w:eastAsia="Arial" w:hAnsi="Arial" w:cs="Arial"/>
          <w:color w:val="000000"/>
          <w:sz w:val="20"/>
          <w:szCs w:val="20"/>
          <w:highlight w:val="white"/>
        </w:rPr>
      </w:pPr>
      <w:proofErr w:type="spellStart"/>
      <w:r w:rsidRPr="00BC7F75">
        <w:rPr>
          <w:rFonts w:ascii="Arial" w:eastAsia="Arial" w:hAnsi="Arial" w:cs="Arial"/>
          <w:color w:val="000000"/>
          <w:sz w:val="20"/>
          <w:szCs w:val="20"/>
          <w:highlight w:val="white"/>
        </w:rPr>
        <w:lastRenderedPageBreak/>
        <w:t>Polymeni</w:t>
      </w:r>
      <w:proofErr w:type="spellEnd"/>
      <w:r w:rsidRPr="00BC7F75">
        <w:rPr>
          <w:rFonts w:ascii="Arial" w:eastAsia="Arial" w:hAnsi="Arial" w:cs="Arial"/>
          <w:color w:val="000000"/>
          <w:sz w:val="20"/>
          <w:szCs w:val="20"/>
          <w:highlight w:val="white"/>
        </w:rPr>
        <w:t xml:space="preserve">, S., </w:t>
      </w:r>
      <w:proofErr w:type="spellStart"/>
      <w:r w:rsidRPr="00BC7F75">
        <w:rPr>
          <w:rFonts w:ascii="Arial" w:eastAsia="Arial" w:hAnsi="Arial" w:cs="Arial"/>
          <w:color w:val="000000"/>
          <w:sz w:val="20"/>
          <w:szCs w:val="20"/>
          <w:highlight w:val="white"/>
        </w:rPr>
        <w:t>Skoutas</w:t>
      </w:r>
      <w:proofErr w:type="spellEnd"/>
      <w:r w:rsidRPr="00BC7F75">
        <w:rPr>
          <w:rFonts w:ascii="Arial" w:eastAsia="Arial" w:hAnsi="Arial" w:cs="Arial"/>
          <w:color w:val="000000"/>
          <w:sz w:val="20"/>
          <w:szCs w:val="20"/>
          <w:highlight w:val="white"/>
        </w:rPr>
        <w:t xml:space="preserve">, D. N., </w:t>
      </w:r>
      <w:proofErr w:type="spellStart"/>
      <w:r w:rsidRPr="00BC7F75">
        <w:rPr>
          <w:rFonts w:ascii="Arial" w:eastAsia="Arial" w:hAnsi="Arial" w:cs="Arial"/>
          <w:color w:val="000000"/>
          <w:sz w:val="20"/>
          <w:szCs w:val="20"/>
          <w:highlight w:val="white"/>
        </w:rPr>
        <w:t>Sarigiannidis</w:t>
      </w:r>
      <w:proofErr w:type="spellEnd"/>
      <w:r w:rsidRPr="00BC7F75">
        <w:rPr>
          <w:rFonts w:ascii="Arial" w:eastAsia="Arial" w:hAnsi="Arial" w:cs="Arial"/>
          <w:color w:val="000000"/>
          <w:sz w:val="20"/>
          <w:szCs w:val="20"/>
          <w:highlight w:val="white"/>
        </w:rPr>
        <w:t xml:space="preserve">, P., Kormentzas, G., &amp; </w:t>
      </w:r>
      <w:proofErr w:type="spellStart"/>
      <w:r w:rsidRPr="00BC7F75">
        <w:rPr>
          <w:rFonts w:ascii="Arial" w:eastAsia="Arial" w:hAnsi="Arial" w:cs="Arial"/>
          <w:color w:val="000000"/>
          <w:sz w:val="20"/>
          <w:szCs w:val="20"/>
          <w:highlight w:val="white"/>
        </w:rPr>
        <w:t>Skianis</w:t>
      </w:r>
      <w:proofErr w:type="spellEnd"/>
      <w:r w:rsidRPr="00BC7F75">
        <w:rPr>
          <w:rFonts w:ascii="Arial" w:eastAsia="Arial" w:hAnsi="Arial" w:cs="Arial"/>
          <w:color w:val="000000"/>
          <w:sz w:val="20"/>
          <w:szCs w:val="20"/>
          <w:highlight w:val="white"/>
        </w:rPr>
        <w:t>, C. (2024). Smart agriculture and greenhouse gas emission mitigation: A 6G-IoT perspective. </w:t>
      </w:r>
      <w:r w:rsidRPr="00BC7F75">
        <w:rPr>
          <w:rFonts w:ascii="Arial" w:eastAsia="Arial" w:hAnsi="Arial" w:cs="Arial"/>
          <w:i/>
          <w:iCs/>
          <w:color w:val="000000"/>
          <w:sz w:val="20"/>
          <w:szCs w:val="20"/>
          <w:highlight w:val="white"/>
        </w:rPr>
        <w:t>Electronics</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13</w:t>
      </w:r>
      <w:r w:rsidRPr="00BC7F75">
        <w:rPr>
          <w:rFonts w:ascii="Arial" w:eastAsia="Arial" w:hAnsi="Arial" w:cs="Arial"/>
          <w:color w:val="000000"/>
          <w:sz w:val="20"/>
          <w:szCs w:val="20"/>
          <w:highlight w:val="white"/>
        </w:rPr>
        <w:t>(8), 1480.</w:t>
      </w:r>
      <w:r w:rsidR="00D307F0" w:rsidRPr="00BC7F75">
        <w:rPr>
          <w:rFonts w:ascii="Arial" w:eastAsia="Arial" w:hAnsi="Arial" w:cs="Arial"/>
          <w:color w:val="000000"/>
          <w:sz w:val="20"/>
          <w:szCs w:val="20"/>
          <w:highlight w:val="white"/>
        </w:rPr>
        <w:t xml:space="preserve"> </w:t>
      </w:r>
      <w:r w:rsidR="00D307F0" w:rsidRPr="00BC7F75">
        <w:rPr>
          <w:rFonts w:ascii="Arial" w:eastAsia="Arial" w:hAnsi="Arial" w:cs="Arial"/>
          <w:color w:val="000000"/>
          <w:sz w:val="20"/>
          <w:szCs w:val="20"/>
          <w:highlight w:val="white"/>
          <w:lang w:val="en-US"/>
        </w:rPr>
        <w:t>https://doi.org/10.3390/electronics13081480</w:t>
      </w:r>
    </w:p>
    <w:p w14:paraId="000000AA" w14:textId="2E290771"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PV, V. P. (2022). Sustainable agricultural intensification and climate smart agricultural practices for improved food and climate security. </w:t>
      </w:r>
      <w:r w:rsidRPr="00BC7F75">
        <w:rPr>
          <w:rFonts w:ascii="Arial" w:eastAsia="Arial" w:hAnsi="Arial" w:cs="Arial"/>
          <w:i/>
          <w:iCs/>
          <w:color w:val="000000"/>
          <w:sz w:val="20"/>
          <w:szCs w:val="20"/>
          <w:highlight w:val="white"/>
        </w:rPr>
        <w:t>J Rice Res</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29</w:t>
      </w:r>
      <w:r w:rsidRPr="00BC7F75">
        <w:rPr>
          <w:rFonts w:ascii="Arial" w:eastAsia="Arial" w:hAnsi="Arial" w:cs="Arial"/>
          <w:color w:val="000000"/>
          <w:sz w:val="20"/>
          <w:szCs w:val="20"/>
          <w:highlight w:val="white"/>
        </w:rPr>
        <w:t>(56), 76-95.</w:t>
      </w:r>
      <w:r w:rsidR="00D307F0" w:rsidRPr="00BC7F75">
        <w:rPr>
          <w:rFonts w:ascii="Arial" w:eastAsia="Arial" w:hAnsi="Arial" w:cs="Arial"/>
          <w:color w:val="000000"/>
          <w:sz w:val="20"/>
          <w:szCs w:val="20"/>
          <w:highlight w:val="white"/>
        </w:rPr>
        <w:t xml:space="preserve"> </w:t>
      </w:r>
    </w:p>
    <w:p w14:paraId="000000AB" w14:textId="426F0CAA"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 xml:space="preserve">Saani, A. S., </w:t>
      </w:r>
      <w:proofErr w:type="spellStart"/>
      <w:r w:rsidRPr="00BC7F75">
        <w:rPr>
          <w:rFonts w:ascii="Arial" w:eastAsia="Arial" w:hAnsi="Arial" w:cs="Arial"/>
          <w:color w:val="000000"/>
          <w:sz w:val="20"/>
          <w:szCs w:val="20"/>
          <w:highlight w:val="white"/>
        </w:rPr>
        <w:t>Akeji</w:t>
      </w:r>
      <w:proofErr w:type="spellEnd"/>
      <w:r w:rsidRPr="00BC7F75">
        <w:rPr>
          <w:rFonts w:ascii="Arial" w:eastAsia="Arial" w:hAnsi="Arial" w:cs="Arial"/>
          <w:color w:val="000000"/>
          <w:sz w:val="20"/>
          <w:szCs w:val="20"/>
          <w:highlight w:val="white"/>
        </w:rPr>
        <w:t>, A. A. A. R., &amp; Yamoah, L. E. (2025). Application of resource-based view theory in enhancing rice agricultural supply chain sustainability in Northern Ghana. </w:t>
      </w:r>
      <w:r w:rsidRPr="00BC7F75">
        <w:rPr>
          <w:rFonts w:ascii="Arial" w:eastAsia="Arial" w:hAnsi="Arial" w:cs="Arial"/>
          <w:i/>
          <w:iCs/>
          <w:color w:val="000000"/>
          <w:sz w:val="20"/>
          <w:szCs w:val="20"/>
          <w:highlight w:val="white"/>
        </w:rPr>
        <w:t>Discover Agriculture</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3</w:t>
      </w:r>
      <w:r w:rsidRPr="00BC7F75">
        <w:rPr>
          <w:rFonts w:ascii="Arial" w:eastAsia="Arial" w:hAnsi="Arial" w:cs="Arial"/>
          <w:color w:val="000000"/>
          <w:sz w:val="20"/>
          <w:szCs w:val="20"/>
          <w:highlight w:val="white"/>
        </w:rPr>
        <w:t>(1), 1-21.</w:t>
      </w:r>
      <w:r w:rsidR="00BA13B2" w:rsidRPr="00BC7F75">
        <w:rPr>
          <w:rFonts w:ascii="Arial" w:eastAsia="Arial" w:hAnsi="Arial" w:cs="Arial"/>
          <w:color w:val="000000"/>
          <w:sz w:val="20"/>
          <w:szCs w:val="20"/>
          <w:highlight w:val="white"/>
        </w:rPr>
        <w:t xml:space="preserve"> </w:t>
      </w:r>
      <w:r w:rsidR="00BA13B2" w:rsidRPr="00BC7F75">
        <w:rPr>
          <w:rFonts w:ascii="Arial" w:eastAsia="Arial" w:hAnsi="Arial" w:cs="Arial"/>
          <w:color w:val="000000"/>
          <w:sz w:val="20"/>
          <w:szCs w:val="20"/>
          <w:highlight w:val="white"/>
          <w:lang w:val="en-US"/>
        </w:rPr>
        <w:t>https://doi.org/10.1007/s44279-025-00399-x</w:t>
      </w:r>
    </w:p>
    <w:p w14:paraId="000000AC" w14:textId="10F066E7" w:rsidR="008F464C" w:rsidRPr="00BC7F75" w:rsidRDefault="00BC7F75" w:rsidP="00BC7F75">
      <w:pPr>
        <w:ind w:left="360"/>
        <w:jc w:val="both"/>
        <w:rPr>
          <w:rFonts w:ascii="Arial" w:eastAsia="Arial" w:hAnsi="Arial" w:cs="Arial"/>
          <w:color w:val="000000"/>
          <w:sz w:val="20"/>
          <w:szCs w:val="20"/>
          <w:highlight w:val="white"/>
        </w:rPr>
      </w:pPr>
      <w:proofErr w:type="spellStart"/>
      <w:r w:rsidRPr="00BC7F75">
        <w:rPr>
          <w:rFonts w:ascii="Arial" w:eastAsia="Arial" w:hAnsi="Arial" w:cs="Arial"/>
          <w:color w:val="000000"/>
          <w:sz w:val="20"/>
          <w:szCs w:val="20"/>
          <w:highlight w:val="white"/>
        </w:rPr>
        <w:t>Senoo</w:t>
      </w:r>
      <w:proofErr w:type="spellEnd"/>
      <w:r w:rsidRPr="00BC7F75">
        <w:rPr>
          <w:rFonts w:ascii="Arial" w:eastAsia="Arial" w:hAnsi="Arial" w:cs="Arial"/>
          <w:color w:val="000000"/>
          <w:sz w:val="20"/>
          <w:szCs w:val="20"/>
          <w:highlight w:val="white"/>
        </w:rPr>
        <w:t xml:space="preserve">, E. E. K., </w:t>
      </w:r>
      <w:proofErr w:type="spellStart"/>
      <w:r w:rsidRPr="00BC7F75">
        <w:rPr>
          <w:rFonts w:ascii="Arial" w:eastAsia="Arial" w:hAnsi="Arial" w:cs="Arial"/>
          <w:color w:val="000000"/>
          <w:sz w:val="20"/>
          <w:szCs w:val="20"/>
          <w:highlight w:val="white"/>
        </w:rPr>
        <w:t>Anggraini</w:t>
      </w:r>
      <w:proofErr w:type="spellEnd"/>
      <w:r w:rsidRPr="00BC7F75">
        <w:rPr>
          <w:rFonts w:ascii="Arial" w:eastAsia="Arial" w:hAnsi="Arial" w:cs="Arial"/>
          <w:color w:val="000000"/>
          <w:sz w:val="20"/>
          <w:szCs w:val="20"/>
          <w:highlight w:val="white"/>
        </w:rPr>
        <w:t xml:space="preserve">, L., Kumi, J. A., Karolina, L. B., </w:t>
      </w:r>
      <w:proofErr w:type="spellStart"/>
      <w:r w:rsidRPr="00BC7F75">
        <w:rPr>
          <w:rFonts w:ascii="Arial" w:eastAsia="Arial" w:hAnsi="Arial" w:cs="Arial"/>
          <w:color w:val="000000"/>
          <w:sz w:val="20"/>
          <w:szCs w:val="20"/>
          <w:highlight w:val="white"/>
        </w:rPr>
        <w:t>Akansah</w:t>
      </w:r>
      <w:proofErr w:type="spellEnd"/>
      <w:r w:rsidRPr="00BC7F75">
        <w:rPr>
          <w:rFonts w:ascii="Arial" w:eastAsia="Arial" w:hAnsi="Arial" w:cs="Arial"/>
          <w:color w:val="000000"/>
          <w:sz w:val="20"/>
          <w:szCs w:val="20"/>
          <w:highlight w:val="white"/>
        </w:rPr>
        <w:t xml:space="preserve">, E., </w:t>
      </w:r>
      <w:proofErr w:type="spellStart"/>
      <w:r w:rsidRPr="00BC7F75">
        <w:rPr>
          <w:rFonts w:ascii="Arial" w:eastAsia="Arial" w:hAnsi="Arial" w:cs="Arial"/>
          <w:color w:val="000000"/>
          <w:sz w:val="20"/>
          <w:szCs w:val="20"/>
          <w:highlight w:val="white"/>
        </w:rPr>
        <w:t>Sulyman</w:t>
      </w:r>
      <w:proofErr w:type="spellEnd"/>
      <w:r w:rsidRPr="00BC7F75">
        <w:rPr>
          <w:rFonts w:ascii="Arial" w:eastAsia="Arial" w:hAnsi="Arial" w:cs="Arial"/>
          <w:color w:val="000000"/>
          <w:sz w:val="20"/>
          <w:szCs w:val="20"/>
          <w:highlight w:val="white"/>
        </w:rPr>
        <w:t xml:space="preserve">, H. A., ... &amp; </w:t>
      </w:r>
      <w:proofErr w:type="spellStart"/>
      <w:r w:rsidRPr="00BC7F75">
        <w:rPr>
          <w:rFonts w:ascii="Arial" w:eastAsia="Arial" w:hAnsi="Arial" w:cs="Arial"/>
          <w:color w:val="000000"/>
          <w:sz w:val="20"/>
          <w:szCs w:val="20"/>
          <w:highlight w:val="white"/>
        </w:rPr>
        <w:t>Aritsugi</w:t>
      </w:r>
      <w:proofErr w:type="spellEnd"/>
      <w:r w:rsidRPr="00BC7F75">
        <w:rPr>
          <w:rFonts w:ascii="Arial" w:eastAsia="Arial" w:hAnsi="Arial" w:cs="Arial"/>
          <w:color w:val="000000"/>
          <w:sz w:val="20"/>
          <w:szCs w:val="20"/>
          <w:highlight w:val="white"/>
        </w:rPr>
        <w:t>, M. (2024). IoT solutions with artificial intelligence technologies for precision agriculture: definitions, applications, challenges, and opportunities. </w:t>
      </w:r>
      <w:r w:rsidRPr="00BC7F75">
        <w:rPr>
          <w:rFonts w:ascii="Arial" w:eastAsia="Arial" w:hAnsi="Arial" w:cs="Arial"/>
          <w:i/>
          <w:iCs/>
          <w:color w:val="000000"/>
          <w:sz w:val="20"/>
          <w:szCs w:val="20"/>
          <w:highlight w:val="white"/>
        </w:rPr>
        <w:t>Electronics</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13</w:t>
      </w:r>
      <w:r w:rsidRPr="00BC7F75">
        <w:rPr>
          <w:rFonts w:ascii="Arial" w:eastAsia="Arial" w:hAnsi="Arial" w:cs="Arial"/>
          <w:color w:val="000000"/>
          <w:sz w:val="20"/>
          <w:szCs w:val="20"/>
          <w:highlight w:val="white"/>
        </w:rPr>
        <w:t>(10), 1894.</w:t>
      </w:r>
      <w:r w:rsidR="003B2728" w:rsidRPr="00BC7F75">
        <w:rPr>
          <w:rFonts w:ascii="Arial" w:eastAsia="Arial" w:hAnsi="Arial" w:cs="Arial"/>
          <w:color w:val="000000"/>
          <w:sz w:val="20"/>
          <w:szCs w:val="20"/>
          <w:highlight w:val="white"/>
        </w:rPr>
        <w:t xml:space="preserve"> </w:t>
      </w:r>
      <w:r w:rsidR="003B2728" w:rsidRPr="00BC7F75">
        <w:rPr>
          <w:rFonts w:ascii="Arial" w:eastAsia="Arial" w:hAnsi="Arial" w:cs="Arial"/>
          <w:color w:val="000000"/>
          <w:sz w:val="20"/>
          <w:szCs w:val="20"/>
          <w:highlight w:val="white"/>
          <w:lang w:val="en-US"/>
        </w:rPr>
        <w:t>https://doi.org/10.3390/electronics13101894</w:t>
      </w:r>
    </w:p>
    <w:p w14:paraId="000000AD" w14:textId="58446B37" w:rsidR="008F464C" w:rsidRPr="00BC7F75" w:rsidRDefault="00BC7F75" w:rsidP="00BC7F75">
      <w:pPr>
        <w:ind w:left="360"/>
        <w:jc w:val="both"/>
        <w:rPr>
          <w:rFonts w:ascii="Arial" w:eastAsia="Arial" w:hAnsi="Arial" w:cs="Arial"/>
          <w:color w:val="000000"/>
          <w:sz w:val="20"/>
          <w:szCs w:val="20"/>
          <w:highlight w:val="white"/>
        </w:rPr>
      </w:pPr>
      <w:proofErr w:type="spellStart"/>
      <w:r w:rsidRPr="00BC7F75">
        <w:rPr>
          <w:rFonts w:ascii="Arial" w:eastAsia="Arial" w:hAnsi="Arial" w:cs="Arial"/>
          <w:color w:val="000000"/>
          <w:sz w:val="20"/>
          <w:szCs w:val="20"/>
          <w:highlight w:val="white"/>
        </w:rPr>
        <w:t>Senyolo</w:t>
      </w:r>
      <w:proofErr w:type="spellEnd"/>
      <w:r w:rsidRPr="00BC7F75">
        <w:rPr>
          <w:rFonts w:ascii="Arial" w:eastAsia="Arial" w:hAnsi="Arial" w:cs="Arial"/>
          <w:color w:val="000000"/>
          <w:sz w:val="20"/>
          <w:szCs w:val="20"/>
          <w:highlight w:val="white"/>
        </w:rPr>
        <w:t xml:space="preserve">, M. P., Long, T. B., Blok, V., &amp; </w:t>
      </w:r>
      <w:proofErr w:type="spellStart"/>
      <w:r w:rsidRPr="00BC7F75">
        <w:rPr>
          <w:rFonts w:ascii="Arial" w:eastAsia="Arial" w:hAnsi="Arial" w:cs="Arial"/>
          <w:color w:val="000000"/>
          <w:sz w:val="20"/>
          <w:szCs w:val="20"/>
          <w:highlight w:val="white"/>
        </w:rPr>
        <w:t>Omta</w:t>
      </w:r>
      <w:proofErr w:type="spellEnd"/>
      <w:r w:rsidRPr="00BC7F75">
        <w:rPr>
          <w:rFonts w:ascii="Arial" w:eastAsia="Arial" w:hAnsi="Arial" w:cs="Arial"/>
          <w:color w:val="000000"/>
          <w:sz w:val="20"/>
          <w:szCs w:val="20"/>
          <w:highlight w:val="white"/>
        </w:rPr>
        <w:t>, O. (2018). How the characteristics of innovations impact their adoption: An exploration of climate-smart agricultural innovations in South Africa. </w:t>
      </w:r>
      <w:r w:rsidRPr="00BC7F75">
        <w:rPr>
          <w:rFonts w:ascii="Arial" w:eastAsia="Arial" w:hAnsi="Arial" w:cs="Arial"/>
          <w:i/>
          <w:iCs/>
          <w:color w:val="000000"/>
          <w:sz w:val="20"/>
          <w:szCs w:val="20"/>
          <w:highlight w:val="white"/>
        </w:rPr>
        <w:t>Journal of cleaner production</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172</w:t>
      </w:r>
      <w:r w:rsidRPr="00BC7F75">
        <w:rPr>
          <w:rFonts w:ascii="Arial" w:eastAsia="Arial" w:hAnsi="Arial" w:cs="Arial"/>
          <w:color w:val="000000"/>
          <w:sz w:val="20"/>
          <w:szCs w:val="20"/>
          <w:highlight w:val="white"/>
        </w:rPr>
        <w:t>, 3825-3840.</w:t>
      </w:r>
      <w:r w:rsidR="003203A8" w:rsidRPr="00BC7F75">
        <w:rPr>
          <w:highlight w:val="white"/>
        </w:rPr>
        <w:t xml:space="preserve"> </w:t>
      </w:r>
      <w:r w:rsidR="003203A8" w:rsidRPr="00BC7F75">
        <w:rPr>
          <w:highlight w:val="white"/>
          <w:lang w:val="en-US"/>
        </w:rPr>
        <w:t>https://doi.org/10.1016/j.jclepro.2017.06.019</w:t>
      </w:r>
    </w:p>
    <w:p w14:paraId="000000AE" w14:textId="60D03C28" w:rsidR="008F464C" w:rsidRPr="00BC7F75" w:rsidRDefault="00BC7F75" w:rsidP="00BC7F75">
      <w:pPr>
        <w:ind w:left="360"/>
        <w:jc w:val="both"/>
        <w:rPr>
          <w:rFonts w:ascii="Arial" w:eastAsia="Arial" w:hAnsi="Arial" w:cs="Arial"/>
          <w:color w:val="000000"/>
          <w:sz w:val="20"/>
          <w:szCs w:val="20"/>
          <w:highlight w:val="white"/>
        </w:rPr>
      </w:pPr>
      <w:proofErr w:type="spellStart"/>
      <w:r w:rsidRPr="00BC7F75">
        <w:rPr>
          <w:rFonts w:ascii="Arial" w:eastAsia="Arial" w:hAnsi="Arial" w:cs="Arial"/>
          <w:color w:val="000000"/>
          <w:sz w:val="20"/>
          <w:szCs w:val="20"/>
          <w:highlight w:val="white"/>
        </w:rPr>
        <w:t>Shamshiri</w:t>
      </w:r>
      <w:proofErr w:type="spellEnd"/>
      <w:r w:rsidRPr="00BC7F75">
        <w:rPr>
          <w:rFonts w:ascii="Arial" w:eastAsia="Arial" w:hAnsi="Arial" w:cs="Arial"/>
          <w:color w:val="000000"/>
          <w:sz w:val="20"/>
          <w:szCs w:val="20"/>
          <w:highlight w:val="white"/>
        </w:rPr>
        <w:t>, R. R., Sturm, B., Weltzien, C., Fulton, J., Khosla, R., Schirrmann, M., ... &amp; Hameed, I. A. (2024). Digitalization of agriculture for sustainable crop production: a use-case review. </w:t>
      </w:r>
      <w:r w:rsidRPr="00BC7F75">
        <w:rPr>
          <w:rFonts w:ascii="Arial" w:eastAsia="Arial" w:hAnsi="Arial" w:cs="Arial"/>
          <w:i/>
          <w:iCs/>
          <w:color w:val="000000"/>
          <w:sz w:val="20"/>
          <w:szCs w:val="20"/>
          <w:highlight w:val="white"/>
        </w:rPr>
        <w:t>Frontiers in Environmental Science</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12</w:t>
      </w:r>
      <w:r w:rsidRPr="00BC7F75">
        <w:rPr>
          <w:rFonts w:ascii="Arial" w:eastAsia="Arial" w:hAnsi="Arial" w:cs="Arial"/>
          <w:color w:val="000000"/>
          <w:sz w:val="20"/>
          <w:szCs w:val="20"/>
          <w:highlight w:val="white"/>
        </w:rPr>
        <w:t>, 1375193.</w:t>
      </w:r>
      <w:r w:rsidR="003203A8" w:rsidRPr="00BC7F75">
        <w:rPr>
          <w:rFonts w:ascii="Arial" w:eastAsia="Arial" w:hAnsi="Arial" w:cs="Arial"/>
          <w:color w:val="000000"/>
          <w:sz w:val="20"/>
          <w:szCs w:val="20"/>
          <w:highlight w:val="white"/>
        </w:rPr>
        <w:t xml:space="preserve"> </w:t>
      </w:r>
      <w:r w:rsidR="003203A8" w:rsidRPr="00BC7F75">
        <w:rPr>
          <w:rFonts w:ascii="Arial" w:eastAsia="Arial" w:hAnsi="Arial" w:cs="Arial"/>
          <w:color w:val="000000"/>
          <w:sz w:val="20"/>
          <w:szCs w:val="20"/>
          <w:highlight w:val="white"/>
          <w:lang w:val="en-US"/>
        </w:rPr>
        <w:t>https://doi.org/10.3389/fenvs.2024.1375193</w:t>
      </w:r>
    </w:p>
    <w:p w14:paraId="000000AF" w14:textId="60527F7F"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Sikka, A. K., Islam, A., &amp; Rao, K. V. (2018). Climate</w:t>
      </w:r>
      <w:r w:rsidRPr="00BC7F75">
        <w:rPr>
          <w:rFonts w:ascii="Cambria Math" w:eastAsia="Cambria Math" w:hAnsi="Cambria Math" w:cs="Cambria Math"/>
          <w:color w:val="000000"/>
          <w:sz w:val="20"/>
          <w:szCs w:val="20"/>
          <w:highlight w:val="white"/>
        </w:rPr>
        <w:t>‐</w:t>
      </w:r>
      <w:r w:rsidRPr="00BC7F75">
        <w:rPr>
          <w:rFonts w:ascii="Arial" w:eastAsia="Arial" w:hAnsi="Arial" w:cs="Arial"/>
          <w:color w:val="000000"/>
          <w:sz w:val="20"/>
          <w:szCs w:val="20"/>
          <w:highlight w:val="white"/>
        </w:rPr>
        <w:t>smart land and water management for sustainable agriculture. </w:t>
      </w:r>
      <w:r w:rsidRPr="00BC7F75">
        <w:rPr>
          <w:rFonts w:ascii="Arial" w:eastAsia="Arial" w:hAnsi="Arial" w:cs="Arial"/>
          <w:i/>
          <w:iCs/>
          <w:color w:val="000000"/>
          <w:sz w:val="20"/>
          <w:szCs w:val="20"/>
          <w:highlight w:val="white"/>
        </w:rPr>
        <w:t>Irrigation and Drainage</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67</w:t>
      </w:r>
      <w:r w:rsidRPr="00BC7F75">
        <w:rPr>
          <w:rFonts w:ascii="Arial" w:eastAsia="Arial" w:hAnsi="Arial" w:cs="Arial"/>
          <w:color w:val="000000"/>
          <w:sz w:val="20"/>
          <w:szCs w:val="20"/>
          <w:highlight w:val="white"/>
        </w:rPr>
        <w:t>(1), 72-81.</w:t>
      </w:r>
      <w:r w:rsidR="003203A8" w:rsidRPr="00BC7F75">
        <w:rPr>
          <w:rFonts w:ascii="Arial" w:eastAsia="Arial" w:hAnsi="Arial" w:cs="Arial"/>
          <w:color w:val="000000"/>
          <w:sz w:val="20"/>
          <w:szCs w:val="20"/>
          <w:highlight w:val="white"/>
        </w:rPr>
        <w:t xml:space="preserve"> </w:t>
      </w:r>
      <w:r w:rsidR="003203A8" w:rsidRPr="00BC7F75">
        <w:rPr>
          <w:rFonts w:ascii="Arial" w:eastAsia="Arial" w:hAnsi="Arial" w:cs="Arial"/>
          <w:color w:val="000000"/>
          <w:sz w:val="20"/>
          <w:szCs w:val="20"/>
          <w:highlight w:val="white"/>
          <w:lang w:val="en-US"/>
        </w:rPr>
        <w:t>https://doi.org/10.1002/ird.2162</w:t>
      </w:r>
    </w:p>
    <w:p w14:paraId="000000B0" w14:textId="59B5AFAC"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Singh, R., &amp; Singh, G. S. (2017). Traditional agriculture: a climate-smart approach for sustainable food production. </w:t>
      </w:r>
      <w:r w:rsidRPr="00BC7F75">
        <w:rPr>
          <w:rFonts w:ascii="Arial" w:eastAsia="Arial" w:hAnsi="Arial" w:cs="Arial"/>
          <w:i/>
          <w:iCs/>
          <w:color w:val="000000"/>
          <w:sz w:val="20"/>
          <w:szCs w:val="20"/>
          <w:highlight w:val="white"/>
        </w:rPr>
        <w:t>Energy, Ecology and Environment</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2</w:t>
      </w:r>
      <w:r w:rsidRPr="00BC7F75">
        <w:rPr>
          <w:rFonts w:ascii="Arial" w:eastAsia="Arial" w:hAnsi="Arial" w:cs="Arial"/>
          <w:color w:val="000000"/>
          <w:sz w:val="20"/>
          <w:szCs w:val="20"/>
          <w:highlight w:val="white"/>
        </w:rPr>
        <w:t>(5), 296-316.</w:t>
      </w:r>
      <w:r w:rsidR="003203A8" w:rsidRPr="00BC7F75">
        <w:rPr>
          <w:rFonts w:ascii="Arial" w:eastAsia="Arial" w:hAnsi="Arial" w:cs="Arial"/>
          <w:color w:val="000000"/>
          <w:sz w:val="20"/>
          <w:szCs w:val="20"/>
          <w:highlight w:val="white"/>
        </w:rPr>
        <w:t xml:space="preserve"> </w:t>
      </w:r>
      <w:r w:rsidR="003203A8" w:rsidRPr="00BC7F75">
        <w:rPr>
          <w:rFonts w:ascii="Arial" w:eastAsia="Arial" w:hAnsi="Arial" w:cs="Arial"/>
          <w:color w:val="000000"/>
          <w:sz w:val="20"/>
          <w:szCs w:val="20"/>
          <w:highlight w:val="white"/>
          <w:lang w:val="en-US"/>
        </w:rPr>
        <w:t>https://doi.org/10.1007/s40974-017-0074-7</w:t>
      </w:r>
    </w:p>
    <w:p w14:paraId="000000B1" w14:textId="114AFE33"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 xml:space="preserve">Soussi, A., Zero, E., </w:t>
      </w:r>
      <w:proofErr w:type="spellStart"/>
      <w:r w:rsidRPr="00BC7F75">
        <w:rPr>
          <w:rFonts w:ascii="Arial" w:eastAsia="Arial" w:hAnsi="Arial" w:cs="Arial"/>
          <w:color w:val="000000"/>
          <w:sz w:val="20"/>
          <w:szCs w:val="20"/>
          <w:highlight w:val="white"/>
        </w:rPr>
        <w:t>Sacile</w:t>
      </w:r>
      <w:proofErr w:type="spellEnd"/>
      <w:r w:rsidRPr="00BC7F75">
        <w:rPr>
          <w:rFonts w:ascii="Arial" w:eastAsia="Arial" w:hAnsi="Arial" w:cs="Arial"/>
          <w:color w:val="000000"/>
          <w:sz w:val="20"/>
          <w:szCs w:val="20"/>
          <w:highlight w:val="white"/>
        </w:rPr>
        <w:t xml:space="preserve">, R., </w:t>
      </w:r>
      <w:proofErr w:type="spellStart"/>
      <w:r w:rsidRPr="00BC7F75">
        <w:rPr>
          <w:rFonts w:ascii="Arial" w:eastAsia="Arial" w:hAnsi="Arial" w:cs="Arial"/>
          <w:color w:val="000000"/>
          <w:sz w:val="20"/>
          <w:szCs w:val="20"/>
          <w:highlight w:val="white"/>
        </w:rPr>
        <w:t>Trinchero</w:t>
      </w:r>
      <w:proofErr w:type="spellEnd"/>
      <w:r w:rsidRPr="00BC7F75">
        <w:rPr>
          <w:rFonts w:ascii="Arial" w:eastAsia="Arial" w:hAnsi="Arial" w:cs="Arial"/>
          <w:color w:val="000000"/>
          <w:sz w:val="20"/>
          <w:szCs w:val="20"/>
          <w:highlight w:val="white"/>
        </w:rPr>
        <w:t xml:space="preserve">, D., &amp; Fossa, M. (2024). </w:t>
      </w:r>
      <w:r w:rsidRPr="00BC7F75">
        <w:rPr>
          <w:rFonts w:ascii="Arial" w:eastAsia="Arial" w:hAnsi="Arial" w:cs="Arial"/>
          <w:i/>
          <w:iCs/>
          <w:color w:val="000000"/>
          <w:sz w:val="20"/>
          <w:szCs w:val="20"/>
          <w:highlight w:val="white"/>
        </w:rPr>
        <w:t>Smart sensors and smart data for precision agriculture: A review</w:t>
      </w:r>
      <w:r w:rsidRPr="00BC7F75">
        <w:rPr>
          <w:rFonts w:ascii="Arial" w:eastAsia="Arial" w:hAnsi="Arial" w:cs="Arial"/>
          <w:color w:val="000000"/>
          <w:sz w:val="20"/>
          <w:szCs w:val="20"/>
          <w:highlight w:val="white"/>
        </w:rPr>
        <w:t xml:space="preserve">. </w:t>
      </w:r>
      <w:r w:rsidRPr="00BC7F75">
        <w:rPr>
          <w:rFonts w:ascii="Arial" w:eastAsia="Arial" w:hAnsi="Arial" w:cs="Arial"/>
          <w:i/>
          <w:iCs/>
          <w:color w:val="000000"/>
          <w:sz w:val="20"/>
          <w:szCs w:val="20"/>
          <w:highlight w:val="white"/>
        </w:rPr>
        <w:t>Sensors, 24</w:t>
      </w:r>
      <w:r w:rsidRPr="00BC7F75">
        <w:rPr>
          <w:rFonts w:ascii="Arial" w:eastAsia="Arial" w:hAnsi="Arial" w:cs="Arial"/>
          <w:color w:val="000000"/>
          <w:sz w:val="20"/>
          <w:szCs w:val="20"/>
          <w:highlight w:val="white"/>
        </w:rPr>
        <w:t xml:space="preserve">(8), 2647. </w:t>
      </w:r>
      <w:r w:rsidR="003203A8" w:rsidRPr="00BC7F75">
        <w:rPr>
          <w:lang w:val="en-US"/>
        </w:rPr>
        <w:t>https://doi.org/10.3390/s24082647</w:t>
      </w:r>
      <w:r w:rsidRPr="00BC7F75">
        <w:rPr>
          <w:rFonts w:ascii="Arial" w:eastAsia="Arial" w:hAnsi="Arial" w:cs="Arial"/>
          <w:color w:val="000000"/>
          <w:sz w:val="20"/>
          <w:szCs w:val="20"/>
          <w:highlight w:val="white"/>
        </w:rPr>
        <w:t xml:space="preserve"> </w:t>
      </w:r>
    </w:p>
    <w:p w14:paraId="000000B2" w14:textId="391F2043"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 xml:space="preserve">Taylor, M. (2018). Climate-smart agriculture: what is it good </w:t>
      </w:r>
      <w:proofErr w:type="gramStart"/>
      <w:r w:rsidRPr="00BC7F75">
        <w:rPr>
          <w:rFonts w:ascii="Arial" w:eastAsia="Arial" w:hAnsi="Arial" w:cs="Arial"/>
          <w:color w:val="000000"/>
          <w:sz w:val="20"/>
          <w:szCs w:val="20"/>
          <w:highlight w:val="white"/>
        </w:rPr>
        <w:t>for?.</w:t>
      </w:r>
      <w:proofErr w:type="gramEnd"/>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The Journal of Peasant Studies</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45</w:t>
      </w:r>
      <w:r w:rsidRPr="00BC7F75">
        <w:rPr>
          <w:rFonts w:ascii="Arial" w:eastAsia="Arial" w:hAnsi="Arial" w:cs="Arial"/>
          <w:color w:val="000000"/>
          <w:sz w:val="20"/>
          <w:szCs w:val="20"/>
          <w:highlight w:val="white"/>
        </w:rPr>
        <w:t>(1), 89-107.</w:t>
      </w:r>
      <w:r w:rsidR="007F5AFE" w:rsidRPr="00BC7F75">
        <w:rPr>
          <w:rFonts w:ascii="Arial" w:eastAsia="Arial" w:hAnsi="Arial" w:cs="Arial"/>
          <w:color w:val="000000"/>
          <w:sz w:val="20"/>
          <w:szCs w:val="20"/>
          <w:highlight w:val="white"/>
        </w:rPr>
        <w:t xml:space="preserve"> </w:t>
      </w:r>
      <w:r w:rsidR="007F5AFE" w:rsidRPr="00BC7F75">
        <w:rPr>
          <w:rFonts w:ascii="Arial" w:eastAsia="Arial" w:hAnsi="Arial" w:cs="Arial"/>
          <w:color w:val="000000"/>
          <w:sz w:val="20"/>
          <w:szCs w:val="20"/>
          <w:highlight w:val="white"/>
          <w:lang w:val="en-US"/>
        </w:rPr>
        <w:t>https://doi.org/10.1080/03066150.2017.1312355</w:t>
      </w:r>
    </w:p>
    <w:p w14:paraId="000000B3" w14:textId="58F1FB34"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 xml:space="preserve">Thabane, V. N., Agholor, I. A., Sithole, M. Z., </w:t>
      </w:r>
      <w:proofErr w:type="spellStart"/>
      <w:r w:rsidRPr="00BC7F75">
        <w:rPr>
          <w:rFonts w:ascii="Arial" w:eastAsia="Arial" w:hAnsi="Arial" w:cs="Arial"/>
          <w:color w:val="000000"/>
          <w:sz w:val="20"/>
          <w:szCs w:val="20"/>
          <w:highlight w:val="white"/>
        </w:rPr>
        <w:t>Morepje</w:t>
      </w:r>
      <w:proofErr w:type="spellEnd"/>
      <w:r w:rsidRPr="00BC7F75">
        <w:rPr>
          <w:rFonts w:ascii="Arial" w:eastAsia="Arial" w:hAnsi="Arial" w:cs="Arial"/>
          <w:color w:val="000000"/>
          <w:sz w:val="20"/>
          <w:szCs w:val="20"/>
          <w:highlight w:val="white"/>
        </w:rPr>
        <w:t>, M. T., Msweli, N. S., &amp; Mgwenya, L. I. (2024). Socio-Demographic Determinants of Climate-Smart Agriculture Adoption Among Smallholder Crop Producers in Bushbuckridge, Mpumalanga Province of South Africa. </w:t>
      </w:r>
      <w:r w:rsidRPr="00BC7F75">
        <w:rPr>
          <w:rFonts w:ascii="Arial" w:eastAsia="Arial" w:hAnsi="Arial" w:cs="Arial"/>
          <w:i/>
          <w:iCs/>
          <w:color w:val="000000"/>
          <w:sz w:val="20"/>
          <w:szCs w:val="20"/>
          <w:highlight w:val="white"/>
        </w:rPr>
        <w:t>Climate</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12</w:t>
      </w:r>
      <w:r w:rsidRPr="00BC7F75">
        <w:rPr>
          <w:rFonts w:ascii="Arial" w:eastAsia="Arial" w:hAnsi="Arial" w:cs="Arial"/>
          <w:color w:val="000000"/>
          <w:sz w:val="20"/>
          <w:szCs w:val="20"/>
          <w:highlight w:val="white"/>
        </w:rPr>
        <w:t>(12), 202.</w:t>
      </w:r>
      <w:r w:rsidR="007F5AFE" w:rsidRPr="00BC7F75">
        <w:rPr>
          <w:rFonts w:ascii="Arial" w:eastAsia="Arial" w:hAnsi="Arial" w:cs="Arial"/>
          <w:color w:val="000000"/>
          <w:sz w:val="20"/>
          <w:szCs w:val="20"/>
          <w:highlight w:val="white"/>
        </w:rPr>
        <w:t xml:space="preserve"> </w:t>
      </w:r>
      <w:r w:rsidR="007F5AFE" w:rsidRPr="00BC7F75">
        <w:rPr>
          <w:rFonts w:ascii="Arial" w:eastAsia="Arial" w:hAnsi="Arial" w:cs="Arial"/>
          <w:color w:val="000000"/>
          <w:sz w:val="20"/>
          <w:szCs w:val="20"/>
          <w:highlight w:val="white"/>
          <w:lang w:val="en-US"/>
        </w:rPr>
        <w:t>https://doi.org/10.3390/cli12120202</w:t>
      </w:r>
    </w:p>
    <w:p w14:paraId="000000B4" w14:textId="67F19AA4"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Tong, H., Xia, E., Sun, C., Yan, K., Li, J., &amp; Huang, J. (2024). Construction and comprehensive evaluation of an index system for climate-smart agricultural development in China. </w:t>
      </w:r>
      <w:r w:rsidRPr="00BC7F75">
        <w:rPr>
          <w:rFonts w:ascii="Arial" w:eastAsia="Arial" w:hAnsi="Arial" w:cs="Arial"/>
          <w:i/>
          <w:iCs/>
          <w:color w:val="000000"/>
          <w:sz w:val="20"/>
          <w:szCs w:val="20"/>
          <w:highlight w:val="white"/>
        </w:rPr>
        <w:t>Journal of Cleaner Production</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469</w:t>
      </w:r>
      <w:r w:rsidRPr="00BC7F75">
        <w:rPr>
          <w:rFonts w:ascii="Arial" w:eastAsia="Arial" w:hAnsi="Arial" w:cs="Arial"/>
          <w:color w:val="000000"/>
          <w:sz w:val="20"/>
          <w:szCs w:val="20"/>
          <w:highlight w:val="white"/>
        </w:rPr>
        <w:t>, 143216.</w:t>
      </w:r>
      <w:r w:rsidR="007F5AFE" w:rsidRPr="00BC7F75">
        <w:rPr>
          <w:rFonts w:ascii="Arial" w:eastAsia="Arial" w:hAnsi="Arial" w:cs="Arial"/>
          <w:color w:val="000000"/>
          <w:sz w:val="20"/>
          <w:szCs w:val="20"/>
          <w:highlight w:val="white"/>
        </w:rPr>
        <w:t xml:space="preserve"> </w:t>
      </w:r>
      <w:r w:rsidR="007F5AFE" w:rsidRPr="00BC7F75">
        <w:rPr>
          <w:rFonts w:ascii="Arial" w:eastAsia="Arial" w:hAnsi="Arial" w:cs="Arial"/>
          <w:color w:val="000000"/>
          <w:sz w:val="20"/>
          <w:szCs w:val="20"/>
          <w:highlight w:val="white"/>
          <w:lang w:val="en-US"/>
        </w:rPr>
        <w:t>https://doi.org/10.1016/j.jclepro.2024.143216</w:t>
      </w:r>
    </w:p>
    <w:p w14:paraId="000000B5" w14:textId="0154D80B" w:rsidR="008F464C" w:rsidRPr="00BC7F75" w:rsidRDefault="00BC7F75" w:rsidP="00BC7F75">
      <w:pPr>
        <w:ind w:left="360"/>
        <w:jc w:val="both"/>
        <w:rPr>
          <w:rFonts w:ascii="Arial" w:eastAsia="Arial" w:hAnsi="Arial" w:cs="Arial"/>
          <w:color w:val="000000"/>
          <w:sz w:val="20"/>
          <w:szCs w:val="20"/>
          <w:highlight w:val="white"/>
        </w:rPr>
      </w:pPr>
      <w:proofErr w:type="spellStart"/>
      <w:r w:rsidRPr="00BC7F75">
        <w:rPr>
          <w:rFonts w:ascii="Arial" w:eastAsia="Arial" w:hAnsi="Arial" w:cs="Arial"/>
          <w:color w:val="000000"/>
          <w:sz w:val="20"/>
          <w:szCs w:val="20"/>
          <w:highlight w:val="white"/>
        </w:rPr>
        <w:t>Venkatramanan</w:t>
      </w:r>
      <w:proofErr w:type="spellEnd"/>
      <w:r w:rsidRPr="00BC7F75">
        <w:rPr>
          <w:rFonts w:ascii="Arial" w:eastAsia="Arial" w:hAnsi="Arial" w:cs="Arial"/>
          <w:color w:val="000000"/>
          <w:sz w:val="20"/>
          <w:szCs w:val="20"/>
          <w:highlight w:val="white"/>
        </w:rPr>
        <w:t>, V., &amp; Shah, S. (2019). Climate smart agriculture technologies for environmental management: the intersection of sustainability, resilience, wellbeing and development. In </w:t>
      </w:r>
      <w:r w:rsidRPr="00BC7F75">
        <w:rPr>
          <w:rFonts w:ascii="Arial" w:eastAsia="Arial" w:hAnsi="Arial" w:cs="Arial"/>
          <w:i/>
          <w:iCs/>
          <w:color w:val="000000"/>
          <w:sz w:val="20"/>
          <w:szCs w:val="20"/>
          <w:highlight w:val="white"/>
        </w:rPr>
        <w:t>Sustainable green technologies for environmental management</w:t>
      </w:r>
      <w:r w:rsidRPr="00BC7F75">
        <w:rPr>
          <w:rFonts w:ascii="Arial" w:eastAsia="Arial" w:hAnsi="Arial" w:cs="Arial"/>
          <w:color w:val="000000"/>
          <w:sz w:val="20"/>
          <w:szCs w:val="20"/>
          <w:highlight w:val="white"/>
        </w:rPr>
        <w:t> (pp. 29-51). Singapore: Springer Singapore.</w:t>
      </w:r>
      <w:r w:rsidR="007F5AFE" w:rsidRPr="00BC7F75">
        <w:rPr>
          <w:rFonts w:ascii="Arial" w:eastAsia="Arial" w:hAnsi="Arial" w:cs="Arial"/>
          <w:color w:val="000000"/>
          <w:sz w:val="20"/>
          <w:szCs w:val="20"/>
          <w:highlight w:val="white"/>
        </w:rPr>
        <w:t xml:space="preserve"> </w:t>
      </w:r>
      <w:r w:rsidR="007F5AFE" w:rsidRPr="00BC7F75">
        <w:rPr>
          <w:rFonts w:ascii="Arial" w:eastAsia="Arial" w:hAnsi="Arial" w:cs="Arial"/>
          <w:color w:val="000000"/>
          <w:sz w:val="20"/>
          <w:szCs w:val="20"/>
          <w:highlight w:val="white"/>
          <w:lang w:val="en-US"/>
        </w:rPr>
        <w:t>https://doi.org/10.1007/978-981-13-2772-8_2</w:t>
      </w:r>
    </w:p>
    <w:p w14:paraId="000000B6" w14:textId="63B54275" w:rsidR="008F464C" w:rsidRPr="00BC7F75" w:rsidRDefault="00BC7F75" w:rsidP="00BC7F75">
      <w:pPr>
        <w:ind w:left="360"/>
        <w:jc w:val="both"/>
        <w:rPr>
          <w:rFonts w:ascii="Arial" w:eastAsia="Arial" w:hAnsi="Arial" w:cs="Arial"/>
          <w:color w:val="000000"/>
          <w:sz w:val="20"/>
          <w:szCs w:val="20"/>
          <w:highlight w:val="white"/>
        </w:rPr>
      </w:pPr>
      <w:proofErr w:type="spellStart"/>
      <w:r w:rsidRPr="00BC7F75">
        <w:rPr>
          <w:rFonts w:ascii="Arial" w:eastAsia="Arial" w:hAnsi="Arial" w:cs="Arial"/>
          <w:color w:val="000000"/>
          <w:sz w:val="20"/>
          <w:szCs w:val="20"/>
          <w:highlight w:val="white"/>
        </w:rPr>
        <w:lastRenderedPageBreak/>
        <w:t>Vishnoi</w:t>
      </w:r>
      <w:proofErr w:type="spellEnd"/>
      <w:r w:rsidRPr="00BC7F75">
        <w:rPr>
          <w:rFonts w:ascii="Arial" w:eastAsia="Arial" w:hAnsi="Arial" w:cs="Arial"/>
          <w:color w:val="000000"/>
          <w:sz w:val="20"/>
          <w:szCs w:val="20"/>
          <w:highlight w:val="white"/>
        </w:rPr>
        <w:t>, S., &amp; Goel, R. K. (2024). Climate smart agriculture for sustainable productivity and healthy landscapes. </w:t>
      </w:r>
      <w:r w:rsidRPr="00BC7F75">
        <w:rPr>
          <w:rFonts w:ascii="Arial" w:eastAsia="Arial" w:hAnsi="Arial" w:cs="Arial"/>
          <w:i/>
          <w:iCs/>
          <w:color w:val="000000"/>
          <w:sz w:val="20"/>
          <w:szCs w:val="20"/>
          <w:highlight w:val="white"/>
        </w:rPr>
        <w:t>Environmental Science &amp; Policy</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151</w:t>
      </w:r>
      <w:r w:rsidRPr="00BC7F75">
        <w:rPr>
          <w:rFonts w:ascii="Arial" w:eastAsia="Arial" w:hAnsi="Arial" w:cs="Arial"/>
          <w:color w:val="000000"/>
          <w:sz w:val="20"/>
          <w:szCs w:val="20"/>
          <w:highlight w:val="white"/>
        </w:rPr>
        <w:t>, 103600.</w:t>
      </w:r>
      <w:r w:rsidR="007F5AFE" w:rsidRPr="00BC7F75">
        <w:rPr>
          <w:rFonts w:ascii="Arial" w:eastAsia="Arial" w:hAnsi="Arial" w:cs="Arial"/>
          <w:color w:val="000000"/>
          <w:sz w:val="20"/>
          <w:szCs w:val="20"/>
          <w:highlight w:val="white"/>
        </w:rPr>
        <w:t xml:space="preserve"> </w:t>
      </w:r>
      <w:r w:rsidR="007F5AFE" w:rsidRPr="00BC7F75">
        <w:rPr>
          <w:rFonts w:ascii="Arial" w:eastAsia="Arial" w:hAnsi="Arial" w:cs="Arial"/>
          <w:color w:val="000000"/>
          <w:sz w:val="20"/>
          <w:szCs w:val="20"/>
          <w:highlight w:val="white"/>
          <w:lang w:val="en-US"/>
        </w:rPr>
        <w:t>https://doi.org/10.1016/j.envsci.2023.103600</w:t>
      </w:r>
    </w:p>
    <w:p w14:paraId="000000B7" w14:textId="29F4AFC8" w:rsidR="008F464C" w:rsidRPr="00BC7F75" w:rsidRDefault="00BC7F75" w:rsidP="00BC7F75">
      <w:pPr>
        <w:ind w:left="360"/>
        <w:jc w:val="both"/>
        <w:rPr>
          <w:rFonts w:ascii="Arial" w:eastAsia="Arial" w:hAnsi="Arial" w:cs="Arial"/>
          <w:color w:val="000000"/>
          <w:sz w:val="20"/>
          <w:szCs w:val="20"/>
          <w:highlight w:val="white"/>
        </w:rPr>
      </w:pPr>
      <w:proofErr w:type="spellStart"/>
      <w:r w:rsidRPr="00BC7F75">
        <w:rPr>
          <w:rFonts w:ascii="Arial" w:eastAsia="Arial" w:hAnsi="Arial" w:cs="Arial"/>
          <w:color w:val="000000"/>
          <w:sz w:val="20"/>
          <w:szCs w:val="20"/>
          <w:highlight w:val="white"/>
        </w:rPr>
        <w:t>Wakweya</w:t>
      </w:r>
      <w:proofErr w:type="spellEnd"/>
      <w:r w:rsidRPr="00BC7F75">
        <w:rPr>
          <w:rFonts w:ascii="Arial" w:eastAsia="Arial" w:hAnsi="Arial" w:cs="Arial"/>
          <w:color w:val="000000"/>
          <w:sz w:val="20"/>
          <w:szCs w:val="20"/>
          <w:highlight w:val="white"/>
        </w:rPr>
        <w:t>, R. B. (2023). Challenges and prospects of adopting climate-smart agricultural practices and technologies: Implications for food security. </w:t>
      </w:r>
      <w:r w:rsidRPr="00BC7F75">
        <w:rPr>
          <w:rFonts w:ascii="Arial" w:eastAsia="Arial" w:hAnsi="Arial" w:cs="Arial"/>
          <w:i/>
          <w:iCs/>
          <w:color w:val="000000"/>
          <w:sz w:val="20"/>
          <w:szCs w:val="20"/>
          <w:highlight w:val="white"/>
        </w:rPr>
        <w:t>Journal of Agriculture and Food Research</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14</w:t>
      </w:r>
      <w:r w:rsidRPr="00BC7F75">
        <w:rPr>
          <w:rFonts w:ascii="Arial" w:eastAsia="Arial" w:hAnsi="Arial" w:cs="Arial"/>
          <w:color w:val="000000"/>
          <w:sz w:val="20"/>
          <w:szCs w:val="20"/>
          <w:highlight w:val="white"/>
        </w:rPr>
        <w:t>, 100698.</w:t>
      </w:r>
      <w:r w:rsidR="007F5AFE" w:rsidRPr="00BC7F75">
        <w:rPr>
          <w:rFonts w:ascii="Arial" w:eastAsia="Arial" w:hAnsi="Arial" w:cs="Arial"/>
          <w:color w:val="000000"/>
          <w:sz w:val="20"/>
          <w:szCs w:val="20"/>
          <w:highlight w:val="white"/>
        </w:rPr>
        <w:t xml:space="preserve"> </w:t>
      </w:r>
      <w:r w:rsidR="007F5AFE" w:rsidRPr="00BC7F75">
        <w:rPr>
          <w:rFonts w:ascii="Arial" w:eastAsia="Arial" w:hAnsi="Arial" w:cs="Arial"/>
          <w:color w:val="000000"/>
          <w:sz w:val="20"/>
          <w:szCs w:val="20"/>
          <w:highlight w:val="white"/>
          <w:lang w:val="en-US"/>
        </w:rPr>
        <w:t>https://doi.org/10.1016/j.jafr.2023.100698</w:t>
      </w:r>
    </w:p>
    <w:p w14:paraId="000000B8" w14:textId="7C4D0941" w:rsidR="008F464C" w:rsidRPr="00BC7F75" w:rsidRDefault="00BC7F75" w:rsidP="00BC7F75">
      <w:pPr>
        <w:ind w:left="360"/>
        <w:jc w:val="both"/>
        <w:rPr>
          <w:rFonts w:ascii="Arial" w:eastAsia="Arial" w:hAnsi="Arial" w:cs="Arial"/>
          <w:color w:val="000000"/>
          <w:sz w:val="20"/>
          <w:szCs w:val="20"/>
          <w:highlight w:val="white"/>
        </w:rPr>
      </w:pPr>
      <w:r w:rsidRPr="00BC7F75">
        <w:rPr>
          <w:rFonts w:ascii="Arial" w:eastAsia="Arial" w:hAnsi="Arial" w:cs="Arial"/>
          <w:color w:val="000000"/>
          <w:sz w:val="20"/>
          <w:szCs w:val="20"/>
          <w:highlight w:val="white"/>
        </w:rPr>
        <w:t xml:space="preserve">World Bank. (2023). </w:t>
      </w:r>
      <w:r w:rsidRPr="00BC7F75">
        <w:rPr>
          <w:rFonts w:ascii="Arial" w:eastAsia="Arial" w:hAnsi="Arial" w:cs="Arial"/>
          <w:i/>
          <w:iCs/>
          <w:color w:val="000000"/>
          <w:sz w:val="20"/>
          <w:szCs w:val="20"/>
          <w:highlight w:val="white"/>
        </w:rPr>
        <w:t>Digital Technologies for Agriculture in Africa</w:t>
      </w:r>
      <w:r w:rsidRPr="00BC7F75">
        <w:rPr>
          <w:rFonts w:ascii="Arial" w:eastAsia="Arial" w:hAnsi="Arial" w:cs="Arial"/>
          <w:color w:val="000000"/>
          <w:sz w:val="20"/>
          <w:szCs w:val="20"/>
          <w:highlight w:val="white"/>
        </w:rPr>
        <w:t>. World Bank Publications.</w:t>
      </w:r>
      <w:r w:rsidR="007F5AFE" w:rsidRPr="00BC7F75">
        <w:rPr>
          <w:rFonts w:ascii="Arial" w:eastAsia="Arial" w:hAnsi="Arial" w:cs="Arial"/>
          <w:color w:val="000000"/>
          <w:sz w:val="20"/>
          <w:szCs w:val="20"/>
          <w:highlight w:val="white"/>
        </w:rPr>
        <w:t xml:space="preserve"> </w:t>
      </w:r>
    </w:p>
    <w:p w14:paraId="000000B9" w14:textId="7F161D29" w:rsidR="008F464C" w:rsidRPr="00BC7F75" w:rsidRDefault="00BC7F75" w:rsidP="00BC7F75">
      <w:pPr>
        <w:ind w:left="360"/>
        <w:jc w:val="both"/>
        <w:rPr>
          <w:rFonts w:ascii="Arial" w:eastAsia="Arial" w:hAnsi="Arial" w:cs="Arial"/>
          <w:color w:val="000000"/>
          <w:sz w:val="20"/>
          <w:szCs w:val="20"/>
          <w:highlight w:val="white"/>
        </w:rPr>
      </w:pPr>
      <w:proofErr w:type="spellStart"/>
      <w:r w:rsidRPr="00BC7F75">
        <w:rPr>
          <w:rFonts w:ascii="Arial" w:eastAsia="Arial" w:hAnsi="Arial" w:cs="Arial"/>
          <w:color w:val="000000"/>
          <w:sz w:val="20"/>
          <w:szCs w:val="20"/>
          <w:highlight w:val="white"/>
        </w:rPr>
        <w:t>Yiridomoh</w:t>
      </w:r>
      <w:proofErr w:type="spellEnd"/>
      <w:r w:rsidRPr="00BC7F75">
        <w:rPr>
          <w:rFonts w:ascii="Arial" w:eastAsia="Arial" w:hAnsi="Arial" w:cs="Arial"/>
          <w:color w:val="000000"/>
          <w:sz w:val="20"/>
          <w:szCs w:val="20"/>
          <w:highlight w:val="white"/>
        </w:rPr>
        <w:t xml:space="preserve">, G. Y., </w:t>
      </w:r>
      <w:proofErr w:type="spellStart"/>
      <w:r w:rsidRPr="00BC7F75">
        <w:rPr>
          <w:rFonts w:ascii="Arial" w:eastAsia="Arial" w:hAnsi="Arial" w:cs="Arial"/>
          <w:color w:val="000000"/>
          <w:sz w:val="20"/>
          <w:szCs w:val="20"/>
          <w:highlight w:val="white"/>
        </w:rPr>
        <w:t>Bonye</w:t>
      </w:r>
      <w:proofErr w:type="spellEnd"/>
      <w:r w:rsidRPr="00BC7F75">
        <w:rPr>
          <w:rFonts w:ascii="Arial" w:eastAsia="Arial" w:hAnsi="Arial" w:cs="Arial"/>
          <w:color w:val="000000"/>
          <w:sz w:val="20"/>
          <w:szCs w:val="20"/>
          <w:highlight w:val="white"/>
        </w:rPr>
        <w:t xml:space="preserve">, S. Z., Ahmed, A., </w:t>
      </w:r>
      <w:proofErr w:type="spellStart"/>
      <w:r w:rsidRPr="00BC7F75">
        <w:rPr>
          <w:rFonts w:ascii="Arial" w:eastAsia="Arial" w:hAnsi="Arial" w:cs="Arial"/>
          <w:color w:val="000000"/>
          <w:sz w:val="20"/>
          <w:szCs w:val="20"/>
          <w:highlight w:val="white"/>
        </w:rPr>
        <w:t>Aasoglenang</w:t>
      </w:r>
      <w:proofErr w:type="spellEnd"/>
      <w:r w:rsidRPr="00BC7F75">
        <w:rPr>
          <w:rFonts w:ascii="Arial" w:eastAsia="Arial" w:hAnsi="Arial" w:cs="Arial"/>
          <w:color w:val="000000"/>
          <w:sz w:val="20"/>
          <w:szCs w:val="20"/>
          <w:highlight w:val="white"/>
        </w:rPr>
        <w:t xml:space="preserve">, T. A., &amp; </w:t>
      </w:r>
      <w:proofErr w:type="spellStart"/>
      <w:r w:rsidRPr="00BC7F75">
        <w:rPr>
          <w:rFonts w:ascii="Arial" w:eastAsia="Arial" w:hAnsi="Arial" w:cs="Arial"/>
          <w:color w:val="000000"/>
          <w:sz w:val="20"/>
          <w:szCs w:val="20"/>
          <w:highlight w:val="white"/>
        </w:rPr>
        <w:t>Derbile</w:t>
      </w:r>
      <w:proofErr w:type="spellEnd"/>
      <w:r w:rsidRPr="00BC7F75">
        <w:rPr>
          <w:rFonts w:ascii="Arial" w:eastAsia="Arial" w:hAnsi="Arial" w:cs="Arial"/>
          <w:color w:val="000000"/>
          <w:sz w:val="20"/>
          <w:szCs w:val="20"/>
          <w:highlight w:val="white"/>
        </w:rPr>
        <w:t>, E. K. (2025). Climate</w:t>
      </w:r>
      <w:r w:rsidRPr="00BC7F75">
        <w:rPr>
          <w:rFonts w:ascii="Cambria Math" w:eastAsia="Cambria Math" w:hAnsi="Cambria Math" w:cs="Cambria Math"/>
          <w:color w:val="000000"/>
          <w:sz w:val="20"/>
          <w:szCs w:val="20"/>
          <w:highlight w:val="white"/>
        </w:rPr>
        <w:t>‐</w:t>
      </w:r>
      <w:r w:rsidRPr="00BC7F75">
        <w:rPr>
          <w:rFonts w:ascii="Arial" w:eastAsia="Arial" w:hAnsi="Arial" w:cs="Arial"/>
          <w:color w:val="000000"/>
          <w:sz w:val="20"/>
          <w:szCs w:val="20"/>
          <w:highlight w:val="white"/>
        </w:rPr>
        <w:t>Smart Agriculture Adoption and Food Security in Sub</w:t>
      </w:r>
      <w:r w:rsidRPr="00BC7F75">
        <w:rPr>
          <w:rFonts w:ascii="Cambria Math" w:eastAsia="Cambria Math" w:hAnsi="Cambria Math" w:cs="Cambria Math"/>
          <w:color w:val="000000"/>
          <w:sz w:val="20"/>
          <w:szCs w:val="20"/>
          <w:highlight w:val="white"/>
        </w:rPr>
        <w:t>‐</w:t>
      </w:r>
      <w:r w:rsidRPr="00BC7F75">
        <w:rPr>
          <w:rFonts w:ascii="Arial" w:eastAsia="Arial" w:hAnsi="Arial" w:cs="Arial"/>
          <w:color w:val="000000"/>
          <w:sz w:val="20"/>
          <w:szCs w:val="20"/>
          <w:highlight w:val="white"/>
        </w:rPr>
        <w:t>Saharan Africa: A Systematic Review. </w:t>
      </w:r>
      <w:r w:rsidRPr="00BC7F75">
        <w:rPr>
          <w:rFonts w:ascii="Arial" w:eastAsia="Arial" w:hAnsi="Arial" w:cs="Arial"/>
          <w:i/>
          <w:iCs/>
          <w:color w:val="000000"/>
          <w:sz w:val="20"/>
          <w:szCs w:val="20"/>
          <w:highlight w:val="white"/>
        </w:rPr>
        <w:t>Climate Resilience and Sustainability</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4</w:t>
      </w:r>
      <w:r w:rsidRPr="00BC7F75">
        <w:rPr>
          <w:rFonts w:ascii="Arial" w:eastAsia="Arial" w:hAnsi="Arial" w:cs="Arial"/>
          <w:color w:val="000000"/>
          <w:sz w:val="20"/>
          <w:szCs w:val="20"/>
          <w:highlight w:val="white"/>
        </w:rPr>
        <w:t>(2), e70017.</w:t>
      </w:r>
      <w:r w:rsidR="007F5AFE" w:rsidRPr="00BC7F75">
        <w:rPr>
          <w:rFonts w:ascii="Arial" w:eastAsia="Arial" w:hAnsi="Arial" w:cs="Arial"/>
          <w:color w:val="000000"/>
          <w:sz w:val="20"/>
          <w:szCs w:val="20"/>
          <w:highlight w:val="white"/>
        </w:rPr>
        <w:t xml:space="preserve"> </w:t>
      </w:r>
      <w:r w:rsidR="007F5AFE" w:rsidRPr="00BC7F75">
        <w:rPr>
          <w:rFonts w:ascii="Arial" w:eastAsia="Arial" w:hAnsi="Arial" w:cs="Arial"/>
          <w:color w:val="000000"/>
          <w:sz w:val="20"/>
          <w:szCs w:val="20"/>
          <w:highlight w:val="white"/>
          <w:lang w:val="en-US"/>
        </w:rPr>
        <w:t>https://doi.org/10.1002/cli2.70017</w:t>
      </w:r>
    </w:p>
    <w:p w14:paraId="000000BA" w14:textId="0E05537E" w:rsidR="008F464C" w:rsidRPr="00BC7F75" w:rsidRDefault="00BC7F75" w:rsidP="00BC7F75">
      <w:pPr>
        <w:ind w:left="360"/>
        <w:jc w:val="both"/>
        <w:rPr>
          <w:rFonts w:ascii="Arial" w:eastAsia="Arial" w:hAnsi="Arial" w:cs="Arial"/>
          <w:color w:val="000000"/>
          <w:sz w:val="20"/>
          <w:szCs w:val="20"/>
          <w:highlight w:val="white"/>
        </w:rPr>
      </w:pPr>
      <w:proofErr w:type="spellStart"/>
      <w:r w:rsidRPr="00BC7F75">
        <w:rPr>
          <w:rFonts w:ascii="Arial" w:eastAsia="Arial" w:hAnsi="Arial" w:cs="Arial"/>
          <w:color w:val="000000"/>
          <w:sz w:val="20"/>
          <w:szCs w:val="20"/>
          <w:highlight w:val="white"/>
        </w:rPr>
        <w:t>Zougmoré</w:t>
      </w:r>
      <w:proofErr w:type="spellEnd"/>
      <w:r w:rsidRPr="00BC7F75">
        <w:rPr>
          <w:rFonts w:ascii="Arial" w:eastAsia="Arial" w:hAnsi="Arial" w:cs="Arial"/>
          <w:color w:val="000000"/>
          <w:sz w:val="20"/>
          <w:szCs w:val="20"/>
          <w:highlight w:val="white"/>
        </w:rPr>
        <w:t xml:space="preserve">, R. B., </w:t>
      </w:r>
      <w:proofErr w:type="spellStart"/>
      <w:r w:rsidRPr="00BC7F75">
        <w:rPr>
          <w:rFonts w:ascii="Arial" w:eastAsia="Arial" w:hAnsi="Arial" w:cs="Arial"/>
          <w:color w:val="000000"/>
          <w:sz w:val="20"/>
          <w:szCs w:val="20"/>
          <w:highlight w:val="white"/>
        </w:rPr>
        <w:t>Läderach</w:t>
      </w:r>
      <w:proofErr w:type="spellEnd"/>
      <w:r w:rsidRPr="00BC7F75">
        <w:rPr>
          <w:rFonts w:ascii="Arial" w:eastAsia="Arial" w:hAnsi="Arial" w:cs="Arial"/>
          <w:color w:val="000000"/>
          <w:sz w:val="20"/>
          <w:szCs w:val="20"/>
          <w:highlight w:val="white"/>
        </w:rPr>
        <w:t>, P., &amp; Campbell, B. M. (2021). Transforming food systems in Africa under climate change pressure: Role of climate-smart agriculture. </w:t>
      </w:r>
      <w:r w:rsidRPr="00BC7F75">
        <w:rPr>
          <w:rFonts w:ascii="Arial" w:eastAsia="Arial" w:hAnsi="Arial" w:cs="Arial"/>
          <w:i/>
          <w:iCs/>
          <w:color w:val="000000"/>
          <w:sz w:val="20"/>
          <w:szCs w:val="20"/>
          <w:highlight w:val="white"/>
        </w:rPr>
        <w:t>Sustainability</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13</w:t>
      </w:r>
      <w:r w:rsidRPr="00BC7F75">
        <w:rPr>
          <w:rFonts w:ascii="Arial" w:eastAsia="Arial" w:hAnsi="Arial" w:cs="Arial"/>
          <w:color w:val="000000"/>
          <w:sz w:val="20"/>
          <w:szCs w:val="20"/>
          <w:highlight w:val="white"/>
        </w:rPr>
        <w:t>(8), 4305.</w:t>
      </w:r>
      <w:r w:rsidR="006A7BF2" w:rsidRPr="00BC7F75">
        <w:rPr>
          <w:rFonts w:ascii="Arial" w:eastAsia="Arial" w:hAnsi="Arial" w:cs="Arial"/>
          <w:color w:val="000000"/>
          <w:sz w:val="20"/>
          <w:szCs w:val="20"/>
          <w:highlight w:val="white"/>
        </w:rPr>
        <w:t xml:space="preserve"> </w:t>
      </w:r>
      <w:r w:rsidR="006A7BF2" w:rsidRPr="00BC7F75">
        <w:rPr>
          <w:rFonts w:ascii="Arial" w:eastAsia="Arial" w:hAnsi="Arial" w:cs="Arial"/>
          <w:color w:val="000000"/>
          <w:sz w:val="20"/>
          <w:szCs w:val="20"/>
          <w:highlight w:val="white"/>
          <w:lang w:val="en-US"/>
        </w:rPr>
        <w:t>https://doi.org/10.3390/su13084305</w:t>
      </w:r>
    </w:p>
    <w:p w14:paraId="000000BB" w14:textId="51EFAEEF" w:rsidR="008F464C" w:rsidRPr="00BC7F75" w:rsidRDefault="00BC7F75" w:rsidP="00BC7F75">
      <w:pPr>
        <w:ind w:left="360"/>
        <w:jc w:val="both"/>
        <w:rPr>
          <w:rFonts w:ascii="Arial" w:eastAsia="Arial" w:hAnsi="Arial" w:cs="Arial"/>
          <w:color w:val="000000"/>
          <w:sz w:val="20"/>
          <w:szCs w:val="20"/>
          <w:highlight w:val="white"/>
        </w:rPr>
      </w:pPr>
      <w:proofErr w:type="spellStart"/>
      <w:r w:rsidRPr="00BC7F75">
        <w:rPr>
          <w:rFonts w:ascii="Arial" w:eastAsia="Arial" w:hAnsi="Arial" w:cs="Arial"/>
          <w:color w:val="000000"/>
          <w:sz w:val="20"/>
          <w:szCs w:val="20"/>
          <w:highlight w:val="white"/>
        </w:rPr>
        <w:t>Zougmoré</w:t>
      </w:r>
      <w:proofErr w:type="spellEnd"/>
      <w:r w:rsidRPr="00BC7F75">
        <w:rPr>
          <w:rFonts w:ascii="Arial" w:eastAsia="Arial" w:hAnsi="Arial" w:cs="Arial"/>
          <w:color w:val="000000"/>
          <w:sz w:val="20"/>
          <w:szCs w:val="20"/>
          <w:highlight w:val="white"/>
        </w:rPr>
        <w:t xml:space="preserve">, R., </w:t>
      </w:r>
      <w:proofErr w:type="spellStart"/>
      <w:r w:rsidRPr="00BC7F75">
        <w:rPr>
          <w:rFonts w:ascii="Arial" w:eastAsia="Arial" w:hAnsi="Arial" w:cs="Arial"/>
          <w:color w:val="000000"/>
          <w:sz w:val="20"/>
          <w:szCs w:val="20"/>
          <w:highlight w:val="white"/>
        </w:rPr>
        <w:t>Partey</w:t>
      </w:r>
      <w:proofErr w:type="spellEnd"/>
      <w:r w:rsidRPr="00BC7F75">
        <w:rPr>
          <w:rFonts w:ascii="Arial" w:eastAsia="Arial" w:hAnsi="Arial" w:cs="Arial"/>
          <w:color w:val="000000"/>
          <w:sz w:val="20"/>
          <w:szCs w:val="20"/>
          <w:highlight w:val="white"/>
        </w:rPr>
        <w:t xml:space="preserve">, S., Ouédraogo, M., </w:t>
      </w:r>
      <w:proofErr w:type="spellStart"/>
      <w:r w:rsidRPr="00BC7F75">
        <w:rPr>
          <w:rFonts w:ascii="Arial" w:eastAsia="Arial" w:hAnsi="Arial" w:cs="Arial"/>
          <w:color w:val="000000"/>
          <w:sz w:val="20"/>
          <w:szCs w:val="20"/>
          <w:highlight w:val="white"/>
        </w:rPr>
        <w:t>Omitoyin</w:t>
      </w:r>
      <w:proofErr w:type="spellEnd"/>
      <w:r w:rsidRPr="00BC7F75">
        <w:rPr>
          <w:rFonts w:ascii="Arial" w:eastAsia="Arial" w:hAnsi="Arial" w:cs="Arial"/>
          <w:color w:val="000000"/>
          <w:sz w:val="20"/>
          <w:szCs w:val="20"/>
          <w:highlight w:val="white"/>
        </w:rPr>
        <w:t xml:space="preserve">, B., Thomas, T., </w:t>
      </w:r>
      <w:proofErr w:type="spellStart"/>
      <w:r w:rsidRPr="00BC7F75">
        <w:rPr>
          <w:rFonts w:ascii="Arial" w:eastAsia="Arial" w:hAnsi="Arial" w:cs="Arial"/>
          <w:color w:val="000000"/>
          <w:sz w:val="20"/>
          <w:szCs w:val="20"/>
          <w:highlight w:val="white"/>
        </w:rPr>
        <w:t>Ayantunde</w:t>
      </w:r>
      <w:proofErr w:type="spellEnd"/>
      <w:r w:rsidRPr="00BC7F75">
        <w:rPr>
          <w:rFonts w:ascii="Arial" w:eastAsia="Arial" w:hAnsi="Arial" w:cs="Arial"/>
          <w:color w:val="000000"/>
          <w:sz w:val="20"/>
          <w:szCs w:val="20"/>
          <w:highlight w:val="white"/>
        </w:rPr>
        <w:t>, A., ... &amp; Jalloh, A. (2016). Toward climate-smart agriculture in West Africa: a review of climate change impacts, adaptation strategies and policy developments for the livestock, fishery and crop production sectors. </w:t>
      </w:r>
      <w:r w:rsidRPr="00BC7F75">
        <w:rPr>
          <w:rFonts w:ascii="Arial" w:eastAsia="Arial" w:hAnsi="Arial" w:cs="Arial"/>
          <w:i/>
          <w:iCs/>
          <w:color w:val="000000"/>
          <w:sz w:val="20"/>
          <w:szCs w:val="20"/>
          <w:highlight w:val="white"/>
        </w:rPr>
        <w:t>Agriculture &amp; Food Security</w:t>
      </w:r>
      <w:r w:rsidRPr="00BC7F75">
        <w:rPr>
          <w:rFonts w:ascii="Arial" w:eastAsia="Arial" w:hAnsi="Arial" w:cs="Arial"/>
          <w:color w:val="000000"/>
          <w:sz w:val="20"/>
          <w:szCs w:val="20"/>
          <w:highlight w:val="white"/>
        </w:rPr>
        <w:t>, </w:t>
      </w:r>
      <w:r w:rsidRPr="00BC7F75">
        <w:rPr>
          <w:rFonts w:ascii="Arial" w:eastAsia="Arial" w:hAnsi="Arial" w:cs="Arial"/>
          <w:i/>
          <w:iCs/>
          <w:color w:val="000000"/>
          <w:sz w:val="20"/>
          <w:szCs w:val="20"/>
          <w:highlight w:val="white"/>
        </w:rPr>
        <w:t>5</w:t>
      </w:r>
      <w:r w:rsidRPr="00BC7F75">
        <w:rPr>
          <w:rFonts w:ascii="Arial" w:eastAsia="Arial" w:hAnsi="Arial" w:cs="Arial"/>
          <w:color w:val="000000"/>
          <w:sz w:val="20"/>
          <w:szCs w:val="20"/>
          <w:highlight w:val="white"/>
        </w:rPr>
        <w:t>(1), 26.</w:t>
      </w:r>
      <w:r w:rsidR="002424B8" w:rsidRPr="00BC7F75">
        <w:rPr>
          <w:rFonts w:ascii="Arial" w:eastAsia="Arial" w:hAnsi="Arial" w:cs="Arial"/>
          <w:color w:val="000000"/>
          <w:sz w:val="20"/>
          <w:szCs w:val="20"/>
          <w:highlight w:val="white"/>
        </w:rPr>
        <w:t xml:space="preserve"> </w:t>
      </w:r>
      <w:r w:rsidR="002424B8" w:rsidRPr="00BC7F75">
        <w:rPr>
          <w:rFonts w:ascii="Arial" w:eastAsia="Arial" w:hAnsi="Arial" w:cs="Arial"/>
          <w:color w:val="000000"/>
          <w:sz w:val="20"/>
          <w:szCs w:val="20"/>
          <w:highlight w:val="white"/>
          <w:lang w:val="en-US"/>
        </w:rPr>
        <w:t>https://doi.org/10.1186/s40066-016-0075-3</w:t>
      </w:r>
    </w:p>
    <w:p w14:paraId="000000BC" w14:textId="77777777" w:rsidR="008F464C" w:rsidRDefault="008F464C">
      <w:pPr>
        <w:spacing w:after="0" w:line="276" w:lineRule="auto"/>
        <w:jc w:val="both"/>
        <w:rPr>
          <w:rFonts w:ascii="Arial" w:eastAsia="Arial" w:hAnsi="Arial" w:cs="Arial"/>
          <w:sz w:val="20"/>
          <w:szCs w:val="20"/>
          <w:highlight w:val="yellow"/>
        </w:rPr>
      </w:pPr>
    </w:p>
    <w:p w14:paraId="000000BD" w14:textId="77777777" w:rsidR="008F464C" w:rsidRDefault="008F464C">
      <w:pPr>
        <w:spacing w:after="0" w:line="276" w:lineRule="auto"/>
        <w:jc w:val="both"/>
        <w:rPr>
          <w:rFonts w:ascii="Arial" w:eastAsia="Arial" w:hAnsi="Arial" w:cs="Arial"/>
          <w:sz w:val="20"/>
          <w:szCs w:val="20"/>
        </w:rPr>
      </w:pPr>
    </w:p>
    <w:p w14:paraId="000000BE" w14:textId="77777777" w:rsidR="008F464C" w:rsidRDefault="008F464C">
      <w:pPr>
        <w:spacing w:line="276" w:lineRule="auto"/>
        <w:jc w:val="both"/>
        <w:rPr>
          <w:rFonts w:ascii="Arial" w:eastAsia="Arial" w:hAnsi="Arial" w:cs="Arial"/>
          <w:sz w:val="20"/>
          <w:szCs w:val="20"/>
        </w:rPr>
      </w:pPr>
    </w:p>
    <w:sectPr w:rsidR="008F464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7E30BA" w14:textId="77777777" w:rsidR="004B5C0E" w:rsidRDefault="004B5C0E" w:rsidP="000A6D4E">
      <w:pPr>
        <w:spacing w:after="0" w:line="240" w:lineRule="auto"/>
      </w:pPr>
      <w:r>
        <w:separator/>
      </w:r>
    </w:p>
  </w:endnote>
  <w:endnote w:type="continuationSeparator" w:id="0">
    <w:p w14:paraId="48F5BD6C" w14:textId="77777777" w:rsidR="004B5C0E" w:rsidRDefault="004B5C0E" w:rsidP="000A6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B0C70403-C77C-4C77-854D-2BC8FDDA63C5}"/>
    <w:embedItalic r:id="rId2" w:fontKey="{259C29CF-BCBB-439B-AFD8-487E1534200F}"/>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251D278C-02DD-49CA-8B74-6C1AA3832B51}"/>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4" w:fontKey="{5D13FF87-4F7F-46A7-87F5-70BE2A7376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09ECE" w14:textId="77777777" w:rsidR="000A6D4E" w:rsidRDefault="000A6D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CC18C" w14:textId="77777777" w:rsidR="000A6D4E" w:rsidRDefault="000A6D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A6A04" w14:textId="77777777" w:rsidR="000A6D4E" w:rsidRDefault="000A6D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51A52C" w14:textId="77777777" w:rsidR="004B5C0E" w:rsidRDefault="004B5C0E" w:rsidP="000A6D4E">
      <w:pPr>
        <w:spacing w:after="0" w:line="240" w:lineRule="auto"/>
      </w:pPr>
      <w:r>
        <w:separator/>
      </w:r>
    </w:p>
  </w:footnote>
  <w:footnote w:type="continuationSeparator" w:id="0">
    <w:p w14:paraId="34C2C0C1" w14:textId="77777777" w:rsidR="004B5C0E" w:rsidRDefault="004B5C0E" w:rsidP="000A6D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E3927" w14:textId="5FDDE773" w:rsidR="000A6D4E" w:rsidRDefault="000A6D4E">
    <w:pPr>
      <w:pStyle w:val="Header"/>
    </w:pPr>
    <w:r>
      <w:rPr>
        <w:noProof/>
      </w:rPr>
      <w:pict w14:anchorId="0D35B1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50901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03DB4" w14:textId="3831394B" w:rsidR="000A6D4E" w:rsidRDefault="000A6D4E">
    <w:pPr>
      <w:pStyle w:val="Header"/>
    </w:pPr>
    <w:r>
      <w:rPr>
        <w:noProof/>
      </w:rPr>
      <w:pict w14:anchorId="3916BB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50901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431A5" w14:textId="2D305499" w:rsidR="000A6D4E" w:rsidRDefault="000A6D4E">
    <w:pPr>
      <w:pStyle w:val="Header"/>
    </w:pPr>
    <w:r>
      <w:rPr>
        <w:noProof/>
      </w:rPr>
      <w:pict w14:anchorId="78FA16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50901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AF5C1F"/>
    <w:multiLevelType w:val="hybridMultilevel"/>
    <w:tmpl w:val="BC906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64C"/>
    <w:rsid w:val="00031F09"/>
    <w:rsid w:val="0003436C"/>
    <w:rsid w:val="0008319F"/>
    <w:rsid w:val="000A6967"/>
    <w:rsid w:val="000A6D4E"/>
    <w:rsid w:val="002424B8"/>
    <w:rsid w:val="00253CA8"/>
    <w:rsid w:val="00267B35"/>
    <w:rsid w:val="003203A8"/>
    <w:rsid w:val="00382852"/>
    <w:rsid w:val="003B2728"/>
    <w:rsid w:val="00494CAE"/>
    <w:rsid w:val="004B5C0E"/>
    <w:rsid w:val="006A7BF2"/>
    <w:rsid w:val="007F5AFE"/>
    <w:rsid w:val="008B7443"/>
    <w:rsid w:val="008F464C"/>
    <w:rsid w:val="00996384"/>
    <w:rsid w:val="009E7833"/>
    <w:rsid w:val="009F1123"/>
    <w:rsid w:val="00A6444D"/>
    <w:rsid w:val="00BA13B2"/>
    <w:rsid w:val="00BC1320"/>
    <w:rsid w:val="00BC7F75"/>
    <w:rsid w:val="00D307F0"/>
    <w:rsid w:val="00DB4B44"/>
    <w:rsid w:val="00E42452"/>
    <w:rsid w:val="00F812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EEECCA"/>
  <w15:docId w15:val="{12B061EB-C789-4ADE-BD34-AB1C33618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A277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77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77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A277C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277C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277C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277C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A277CA"/>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A277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77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77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77CA"/>
    <w:rPr>
      <w:rFonts w:eastAsiaTheme="majorEastAsia" w:cstheme="majorBidi"/>
      <w:color w:val="272727" w:themeColor="text1" w:themeTint="D8"/>
    </w:rPr>
  </w:style>
  <w:style w:type="character" w:customStyle="1" w:styleId="TitleChar">
    <w:name w:val="Title Char"/>
    <w:basedOn w:val="DefaultParagraphFont"/>
    <w:link w:val="Title"/>
    <w:uiPriority w:val="10"/>
    <w:rsid w:val="00A277C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277CA"/>
    <w:rPr>
      <w:rFonts w:eastAsiaTheme="majorEastAsia" w:cstheme="majorBidi"/>
      <w:color w:val="000000" w:themeColor="text1"/>
      <w:spacing w:val="15"/>
      <w:sz w:val="28"/>
      <w:szCs w:val="28"/>
    </w:rPr>
  </w:style>
  <w:style w:type="paragraph" w:styleId="Quote">
    <w:name w:val="Quote"/>
    <w:basedOn w:val="Normal"/>
    <w:next w:val="Normal"/>
    <w:link w:val="QuoteChar"/>
    <w:uiPriority w:val="29"/>
    <w:qFormat/>
    <w:rsid w:val="00A277CA"/>
    <w:pPr>
      <w:spacing w:before="160"/>
      <w:jc w:val="center"/>
    </w:pPr>
    <w:rPr>
      <w:i/>
      <w:iCs/>
      <w:color w:val="000000" w:themeColor="text1"/>
    </w:rPr>
  </w:style>
  <w:style w:type="character" w:customStyle="1" w:styleId="QuoteChar">
    <w:name w:val="Quote Char"/>
    <w:basedOn w:val="DefaultParagraphFont"/>
    <w:link w:val="Quote"/>
    <w:uiPriority w:val="29"/>
    <w:rsid w:val="00A277CA"/>
    <w:rPr>
      <w:i/>
      <w:iCs/>
      <w:color w:val="000000" w:themeColor="text1"/>
    </w:rPr>
  </w:style>
  <w:style w:type="paragraph" w:styleId="ListParagraph">
    <w:name w:val="List Paragraph"/>
    <w:basedOn w:val="Normal"/>
    <w:uiPriority w:val="34"/>
    <w:qFormat/>
    <w:rsid w:val="00A277CA"/>
    <w:pPr>
      <w:ind w:left="720"/>
      <w:contextualSpacing/>
    </w:pPr>
  </w:style>
  <w:style w:type="character" w:styleId="IntenseEmphasis">
    <w:name w:val="Intense Emphasis"/>
    <w:basedOn w:val="DefaultParagraphFont"/>
    <w:uiPriority w:val="21"/>
    <w:qFormat/>
    <w:rsid w:val="00A277CA"/>
    <w:rPr>
      <w:i/>
      <w:iCs/>
      <w:color w:val="2F5496" w:themeColor="accent1" w:themeShade="BF"/>
    </w:rPr>
  </w:style>
  <w:style w:type="paragraph" w:styleId="IntenseQuote">
    <w:name w:val="Intense Quote"/>
    <w:basedOn w:val="Normal"/>
    <w:next w:val="Normal"/>
    <w:link w:val="IntenseQuoteChar"/>
    <w:uiPriority w:val="30"/>
    <w:qFormat/>
    <w:rsid w:val="00A277C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277CA"/>
    <w:rPr>
      <w:i/>
      <w:iCs/>
      <w:color w:val="2F5496" w:themeColor="accent1" w:themeShade="BF"/>
    </w:rPr>
  </w:style>
  <w:style w:type="character" w:styleId="IntenseReference">
    <w:name w:val="Intense Reference"/>
    <w:basedOn w:val="DefaultParagraphFont"/>
    <w:uiPriority w:val="32"/>
    <w:qFormat/>
    <w:rsid w:val="00A277CA"/>
    <w:rPr>
      <w:b/>
      <w:bCs/>
      <w:smallCaps/>
      <w:color w:val="2F5496" w:themeColor="accent1" w:themeShade="BF"/>
      <w:spacing w:val="5"/>
    </w:rPr>
  </w:style>
  <w:style w:type="paragraph" w:styleId="NormalWeb">
    <w:name w:val="Normal (Web)"/>
    <w:basedOn w:val="Normal"/>
    <w:uiPriority w:val="99"/>
    <w:semiHidden/>
    <w:unhideWhenUsed/>
    <w:rsid w:val="0024377E"/>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24377E"/>
    <w:rPr>
      <w:b/>
      <w:bCs/>
    </w:rPr>
  </w:style>
  <w:style w:type="character" w:styleId="Emphasis">
    <w:name w:val="Emphasis"/>
    <w:basedOn w:val="DefaultParagraphFont"/>
    <w:uiPriority w:val="20"/>
    <w:qFormat/>
    <w:rsid w:val="0024377E"/>
    <w:rPr>
      <w:i/>
      <w:iCs/>
    </w:rPr>
  </w:style>
  <w:style w:type="character" w:styleId="Hyperlink">
    <w:name w:val="Hyperlink"/>
    <w:basedOn w:val="DefaultParagraphFont"/>
    <w:uiPriority w:val="99"/>
    <w:unhideWhenUsed/>
    <w:rsid w:val="0024377E"/>
    <w:rPr>
      <w:color w:val="0000FF"/>
      <w:u w:val="single"/>
    </w:rPr>
  </w:style>
  <w:style w:type="paragraph" w:styleId="z-TopofForm">
    <w:name w:val="HTML Top of Form"/>
    <w:basedOn w:val="Normal"/>
    <w:next w:val="Normal"/>
    <w:link w:val="z-TopofFormChar"/>
    <w:hidden/>
    <w:uiPriority w:val="99"/>
    <w:semiHidden/>
    <w:unhideWhenUsed/>
    <w:rsid w:val="008C131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C131B"/>
    <w:rPr>
      <w:rFonts w:ascii="Arial" w:eastAsia="Times New Roman" w:hAnsi="Arial" w:cs="Arial"/>
      <w:vanish/>
      <w:kern w:val="0"/>
      <w:sz w:val="16"/>
      <w:szCs w:val="16"/>
    </w:rPr>
  </w:style>
  <w:style w:type="paragraph" w:styleId="z-BottomofForm">
    <w:name w:val="HTML Bottom of Form"/>
    <w:basedOn w:val="Normal"/>
    <w:next w:val="Normal"/>
    <w:link w:val="z-BottomofFormChar"/>
    <w:hidden/>
    <w:uiPriority w:val="99"/>
    <w:semiHidden/>
    <w:unhideWhenUsed/>
    <w:rsid w:val="008C131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C131B"/>
    <w:rPr>
      <w:rFonts w:ascii="Arial" w:eastAsia="Times New Roman" w:hAnsi="Arial" w:cs="Arial"/>
      <w:vanish/>
      <w:kern w:val="0"/>
      <w:sz w:val="16"/>
      <w:szCs w:val="16"/>
    </w:rPr>
  </w:style>
  <w:style w:type="character" w:customStyle="1" w:styleId="ms-1">
    <w:name w:val="ms-1"/>
    <w:basedOn w:val="DefaultParagraphFont"/>
    <w:rsid w:val="00790215"/>
  </w:style>
  <w:style w:type="character" w:customStyle="1" w:styleId="max-w-15ch">
    <w:name w:val="max-w-[15ch]"/>
    <w:basedOn w:val="DefaultParagraphFont"/>
    <w:rsid w:val="00790215"/>
  </w:style>
  <w:style w:type="character" w:customStyle="1" w:styleId="-me-1">
    <w:name w:val="-me-1"/>
    <w:basedOn w:val="DefaultParagraphFont"/>
    <w:rsid w:val="00790215"/>
  </w:style>
  <w:style w:type="paragraph" w:styleId="Subtitle">
    <w:name w:val="Subtitle"/>
    <w:basedOn w:val="Normal"/>
    <w:next w:val="Normal"/>
    <w:link w:val="SubtitleChar"/>
    <w:uiPriority w:val="11"/>
    <w:qFormat/>
    <w:rPr>
      <w:color w:val="000000"/>
      <w:sz w:val="28"/>
      <w:szCs w:val="28"/>
    </w:rPr>
  </w:style>
  <w:style w:type="character" w:styleId="UnresolvedMention">
    <w:name w:val="Unresolved Mention"/>
    <w:basedOn w:val="DefaultParagraphFont"/>
    <w:uiPriority w:val="99"/>
    <w:semiHidden/>
    <w:unhideWhenUsed/>
    <w:rsid w:val="00F8125D"/>
    <w:rPr>
      <w:color w:val="605E5C"/>
      <w:shd w:val="clear" w:color="auto" w:fill="E1DFDD"/>
    </w:rPr>
  </w:style>
  <w:style w:type="paragraph" w:styleId="Header">
    <w:name w:val="header"/>
    <w:basedOn w:val="Normal"/>
    <w:link w:val="HeaderChar"/>
    <w:uiPriority w:val="99"/>
    <w:unhideWhenUsed/>
    <w:rsid w:val="000A6D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D4E"/>
  </w:style>
  <w:style w:type="paragraph" w:styleId="Footer">
    <w:name w:val="footer"/>
    <w:basedOn w:val="Normal"/>
    <w:link w:val="FooterChar"/>
    <w:uiPriority w:val="99"/>
    <w:unhideWhenUsed/>
    <w:rsid w:val="000A6D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D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7jmwRzF/Ejf3yxlbV4rbL038Xw==">CgMxLjA4AHIhMVBRNTVRMFhOZGdsR0p4ZUREMXI2SWd2Z1VxRUZhaUJ0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18</Pages>
  <Words>9502</Words>
  <Characters>54163</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Pastor Arowosegbe</dc:creator>
  <cp:lastModifiedBy>SDI 1084</cp:lastModifiedBy>
  <cp:revision>67</cp:revision>
  <dcterms:created xsi:type="dcterms:W3CDTF">2025-11-14T20:26:00Z</dcterms:created>
  <dcterms:modified xsi:type="dcterms:W3CDTF">2025-12-09T10:32:00Z</dcterms:modified>
</cp:coreProperties>
</file>