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1C86C" w14:textId="037F76E9" w:rsidR="00A92DA1" w:rsidRDefault="00AD391F" w:rsidP="00E22B74">
      <w:pPr>
        <w:jc w:val="both"/>
        <w:rPr>
          <w:rFonts w:ascii="Times New Roman" w:hAnsi="Times New Roman" w:cs="Times New Roman"/>
          <w:b/>
          <w:sz w:val="24"/>
          <w:szCs w:val="24"/>
        </w:rPr>
      </w:pPr>
      <w:r w:rsidRPr="008C052F">
        <w:rPr>
          <w:rFonts w:ascii="Times New Roman" w:hAnsi="Times New Roman" w:cs="Times New Roman"/>
          <w:b/>
          <w:sz w:val="24"/>
          <w:szCs w:val="24"/>
        </w:rPr>
        <w:t>S</w:t>
      </w:r>
      <w:r w:rsidR="00162089" w:rsidRPr="008C052F">
        <w:rPr>
          <w:rFonts w:ascii="Times New Roman" w:hAnsi="Times New Roman" w:cs="Times New Roman"/>
          <w:b/>
          <w:sz w:val="24"/>
          <w:szCs w:val="24"/>
        </w:rPr>
        <w:t xml:space="preserve">creening and </w:t>
      </w:r>
      <w:r w:rsidR="00EA06A5" w:rsidRPr="008C052F">
        <w:rPr>
          <w:rFonts w:ascii="Times New Roman" w:hAnsi="Times New Roman" w:cs="Times New Roman"/>
          <w:b/>
          <w:sz w:val="24"/>
          <w:szCs w:val="24"/>
        </w:rPr>
        <w:t>Evaluati</w:t>
      </w:r>
      <w:r w:rsidR="002B32E4" w:rsidRPr="008C052F">
        <w:rPr>
          <w:rFonts w:ascii="Times New Roman" w:hAnsi="Times New Roman" w:cs="Times New Roman"/>
          <w:b/>
          <w:sz w:val="24"/>
          <w:szCs w:val="24"/>
        </w:rPr>
        <w:t xml:space="preserve">on of local </w:t>
      </w:r>
      <w:r w:rsidR="00F9763A" w:rsidRPr="0000632C">
        <w:rPr>
          <w:rFonts w:ascii="Times New Roman" w:hAnsi="Times New Roman" w:cs="Times New Roman"/>
          <w:b/>
          <w:sz w:val="24"/>
          <w:szCs w:val="24"/>
        </w:rPr>
        <w:t>cultivars</w:t>
      </w:r>
      <w:r w:rsidR="002B32E4" w:rsidRPr="0000632C">
        <w:rPr>
          <w:rFonts w:ascii="Times New Roman" w:hAnsi="Times New Roman" w:cs="Times New Roman"/>
          <w:b/>
          <w:sz w:val="24"/>
          <w:szCs w:val="24"/>
        </w:rPr>
        <w:t xml:space="preserve"> </w:t>
      </w:r>
      <w:r w:rsidR="002B32E4" w:rsidRPr="008C052F">
        <w:rPr>
          <w:rFonts w:ascii="Times New Roman" w:hAnsi="Times New Roman" w:cs="Times New Roman"/>
          <w:b/>
          <w:sz w:val="24"/>
          <w:szCs w:val="24"/>
        </w:rPr>
        <w:t xml:space="preserve">of </w:t>
      </w:r>
      <w:proofErr w:type="spellStart"/>
      <w:r w:rsidR="002B32E4" w:rsidRPr="008C052F">
        <w:rPr>
          <w:rFonts w:ascii="Times New Roman" w:hAnsi="Times New Roman" w:cs="Times New Roman"/>
          <w:b/>
          <w:sz w:val="24"/>
          <w:szCs w:val="24"/>
        </w:rPr>
        <w:t>green</w:t>
      </w:r>
      <w:r w:rsidR="00EA06A5" w:rsidRPr="008C052F">
        <w:rPr>
          <w:rFonts w:ascii="Times New Roman" w:hAnsi="Times New Roman" w:cs="Times New Roman"/>
          <w:b/>
          <w:sz w:val="24"/>
          <w:szCs w:val="24"/>
        </w:rPr>
        <w:t>gram</w:t>
      </w:r>
      <w:proofErr w:type="spellEnd"/>
      <w:r w:rsidR="00EA06A5" w:rsidRPr="008C052F">
        <w:rPr>
          <w:rFonts w:ascii="Times New Roman" w:hAnsi="Times New Roman" w:cs="Times New Roman"/>
          <w:b/>
          <w:sz w:val="24"/>
          <w:szCs w:val="24"/>
        </w:rPr>
        <w:t xml:space="preserve"> (</w:t>
      </w:r>
      <w:r w:rsidR="00EA06A5" w:rsidRPr="008C052F">
        <w:rPr>
          <w:rFonts w:ascii="Times New Roman" w:hAnsi="Times New Roman" w:cs="Times New Roman"/>
          <w:b/>
          <w:i/>
          <w:sz w:val="24"/>
          <w:szCs w:val="24"/>
        </w:rPr>
        <w:t>Vigna radiata</w:t>
      </w:r>
      <w:r w:rsidR="00EA06A5" w:rsidRPr="008C052F">
        <w:rPr>
          <w:rFonts w:ascii="Times New Roman" w:hAnsi="Times New Roman" w:cs="Times New Roman"/>
          <w:b/>
          <w:sz w:val="24"/>
          <w:szCs w:val="24"/>
        </w:rPr>
        <w:t xml:space="preserve"> L. Wilczek) for yield and disease tolerance</w:t>
      </w:r>
      <w:r w:rsidR="002B32E4" w:rsidRPr="008C052F">
        <w:rPr>
          <w:rFonts w:ascii="Times New Roman" w:hAnsi="Times New Roman" w:cs="Times New Roman"/>
          <w:b/>
          <w:sz w:val="24"/>
          <w:szCs w:val="24"/>
        </w:rPr>
        <w:t xml:space="preserve"> under </w:t>
      </w:r>
      <w:r w:rsidR="0069722E">
        <w:rPr>
          <w:rFonts w:ascii="Times New Roman" w:hAnsi="Times New Roman" w:cs="Times New Roman"/>
          <w:b/>
          <w:sz w:val="24"/>
          <w:szCs w:val="24"/>
        </w:rPr>
        <w:t xml:space="preserve">the </w:t>
      </w:r>
      <w:r w:rsidR="002B32E4" w:rsidRPr="008C052F">
        <w:rPr>
          <w:rFonts w:ascii="Times New Roman" w:hAnsi="Times New Roman" w:cs="Times New Roman"/>
          <w:b/>
          <w:sz w:val="24"/>
          <w:szCs w:val="24"/>
        </w:rPr>
        <w:t>Western Undulating Z</w:t>
      </w:r>
      <w:r w:rsidR="00E22B74" w:rsidRPr="008C052F">
        <w:rPr>
          <w:rFonts w:ascii="Times New Roman" w:hAnsi="Times New Roman" w:cs="Times New Roman"/>
          <w:b/>
          <w:sz w:val="24"/>
          <w:szCs w:val="24"/>
        </w:rPr>
        <w:t>one of Odisha</w:t>
      </w:r>
    </w:p>
    <w:p w14:paraId="6633FDBF" w14:textId="77777777" w:rsidR="00BA2B4D" w:rsidRDefault="00BA2B4D" w:rsidP="00FA7B50">
      <w:pPr>
        <w:spacing w:after="0"/>
        <w:jc w:val="both"/>
        <w:rPr>
          <w:rFonts w:ascii="Times New Roman" w:hAnsi="Times New Roman" w:cs="Times New Roman"/>
          <w:b/>
        </w:rPr>
      </w:pPr>
    </w:p>
    <w:p w14:paraId="210172E1" w14:textId="409D1B7A" w:rsidR="00EA06A5" w:rsidRPr="008C052F" w:rsidRDefault="00412F9B" w:rsidP="00FA7B50">
      <w:pPr>
        <w:spacing w:after="0"/>
        <w:jc w:val="both"/>
        <w:rPr>
          <w:rFonts w:ascii="Times New Roman" w:hAnsi="Times New Roman" w:cs="Times New Roman"/>
          <w:b/>
        </w:rPr>
      </w:pPr>
      <w:bookmarkStart w:id="0" w:name="_GoBack"/>
      <w:bookmarkEnd w:id="0"/>
      <w:r w:rsidRPr="008C052F">
        <w:rPr>
          <w:rFonts w:ascii="Times New Roman" w:hAnsi="Times New Roman" w:cs="Times New Roman"/>
          <w:b/>
        </w:rPr>
        <w:t>Abstract</w:t>
      </w:r>
    </w:p>
    <w:p w14:paraId="4FA0EB04" w14:textId="77777777" w:rsidR="00FF5EA7" w:rsidRPr="008C052F" w:rsidRDefault="00FF5EA7" w:rsidP="00FF5EA7">
      <w:pPr>
        <w:jc w:val="both"/>
        <w:rPr>
          <w:rFonts w:ascii="Times New Roman" w:hAnsi="Times New Roman" w:cs="Times New Roman"/>
        </w:rPr>
      </w:pPr>
      <w:r w:rsidRPr="008C052F">
        <w:rPr>
          <w:rFonts w:ascii="Times New Roman" w:hAnsi="Times New Roman" w:cs="Times New Roman"/>
        </w:rPr>
        <w:t>Performance of sixteen genotypes comprising fourteen local cultivars collected from different parts of Odisha and two released varieties were systematically evaluated for yield perform</w:t>
      </w:r>
      <w:r w:rsidR="00995B5C">
        <w:rPr>
          <w:rFonts w:ascii="Times New Roman" w:hAnsi="Times New Roman" w:cs="Times New Roman"/>
        </w:rPr>
        <w:t>ance, Yellow Mosaic Virus (YMV)</w:t>
      </w:r>
      <w:r w:rsidRPr="008C052F">
        <w:rPr>
          <w:rFonts w:ascii="Times New Roman" w:hAnsi="Times New Roman" w:cs="Times New Roman"/>
        </w:rPr>
        <w:t xml:space="preserve"> and powdery mildew disease tolerance at the Regional Research and Technology Transfer Station (RRTTS), </w:t>
      </w:r>
      <w:proofErr w:type="spellStart"/>
      <w:r w:rsidRPr="008C052F">
        <w:rPr>
          <w:rFonts w:ascii="Times New Roman" w:hAnsi="Times New Roman" w:cs="Times New Roman"/>
        </w:rPr>
        <w:t>Bhawanipatna</w:t>
      </w:r>
      <w:proofErr w:type="spellEnd"/>
      <w:r w:rsidRPr="008C052F">
        <w:rPr>
          <w:rFonts w:ascii="Times New Roman" w:hAnsi="Times New Roman" w:cs="Times New Roman"/>
        </w:rPr>
        <w:t xml:space="preserve">, under Odisha University of Agriculture and Technology (OUAT) in Kalahandi district of Odisha. The experiment was conducted over three consecutive years to ensure reliability and consistency of results. The local cultivars were well adapted to the native </w:t>
      </w:r>
      <w:proofErr w:type="spellStart"/>
      <w:r w:rsidRPr="008C052F">
        <w:rPr>
          <w:rFonts w:ascii="Times New Roman" w:hAnsi="Times New Roman" w:cs="Times New Roman"/>
        </w:rPr>
        <w:t>agro</w:t>
      </w:r>
      <w:proofErr w:type="spellEnd"/>
      <w:r w:rsidRPr="008C052F">
        <w:rPr>
          <w:rFonts w:ascii="Times New Roman" w:hAnsi="Times New Roman" w:cs="Times New Roman"/>
        </w:rPr>
        <w:t xml:space="preserve">-climatic conditions and performed significantly better than the released varieties under the prevailing environmental situation. Though the yield of these cultivars fluctuated each year with changes in sowing dates and temperature variations, certain cultivars consistently showed superior performance. Among them, </w:t>
      </w:r>
      <w:proofErr w:type="spellStart"/>
      <w:r w:rsidRPr="008C052F">
        <w:rPr>
          <w:rFonts w:ascii="Times New Roman" w:hAnsi="Times New Roman" w:cs="Times New Roman"/>
        </w:rPr>
        <w:t>Khara</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Kala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and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were found to be the most promising for both yield potential and disease tolerance in this zone. Cultivars exhibiting tolerance to YMV and powdery mildew diseases recorded considerably higher yields compared to the susceptible ones, indicating a strong correlation between disease resistance and productivity. In particular, the local cultivar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showed no incidence of either powdery mildew or YMV during all three experimental years. Hence, this genotype can serve as a valuable parent line in breeding programs aimed at improving both disease resistance and yield potential of </w:t>
      </w:r>
      <w:proofErr w:type="spellStart"/>
      <w:r w:rsidRPr="008C052F">
        <w:rPr>
          <w:rFonts w:ascii="Times New Roman" w:hAnsi="Times New Roman" w:cs="Times New Roman"/>
        </w:rPr>
        <w:t>greengram</w:t>
      </w:r>
      <w:proofErr w:type="spellEnd"/>
      <w:r w:rsidRPr="008C052F">
        <w:rPr>
          <w:rFonts w:ascii="Times New Roman" w:hAnsi="Times New Roman" w:cs="Times New Roman"/>
        </w:rPr>
        <w:t xml:space="preserve"> for sustainable cultivation under Western Undulating Zone conditions of Odisha.</w:t>
      </w:r>
    </w:p>
    <w:p w14:paraId="6B64EB04" w14:textId="77777777" w:rsidR="00FF5EA7" w:rsidRPr="008C052F" w:rsidRDefault="00572476" w:rsidP="00EA06A5">
      <w:pPr>
        <w:jc w:val="both"/>
        <w:rPr>
          <w:rFonts w:ascii="Times New Roman" w:hAnsi="Times New Roman" w:cs="Times New Roman"/>
        </w:rPr>
      </w:pPr>
      <w:r w:rsidRPr="008C052F">
        <w:rPr>
          <w:rFonts w:ascii="Times New Roman" w:hAnsi="Times New Roman" w:cs="Times New Roman"/>
          <w:b/>
        </w:rPr>
        <w:t>Keywords</w:t>
      </w:r>
      <w:r w:rsidR="00837C5E" w:rsidRPr="008C052F">
        <w:rPr>
          <w:rFonts w:ascii="Times New Roman" w:hAnsi="Times New Roman" w:cs="Times New Roman"/>
        </w:rPr>
        <w:t xml:space="preserve">: </w:t>
      </w:r>
      <w:r w:rsidR="00FF5EA7" w:rsidRPr="008C052F">
        <w:rPr>
          <w:rFonts w:ascii="Times New Roman" w:hAnsi="Times New Roman" w:cs="Times New Roman"/>
        </w:rPr>
        <w:t xml:space="preserve">cultivars, yield, tolerance, adaptation, diseases, </w:t>
      </w:r>
      <w:r w:rsidR="00FF5EA7" w:rsidRPr="008C052F">
        <w:rPr>
          <w:rFonts w:ascii="Times New Roman" w:hAnsi="Times New Roman" w:cs="Times New Roman"/>
          <w:i/>
          <w:iCs/>
        </w:rPr>
        <w:t>Vigna radiata</w:t>
      </w:r>
      <w:r w:rsidR="00FF5EA7" w:rsidRPr="008C052F">
        <w:rPr>
          <w:rFonts w:ascii="Times New Roman" w:hAnsi="Times New Roman" w:cs="Times New Roman"/>
        </w:rPr>
        <w:t>, breeding</w:t>
      </w:r>
    </w:p>
    <w:p w14:paraId="1998EE3E" w14:textId="77777777" w:rsidR="007C1265" w:rsidRPr="008C052F" w:rsidRDefault="007C1265" w:rsidP="008C052F">
      <w:pPr>
        <w:pStyle w:val="ListParagraph"/>
        <w:numPr>
          <w:ilvl w:val="0"/>
          <w:numId w:val="6"/>
        </w:numPr>
        <w:jc w:val="both"/>
        <w:rPr>
          <w:rFonts w:ascii="Times New Roman" w:hAnsi="Times New Roman" w:cs="Times New Roman"/>
          <w:b/>
        </w:rPr>
      </w:pPr>
      <w:r w:rsidRPr="008C052F">
        <w:rPr>
          <w:rFonts w:ascii="Times New Roman" w:hAnsi="Times New Roman" w:cs="Times New Roman"/>
          <w:b/>
        </w:rPr>
        <w:t>Introduction</w:t>
      </w:r>
    </w:p>
    <w:p w14:paraId="1AF888AF" w14:textId="77777777" w:rsidR="00FF5EA7" w:rsidRPr="008C052F" w:rsidRDefault="00FF5EA7" w:rsidP="00FF5EA7">
      <w:pPr>
        <w:jc w:val="both"/>
        <w:rPr>
          <w:rFonts w:ascii="Times New Roman" w:hAnsi="Times New Roman" w:cs="Times New Roman"/>
          <w:lang w:val="en-IN"/>
        </w:rPr>
      </w:pPr>
      <w:r w:rsidRPr="008C052F">
        <w:rPr>
          <w:rFonts w:ascii="Times New Roman" w:hAnsi="Times New Roman" w:cs="Times New Roman"/>
          <w:lang w:val="en-IN"/>
        </w:rPr>
        <w:t xml:space="preserve">India stands as the world’s largest producer and consumer of pulses, contributing significantly to global pulse acreage and production. Pulses form an integral part of the Indian diet, serving as a primary source of plant-based protein, especially for vegetarian populations. Among them,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L. Wilczek) occupies a prominent place due to its short growth duration, adaptability to diverse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 xml:space="preserve">-ecological conditions, and high nutritional value. The crop is rich in protein (22–25%), essential amino acids, vitamins, and minerals, making it vital for nutritional security. In the state of Odisha, particularly in the Kalahandi district,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is widespread across the western undulating zone, characterized by fertile organic soils, moderate rainfall, and </w:t>
      </w:r>
      <w:proofErr w:type="spellStart"/>
      <w:r w:rsidRPr="008C052F">
        <w:rPr>
          <w:rFonts w:ascii="Times New Roman" w:hAnsi="Times New Roman" w:cs="Times New Roman"/>
          <w:lang w:val="en-IN"/>
        </w:rPr>
        <w:t>favorable</w:t>
      </w:r>
      <w:proofErr w:type="spellEnd"/>
      <w:r w:rsidRPr="008C052F">
        <w:rPr>
          <w:rFonts w:ascii="Times New Roman" w:hAnsi="Times New Roman" w:cs="Times New Roman"/>
          <w:lang w:val="en-IN"/>
        </w:rPr>
        <w:t xml:space="preserve"> winter temperatures. Here,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is typically cultivated as a rainfed rabi crop, following paddy in the cropping sequence. The region contributes substantially to pulse production, ranking as the second-highest pulse-producing district in Odisha.</w:t>
      </w:r>
    </w:p>
    <w:p w14:paraId="4BA051FA" w14:textId="77777777" w:rsidR="00FF5EA7" w:rsidRPr="008C052F" w:rsidRDefault="00FF5EA7" w:rsidP="00FF5EA7">
      <w:pPr>
        <w:jc w:val="both"/>
        <w:rPr>
          <w:rFonts w:ascii="Times New Roman" w:hAnsi="Times New Roman" w:cs="Times New Roman"/>
          <w:lang w:val="en-IN"/>
        </w:rPr>
      </w:pPr>
      <w:r w:rsidRPr="008C052F">
        <w:rPr>
          <w:rFonts w:ascii="Times New Roman" w:hAnsi="Times New Roman" w:cs="Times New Roman"/>
          <w:lang w:val="en-IN"/>
        </w:rPr>
        <w:t xml:space="preserve">Despite its importance, India remains a net importer of pulses to meet the growing domestic demand, highlighting the urgent need to enhance productivity and sustainability in pulse cultivation systems. While the area under pulses has expanded steadily, the productivity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remains low, averaging between 500–600 kg/ha, which is far below its potential yield of 1.5–2.0 t/ha under optimal conditions. This productivity gap can be attributed to several biotic and abiotic stress factors, coupled with suboptimal agronomic management and limited access to improved cultivars. The major yield constraints </w:t>
      </w:r>
      <w:r w:rsidRPr="008C052F">
        <w:rPr>
          <w:rFonts w:ascii="Times New Roman" w:hAnsi="Times New Roman" w:cs="Times New Roman"/>
          <w:lang w:val="en-IN"/>
        </w:rPr>
        <w:lastRenderedPageBreak/>
        <w:t>include Yellow Mosaic Virus (YMV) disease, powdery mildew, drought stress, and the effects of erratic climate patterns.</w:t>
      </w:r>
    </w:p>
    <w:p w14:paraId="6075CAB2" w14:textId="77777777" w:rsidR="00FF5EA7" w:rsidRPr="008C052F" w:rsidRDefault="00FF5EA7" w:rsidP="00FF5EA7">
      <w:pPr>
        <w:jc w:val="both"/>
        <w:rPr>
          <w:rFonts w:ascii="Times New Roman" w:hAnsi="Times New Roman" w:cs="Times New Roman"/>
          <w:lang w:val="en-IN"/>
        </w:rPr>
      </w:pP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holds a strategic position in Odisha’s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 xml:space="preserve">-ecosystem sustainability due to its ability to fix atmospheric nitrogen through symbiotic association with </w:t>
      </w:r>
      <w:r w:rsidRPr="008C052F">
        <w:rPr>
          <w:rFonts w:ascii="Times New Roman" w:hAnsi="Times New Roman" w:cs="Times New Roman"/>
          <w:i/>
          <w:iCs/>
          <w:lang w:val="en-IN"/>
        </w:rPr>
        <w:t>Rhizobium</w:t>
      </w:r>
      <w:r w:rsidRPr="008C052F">
        <w:rPr>
          <w:rFonts w:ascii="Times New Roman" w:hAnsi="Times New Roman" w:cs="Times New Roman"/>
          <w:lang w:val="en-IN"/>
        </w:rPr>
        <w:t xml:space="preserve"> species. The inclusion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in crop rotations, particularly after rice, not only enhances soil fertility and structure but also interrupts pest and disease cycles, thus improving the overall resilience of the farming system. The crop’s deep root system allows it to extract moisture from deeper soil layers, making it an excellent choice for rabi season cultivation in low-rainfall areas. Additionally, its role in maintaining microbial diversity and promoting soil health has been well documented (Weinberger, 2003). However, climatic sensitivity remains a major limitation, as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requires a warm and moderately dry environment during its life </w:t>
      </w:r>
      <w:proofErr w:type="gramStart"/>
      <w:r w:rsidRPr="008C052F">
        <w:rPr>
          <w:rFonts w:ascii="Times New Roman" w:hAnsi="Times New Roman" w:cs="Times New Roman"/>
          <w:lang w:val="en-IN"/>
        </w:rPr>
        <w:t>cycle</w:t>
      </w:r>
      <w:r w:rsidR="007212AC" w:rsidRPr="007212AC">
        <w:rPr>
          <w:rFonts w:ascii="Times New Roman" w:hAnsi="Times New Roman" w:cs="Times New Roman"/>
        </w:rPr>
        <w:t xml:space="preserve">( </w:t>
      </w:r>
      <w:r w:rsidR="007212AC" w:rsidRPr="007212AC">
        <w:rPr>
          <w:rFonts w:ascii="Times New Roman" w:hAnsi="Times New Roman" w:cs="Times New Roman"/>
          <w:i/>
          <w:iCs/>
        </w:rPr>
        <w:t>Abbas</w:t>
      </w:r>
      <w:proofErr w:type="gramEnd"/>
      <w:r w:rsidR="007212AC" w:rsidRPr="007212AC">
        <w:rPr>
          <w:rFonts w:ascii="Times New Roman" w:hAnsi="Times New Roman" w:cs="Times New Roman"/>
          <w:i/>
          <w:iCs/>
        </w:rPr>
        <w:t xml:space="preserve"> et al.,</w:t>
      </w:r>
      <w:r w:rsidR="007212AC" w:rsidRPr="007212AC">
        <w:rPr>
          <w:rFonts w:ascii="Times New Roman" w:hAnsi="Times New Roman" w:cs="Times New Roman"/>
        </w:rPr>
        <w:t xml:space="preserve"> 2018).</w:t>
      </w:r>
      <w:r w:rsidRPr="008C052F">
        <w:rPr>
          <w:rFonts w:ascii="Times New Roman" w:hAnsi="Times New Roman" w:cs="Times New Roman"/>
          <w:lang w:val="en-IN"/>
        </w:rPr>
        <w:t xml:space="preserve">. Ideal soils for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are sandy loam to loam, well-drained, and rich in organic matter. Alkaline or poorly drained soils drastically reduce germination, growth, and yield potential. The crop thrives best at temperatures ranging from 25°C to 35°C, and any deviation, such as low night temperatures or unexpected rainfall during flowering, can lead to flower drop and poor pod set. Such sensitivity to environmental fluctuations often discourages farmers from adopting improved varieties, leading them instead to rely on local cultivars that have evolved under native climatic pressures. These landraces are typically more adapted to the microclimatic conditions of their specific regions, offering stable yields even under stress situations (</w:t>
      </w:r>
      <w:proofErr w:type="spellStart"/>
      <w:r w:rsidR="00527AE5">
        <w:rPr>
          <w:rFonts w:ascii="Times New Roman" w:hAnsi="Times New Roman" w:cs="Times New Roman"/>
          <w:lang w:val="en-IN"/>
        </w:rPr>
        <w:t>Akthar</w:t>
      </w:r>
      <w:r w:rsidR="002D0916" w:rsidRPr="002D0916">
        <w:rPr>
          <w:rFonts w:ascii="Times New Roman" w:hAnsi="Times New Roman" w:cs="Times New Roman"/>
          <w:i/>
          <w:iCs/>
          <w:lang w:val="en-IN"/>
        </w:rPr>
        <w:t>et</w:t>
      </w:r>
      <w:proofErr w:type="spellEnd"/>
      <w:r w:rsidR="002D0916" w:rsidRPr="002D0916">
        <w:rPr>
          <w:rFonts w:ascii="Times New Roman" w:hAnsi="Times New Roman" w:cs="Times New Roman"/>
          <w:i/>
          <w:iCs/>
          <w:lang w:val="en-IN"/>
        </w:rPr>
        <w:t xml:space="preserve"> al</w:t>
      </w:r>
      <w:r w:rsidRPr="008C052F">
        <w:rPr>
          <w:rFonts w:ascii="Times New Roman" w:hAnsi="Times New Roman" w:cs="Times New Roman"/>
          <w:lang w:val="en-IN"/>
        </w:rPr>
        <w:t xml:space="preserve">., 2016). However, one of the most destructive diseases threatening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production across India is Yellow Mosaic Disease (YMD), caused by </w:t>
      </w:r>
      <w:proofErr w:type="spellStart"/>
      <w:r w:rsidRPr="008C052F">
        <w:rPr>
          <w:rFonts w:ascii="Times New Roman" w:hAnsi="Times New Roman" w:cs="Times New Roman"/>
          <w:lang w:val="en-IN"/>
        </w:rPr>
        <w:t>Mungbean</w:t>
      </w:r>
      <w:proofErr w:type="spellEnd"/>
      <w:r w:rsidRPr="008C052F">
        <w:rPr>
          <w:rFonts w:ascii="Times New Roman" w:hAnsi="Times New Roman" w:cs="Times New Roman"/>
          <w:lang w:val="en-IN"/>
        </w:rPr>
        <w:t xml:space="preserve"> Yellow Mosaic Virus (MYMV) and transmitted by the whitefly (</w:t>
      </w:r>
      <w:proofErr w:type="spellStart"/>
      <w:r w:rsidRPr="008C052F">
        <w:rPr>
          <w:rFonts w:ascii="Times New Roman" w:hAnsi="Times New Roman" w:cs="Times New Roman"/>
          <w:i/>
          <w:iCs/>
          <w:lang w:val="en-IN"/>
        </w:rPr>
        <w:t>Bemisia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tabaci</w:t>
      </w:r>
      <w:proofErr w:type="spellEnd"/>
      <w:r w:rsidRPr="008C052F">
        <w:rPr>
          <w:rFonts w:ascii="Times New Roman" w:hAnsi="Times New Roman" w:cs="Times New Roman"/>
          <w:lang w:val="en-IN"/>
        </w:rPr>
        <w:t xml:space="preserve">). The disease manifests initially as small yellow patches on young leaves that expand into a characteristic mosaic pattern of alternating green and yellow areas. Infected plants exhibit stunted growth, reduced leaf area, fewer flowers and pods, and ultimately substantial yield losses that may range from 10% to complete crop failure depending on the stage of infection (Bashir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2006). The disease is particularly prevalent under warm, humid conditions with high whitefly populations. In recent years, changing climatic patterns, including warmer winters and altered rainfall distribution, have contributed to extended whitefly activity, further intensifying the YMV epidemic (Bharadwaj &amp; Kalita, 2023).</w:t>
      </w:r>
    </w:p>
    <w:p w14:paraId="21EDF791" w14:textId="77777777" w:rsidR="00FF5EA7" w:rsidRPr="008C052F" w:rsidRDefault="00FF5EA7" w:rsidP="00FF5EA7">
      <w:pPr>
        <w:jc w:val="both"/>
        <w:rPr>
          <w:rFonts w:ascii="Times New Roman" w:hAnsi="Times New Roman" w:cs="Times New Roman"/>
          <w:lang w:val="en-IN"/>
        </w:rPr>
      </w:pPr>
      <w:r w:rsidRPr="008C052F">
        <w:rPr>
          <w:rFonts w:ascii="Times New Roman" w:hAnsi="Times New Roman" w:cs="Times New Roman"/>
          <w:lang w:val="en-IN"/>
        </w:rPr>
        <w:t xml:space="preserve">Powdery mildew, caused by </w:t>
      </w:r>
      <w:r w:rsidRPr="008C052F">
        <w:rPr>
          <w:rFonts w:ascii="Times New Roman" w:hAnsi="Times New Roman" w:cs="Times New Roman"/>
          <w:i/>
          <w:iCs/>
          <w:lang w:val="en-IN"/>
        </w:rPr>
        <w:t xml:space="preserve">Erysiphe </w:t>
      </w:r>
      <w:proofErr w:type="spellStart"/>
      <w:r w:rsidRPr="008C052F">
        <w:rPr>
          <w:rFonts w:ascii="Times New Roman" w:hAnsi="Times New Roman" w:cs="Times New Roman"/>
          <w:i/>
          <w:iCs/>
          <w:lang w:val="en-IN"/>
        </w:rPr>
        <w:t>polygoni</w:t>
      </w:r>
      <w:proofErr w:type="spellEnd"/>
      <w:r w:rsidRPr="008C052F">
        <w:rPr>
          <w:rFonts w:ascii="Times New Roman" w:hAnsi="Times New Roman" w:cs="Times New Roman"/>
          <w:lang w:val="en-IN"/>
        </w:rPr>
        <w:t xml:space="preserve">, is another serious fungal disease affecting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especially under cool (22–30°C), cloudy, and humid weather. The disease is easily recognizable by white powdery patches on the leaf surface, leading to chlorosis, premature defoliation, and significant yield reduction. Since these two diseases—YMV and powdery mildew—often occur simultaneously under </w:t>
      </w:r>
      <w:proofErr w:type="spellStart"/>
      <w:r w:rsidRPr="008C052F">
        <w:rPr>
          <w:rFonts w:ascii="Times New Roman" w:hAnsi="Times New Roman" w:cs="Times New Roman"/>
          <w:lang w:val="en-IN"/>
        </w:rPr>
        <w:t>favorable</w:t>
      </w:r>
      <w:proofErr w:type="spellEnd"/>
      <w:r w:rsidRPr="008C052F">
        <w:rPr>
          <w:rFonts w:ascii="Times New Roman" w:hAnsi="Times New Roman" w:cs="Times New Roman"/>
          <w:lang w:val="en-IN"/>
        </w:rPr>
        <w:t xml:space="preserve"> environmental conditions, managing them effectively requires integrated resistance breeding approaches. The traditional use of fungicides or vector control measures offers limited and unsustainable relief. Hence, the development and deployment of resistant cultivars remain the most efficient and eco-friendly solution to safeguard productivity. Recent advances in molecular breeding and genomics have revolutionized the screening and improvement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for disease resistance. Studies have demonstrated that molecular markers, such as SSRs and NBS-LRR genes, can efficiently identify resistance loci associated with YMV tolerance (Thakur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Similarly, marker-assisted selection and cross-species gene introgression from wild relatives such as </w:t>
      </w:r>
      <w:r w:rsidRPr="008C052F">
        <w:rPr>
          <w:rFonts w:ascii="Times New Roman" w:hAnsi="Times New Roman" w:cs="Times New Roman"/>
          <w:i/>
          <w:iCs/>
          <w:lang w:val="en-IN"/>
        </w:rPr>
        <w:t xml:space="preserve">Vigna </w:t>
      </w:r>
      <w:proofErr w:type="spellStart"/>
      <w:r w:rsidRPr="008C052F">
        <w:rPr>
          <w:rFonts w:ascii="Times New Roman" w:hAnsi="Times New Roman" w:cs="Times New Roman"/>
          <w:i/>
          <w:iCs/>
          <w:lang w:val="en-IN"/>
        </w:rPr>
        <w:t>umbellata</w:t>
      </w:r>
      <w:proofErr w:type="spellEnd"/>
      <w:r w:rsidRPr="008C052F">
        <w:rPr>
          <w:rFonts w:ascii="Times New Roman" w:hAnsi="Times New Roman" w:cs="Times New Roman"/>
          <w:lang w:val="en-IN"/>
        </w:rPr>
        <w:t xml:space="preserve"> have provided new sources of durable resistance (Pandiyan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2020). The incorporation of these advanced tools enables breeders to identify resistant genotypes early in the selection process, thereby accelerating varietal development. Moreover, comprehensive genome-wide association studies have recently identified multiple quantitative trait loci (QTLs) linked to both yield and YMV resistance, offering valuable insights </w:t>
      </w:r>
      <w:r w:rsidRPr="008C052F">
        <w:rPr>
          <w:rFonts w:ascii="Times New Roman" w:hAnsi="Times New Roman" w:cs="Times New Roman"/>
          <w:lang w:val="en-IN"/>
        </w:rPr>
        <w:lastRenderedPageBreak/>
        <w:t>for marker-assisted breeding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These efforts have been complemented by the development of infectious viral clones and recombinant inbred lines (RILs) that help researchers evaluate host-pathogen interactions under controlled conditions (Kumari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Such breakthroughs have paved the way for precision breeding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cultivars capable of withstanding viral and fungal pressures under a changing climate. The climate–disease interaction has emerged as a key area of research, as varying sowing dates and temperature regimes directly influence the incidence of YMV and powdery mildew. Field-based observations confirm that early sowing during December, when temperature and whitefly populations are moderate, minimizes infection rates and ensures higher yields (Bharadwaj &amp; Kalita, 2023). In contrast, delayed sowing exposes plants to cooler temperatures and higher relative humidity, increasing susceptibility to both diseases. Thus, optimizing sowing time, in combination with genetic resistance, constitutes a critical strategy for sustaining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productivity in the face of climate uncertainty. In Odisha’s western undulating zone, a rich repository of local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landraces exists, shaped by decades of natural and farmer-mediated selection. These cultivars, including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possess unique adaptive traits and show potential tolerance to YMV and powdery mildew. Documenting and evaluating such genetic diversity under field conditions is essential for identifying superior genotypes that combine high yield potential with stress resilience. The exploitation of local genetic resources not only supports regional breeding efforts but also preserves valuable germplasm for future crop improvement programs (Singh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Therefore, the present study was undertaken to screen and evaluate 16 genotypes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including 14 local cultivars and two released varieties, for their yield performance and tolerance to Yellow Mosaic Virus and powdery mildew under the Western Undulating Zone of Odisha. The study aimed to identify promising local cultivars that can serve as breeding materials for resistance improvement programs. Additionally, it sought to assess the impact of sowing time and climatic variation on yield performance and disease incidence, contributing valuable insights for sustainable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and resilience building under Odisha’s changing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-climatic conditions.</w:t>
      </w:r>
    </w:p>
    <w:p w14:paraId="413F348A" w14:textId="77777777" w:rsidR="00FF5EA7" w:rsidRPr="008C052F" w:rsidRDefault="00FF5EA7" w:rsidP="00EA06A5">
      <w:pPr>
        <w:jc w:val="both"/>
        <w:rPr>
          <w:rFonts w:ascii="Times New Roman" w:hAnsi="Times New Roman" w:cs="Times New Roman"/>
        </w:rPr>
      </w:pPr>
    </w:p>
    <w:p w14:paraId="30CF7B2F" w14:textId="77777777" w:rsidR="005B2AF5" w:rsidRPr="008C052F" w:rsidRDefault="005B2AF5" w:rsidP="008C052F">
      <w:pPr>
        <w:pStyle w:val="ListParagraph"/>
        <w:numPr>
          <w:ilvl w:val="0"/>
          <w:numId w:val="6"/>
        </w:numPr>
        <w:jc w:val="both"/>
        <w:rPr>
          <w:rFonts w:ascii="Times New Roman" w:hAnsi="Times New Roman" w:cs="Times New Roman"/>
          <w:b/>
          <w:sz w:val="28"/>
          <w:szCs w:val="28"/>
        </w:rPr>
      </w:pPr>
      <w:r w:rsidRPr="008C052F">
        <w:rPr>
          <w:rFonts w:ascii="Times New Roman" w:hAnsi="Times New Roman" w:cs="Times New Roman"/>
          <w:b/>
          <w:sz w:val="28"/>
          <w:szCs w:val="28"/>
        </w:rPr>
        <w:t>Materials and Methods</w:t>
      </w:r>
    </w:p>
    <w:p w14:paraId="22B586E1" w14:textId="77777777" w:rsidR="005B2AF5" w:rsidRPr="008C052F" w:rsidRDefault="008C052F" w:rsidP="005B2AF5">
      <w:pPr>
        <w:jc w:val="both"/>
        <w:rPr>
          <w:rFonts w:ascii="Times New Roman" w:hAnsi="Times New Roman" w:cs="Times New Roman"/>
          <w:b/>
          <w:sz w:val="26"/>
          <w:szCs w:val="26"/>
        </w:rPr>
      </w:pPr>
      <w:r>
        <w:rPr>
          <w:rFonts w:ascii="Times New Roman" w:hAnsi="Times New Roman" w:cs="Times New Roman"/>
          <w:b/>
          <w:sz w:val="26"/>
          <w:szCs w:val="26"/>
        </w:rPr>
        <w:t xml:space="preserve">2.1 </w:t>
      </w:r>
      <w:r w:rsidR="005B2AF5" w:rsidRPr="008C052F">
        <w:rPr>
          <w:rFonts w:ascii="Times New Roman" w:hAnsi="Times New Roman" w:cs="Times New Roman"/>
          <w:b/>
          <w:sz w:val="26"/>
          <w:szCs w:val="26"/>
        </w:rPr>
        <w:t>Plant Material and Experimental Details</w:t>
      </w:r>
    </w:p>
    <w:p w14:paraId="2904202F"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present field investigation was carried out to evaluate the performance of sixteen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(Vigna radiata L. Wilczek) genotypes for their yield potential and tolerance to major diseases, namely Yellow Mosaic Virus (YMV) and powdery mildew, under the Western Undulating Zone of Odisha. The experimental materials comprised fourteen local landraces collected from diverse </w:t>
      </w:r>
      <w:proofErr w:type="spellStart"/>
      <w:r w:rsidRPr="008C052F">
        <w:rPr>
          <w:rFonts w:ascii="Times New Roman" w:hAnsi="Times New Roman" w:cs="Times New Roman"/>
          <w:bCs/>
        </w:rPr>
        <w:t>agro</w:t>
      </w:r>
      <w:proofErr w:type="spellEnd"/>
      <w:r w:rsidRPr="008C052F">
        <w:rPr>
          <w:rFonts w:ascii="Times New Roman" w:hAnsi="Times New Roman" w:cs="Times New Roman"/>
          <w:bCs/>
        </w:rPr>
        <w:t xml:space="preserve">-ecological regions across Odisha and two released varieties obtained from the Centre for Pulses Research (CPR), Berhampur, under the Odisha University of Agriculture and Technology (OUAT). These genotypes represented the wide genetic variability and environmental adaptability of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within the state.  </w:t>
      </w:r>
    </w:p>
    <w:p w14:paraId="1E5378A1" w14:textId="77777777" w:rsidR="005B2AF5" w:rsidRPr="008C052F" w:rsidRDefault="005B2AF5" w:rsidP="005B2AF5">
      <w:pPr>
        <w:jc w:val="both"/>
        <w:rPr>
          <w:rFonts w:ascii="Times New Roman" w:hAnsi="Times New Roman" w:cs="Times New Roman"/>
          <w:bCs/>
        </w:rPr>
      </w:pPr>
    </w:p>
    <w:p w14:paraId="03476BE5"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Field experiments were conducted at the Regional Research and Technology Transfer Station (RRTTS), </w:t>
      </w:r>
      <w:proofErr w:type="spellStart"/>
      <w:r w:rsidRPr="008C052F">
        <w:rPr>
          <w:rFonts w:ascii="Times New Roman" w:hAnsi="Times New Roman" w:cs="Times New Roman"/>
          <w:bCs/>
        </w:rPr>
        <w:t>Bhawanipatna</w:t>
      </w:r>
      <w:proofErr w:type="spellEnd"/>
      <w:r w:rsidRPr="008C052F">
        <w:rPr>
          <w:rFonts w:ascii="Times New Roman" w:hAnsi="Times New Roman" w:cs="Times New Roman"/>
          <w:bCs/>
        </w:rPr>
        <w:t xml:space="preserve">, during the </w:t>
      </w:r>
      <w:proofErr w:type="spellStart"/>
      <w:r w:rsidRPr="008C052F">
        <w:rPr>
          <w:rFonts w:ascii="Times New Roman" w:hAnsi="Times New Roman" w:cs="Times New Roman"/>
          <w:bCs/>
        </w:rPr>
        <w:t>rabi</w:t>
      </w:r>
      <w:proofErr w:type="spellEnd"/>
      <w:r w:rsidRPr="008C052F">
        <w:rPr>
          <w:rFonts w:ascii="Times New Roman" w:hAnsi="Times New Roman" w:cs="Times New Roman"/>
          <w:bCs/>
        </w:rPr>
        <w:t xml:space="preserve"> seasons of 2016, 2017, and 2018. The experimental site falls under the western undulating </w:t>
      </w:r>
      <w:proofErr w:type="spellStart"/>
      <w:r w:rsidRPr="008C052F">
        <w:rPr>
          <w:rFonts w:ascii="Times New Roman" w:hAnsi="Times New Roman" w:cs="Times New Roman"/>
          <w:bCs/>
        </w:rPr>
        <w:t>agro</w:t>
      </w:r>
      <w:proofErr w:type="spellEnd"/>
      <w:r w:rsidRPr="008C052F">
        <w:rPr>
          <w:rFonts w:ascii="Times New Roman" w:hAnsi="Times New Roman" w:cs="Times New Roman"/>
          <w:bCs/>
        </w:rPr>
        <w:t xml:space="preserve">-climatic zone, characterized by moderately fertile loamy soils, with good drainage and an average annual rainfall of 1200–1400 mm. The rabi season is mostly dry, which </w:t>
      </w:r>
      <w:r w:rsidRPr="008C052F">
        <w:rPr>
          <w:rFonts w:ascii="Times New Roman" w:hAnsi="Times New Roman" w:cs="Times New Roman"/>
          <w:bCs/>
        </w:rPr>
        <w:lastRenderedPageBreak/>
        <w:t xml:space="preserve">minimizes confounding effects of excess moisture and allows for better evaluation of disease resistance under natural conditions.  The experimental design adopted was a Randomized Block Design (RBD) with three replications. Each genotype was sown in a plot measuring 7.5 m², maintaining a row spacing of 30 cm × 10 cm between plants. The chosen spacing ensured optimum plant population and minimized inter-plant competition for nutrients, light, and moisture, consistent with recommendations for mung bean cultivation under similar soil types (Pal </w:t>
      </w:r>
      <w:r w:rsidR="002D0916" w:rsidRPr="002D0916">
        <w:rPr>
          <w:rFonts w:ascii="Times New Roman" w:hAnsi="Times New Roman" w:cs="Times New Roman"/>
          <w:bCs/>
          <w:i/>
          <w:iCs/>
        </w:rPr>
        <w:t>et al</w:t>
      </w:r>
      <w:r w:rsidRPr="008C052F">
        <w:rPr>
          <w:rFonts w:ascii="Times New Roman" w:hAnsi="Times New Roman" w:cs="Times New Roman"/>
          <w:bCs/>
        </w:rPr>
        <w:t>., 2024). The experiment was laid out in an open field without supplemental irrigation, relying on residual soil moisture, which simulated realistic farmer-field conditions in the region.</w:t>
      </w:r>
    </w:p>
    <w:p w14:paraId="6602D488"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2.2 </w:t>
      </w:r>
      <w:r w:rsidR="005B2AF5" w:rsidRPr="008C052F">
        <w:rPr>
          <w:rFonts w:ascii="Times New Roman" w:hAnsi="Times New Roman" w:cs="Times New Roman"/>
          <w:b/>
        </w:rPr>
        <w:t>Soil and Environmental Conditions</w:t>
      </w:r>
    </w:p>
    <w:p w14:paraId="15A042EC"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experimental field was thoroughly prepared through ploughing and harrowing to obtain a fine tilth. The soil texture was sandy loam with neutral pH (6.8–7.2), moderate organic carbon (0.45%), available nitrogen (280 kg/ha), phosphorus (24 kg/ha), and potassium (180 kg/ha). Soil fertility was assessed prior to sowing using standard protocols of the Indian Council of Agricultural Research (ICAR). Weather parameters such as temperature, relative humidity, and rainfall were recorded throughout the cropping period using an automatic weather station located within the RRTTS campus. The average maximum temperature ranged between 27°C–31°C, while the minimum temperature varied between 14°C–18°C during the experimental period, conditions ideal for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growth and disease expression.</w:t>
      </w:r>
    </w:p>
    <w:p w14:paraId="4034163A"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2.3 </w:t>
      </w:r>
      <w:r w:rsidR="005B2AF5" w:rsidRPr="008C052F">
        <w:rPr>
          <w:rFonts w:ascii="Times New Roman" w:hAnsi="Times New Roman" w:cs="Times New Roman"/>
          <w:b/>
        </w:rPr>
        <w:t>Crop Establishment and Management Practices</w:t>
      </w:r>
    </w:p>
    <w:p w14:paraId="29457548"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Healthy, uniform seeds were selected from each genotype and treated with Rhizobium culture (specific to Vigna radiata) before sowing to enhance nodulation and biological nitrogen fixation. Sowing was done in the first week of December across the three years of experimentation. Each plot was hand-weeded </w:t>
      </w:r>
      <w:proofErr w:type="gramStart"/>
      <w:r w:rsidRPr="008C052F">
        <w:rPr>
          <w:rFonts w:ascii="Times New Roman" w:hAnsi="Times New Roman" w:cs="Times New Roman"/>
          <w:bCs/>
        </w:rPr>
        <w:t>twice  once</w:t>
      </w:r>
      <w:proofErr w:type="gramEnd"/>
      <w:r w:rsidRPr="008C052F">
        <w:rPr>
          <w:rFonts w:ascii="Times New Roman" w:hAnsi="Times New Roman" w:cs="Times New Roman"/>
          <w:bCs/>
        </w:rPr>
        <w:t xml:space="preserve"> at 20 days after sowing (DAS) and again at 40 DAS — to maintain a weed-free environment. No irrigation was provided during the crop period, simulating typical rainfed conditions of the </w:t>
      </w:r>
      <w:proofErr w:type="spellStart"/>
      <w:proofErr w:type="gramStart"/>
      <w:r w:rsidRPr="008C052F">
        <w:rPr>
          <w:rFonts w:ascii="Times New Roman" w:hAnsi="Times New Roman" w:cs="Times New Roman"/>
          <w:bCs/>
        </w:rPr>
        <w:t>zone.A</w:t>
      </w:r>
      <w:proofErr w:type="spellEnd"/>
      <w:proofErr w:type="gramEnd"/>
      <w:r w:rsidRPr="008C052F">
        <w:rPr>
          <w:rFonts w:ascii="Times New Roman" w:hAnsi="Times New Roman" w:cs="Times New Roman"/>
          <w:bCs/>
        </w:rPr>
        <w:t xml:space="preserve"> basal dose of 20 kg N, 40 kg P₂O₅, and 20 kg K₂O per hectare was applied uniformly to all plots as recommended for </w:t>
      </w:r>
      <w:proofErr w:type="spellStart"/>
      <w:r w:rsidRPr="008C052F">
        <w:rPr>
          <w:rFonts w:ascii="Times New Roman" w:hAnsi="Times New Roman" w:cs="Times New Roman"/>
          <w:bCs/>
        </w:rPr>
        <w:t>rabi</w:t>
      </w:r>
      <w:proofErr w:type="spellEnd"/>
      <w:r w:rsidRPr="008C052F">
        <w:rPr>
          <w:rFonts w:ascii="Times New Roman" w:hAnsi="Times New Roman" w:cs="Times New Roman"/>
          <w:bCs/>
        </w:rPr>
        <w:t xml:space="preserve">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Phosphorus application is particularly important in promoting root development and early flowering (Samim </w:t>
      </w:r>
      <w:r w:rsidR="002D0916" w:rsidRPr="002D0916">
        <w:rPr>
          <w:rFonts w:ascii="Times New Roman" w:hAnsi="Times New Roman" w:cs="Times New Roman"/>
          <w:bCs/>
          <w:i/>
          <w:iCs/>
        </w:rPr>
        <w:t>et al</w:t>
      </w:r>
      <w:r w:rsidRPr="008C052F">
        <w:rPr>
          <w:rFonts w:ascii="Times New Roman" w:hAnsi="Times New Roman" w:cs="Times New Roman"/>
          <w:bCs/>
        </w:rPr>
        <w:t>., 2024). Pest and disease management were done primarily through cultural methods. Chemical control was deliberately avoided to ensure natural disease incidence for screening resistance.</w:t>
      </w:r>
    </w:p>
    <w:p w14:paraId="68B10633"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2.4 </w:t>
      </w:r>
      <w:r w:rsidR="005B2AF5" w:rsidRPr="008C052F">
        <w:rPr>
          <w:rFonts w:ascii="Times New Roman" w:hAnsi="Times New Roman" w:cs="Times New Roman"/>
          <w:b/>
        </w:rPr>
        <w:t>Data Collection and Observations</w:t>
      </w:r>
    </w:p>
    <w:p w14:paraId="6A47B176"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Eight morpho-physiological and yield parameters were recorded to evaluate the genotypic performance:</w:t>
      </w:r>
    </w:p>
    <w:p w14:paraId="5B6FDB06"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1. Days to 50% flowering — counted as the number of days from sowing to when half the plants in a plot had at least one open flower.  </w:t>
      </w:r>
    </w:p>
    <w:p w14:paraId="6D32693E"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2. Days to maturity — number of days from sowing to the physiological maturity of the crop (pods turning black and hard).  </w:t>
      </w:r>
    </w:p>
    <w:p w14:paraId="41FC573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3. Plant height (cm) — measured from the base of the stem to the tip of the main shoot from ten randomly selected plants in each plot.  </w:t>
      </w:r>
    </w:p>
    <w:p w14:paraId="08AB0E8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4. Number of clusters per plant — counted from the same ten plants.  </w:t>
      </w:r>
    </w:p>
    <w:p w14:paraId="255955AB"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lastRenderedPageBreak/>
        <w:t xml:space="preserve">5. Number of pods per plant — obtained by averaging the total pods per plant from the sampled plants.  </w:t>
      </w:r>
    </w:p>
    <w:p w14:paraId="6F3847ED"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6. Number of seeds per pod — determined by randomly selecting ten pods per plant and calculating the mean.  </w:t>
      </w:r>
    </w:p>
    <w:p w14:paraId="5D2C41E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7. Hundred seed weight (g) — determined by weighing 100 mature seeds from each plot after sun-drying.  </w:t>
      </w:r>
    </w:p>
    <w:p w14:paraId="05E885CC"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8. Grain yield (kg/ha) — calculated by harvesting the central rows of each plot, converting the yield to kg/ha at 12% moisture content.</w:t>
      </w:r>
    </w:p>
    <w:p w14:paraId="44619EE7"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Each parameter was carefully recorded to capture both phenological and agronomic variability among genotypes. Recording multiple morpho-physiological traits ensured a comprehensive assessment of yield and adaptability (Desai &amp; Modi, 2023).</w:t>
      </w:r>
    </w:p>
    <w:p w14:paraId="7019DBCE"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2.5. </w:t>
      </w:r>
      <w:r w:rsidR="005B2AF5" w:rsidRPr="008C052F">
        <w:rPr>
          <w:rFonts w:ascii="Times New Roman" w:hAnsi="Times New Roman" w:cs="Times New Roman"/>
          <w:b/>
        </w:rPr>
        <w:t>Disease Observation and Assessment</w:t>
      </w:r>
    </w:p>
    <w:p w14:paraId="2B12708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Incidence of Yellow Mosaic Virus (YMV) and powdery mildew was recorded visually throughout the crop period at 15-day intervals. Observations were made on a plot basis, and disease severity was scored using standard rating scales:</w:t>
      </w:r>
    </w:p>
    <w:p w14:paraId="7D73230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 For YMV, disease severity was rated on a 1–9 scale, where “1” indicated no visible symptoms and “9” represented severe infection with complete yellowing and stunted plants.  </w:t>
      </w:r>
    </w:p>
    <w:p w14:paraId="4513FB1E"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For powdery mildew, a 0–5 scale was employed, with “0” denoting healthy leaves and “5” indicating leaves fully covered by white fungal mycelium.</w:t>
      </w:r>
    </w:p>
    <w:p w14:paraId="2A9588A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Percent Disease Index (PDI) was computed as:  </w:t>
      </w:r>
    </w:p>
    <w:p w14:paraId="45A7ADC8" w14:textId="77777777" w:rsidR="005B2AF5" w:rsidRPr="008C052F" w:rsidRDefault="005B2AF5" w:rsidP="005B2AF5">
      <w:pPr>
        <w:jc w:val="both"/>
        <w:rPr>
          <w:rFonts w:ascii="Times New Roman" w:hAnsi="Times New Roman" w:cs="Times New Roman"/>
          <w:b/>
        </w:rPr>
      </w:pPr>
      <w:r w:rsidRPr="008C052F">
        <w:rPr>
          <w:rFonts w:ascii="Times New Roman" w:hAnsi="Times New Roman" w:cs="Times New Roman"/>
          <w:b/>
        </w:rPr>
        <w:t>PDI = (Sum of all disease ratings / (Total number of plants observed × Maximum rating scale)) × 100</w:t>
      </w:r>
    </w:p>
    <w:p w14:paraId="4CC29FF5"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Genotypes showing ≤10% PDI were classified as resistant, those with 11–30% as moderately resistant, 31–50% as susceptible, and &gt;50% as highly susceptible. The incidence pattern of both diseases was correlated with environmental data (temperature, humidity, and sowing time) to understand their interaction effects.</w:t>
      </w:r>
    </w:p>
    <w:p w14:paraId="617F4CB9" w14:textId="77777777" w:rsidR="005B2AF5" w:rsidRPr="008C052F" w:rsidRDefault="005B2AF5" w:rsidP="005B2AF5">
      <w:pPr>
        <w:pStyle w:val="ListParagraph"/>
        <w:numPr>
          <w:ilvl w:val="1"/>
          <w:numId w:val="6"/>
        </w:numPr>
        <w:jc w:val="both"/>
        <w:rPr>
          <w:rFonts w:ascii="Times New Roman" w:hAnsi="Times New Roman" w:cs="Times New Roman"/>
          <w:b/>
        </w:rPr>
      </w:pPr>
      <w:r w:rsidRPr="008C052F">
        <w:rPr>
          <w:rFonts w:ascii="Times New Roman" w:hAnsi="Times New Roman" w:cs="Times New Roman"/>
          <w:b/>
        </w:rPr>
        <w:t>Statistical Analysis</w:t>
      </w:r>
    </w:p>
    <w:p w14:paraId="6BAF436D"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experimental data were subjected to Analysis of Variance (ANOVA) for a randomized block design as per the method of </w:t>
      </w:r>
      <w:proofErr w:type="spellStart"/>
      <w:r w:rsidRPr="008C052F">
        <w:rPr>
          <w:rFonts w:ascii="Times New Roman" w:hAnsi="Times New Roman" w:cs="Times New Roman"/>
          <w:bCs/>
        </w:rPr>
        <w:t>Panse</w:t>
      </w:r>
      <w:proofErr w:type="spellEnd"/>
      <w:r w:rsidRPr="008C052F">
        <w:rPr>
          <w:rFonts w:ascii="Times New Roman" w:hAnsi="Times New Roman" w:cs="Times New Roman"/>
          <w:bCs/>
        </w:rPr>
        <w:t xml:space="preserve"> and </w:t>
      </w:r>
      <w:proofErr w:type="spellStart"/>
      <w:r w:rsidRPr="008C052F">
        <w:rPr>
          <w:rFonts w:ascii="Times New Roman" w:hAnsi="Times New Roman" w:cs="Times New Roman"/>
          <w:bCs/>
        </w:rPr>
        <w:t>Sukhatme</w:t>
      </w:r>
      <w:proofErr w:type="spellEnd"/>
      <w:r w:rsidRPr="008C052F">
        <w:rPr>
          <w:rFonts w:ascii="Times New Roman" w:hAnsi="Times New Roman" w:cs="Times New Roman"/>
          <w:bCs/>
        </w:rPr>
        <w:t xml:space="preserve"> (1985). Statistical analyses were performed using OPSTAT and R statistical software (version 4.3.0) to determine the significance of differences among genotypes. The parameters calculated included mean, range, standard deviation (SD), standard error (SE), coefficient of variation (CV%), and critical difference (CD) at 5% significance level. These measures provided insights into the variability, reliability, and repeatability of the observed </w:t>
      </w:r>
      <w:proofErr w:type="spellStart"/>
      <w:proofErr w:type="gramStart"/>
      <w:r w:rsidRPr="008C052F">
        <w:rPr>
          <w:rFonts w:ascii="Times New Roman" w:hAnsi="Times New Roman" w:cs="Times New Roman"/>
          <w:bCs/>
        </w:rPr>
        <w:t>traits.Correlation</w:t>
      </w:r>
      <w:proofErr w:type="spellEnd"/>
      <w:proofErr w:type="gramEnd"/>
      <w:r w:rsidRPr="008C052F">
        <w:rPr>
          <w:rFonts w:ascii="Times New Roman" w:hAnsi="Times New Roman" w:cs="Times New Roman"/>
          <w:bCs/>
        </w:rPr>
        <w:t xml:space="preserve"> analysis was also performed to determine the relationships among yield components and disease tolerance traits. Traits exhibiting strong positive correlations with yield were considered as major selection indices for breeding programs.</w:t>
      </w:r>
    </w:p>
    <w:p w14:paraId="3DBA8DDB"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Experimental Rationale and Precision</w:t>
      </w:r>
    </w:p>
    <w:p w14:paraId="38E0DBB5"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lastRenderedPageBreak/>
        <w:t>The use of a Randomized Block Design (RBD) was crucial for minimizing experimental error arising from soil heterogeneity and micro-environmental variation across the field. Replication ensured reliability and statistical validity of the results. Each block represented a homogeneous environment where treatments (genotypes) were randomly assigned to avoid bias. The RBD approach is widely used for multi-genotypic evaluation trials and has been effectively employed in mung bean experiments to assess genotypic stability and yield performance (Yoseph, 2022).</w:t>
      </w:r>
    </w:p>
    <w:p w14:paraId="25597DBB"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Quality Control and Data Integrity</w:t>
      </w:r>
    </w:p>
    <w:p w14:paraId="753933A4" w14:textId="77777777" w:rsidR="008C052F" w:rsidRDefault="005B2AF5" w:rsidP="005B2AF5">
      <w:pPr>
        <w:jc w:val="both"/>
        <w:rPr>
          <w:rFonts w:ascii="Times New Roman" w:hAnsi="Times New Roman" w:cs="Times New Roman"/>
          <w:b/>
        </w:rPr>
      </w:pPr>
      <w:r w:rsidRPr="008C052F">
        <w:rPr>
          <w:rFonts w:ascii="Times New Roman" w:hAnsi="Times New Roman" w:cs="Times New Roman"/>
          <w:b/>
        </w:rPr>
        <w:t>To ensure data reliability, the following scientific protocols were maintained:</w:t>
      </w:r>
    </w:p>
    <w:p w14:paraId="2E7F0A13"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The same observer recorded phenological and disease data across all replications to minimize subjective variation.  </w:t>
      </w:r>
    </w:p>
    <w:p w14:paraId="5AB2392B"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Random sampling was used for all morphological traits to avoid edge effects.  </w:t>
      </w:r>
    </w:p>
    <w:p w14:paraId="0247FE4B"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Environmental data (temperature, humidity, and rainfall) were cross-validated with data from the Indian Meteorological Department (IMD) station in </w:t>
      </w:r>
      <w:proofErr w:type="spellStart"/>
      <w:r w:rsidRPr="008C052F">
        <w:rPr>
          <w:rFonts w:ascii="Times New Roman" w:hAnsi="Times New Roman" w:cs="Times New Roman"/>
          <w:bCs/>
        </w:rPr>
        <w:t>Bhawanipatna</w:t>
      </w:r>
      <w:proofErr w:type="spellEnd"/>
      <w:r w:rsidRPr="008C052F">
        <w:rPr>
          <w:rFonts w:ascii="Times New Roman" w:hAnsi="Times New Roman" w:cs="Times New Roman"/>
          <w:bCs/>
        </w:rPr>
        <w:t xml:space="preserve">.  </w:t>
      </w:r>
    </w:p>
    <w:p w14:paraId="1EF3244B" w14:textId="77777777" w:rsidR="005B2AF5" w:rsidRPr="008C052F" w:rsidRDefault="005B2AF5" w:rsidP="005B2AF5">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Outlier data were verified against field notes and removed only when clear observational or recording errors were identified.</w:t>
      </w:r>
    </w:p>
    <w:p w14:paraId="70C408B1"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Experimental Validation</w:t>
      </w:r>
    </w:p>
    <w:p w14:paraId="2B8E6F07"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The three-year data were pooled and analyzed for combined variance to estimate the genotype × year interaction effects. Stability of performance across years was determined by evaluating the coefficient of variation and regression slope, thereby identifying genotypes with consistent yield and disease resistance under variable climatic conditions. Such multi-year validation strengthens the reproducibility and external validity of field-based resistance screening experiments.</w:t>
      </w:r>
    </w:p>
    <w:p w14:paraId="12463BC8" w14:textId="77777777" w:rsidR="005B2AF5" w:rsidRPr="008C052F" w:rsidRDefault="005B2AF5" w:rsidP="00EA06A5">
      <w:pPr>
        <w:jc w:val="both"/>
        <w:rPr>
          <w:rFonts w:ascii="Times New Roman" w:hAnsi="Times New Roman" w:cs="Times New Roman"/>
          <w:b/>
        </w:rPr>
      </w:pPr>
    </w:p>
    <w:p w14:paraId="2B703223" w14:textId="77777777" w:rsidR="0052496A" w:rsidRPr="006D4B73" w:rsidRDefault="00120536" w:rsidP="0052496A">
      <w:pPr>
        <w:pStyle w:val="ListParagraph"/>
        <w:numPr>
          <w:ilvl w:val="0"/>
          <w:numId w:val="6"/>
        </w:numPr>
        <w:jc w:val="both"/>
        <w:rPr>
          <w:rFonts w:ascii="Times New Roman" w:hAnsi="Times New Roman" w:cs="Times New Roman"/>
          <w:b/>
          <w:bCs/>
          <w:sz w:val="28"/>
          <w:szCs w:val="28"/>
        </w:rPr>
      </w:pPr>
      <w:r w:rsidRPr="00A26DA7">
        <w:rPr>
          <w:rFonts w:ascii="Times New Roman" w:hAnsi="Times New Roman" w:cs="Times New Roman"/>
          <w:b/>
          <w:bCs/>
          <w:sz w:val="28"/>
          <w:szCs w:val="28"/>
        </w:rPr>
        <w:t>Results and Discussio</w:t>
      </w:r>
      <w:r w:rsidR="006D4B73">
        <w:rPr>
          <w:rFonts w:ascii="Times New Roman" w:hAnsi="Times New Roman" w:cs="Times New Roman"/>
          <w:b/>
          <w:bCs/>
          <w:sz w:val="28"/>
          <w:szCs w:val="28"/>
        </w:rPr>
        <w:t>ns</w:t>
      </w:r>
    </w:p>
    <w:p w14:paraId="0A403153" w14:textId="2948B0F9"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 Results</w:t>
      </w:r>
    </w:p>
    <w:p w14:paraId="5BB0F100"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3.1.1</w:t>
      </w:r>
      <w:r w:rsidR="008C052F" w:rsidRPr="008C052F">
        <w:rPr>
          <w:rFonts w:ascii="Times New Roman" w:hAnsi="Times New Roman" w:cs="Times New Roman"/>
          <w:b/>
          <w:bCs/>
          <w:lang w:val="en-IN"/>
        </w:rPr>
        <w:t>. Agronomic Performance and Phenological Traits</w:t>
      </w:r>
    </w:p>
    <w:p w14:paraId="2E1A8184"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evaluation of sixteen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L. Wilczek) genotypes, including fourteen local landraces and two released varieties, revealed significant variation for all morphological and yield-attributing traits across three consecutive years (2016–2018). The analysis of variance (ANOVA) showed highly significant differences (p &lt; 0.05) among genotypes for days to 50% flowering, plant height, clusters per plant, pods per plant, seeds per pod, hundred seed weight, and grain yield, confirming sufficient genetic diversity for selection and improvement.</w:t>
      </w:r>
    </w:p>
    <w:p w14:paraId="49E769BD"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mean days to 50% flowering ranged from 36 to 45 days, and days to maturity ranged from 63 to 75 days. Early flowering and early maturing genotypes, such as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are desirable for short-duration cropping systems and climate-resilient pulse production. These findings are consistent with earlier studies that emphasize early maturing genotypes as an adaptation to climate variability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4DD047C2"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lastRenderedPageBreak/>
        <w:t xml:space="preserve">Plant height varied from 28.5 cm in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xml:space="preserve"> to 45.7 cm in the released variety, indicating strong genotypic differences under similar management. Taller plants generally exhibited higher biomass but were not always associated with higher yields, as productivity also depended on pod density and disease resistance.</w:t>
      </w:r>
    </w:p>
    <w:p w14:paraId="4A5DBDFC"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number of clusters per plant ranged from 5.8 to 10.3, while the number of pods per plant ranged between 18.5 and 31.2. The genotype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recorded the highest mean number of pods per plant (31.2), which directly translated into higher yield performance. Similarly,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displayed superior pod-bearing ability and disease tolerance across years. The average number of seeds per pod ranged from 8.6 to 11.4, consistent with reports by (Desai &amp; Modi, 2023), who observed similar variation in </w:t>
      </w:r>
      <w:proofErr w:type="spellStart"/>
      <w:r w:rsidRPr="008C052F">
        <w:rPr>
          <w:rFonts w:ascii="Times New Roman" w:hAnsi="Times New Roman" w:cs="Times New Roman"/>
          <w:lang w:val="en-IN"/>
        </w:rPr>
        <w:t>mungbean</w:t>
      </w:r>
      <w:proofErr w:type="spellEnd"/>
      <w:r w:rsidRPr="008C052F">
        <w:rPr>
          <w:rFonts w:ascii="Times New Roman" w:hAnsi="Times New Roman" w:cs="Times New Roman"/>
          <w:lang w:val="en-IN"/>
        </w:rPr>
        <w:t xml:space="preserve"> germplasm.</w:t>
      </w:r>
    </w:p>
    <w:p w14:paraId="094E4497"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2. Yield and Yield Components</w:t>
      </w:r>
    </w:p>
    <w:p w14:paraId="1AAA18BE"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The grain yield per hectare ranged between 520 kg/ha (susceptible cultivar) and 890 kg/ha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xml:space="preserve">) across the study period. Genotypes with combined disease resistance and optimal phenological balance achieved the highest productivity. Local landraces consistently outperformed released varieties under the same environmental conditions, highlighting their superior adaptation to the native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-climate.</w:t>
      </w:r>
    </w:p>
    <w:p w14:paraId="0A83FA3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Among the tested genotypes,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xml:space="preserve"> produced the highest mean yield (870–890 kg/ha), followed closely by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(845 kg/ha)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(815 kg/ha). The released varieties recorded comparatively lower yields (around 600 kg/ha). The higher yield of local genotypes may be attributed to their better synchronization of reproductive development and higher resistance to YMV and powdery mildew. These findings align with prior evidence suggesting that landraces adapted to local environments often outperform improved cultivars under stress-prone conditions (Priya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w:t>
      </w:r>
      <w:proofErr w:type="gramStart"/>
      <w:r w:rsidRPr="008C052F">
        <w:rPr>
          <w:rFonts w:ascii="Times New Roman" w:hAnsi="Times New Roman" w:cs="Times New Roman"/>
          <w:lang w:val="en-IN"/>
        </w:rPr>
        <w:t>).</w:t>
      </w:r>
      <w:r w:rsidR="006D4B73" w:rsidRPr="006D4B73">
        <w:rPr>
          <w:rFonts w:ascii="Times New Roman" w:hAnsi="Times New Roman" w:cs="Times New Roman"/>
        </w:rPr>
        <w:t>The</w:t>
      </w:r>
      <w:proofErr w:type="gramEnd"/>
      <w:r w:rsidR="006D4B73" w:rsidRPr="006D4B73">
        <w:rPr>
          <w:rFonts w:ascii="Times New Roman" w:hAnsi="Times New Roman" w:cs="Times New Roman"/>
        </w:rPr>
        <w:t xml:space="preserve"> detailed agronomic and yield performance of all sixteen </w:t>
      </w:r>
      <w:proofErr w:type="spellStart"/>
      <w:r w:rsidR="006D4B73" w:rsidRPr="006D4B73">
        <w:rPr>
          <w:rFonts w:ascii="Times New Roman" w:hAnsi="Times New Roman" w:cs="Times New Roman"/>
        </w:rPr>
        <w:t>greengram</w:t>
      </w:r>
      <w:proofErr w:type="spellEnd"/>
      <w:r w:rsidR="006D4B73" w:rsidRPr="006D4B73">
        <w:rPr>
          <w:rFonts w:ascii="Times New Roman" w:hAnsi="Times New Roman" w:cs="Times New Roman"/>
        </w:rPr>
        <w:t xml:space="preserve"> genotypes across the three experimental years is presented in </w:t>
      </w:r>
      <w:r w:rsidR="006D4B73" w:rsidRPr="006D4B73">
        <w:rPr>
          <w:rFonts w:ascii="Times New Roman" w:hAnsi="Times New Roman" w:cs="Times New Roman"/>
          <w:b/>
          <w:bCs/>
        </w:rPr>
        <w:t>Table 1</w:t>
      </w:r>
      <w:r w:rsidR="006D4B73" w:rsidRPr="006D4B73">
        <w:rPr>
          <w:rFonts w:ascii="Times New Roman" w:hAnsi="Times New Roman" w:cs="Times New Roman"/>
        </w:rPr>
        <w:t xml:space="preserve">. The data clearly illustrate the superiority of local landraces such as </w:t>
      </w:r>
      <w:proofErr w:type="spellStart"/>
      <w:r w:rsidR="006D4B73" w:rsidRPr="006D4B73">
        <w:rPr>
          <w:rFonts w:ascii="Times New Roman" w:hAnsi="Times New Roman" w:cs="Times New Roman"/>
          <w:i/>
          <w:iCs/>
        </w:rPr>
        <w:t>Khara</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w:t>
      </w:r>
      <w:r w:rsidR="006D4B73" w:rsidRPr="006D4B73">
        <w:rPr>
          <w:rFonts w:ascii="Times New Roman" w:hAnsi="Times New Roman" w:cs="Times New Roman"/>
          <w:i/>
          <w:iCs/>
        </w:rPr>
        <w:t xml:space="preserve">Kala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and </w:t>
      </w:r>
      <w:proofErr w:type="spellStart"/>
      <w:r w:rsidR="006D4B73" w:rsidRPr="006D4B73">
        <w:rPr>
          <w:rFonts w:ascii="Times New Roman" w:hAnsi="Times New Roman" w:cs="Times New Roman"/>
          <w:i/>
          <w:iCs/>
        </w:rPr>
        <w:t>Jhain</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in terms of pod number, clusters per plant, and overall grain yield under rainfed conditions.</w:t>
      </w:r>
    </w:p>
    <w:p w14:paraId="04236EAC"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3. Disease Incidence: Yellow Mosaic Virus (YMV)</w:t>
      </w:r>
    </w:p>
    <w:p w14:paraId="5E5969AA"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Yellow Mosaic Virus disease was observed in varying degrees across genotypes. The Percent Disease Index (PDI) ranged between 0% and 65%, indicating significant diversity in disease response. Local cultivars such as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exhibited complete resistance (0–5% PDI) throughout the study, whereas the released varieties showed moderate to high susceptibility (40–65% PDI</w:t>
      </w:r>
      <w:proofErr w:type="gramStart"/>
      <w:r w:rsidRPr="008C052F">
        <w:rPr>
          <w:rFonts w:ascii="Times New Roman" w:hAnsi="Times New Roman" w:cs="Times New Roman"/>
          <w:lang w:val="en-IN"/>
        </w:rPr>
        <w:t>).</w:t>
      </w:r>
      <w:r w:rsidR="007C66BF" w:rsidRPr="007C66BF">
        <w:rPr>
          <w:rFonts w:ascii="Times New Roman" w:hAnsi="Times New Roman" w:cs="Times New Roman"/>
          <w:lang w:val="en-IN"/>
        </w:rPr>
        <w:t>A</w:t>
      </w:r>
      <w:proofErr w:type="gramEnd"/>
      <w:r w:rsidR="007C66BF" w:rsidRPr="007C66BF">
        <w:rPr>
          <w:rFonts w:ascii="Times New Roman" w:hAnsi="Times New Roman" w:cs="Times New Roman"/>
          <w:lang w:val="en-IN"/>
        </w:rPr>
        <w:t xml:space="preserve"> visual comparison of field symptoms between resistant and susceptible genotypes is presented in Figure 1. The image clearly depicts the contrasting response of local cultivars, which remained free from visible YMV infection, and the released variety OBGG-52, which exhibited severe chlorosis and mosaic symptoms across leaves.</w:t>
      </w:r>
    </w:p>
    <w:p w14:paraId="27378CE7"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Field observations showed that disease incidence was lowest in early sown crops (first week of December) and increased progressively in late sowings, supporting the hypothesis that temperature and whitefly population dynamics strongly influence MYMV severity (Bharadwaj &amp; Kalita, 2023). Disease-free genotypes like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are likely to possess genetic resistance, possibly linked to NBS-LRR class genes associated with viral recognition (Dasgupta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w:t>
      </w:r>
    </w:p>
    <w:p w14:paraId="19255436"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lastRenderedPageBreak/>
        <w:t>3.1.</w:t>
      </w:r>
      <w:r w:rsidR="008C052F" w:rsidRPr="008C052F">
        <w:rPr>
          <w:rFonts w:ascii="Times New Roman" w:hAnsi="Times New Roman" w:cs="Times New Roman"/>
          <w:b/>
          <w:bCs/>
          <w:lang w:val="en-IN"/>
        </w:rPr>
        <w:t>4. Disease Incidence: Powdery Mildew</w:t>
      </w:r>
    </w:p>
    <w:p w14:paraId="481C4A5F"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Powdery mildew caused by </w:t>
      </w:r>
      <w:r w:rsidRPr="008C052F">
        <w:rPr>
          <w:rFonts w:ascii="Times New Roman" w:hAnsi="Times New Roman" w:cs="Times New Roman"/>
          <w:i/>
          <w:iCs/>
          <w:lang w:val="en-IN"/>
        </w:rPr>
        <w:t xml:space="preserve">Erysiphe </w:t>
      </w:r>
      <w:proofErr w:type="spellStart"/>
      <w:r w:rsidRPr="008C052F">
        <w:rPr>
          <w:rFonts w:ascii="Times New Roman" w:hAnsi="Times New Roman" w:cs="Times New Roman"/>
          <w:i/>
          <w:iCs/>
          <w:lang w:val="en-IN"/>
        </w:rPr>
        <w:t>polygoni</w:t>
      </w:r>
      <w:proofErr w:type="spellEnd"/>
      <w:r w:rsidRPr="008C052F">
        <w:rPr>
          <w:rFonts w:ascii="Times New Roman" w:hAnsi="Times New Roman" w:cs="Times New Roman"/>
          <w:lang w:val="en-IN"/>
        </w:rPr>
        <w:t xml:space="preserve"> was prevalent during late vegetative and pod formation stages, particularly in cool and humid weather conditions. The disease severity index varied from 0% (resistant genotypes) to 55% (susceptible).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showed complete resistance, with no visible white fungal patches throughout the experimental years. Moderate resistance was noted in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while high susceptibility occurred in the released varieties.</w:t>
      </w:r>
    </w:p>
    <w:p w14:paraId="005E058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These field observations corroborate molecular findings from recent studies, where resistance to powdery mildew was mapped to chromosome 8, associated with RPP13-like NBS-LRR genes (</w:t>
      </w:r>
      <w:proofErr w:type="spellStart"/>
      <w:r w:rsidRPr="008C052F">
        <w:rPr>
          <w:rFonts w:ascii="Times New Roman" w:hAnsi="Times New Roman" w:cs="Times New Roman"/>
          <w:lang w:val="en-IN"/>
        </w:rPr>
        <w:t>Waengwan</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Such genotypes with durable resistance could be valuable resources for future breeding efforts in disease-endemic </w:t>
      </w:r>
      <w:proofErr w:type="gramStart"/>
      <w:r w:rsidRPr="008C052F">
        <w:rPr>
          <w:rFonts w:ascii="Times New Roman" w:hAnsi="Times New Roman" w:cs="Times New Roman"/>
          <w:lang w:val="en-IN"/>
        </w:rPr>
        <w:t>regions.</w:t>
      </w:r>
      <w:r w:rsidR="006D4B73" w:rsidRPr="006D4B73">
        <w:rPr>
          <w:rFonts w:ascii="Times New Roman" w:hAnsi="Times New Roman" w:cs="Times New Roman"/>
        </w:rPr>
        <w:t>The</w:t>
      </w:r>
      <w:proofErr w:type="gramEnd"/>
      <w:r w:rsidR="006D4B73" w:rsidRPr="006D4B73">
        <w:rPr>
          <w:rFonts w:ascii="Times New Roman" w:hAnsi="Times New Roman" w:cs="Times New Roman"/>
        </w:rPr>
        <w:t xml:space="preserve"> comparative yield performance and disease response of all genotypes across three years and sowing dates are presented in </w:t>
      </w:r>
      <w:r w:rsidR="006D4B73" w:rsidRPr="006D4B73">
        <w:rPr>
          <w:rFonts w:ascii="Times New Roman" w:hAnsi="Times New Roman" w:cs="Times New Roman"/>
          <w:b/>
          <w:bCs/>
        </w:rPr>
        <w:t>Table 2</w:t>
      </w:r>
      <w:r w:rsidR="006D4B73" w:rsidRPr="006D4B73">
        <w:rPr>
          <w:rFonts w:ascii="Times New Roman" w:hAnsi="Times New Roman" w:cs="Times New Roman"/>
        </w:rPr>
        <w:t xml:space="preserve">. The data confirm that </w:t>
      </w:r>
      <w:proofErr w:type="spellStart"/>
      <w:r w:rsidR="006D4B73" w:rsidRPr="006D4B73">
        <w:rPr>
          <w:rFonts w:ascii="Times New Roman" w:hAnsi="Times New Roman" w:cs="Times New Roman"/>
          <w:i/>
          <w:iCs/>
        </w:rPr>
        <w:t>Jhain</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and </w:t>
      </w:r>
      <w:proofErr w:type="spellStart"/>
      <w:r w:rsidR="006D4B73" w:rsidRPr="006D4B73">
        <w:rPr>
          <w:rFonts w:ascii="Times New Roman" w:hAnsi="Times New Roman" w:cs="Times New Roman"/>
          <w:i/>
          <w:iCs/>
        </w:rPr>
        <w:t>Khara</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consistently remained free from both YMV and powdery mildew, while the released varieties exhibited high susceptibility, indicating the stability and field durability of resistance in these local cultivars.</w:t>
      </w:r>
    </w:p>
    <w:p w14:paraId="32074F9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5. Correlation Between Traits and Yield</w:t>
      </w:r>
    </w:p>
    <w:p w14:paraId="5D85CA4B" w14:textId="77777777" w:rsid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Correlation analysis revealed that pods per plant (r = 0.86), clusters per plant (r = 0.77), and 100-seed weight (r = 0.69) had significant positive correlations with grain yield. Disease severity showed a strong negative correlation with yield (r = -0.71 for YMV and -0.66 for powdery mildew). These correlations suggest that breeding for disease resistance indirectly enhances yield performance by maintaining photosynthetic capacity and reproductive efficiency (</w:t>
      </w:r>
      <w:proofErr w:type="spellStart"/>
      <w:r w:rsidRPr="008C052F">
        <w:rPr>
          <w:rFonts w:ascii="Times New Roman" w:hAnsi="Times New Roman" w:cs="Times New Roman"/>
          <w:lang w:val="en-IN"/>
        </w:rPr>
        <w:t>Mogali</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2023).</w:t>
      </w:r>
    </w:p>
    <w:p w14:paraId="70AE976E" w14:textId="77777777" w:rsidR="006D4B73" w:rsidRPr="00011429" w:rsidRDefault="006D4B73" w:rsidP="006D4B73">
      <w:pPr>
        <w:pStyle w:val="Heading2"/>
        <w:rPr>
          <w:rFonts w:ascii="Times New Roman" w:hAnsi="Times New Roman" w:cs="Times New Roman"/>
          <w:color w:val="auto"/>
          <w:sz w:val="24"/>
          <w:szCs w:val="24"/>
        </w:rPr>
      </w:pPr>
      <w:r w:rsidRPr="00011429">
        <w:rPr>
          <w:rFonts w:ascii="Times New Roman" w:hAnsi="Times New Roman" w:cs="Times New Roman"/>
          <w:color w:val="auto"/>
          <w:sz w:val="24"/>
          <w:szCs w:val="24"/>
        </w:rPr>
        <w:t xml:space="preserve">Table 1. Performance of Local </w:t>
      </w:r>
      <w:proofErr w:type="spellStart"/>
      <w:r w:rsidRPr="00011429">
        <w:rPr>
          <w:rFonts w:ascii="Times New Roman" w:hAnsi="Times New Roman" w:cs="Times New Roman"/>
          <w:color w:val="auto"/>
          <w:sz w:val="24"/>
          <w:szCs w:val="24"/>
        </w:rPr>
        <w:t>Greengram</w:t>
      </w:r>
      <w:proofErr w:type="spellEnd"/>
      <w:r w:rsidRPr="00011429">
        <w:rPr>
          <w:rFonts w:ascii="Times New Roman" w:hAnsi="Times New Roman" w:cs="Times New Roman"/>
          <w:color w:val="auto"/>
          <w:sz w:val="24"/>
          <w:szCs w:val="24"/>
        </w:rPr>
        <w:t xml:space="preserve"> Varieties Tested at RRTTS, </w:t>
      </w:r>
      <w:proofErr w:type="spellStart"/>
      <w:r w:rsidRPr="00011429">
        <w:rPr>
          <w:rFonts w:ascii="Times New Roman" w:hAnsi="Times New Roman" w:cs="Times New Roman"/>
          <w:color w:val="auto"/>
          <w:sz w:val="24"/>
          <w:szCs w:val="24"/>
        </w:rPr>
        <w:t>Bhawanipatna</w:t>
      </w:r>
      <w:proofErr w:type="spellEnd"/>
      <w:r w:rsidRPr="00011429">
        <w:rPr>
          <w:rFonts w:ascii="Times New Roman" w:hAnsi="Times New Roman" w:cs="Times New Roman"/>
          <w:color w:val="auto"/>
          <w:sz w:val="24"/>
          <w:szCs w:val="24"/>
        </w:rPr>
        <w:t xml:space="preserve"> (Rabi 2016–18)</w:t>
      </w: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7"/>
        <w:gridCol w:w="1939"/>
        <w:gridCol w:w="1276"/>
        <w:gridCol w:w="992"/>
        <w:gridCol w:w="1011"/>
        <w:gridCol w:w="1007"/>
        <w:gridCol w:w="687"/>
        <w:gridCol w:w="688"/>
        <w:gridCol w:w="688"/>
        <w:gridCol w:w="870"/>
      </w:tblGrid>
      <w:tr w:rsidR="006D4B73" w:rsidRPr="008C052F" w14:paraId="494A9A88" w14:textId="77777777" w:rsidTr="00072677">
        <w:trPr>
          <w:trHeight w:val="1609"/>
        </w:trPr>
        <w:tc>
          <w:tcPr>
            <w:tcW w:w="927" w:type="dxa"/>
          </w:tcPr>
          <w:p w14:paraId="74F43E4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Sl. No.</w:t>
            </w:r>
          </w:p>
        </w:tc>
        <w:tc>
          <w:tcPr>
            <w:tcW w:w="1939" w:type="dxa"/>
          </w:tcPr>
          <w:p w14:paraId="590662F1"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Variety</w:t>
            </w:r>
          </w:p>
        </w:tc>
        <w:tc>
          <w:tcPr>
            <w:tcW w:w="1276" w:type="dxa"/>
          </w:tcPr>
          <w:p w14:paraId="650E8B18"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Days to 50</w:t>
            </w:r>
            <w:proofErr w:type="gramStart"/>
            <w:r w:rsidRPr="008C052F">
              <w:rPr>
                <w:rFonts w:ascii="Times New Roman" w:hAnsi="Times New Roman" w:cs="Times New Roman"/>
                <w:sz w:val="28"/>
                <w:szCs w:val="28"/>
              </w:rPr>
              <w:t>%  Flowering</w:t>
            </w:r>
            <w:proofErr w:type="gramEnd"/>
          </w:p>
        </w:tc>
        <w:tc>
          <w:tcPr>
            <w:tcW w:w="992" w:type="dxa"/>
          </w:tcPr>
          <w:p w14:paraId="79FB05D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Days to maturity</w:t>
            </w:r>
          </w:p>
        </w:tc>
        <w:tc>
          <w:tcPr>
            <w:tcW w:w="1011" w:type="dxa"/>
          </w:tcPr>
          <w:p w14:paraId="2E1CC993"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Plant height</w:t>
            </w:r>
          </w:p>
          <w:p w14:paraId="216DE19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(cm)</w:t>
            </w:r>
          </w:p>
        </w:tc>
        <w:tc>
          <w:tcPr>
            <w:tcW w:w="1007" w:type="dxa"/>
          </w:tcPr>
          <w:p w14:paraId="0F747237"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No of Pod clusters/Plant</w:t>
            </w:r>
          </w:p>
        </w:tc>
        <w:tc>
          <w:tcPr>
            <w:tcW w:w="687" w:type="dxa"/>
          </w:tcPr>
          <w:p w14:paraId="014E7456"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No. of pods/plant</w:t>
            </w:r>
          </w:p>
        </w:tc>
        <w:tc>
          <w:tcPr>
            <w:tcW w:w="688" w:type="dxa"/>
          </w:tcPr>
          <w:p w14:paraId="39D1BE3E"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 xml:space="preserve"> No. of seeds/pod</w:t>
            </w:r>
          </w:p>
          <w:p w14:paraId="3E7C1070"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
        </w:tc>
        <w:tc>
          <w:tcPr>
            <w:tcW w:w="688" w:type="dxa"/>
          </w:tcPr>
          <w:p w14:paraId="388F7BAB"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 xml:space="preserve">100 seed </w:t>
            </w:r>
            <w:proofErr w:type="spellStart"/>
            <w:r w:rsidRPr="008C052F">
              <w:rPr>
                <w:rFonts w:ascii="Times New Roman" w:hAnsi="Times New Roman" w:cs="Times New Roman"/>
                <w:sz w:val="28"/>
                <w:szCs w:val="28"/>
              </w:rPr>
              <w:t>wt</w:t>
            </w:r>
            <w:proofErr w:type="spellEnd"/>
            <w:r w:rsidRPr="008C052F">
              <w:rPr>
                <w:rFonts w:ascii="Times New Roman" w:hAnsi="Times New Roman" w:cs="Times New Roman"/>
                <w:sz w:val="28"/>
                <w:szCs w:val="28"/>
              </w:rPr>
              <w:t>(g)</w:t>
            </w:r>
          </w:p>
        </w:tc>
        <w:tc>
          <w:tcPr>
            <w:tcW w:w="870" w:type="dxa"/>
          </w:tcPr>
          <w:p w14:paraId="738826EF"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Yield (kg/ha)</w:t>
            </w:r>
          </w:p>
        </w:tc>
      </w:tr>
      <w:tr w:rsidR="006D4B73" w:rsidRPr="008C052F" w14:paraId="064B489D" w14:textId="77777777" w:rsidTr="00072677">
        <w:trPr>
          <w:trHeight w:val="315"/>
        </w:trPr>
        <w:tc>
          <w:tcPr>
            <w:tcW w:w="927" w:type="dxa"/>
          </w:tcPr>
          <w:p w14:paraId="4E17290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w:t>
            </w:r>
          </w:p>
        </w:tc>
        <w:tc>
          <w:tcPr>
            <w:tcW w:w="1939" w:type="dxa"/>
            <w:vAlign w:val="bottom"/>
          </w:tcPr>
          <w:p w14:paraId="698EA2CC"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Kula Muga</w:t>
            </w:r>
          </w:p>
        </w:tc>
        <w:tc>
          <w:tcPr>
            <w:tcW w:w="1276" w:type="dxa"/>
            <w:vAlign w:val="bottom"/>
          </w:tcPr>
          <w:p w14:paraId="20086C7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58</w:t>
            </w:r>
          </w:p>
        </w:tc>
        <w:tc>
          <w:tcPr>
            <w:tcW w:w="992" w:type="dxa"/>
            <w:vAlign w:val="bottom"/>
          </w:tcPr>
          <w:p w14:paraId="7E35CA7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87</w:t>
            </w:r>
          </w:p>
        </w:tc>
        <w:tc>
          <w:tcPr>
            <w:tcW w:w="1011" w:type="dxa"/>
            <w:vAlign w:val="bottom"/>
          </w:tcPr>
          <w:p w14:paraId="70A57B7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24.9</w:t>
            </w:r>
          </w:p>
        </w:tc>
        <w:tc>
          <w:tcPr>
            <w:tcW w:w="1007" w:type="dxa"/>
            <w:vAlign w:val="bottom"/>
          </w:tcPr>
          <w:p w14:paraId="177E79A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687" w:type="dxa"/>
            <w:vAlign w:val="bottom"/>
          </w:tcPr>
          <w:p w14:paraId="6A0D7AB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14.6</w:t>
            </w:r>
          </w:p>
        </w:tc>
        <w:tc>
          <w:tcPr>
            <w:tcW w:w="688" w:type="dxa"/>
            <w:vAlign w:val="bottom"/>
          </w:tcPr>
          <w:p w14:paraId="2228CAA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10.1</w:t>
            </w:r>
          </w:p>
        </w:tc>
        <w:tc>
          <w:tcPr>
            <w:tcW w:w="688" w:type="dxa"/>
            <w:vAlign w:val="bottom"/>
          </w:tcPr>
          <w:p w14:paraId="11F2D67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w:t>
            </w:r>
          </w:p>
        </w:tc>
        <w:tc>
          <w:tcPr>
            <w:tcW w:w="870" w:type="dxa"/>
            <w:vAlign w:val="bottom"/>
          </w:tcPr>
          <w:p w14:paraId="2C1A4163"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483.33</w:t>
            </w:r>
          </w:p>
        </w:tc>
      </w:tr>
      <w:tr w:rsidR="006D4B73" w:rsidRPr="008C052F" w14:paraId="05D4132D" w14:textId="77777777" w:rsidTr="00072677">
        <w:trPr>
          <w:trHeight w:val="315"/>
        </w:trPr>
        <w:tc>
          <w:tcPr>
            <w:tcW w:w="927" w:type="dxa"/>
          </w:tcPr>
          <w:p w14:paraId="112D53C1"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2</w:t>
            </w:r>
          </w:p>
        </w:tc>
        <w:tc>
          <w:tcPr>
            <w:tcW w:w="1939" w:type="dxa"/>
            <w:vAlign w:val="bottom"/>
          </w:tcPr>
          <w:p w14:paraId="12F2C6BE"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KulaJhain</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06BF204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992" w:type="dxa"/>
            <w:vAlign w:val="bottom"/>
          </w:tcPr>
          <w:p w14:paraId="6D45C83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1011" w:type="dxa"/>
            <w:vAlign w:val="bottom"/>
          </w:tcPr>
          <w:p w14:paraId="291EB4F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27.3</w:t>
            </w:r>
          </w:p>
        </w:tc>
        <w:tc>
          <w:tcPr>
            <w:tcW w:w="1007" w:type="dxa"/>
            <w:vAlign w:val="bottom"/>
          </w:tcPr>
          <w:p w14:paraId="1A10DFD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7.0</w:t>
            </w:r>
          </w:p>
        </w:tc>
        <w:tc>
          <w:tcPr>
            <w:tcW w:w="687" w:type="dxa"/>
            <w:vAlign w:val="bottom"/>
          </w:tcPr>
          <w:p w14:paraId="1468F85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17.6</w:t>
            </w:r>
          </w:p>
        </w:tc>
        <w:tc>
          <w:tcPr>
            <w:tcW w:w="688" w:type="dxa"/>
            <w:vAlign w:val="bottom"/>
          </w:tcPr>
          <w:p w14:paraId="1A0C711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11.1</w:t>
            </w:r>
          </w:p>
        </w:tc>
        <w:tc>
          <w:tcPr>
            <w:tcW w:w="688" w:type="dxa"/>
            <w:vAlign w:val="bottom"/>
          </w:tcPr>
          <w:p w14:paraId="6A5B0B0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w:t>
            </w:r>
          </w:p>
        </w:tc>
        <w:tc>
          <w:tcPr>
            <w:tcW w:w="870" w:type="dxa"/>
            <w:vAlign w:val="bottom"/>
          </w:tcPr>
          <w:p w14:paraId="41C38BB9"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466.67</w:t>
            </w:r>
          </w:p>
        </w:tc>
      </w:tr>
      <w:tr w:rsidR="006D4B73" w:rsidRPr="008C052F" w14:paraId="121C39FD" w14:textId="77777777" w:rsidTr="00072677">
        <w:trPr>
          <w:trHeight w:val="315"/>
        </w:trPr>
        <w:tc>
          <w:tcPr>
            <w:tcW w:w="927" w:type="dxa"/>
          </w:tcPr>
          <w:p w14:paraId="33F04618"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3</w:t>
            </w:r>
          </w:p>
        </w:tc>
        <w:tc>
          <w:tcPr>
            <w:tcW w:w="1939" w:type="dxa"/>
            <w:vAlign w:val="bottom"/>
          </w:tcPr>
          <w:p w14:paraId="23BDC8A8"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Kharamuga</w:t>
            </w:r>
            <w:proofErr w:type="spellEnd"/>
          </w:p>
        </w:tc>
        <w:tc>
          <w:tcPr>
            <w:tcW w:w="1276" w:type="dxa"/>
            <w:vAlign w:val="bottom"/>
          </w:tcPr>
          <w:p w14:paraId="42C7A8E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00A67D0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89</w:t>
            </w:r>
          </w:p>
        </w:tc>
        <w:tc>
          <w:tcPr>
            <w:tcW w:w="1011" w:type="dxa"/>
            <w:vAlign w:val="bottom"/>
          </w:tcPr>
          <w:p w14:paraId="0E1765B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26.3</w:t>
            </w:r>
          </w:p>
        </w:tc>
        <w:tc>
          <w:tcPr>
            <w:tcW w:w="1007" w:type="dxa"/>
            <w:vAlign w:val="bottom"/>
          </w:tcPr>
          <w:p w14:paraId="32A5CDB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6.4</w:t>
            </w:r>
          </w:p>
        </w:tc>
        <w:tc>
          <w:tcPr>
            <w:tcW w:w="687" w:type="dxa"/>
            <w:vAlign w:val="bottom"/>
          </w:tcPr>
          <w:p w14:paraId="1DD289B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16.6</w:t>
            </w:r>
          </w:p>
        </w:tc>
        <w:tc>
          <w:tcPr>
            <w:tcW w:w="688" w:type="dxa"/>
            <w:vAlign w:val="bottom"/>
          </w:tcPr>
          <w:p w14:paraId="30FAF11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25FFBDE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5F2463F9" w14:textId="77777777" w:rsidR="006D4B73" w:rsidRPr="008C052F" w:rsidRDefault="006D4B73" w:rsidP="00072677">
            <w:pPr>
              <w:spacing w:after="0" w:line="240" w:lineRule="auto"/>
              <w:jc w:val="right"/>
              <w:rPr>
                <w:rFonts w:ascii="Times New Roman" w:eastAsia="Times New Roman" w:hAnsi="Times New Roman" w:cs="Times New Roman"/>
                <w:b/>
                <w:bCs/>
                <w:color w:val="FF0000"/>
              </w:rPr>
            </w:pPr>
            <w:r w:rsidRPr="008C052F">
              <w:rPr>
                <w:rFonts w:ascii="Times New Roman" w:eastAsia="Times New Roman" w:hAnsi="Times New Roman" w:cs="Times New Roman"/>
                <w:b/>
                <w:bCs/>
                <w:color w:val="FF0000"/>
              </w:rPr>
              <w:t>575.00</w:t>
            </w:r>
          </w:p>
        </w:tc>
      </w:tr>
      <w:tr w:rsidR="006D4B73" w:rsidRPr="008C052F" w14:paraId="3AA58D74" w14:textId="77777777" w:rsidTr="00072677">
        <w:trPr>
          <w:trHeight w:val="330"/>
        </w:trPr>
        <w:tc>
          <w:tcPr>
            <w:tcW w:w="927" w:type="dxa"/>
          </w:tcPr>
          <w:p w14:paraId="5FE957B4"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4</w:t>
            </w:r>
          </w:p>
        </w:tc>
        <w:tc>
          <w:tcPr>
            <w:tcW w:w="1939" w:type="dxa"/>
            <w:vAlign w:val="bottom"/>
          </w:tcPr>
          <w:p w14:paraId="15D68875"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Kala Muga</w:t>
            </w:r>
          </w:p>
        </w:tc>
        <w:tc>
          <w:tcPr>
            <w:tcW w:w="1276" w:type="dxa"/>
            <w:vAlign w:val="bottom"/>
          </w:tcPr>
          <w:p w14:paraId="623DB1D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60</w:t>
            </w:r>
          </w:p>
        </w:tc>
        <w:tc>
          <w:tcPr>
            <w:tcW w:w="992" w:type="dxa"/>
            <w:vAlign w:val="bottom"/>
          </w:tcPr>
          <w:p w14:paraId="73DC6DE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90</w:t>
            </w:r>
          </w:p>
        </w:tc>
        <w:tc>
          <w:tcPr>
            <w:tcW w:w="1011" w:type="dxa"/>
            <w:vAlign w:val="bottom"/>
          </w:tcPr>
          <w:p w14:paraId="6A7221B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31.7</w:t>
            </w:r>
          </w:p>
        </w:tc>
        <w:tc>
          <w:tcPr>
            <w:tcW w:w="1007" w:type="dxa"/>
            <w:vAlign w:val="bottom"/>
          </w:tcPr>
          <w:p w14:paraId="37847D2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7.0</w:t>
            </w:r>
          </w:p>
        </w:tc>
        <w:tc>
          <w:tcPr>
            <w:tcW w:w="687" w:type="dxa"/>
            <w:vAlign w:val="bottom"/>
          </w:tcPr>
          <w:p w14:paraId="70C28E9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19.9</w:t>
            </w:r>
          </w:p>
        </w:tc>
        <w:tc>
          <w:tcPr>
            <w:tcW w:w="688" w:type="dxa"/>
            <w:vAlign w:val="bottom"/>
          </w:tcPr>
          <w:p w14:paraId="72E645D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071278D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w:t>
            </w:r>
          </w:p>
        </w:tc>
        <w:tc>
          <w:tcPr>
            <w:tcW w:w="870" w:type="dxa"/>
            <w:vAlign w:val="bottom"/>
          </w:tcPr>
          <w:p w14:paraId="6AB19B73" w14:textId="77777777" w:rsidR="006D4B73" w:rsidRPr="008C052F" w:rsidRDefault="006D4B73" w:rsidP="00072677">
            <w:pPr>
              <w:spacing w:after="0" w:line="240" w:lineRule="auto"/>
              <w:jc w:val="right"/>
              <w:rPr>
                <w:rFonts w:ascii="Times New Roman" w:eastAsia="Times New Roman" w:hAnsi="Times New Roman" w:cs="Times New Roman"/>
                <w:b/>
                <w:bCs/>
                <w:color w:val="FF0000"/>
              </w:rPr>
            </w:pPr>
            <w:r w:rsidRPr="008C052F">
              <w:rPr>
                <w:rFonts w:ascii="Times New Roman" w:eastAsia="Times New Roman" w:hAnsi="Times New Roman" w:cs="Times New Roman"/>
                <w:b/>
                <w:bCs/>
                <w:color w:val="FF0000"/>
              </w:rPr>
              <w:t>533.33</w:t>
            </w:r>
          </w:p>
        </w:tc>
      </w:tr>
      <w:tr w:rsidR="006D4B73" w:rsidRPr="008C052F" w14:paraId="37D861B2" w14:textId="77777777" w:rsidTr="00072677">
        <w:trPr>
          <w:trHeight w:val="315"/>
        </w:trPr>
        <w:tc>
          <w:tcPr>
            <w:tcW w:w="927" w:type="dxa"/>
          </w:tcPr>
          <w:p w14:paraId="7C306C96"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5</w:t>
            </w:r>
          </w:p>
        </w:tc>
        <w:tc>
          <w:tcPr>
            <w:tcW w:w="1939" w:type="dxa"/>
            <w:vAlign w:val="bottom"/>
          </w:tcPr>
          <w:p w14:paraId="68C2A156"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 xml:space="preserve">Kala </w:t>
            </w:r>
            <w:proofErr w:type="spellStart"/>
            <w:r w:rsidRPr="008C052F">
              <w:rPr>
                <w:rFonts w:ascii="Times New Roman" w:hAnsi="Times New Roman" w:cs="Times New Roman"/>
                <w:sz w:val="24"/>
                <w:szCs w:val="24"/>
              </w:rPr>
              <w:t>Kadua</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0DB4615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60</w:t>
            </w:r>
          </w:p>
        </w:tc>
        <w:tc>
          <w:tcPr>
            <w:tcW w:w="992" w:type="dxa"/>
            <w:vAlign w:val="bottom"/>
          </w:tcPr>
          <w:p w14:paraId="5C07458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95</w:t>
            </w:r>
          </w:p>
        </w:tc>
        <w:tc>
          <w:tcPr>
            <w:tcW w:w="1011" w:type="dxa"/>
            <w:vAlign w:val="bottom"/>
          </w:tcPr>
          <w:p w14:paraId="1E03671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25.1</w:t>
            </w:r>
          </w:p>
        </w:tc>
        <w:tc>
          <w:tcPr>
            <w:tcW w:w="1007" w:type="dxa"/>
            <w:vAlign w:val="bottom"/>
          </w:tcPr>
          <w:p w14:paraId="0395F04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687" w:type="dxa"/>
            <w:vAlign w:val="bottom"/>
          </w:tcPr>
          <w:p w14:paraId="2A2F023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6874196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9.6</w:t>
            </w:r>
          </w:p>
        </w:tc>
        <w:tc>
          <w:tcPr>
            <w:tcW w:w="688" w:type="dxa"/>
            <w:vAlign w:val="bottom"/>
          </w:tcPr>
          <w:p w14:paraId="4900153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3.2</w:t>
            </w:r>
          </w:p>
        </w:tc>
        <w:tc>
          <w:tcPr>
            <w:tcW w:w="870" w:type="dxa"/>
            <w:vAlign w:val="bottom"/>
          </w:tcPr>
          <w:p w14:paraId="233B5FD6"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441.67</w:t>
            </w:r>
          </w:p>
        </w:tc>
      </w:tr>
      <w:tr w:rsidR="006D4B73" w:rsidRPr="008C052F" w14:paraId="3A270DED" w14:textId="77777777" w:rsidTr="00072677">
        <w:trPr>
          <w:trHeight w:val="315"/>
        </w:trPr>
        <w:tc>
          <w:tcPr>
            <w:tcW w:w="927" w:type="dxa"/>
          </w:tcPr>
          <w:p w14:paraId="0328B20D"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6</w:t>
            </w:r>
          </w:p>
        </w:tc>
        <w:tc>
          <w:tcPr>
            <w:tcW w:w="1939" w:type="dxa"/>
            <w:vAlign w:val="bottom"/>
          </w:tcPr>
          <w:p w14:paraId="4B433BAB"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Jhain</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6D54E9A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6D93ECE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5EF3457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31.1</w:t>
            </w:r>
          </w:p>
        </w:tc>
        <w:tc>
          <w:tcPr>
            <w:tcW w:w="1007" w:type="dxa"/>
            <w:vAlign w:val="bottom"/>
          </w:tcPr>
          <w:p w14:paraId="35BD867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687" w:type="dxa"/>
            <w:vAlign w:val="bottom"/>
          </w:tcPr>
          <w:p w14:paraId="42DCEDC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24.7</w:t>
            </w:r>
          </w:p>
        </w:tc>
        <w:tc>
          <w:tcPr>
            <w:tcW w:w="688" w:type="dxa"/>
            <w:vAlign w:val="bottom"/>
          </w:tcPr>
          <w:p w14:paraId="3099F37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13.0</w:t>
            </w:r>
          </w:p>
        </w:tc>
        <w:tc>
          <w:tcPr>
            <w:tcW w:w="688" w:type="dxa"/>
            <w:vAlign w:val="bottom"/>
          </w:tcPr>
          <w:p w14:paraId="1D1EA4E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3BA8147F" w14:textId="77777777" w:rsidR="006D4B73" w:rsidRPr="008C052F" w:rsidRDefault="006D4B73" w:rsidP="00072677">
            <w:pPr>
              <w:spacing w:after="0" w:line="240" w:lineRule="auto"/>
              <w:jc w:val="right"/>
              <w:rPr>
                <w:rFonts w:ascii="Times New Roman" w:eastAsia="Times New Roman" w:hAnsi="Times New Roman" w:cs="Times New Roman"/>
                <w:b/>
                <w:color w:val="FF0000"/>
              </w:rPr>
            </w:pPr>
            <w:r w:rsidRPr="008C052F">
              <w:rPr>
                <w:rFonts w:ascii="Times New Roman" w:eastAsia="Times New Roman" w:hAnsi="Times New Roman" w:cs="Times New Roman"/>
                <w:b/>
                <w:color w:val="FF0000"/>
              </w:rPr>
              <w:t>491.67</w:t>
            </w:r>
          </w:p>
        </w:tc>
      </w:tr>
      <w:tr w:rsidR="006D4B73" w:rsidRPr="008C052F" w14:paraId="4E90EA57" w14:textId="77777777" w:rsidTr="00072677">
        <w:trPr>
          <w:trHeight w:val="315"/>
        </w:trPr>
        <w:tc>
          <w:tcPr>
            <w:tcW w:w="927" w:type="dxa"/>
          </w:tcPr>
          <w:p w14:paraId="074E0302"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7</w:t>
            </w:r>
          </w:p>
        </w:tc>
        <w:tc>
          <w:tcPr>
            <w:tcW w:w="1939" w:type="dxa"/>
            <w:vAlign w:val="bottom"/>
          </w:tcPr>
          <w:p w14:paraId="56D62942"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Bansapala</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70F9B86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3723D85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82</w:t>
            </w:r>
          </w:p>
        </w:tc>
        <w:tc>
          <w:tcPr>
            <w:tcW w:w="1011" w:type="dxa"/>
            <w:vAlign w:val="bottom"/>
          </w:tcPr>
          <w:p w14:paraId="752FD0A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23.5</w:t>
            </w:r>
          </w:p>
        </w:tc>
        <w:tc>
          <w:tcPr>
            <w:tcW w:w="1007" w:type="dxa"/>
            <w:vAlign w:val="bottom"/>
          </w:tcPr>
          <w:p w14:paraId="4663ABD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4.6</w:t>
            </w:r>
          </w:p>
        </w:tc>
        <w:tc>
          <w:tcPr>
            <w:tcW w:w="687" w:type="dxa"/>
            <w:vAlign w:val="bottom"/>
          </w:tcPr>
          <w:p w14:paraId="78C3708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15.2</w:t>
            </w:r>
          </w:p>
        </w:tc>
        <w:tc>
          <w:tcPr>
            <w:tcW w:w="688" w:type="dxa"/>
            <w:vAlign w:val="bottom"/>
          </w:tcPr>
          <w:p w14:paraId="7CC0D1B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9.8</w:t>
            </w:r>
          </w:p>
        </w:tc>
        <w:tc>
          <w:tcPr>
            <w:tcW w:w="688" w:type="dxa"/>
            <w:vAlign w:val="bottom"/>
          </w:tcPr>
          <w:p w14:paraId="0C396DD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w:t>
            </w:r>
          </w:p>
        </w:tc>
        <w:tc>
          <w:tcPr>
            <w:tcW w:w="870" w:type="dxa"/>
            <w:vAlign w:val="bottom"/>
          </w:tcPr>
          <w:p w14:paraId="12367771"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266.67</w:t>
            </w:r>
          </w:p>
        </w:tc>
      </w:tr>
      <w:tr w:rsidR="006D4B73" w:rsidRPr="008C052F" w14:paraId="6A2DCE51" w14:textId="77777777" w:rsidTr="00072677">
        <w:trPr>
          <w:trHeight w:val="315"/>
        </w:trPr>
        <w:tc>
          <w:tcPr>
            <w:tcW w:w="927" w:type="dxa"/>
          </w:tcPr>
          <w:p w14:paraId="287ADF9A"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8</w:t>
            </w:r>
          </w:p>
        </w:tc>
        <w:tc>
          <w:tcPr>
            <w:tcW w:w="1939" w:type="dxa"/>
            <w:vAlign w:val="bottom"/>
          </w:tcPr>
          <w:p w14:paraId="0CE0E22D"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Larkipalli</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Jhain</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2A5199E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178A570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91</w:t>
            </w:r>
          </w:p>
        </w:tc>
        <w:tc>
          <w:tcPr>
            <w:tcW w:w="1011" w:type="dxa"/>
            <w:vAlign w:val="bottom"/>
          </w:tcPr>
          <w:p w14:paraId="3138DFF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25.7</w:t>
            </w:r>
          </w:p>
        </w:tc>
        <w:tc>
          <w:tcPr>
            <w:tcW w:w="1007" w:type="dxa"/>
            <w:vAlign w:val="bottom"/>
          </w:tcPr>
          <w:p w14:paraId="6DF5B4D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7.3</w:t>
            </w:r>
          </w:p>
        </w:tc>
        <w:tc>
          <w:tcPr>
            <w:tcW w:w="687" w:type="dxa"/>
            <w:vAlign w:val="bottom"/>
          </w:tcPr>
          <w:p w14:paraId="0627845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20.1</w:t>
            </w:r>
          </w:p>
        </w:tc>
        <w:tc>
          <w:tcPr>
            <w:tcW w:w="688" w:type="dxa"/>
            <w:vAlign w:val="bottom"/>
          </w:tcPr>
          <w:p w14:paraId="350C7DD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3B441CC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w:t>
            </w:r>
          </w:p>
        </w:tc>
        <w:tc>
          <w:tcPr>
            <w:tcW w:w="870" w:type="dxa"/>
            <w:vAlign w:val="bottom"/>
          </w:tcPr>
          <w:p w14:paraId="3F102A26"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383.33</w:t>
            </w:r>
          </w:p>
        </w:tc>
      </w:tr>
      <w:tr w:rsidR="006D4B73" w:rsidRPr="008C052F" w14:paraId="5926A58E" w14:textId="77777777" w:rsidTr="00072677">
        <w:trPr>
          <w:trHeight w:val="315"/>
        </w:trPr>
        <w:tc>
          <w:tcPr>
            <w:tcW w:w="927" w:type="dxa"/>
          </w:tcPr>
          <w:p w14:paraId="7A50E372"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lastRenderedPageBreak/>
              <w:t>9</w:t>
            </w:r>
          </w:p>
        </w:tc>
        <w:tc>
          <w:tcPr>
            <w:tcW w:w="1939" w:type="dxa"/>
            <w:vAlign w:val="bottom"/>
          </w:tcPr>
          <w:p w14:paraId="0C328D72"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Aska desi Muga</w:t>
            </w:r>
          </w:p>
        </w:tc>
        <w:tc>
          <w:tcPr>
            <w:tcW w:w="1276" w:type="dxa"/>
            <w:vAlign w:val="bottom"/>
          </w:tcPr>
          <w:p w14:paraId="0A68F9C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992" w:type="dxa"/>
            <w:vAlign w:val="bottom"/>
          </w:tcPr>
          <w:p w14:paraId="7843E77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85</w:t>
            </w:r>
          </w:p>
        </w:tc>
        <w:tc>
          <w:tcPr>
            <w:tcW w:w="1011" w:type="dxa"/>
            <w:vAlign w:val="bottom"/>
          </w:tcPr>
          <w:p w14:paraId="6013B0B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24.6</w:t>
            </w:r>
          </w:p>
        </w:tc>
        <w:tc>
          <w:tcPr>
            <w:tcW w:w="1007" w:type="dxa"/>
            <w:vAlign w:val="bottom"/>
          </w:tcPr>
          <w:p w14:paraId="6E6E8F3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6.7</w:t>
            </w:r>
          </w:p>
        </w:tc>
        <w:tc>
          <w:tcPr>
            <w:tcW w:w="687" w:type="dxa"/>
            <w:vAlign w:val="bottom"/>
          </w:tcPr>
          <w:p w14:paraId="227999D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15.7</w:t>
            </w:r>
          </w:p>
        </w:tc>
        <w:tc>
          <w:tcPr>
            <w:tcW w:w="688" w:type="dxa"/>
            <w:vAlign w:val="bottom"/>
          </w:tcPr>
          <w:p w14:paraId="2E10551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w:t>
            </w:r>
          </w:p>
        </w:tc>
        <w:tc>
          <w:tcPr>
            <w:tcW w:w="688" w:type="dxa"/>
            <w:vAlign w:val="bottom"/>
          </w:tcPr>
          <w:p w14:paraId="439CB70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w:t>
            </w:r>
          </w:p>
        </w:tc>
        <w:tc>
          <w:tcPr>
            <w:tcW w:w="870" w:type="dxa"/>
            <w:vAlign w:val="bottom"/>
          </w:tcPr>
          <w:p w14:paraId="6E2694C8"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425.00</w:t>
            </w:r>
          </w:p>
        </w:tc>
      </w:tr>
      <w:tr w:rsidR="006D4B73" w:rsidRPr="008C052F" w14:paraId="7E172979" w14:textId="77777777" w:rsidTr="00072677">
        <w:trPr>
          <w:trHeight w:val="315"/>
        </w:trPr>
        <w:tc>
          <w:tcPr>
            <w:tcW w:w="927" w:type="dxa"/>
          </w:tcPr>
          <w:p w14:paraId="3AAA1DD1"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10</w:t>
            </w:r>
          </w:p>
        </w:tc>
        <w:tc>
          <w:tcPr>
            <w:tcW w:w="1939" w:type="dxa"/>
            <w:vAlign w:val="bottom"/>
          </w:tcPr>
          <w:p w14:paraId="2B469D9D"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Seragada</w:t>
            </w:r>
            <w:proofErr w:type="spellEnd"/>
            <w:r w:rsidRPr="008C052F">
              <w:rPr>
                <w:rFonts w:ascii="Times New Roman" w:hAnsi="Times New Roman" w:cs="Times New Roman"/>
                <w:sz w:val="24"/>
                <w:szCs w:val="24"/>
              </w:rPr>
              <w:t xml:space="preserve"> desi </w:t>
            </w:r>
            <w:proofErr w:type="spellStart"/>
            <w:r w:rsidRPr="008C052F">
              <w:rPr>
                <w:rFonts w:ascii="Times New Roman" w:hAnsi="Times New Roman" w:cs="Times New Roman"/>
                <w:sz w:val="24"/>
                <w:szCs w:val="24"/>
              </w:rPr>
              <w:t>Muga</w:t>
            </w:r>
            <w:proofErr w:type="spellEnd"/>
          </w:p>
        </w:tc>
        <w:tc>
          <w:tcPr>
            <w:tcW w:w="1276" w:type="dxa"/>
            <w:vAlign w:val="bottom"/>
          </w:tcPr>
          <w:p w14:paraId="4F195CD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58</w:t>
            </w:r>
          </w:p>
        </w:tc>
        <w:tc>
          <w:tcPr>
            <w:tcW w:w="992" w:type="dxa"/>
            <w:vAlign w:val="bottom"/>
          </w:tcPr>
          <w:p w14:paraId="1B0B5E8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1E3714C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23.3</w:t>
            </w:r>
          </w:p>
        </w:tc>
        <w:tc>
          <w:tcPr>
            <w:tcW w:w="1007" w:type="dxa"/>
            <w:vAlign w:val="bottom"/>
          </w:tcPr>
          <w:p w14:paraId="4224C9B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687" w:type="dxa"/>
            <w:vAlign w:val="bottom"/>
          </w:tcPr>
          <w:p w14:paraId="185A7C5F"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21.6</w:t>
            </w:r>
          </w:p>
        </w:tc>
        <w:tc>
          <w:tcPr>
            <w:tcW w:w="688" w:type="dxa"/>
            <w:vAlign w:val="bottom"/>
          </w:tcPr>
          <w:p w14:paraId="6261FFA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10.7</w:t>
            </w:r>
          </w:p>
        </w:tc>
        <w:tc>
          <w:tcPr>
            <w:tcW w:w="688" w:type="dxa"/>
            <w:vAlign w:val="bottom"/>
          </w:tcPr>
          <w:p w14:paraId="6499C43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w:t>
            </w:r>
          </w:p>
        </w:tc>
        <w:tc>
          <w:tcPr>
            <w:tcW w:w="870" w:type="dxa"/>
            <w:vAlign w:val="bottom"/>
          </w:tcPr>
          <w:p w14:paraId="7A0A7428"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350.00</w:t>
            </w:r>
          </w:p>
        </w:tc>
      </w:tr>
      <w:tr w:rsidR="006D4B73" w:rsidRPr="008C052F" w14:paraId="71E17985" w14:textId="77777777" w:rsidTr="00072677">
        <w:trPr>
          <w:trHeight w:val="315"/>
        </w:trPr>
        <w:tc>
          <w:tcPr>
            <w:tcW w:w="927" w:type="dxa"/>
          </w:tcPr>
          <w:p w14:paraId="599F0C67"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11</w:t>
            </w:r>
          </w:p>
        </w:tc>
        <w:tc>
          <w:tcPr>
            <w:tcW w:w="1939" w:type="dxa"/>
            <w:vAlign w:val="bottom"/>
          </w:tcPr>
          <w:p w14:paraId="45ABB897"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Dharakote</w:t>
            </w:r>
            <w:proofErr w:type="spellEnd"/>
            <w:r w:rsidRPr="008C052F">
              <w:rPr>
                <w:rFonts w:ascii="Times New Roman" w:hAnsi="Times New Roman" w:cs="Times New Roman"/>
                <w:sz w:val="24"/>
                <w:szCs w:val="24"/>
              </w:rPr>
              <w:t xml:space="preserve"> Desi </w:t>
            </w:r>
            <w:proofErr w:type="spellStart"/>
            <w:r w:rsidRPr="008C052F">
              <w:rPr>
                <w:rFonts w:ascii="Times New Roman" w:hAnsi="Times New Roman" w:cs="Times New Roman"/>
                <w:sz w:val="24"/>
                <w:szCs w:val="24"/>
              </w:rPr>
              <w:t>Muga</w:t>
            </w:r>
            <w:proofErr w:type="spellEnd"/>
          </w:p>
        </w:tc>
        <w:tc>
          <w:tcPr>
            <w:tcW w:w="1276" w:type="dxa"/>
            <w:vAlign w:val="bottom"/>
          </w:tcPr>
          <w:p w14:paraId="67D5454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7BCFBF7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6BF1DA3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24.4</w:t>
            </w:r>
          </w:p>
        </w:tc>
        <w:tc>
          <w:tcPr>
            <w:tcW w:w="1007" w:type="dxa"/>
            <w:vAlign w:val="bottom"/>
          </w:tcPr>
          <w:p w14:paraId="384CD4EF"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6.3</w:t>
            </w:r>
          </w:p>
        </w:tc>
        <w:tc>
          <w:tcPr>
            <w:tcW w:w="687" w:type="dxa"/>
            <w:vAlign w:val="bottom"/>
          </w:tcPr>
          <w:p w14:paraId="769198C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14.3</w:t>
            </w:r>
          </w:p>
        </w:tc>
        <w:tc>
          <w:tcPr>
            <w:tcW w:w="688" w:type="dxa"/>
            <w:vAlign w:val="bottom"/>
          </w:tcPr>
          <w:p w14:paraId="4A9F273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56AF6A6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w:t>
            </w:r>
          </w:p>
        </w:tc>
        <w:tc>
          <w:tcPr>
            <w:tcW w:w="870" w:type="dxa"/>
            <w:vAlign w:val="bottom"/>
          </w:tcPr>
          <w:p w14:paraId="2292B975"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400.00</w:t>
            </w:r>
          </w:p>
        </w:tc>
      </w:tr>
      <w:tr w:rsidR="006D4B73" w:rsidRPr="008C052F" w14:paraId="68006184" w14:textId="77777777" w:rsidTr="00072677">
        <w:trPr>
          <w:trHeight w:val="330"/>
        </w:trPr>
        <w:tc>
          <w:tcPr>
            <w:tcW w:w="927" w:type="dxa"/>
          </w:tcPr>
          <w:p w14:paraId="71FFD01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12</w:t>
            </w:r>
          </w:p>
        </w:tc>
        <w:tc>
          <w:tcPr>
            <w:tcW w:w="1939" w:type="dxa"/>
            <w:vAlign w:val="bottom"/>
          </w:tcPr>
          <w:p w14:paraId="7DDFB87B"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Angul Kala Muga</w:t>
            </w:r>
          </w:p>
        </w:tc>
        <w:tc>
          <w:tcPr>
            <w:tcW w:w="1276" w:type="dxa"/>
            <w:vAlign w:val="bottom"/>
          </w:tcPr>
          <w:p w14:paraId="0AB53FB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992" w:type="dxa"/>
            <w:vAlign w:val="bottom"/>
          </w:tcPr>
          <w:p w14:paraId="665950A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80</w:t>
            </w:r>
          </w:p>
        </w:tc>
        <w:tc>
          <w:tcPr>
            <w:tcW w:w="1011" w:type="dxa"/>
            <w:vAlign w:val="bottom"/>
          </w:tcPr>
          <w:p w14:paraId="0B76F67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28.4</w:t>
            </w:r>
          </w:p>
        </w:tc>
        <w:tc>
          <w:tcPr>
            <w:tcW w:w="1007" w:type="dxa"/>
            <w:vAlign w:val="bottom"/>
          </w:tcPr>
          <w:p w14:paraId="6DDA4C7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4.1</w:t>
            </w:r>
          </w:p>
        </w:tc>
        <w:tc>
          <w:tcPr>
            <w:tcW w:w="687" w:type="dxa"/>
            <w:vAlign w:val="bottom"/>
          </w:tcPr>
          <w:p w14:paraId="6AB40FC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11.1</w:t>
            </w:r>
          </w:p>
        </w:tc>
        <w:tc>
          <w:tcPr>
            <w:tcW w:w="688" w:type="dxa"/>
            <w:vAlign w:val="bottom"/>
          </w:tcPr>
          <w:p w14:paraId="18CF098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10.7</w:t>
            </w:r>
          </w:p>
        </w:tc>
        <w:tc>
          <w:tcPr>
            <w:tcW w:w="688" w:type="dxa"/>
            <w:vAlign w:val="bottom"/>
          </w:tcPr>
          <w:p w14:paraId="59AC987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w:t>
            </w:r>
          </w:p>
        </w:tc>
        <w:tc>
          <w:tcPr>
            <w:tcW w:w="870" w:type="dxa"/>
            <w:vAlign w:val="bottom"/>
          </w:tcPr>
          <w:p w14:paraId="4D62F290"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133.33</w:t>
            </w:r>
          </w:p>
        </w:tc>
      </w:tr>
      <w:tr w:rsidR="006D4B73" w:rsidRPr="008C052F" w14:paraId="669AA61C" w14:textId="77777777" w:rsidTr="00072677">
        <w:trPr>
          <w:trHeight w:val="315"/>
        </w:trPr>
        <w:tc>
          <w:tcPr>
            <w:tcW w:w="927" w:type="dxa"/>
          </w:tcPr>
          <w:p w14:paraId="71A9F1A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13</w:t>
            </w:r>
          </w:p>
        </w:tc>
        <w:tc>
          <w:tcPr>
            <w:tcW w:w="1939" w:type="dxa"/>
            <w:vAlign w:val="bottom"/>
          </w:tcPr>
          <w:p w14:paraId="1FA942D5"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Nayagarh</w:t>
            </w:r>
            <w:proofErr w:type="spellEnd"/>
            <w:r w:rsidRPr="008C052F">
              <w:rPr>
                <w:rFonts w:ascii="Times New Roman" w:hAnsi="Times New Roman" w:cs="Times New Roman"/>
                <w:sz w:val="24"/>
                <w:szCs w:val="24"/>
              </w:rPr>
              <w:t xml:space="preserve"> local</w:t>
            </w:r>
          </w:p>
        </w:tc>
        <w:tc>
          <w:tcPr>
            <w:tcW w:w="1276" w:type="dxa"/>
            <w:vAlign w:val="bottom"/>
          </w:tcPr>
          <w:p w14:paraId="3B7595D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2902E06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1011" w:type="dxa"/>
            <w:vAlign w:val="bottom"/>
          </w:tcPr>
          <w:p w14:paraId="6E67B43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28.7</w:t>
            </w:r>
          </w:p>
        </w:tc>
        <w:tc>
          <w:tcPr>
            <w:tcW w:w="1007" w:type="dxa"/>
            <w:vAlign w:val="bottom"/>
          </w:tcPr>
          <w:p w14:paraId="1B78C7C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4.7</w:t>
            </w:r>
          </w:p>
        </w:tc>
        <w:tc>
          <w:tcPr>
            <w:tcW w:w="687" w:type="dxa"/>
            <w:vAlign w:val="bottom"/>
          </w:tcPr>
          <w:p w14:paraId="03948FB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11.6</w:t>
            </w:r>
          </w:p>
        </w:tc>
        <w:tc>
          <w:tcPr>
            <w:tcW w:w="688" w:type="dxa"/>
            <w:vAlign w:val="bottom"/>
          </w:tcPr>
          <w:p w14:paraId="755AD77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10.3</w:t>
            </w:r>
          </w:p>
        </w:tc>
        <w:tc>
          <w:tcPr>
            <w:tcW w:w="688" w:type="dxa"/>
            <w:vAlign w:val="bottom"/>
          </w:tcPr>
          <w:p w14:paraId="3909DF7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4ACE4785"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383.33</w:t>
            </w:r>
          </w:p>
        </w:tc>
      </w:tr>
      <w:tr w:rsidR="006D4B73" w:rsidRPr="008C052F" w14:paraId="2C570D46" w14:textId="77777777" w:rsidTr="00072677">
        <w:trPr>
          <w:trHeight w:val="315"/>
        </w:trPr>
        <w:tc>
          <w:tcPr>
            <w:tcW w:w="927" w:type="dxa"/>
          </w:tcPr>
          <w:p w14:paraId="55E3767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14</w:t>
            </w:r>
          </w:p>
        </w:tc>
        <w:tc>
          <w:tcPr>
            <w:tcW w:w="1939" w:type="dxa"/>
            <w:vAlign w:val="bottom"/>
          </w:tcPr>
          <w:p w14:paraId="1245459F"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Chaiti</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068C9EAF"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62</w:t>
            </w:r>
          </w:p>
        </w:tc>
        <w:tc>
          <w:tcPr>
            <w:tcW w:w="992" w:type="dxa"/>
            <w:vAlign w:val="bottom"/>
          </w:tcPr>
          <w:p w14:paraId="5BB062B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91</w:t>
            </w:r>
          </w:p>
        </w:tc>
        <w:tc>
          <w:tcPr>
            <w:tcW w:w="1011" w:type="dxa"/>
            <w:vAlign w:val="bottom"/>
          </w:tcPr>
          <w:p w14:paraId="18C7B05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26.9</w:t>
            </w:r>
          </w:p>
        </w:tc>
        <w:tc>
          <w:tcPr>
            <w:tcW w:w="1007" w:type="dxa"/>
            <w:vAlign w:val="bottom"/>
          </w:tcPr>
          <w:p w14:paraId="3FC5CE3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8.3</w:t>
            </w:r>
          </w:p>
        </w:tc>
        <w:tc>
          <w:tcPr>
            <w:tcW w:w="687" w:type="dxa"/>
            <w:vAlign w:val="bottom"/>
          </w:tcPr>
          <w:p w14:paraId="22857D3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20.5</w:t>
            </w:r>
          </w:p>
        </w:tc>
        <w:tc>
          <w:tcPr>
            <w:tcW w:w="688" w:type="dxa"/>
            <w:vAlign w:val="bottom"/>
          </w:tcPr>
          <w:p w14:paraId="76222B6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w:t>
            </w:r>
          </w:p>
        </w:tc>
        <w:tc>
          <w:tcPr>
            <w:tcW w:w="688" w:type="dxa"/>
            <w:vAlign w:val="bottom"/>
          </w:tcPr>
          <w:p w14:paraId="17E9037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w:t>
            </w:r>
          </w:p>
        </w:tc>
        <w:tc>
          <w:tcPr>
            <w:tcW w:w="870" w:type="dxa"/>
            <w:vAlign w:val="bottom"/>
          </w:tcPr>
          <w:p w14:paraId="613794DF"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325.00</w:t>
            </w:r>
          </w:p>
        </w:tc>
      </w:tr>
      <w:tr w:rsidR="006D4B73" w:rsidRPr="008C052F" w14:paraId="4DF7A6E3" w14:textId="77777777" w:rsidTr="00072677">
        <w:trPr>
          <w:trHeight w:val="315"/>
        </w:trPr>
        <w:tc>
          <w:tcPr>
            <w:tcW w:w="927" w:type="dxa"/>
          </w:tcPr>
          <w:p w14:paraId="22A4FD3D"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15</w:t>
            </w:r>
          </w:p>
        </w:tc>
        <w:tc>
          <w:tcPr>
            <w:tcW w:w="1939" w:type="dxa"/>
            <w:vAlign w:val="bottom"/>
          </w:tcPr>
          <w:p w14:paraId="2E93D997"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IPM 02-14</w:t>
            </w:r>
          </w:p>
        </w:tc>
        <w:tc>
          <w:tcPr>
            <w:tcW w:w="1276" w:type="dxa"/>
            <w:vAlign w:val="bottom"/>
          </w:tcPr>
          <w:p w14:paraId="790F33D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5743E17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84</w:t>
            </w:r>
          </w:p>
        </w:tc>
        <w:tc>
          <w:tcPr>
            <w:tcW w:w="1011" w:type="dxa"/>
            <w:vAlign w:val="bottom"/>
          </w:tcPr>
          <w:p w14:paraId="622CAA7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29.3</w:t>
            </w:r>
          </w:p>
        </w:tc>
        <w:tc>
          <w:tcPr>
            <w:tcW w:w="1007" w:type="dxa"/>
            <w:vAlign w:val="bottom"/>
          </w:tcPr>
          <w:p w14:paraId="66940E6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3.9</w:t>
            </w:r>
          </w:p>
        </w:tc>
        <w:tc>
          <w:tcPr>
            <w:tcW w:w="687" w:type="dxa"/>
            <w:vAlign w:val="bottom"/>
          </w:tcPr>
          <w:p w14:paraId="58F8DB8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13.5</w:t>
            </w:r>
          </w:p>
        </w:tc>
        <w:tc>
          <w:tcPr>
            <w:tcW w:w="688" w:type="dxa"/>
            <w:vAlign w:val="bottom"/>
          </w:tcPr>
          <w:p w14:paraId="5E0ADC0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61A6E5E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4.0</w:t>
            </w:r>
          </w:p>
        </w:tc>
        <w:tc>
          <w:tcPr>
            <w:tcW w:w="870" w:type="dxa"/>
            <w:vAlign w:val="bottom"/>
          </w:tcPr>
          <w:p w14:paraId="5ACEE36D"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308.33</w:t>
            </w:r>
          </w:p>
        </w:tc>
      </w:tr>
      <w:tr w:rsidR="006D4B73" w:rsidRPr="008C052F" w14:paraId="324A9971" w14:textId="77777777" w:rsidTr="00072677">
        <w:trPr>
          <w:trHeight w:val="315"/>
        </w:trPr>
        <w:tc>
          <w:tcPr>
            <w:tcW w:w="927" w:type="dxa"/>
          </w:tcPr>
          <w:p w14:paraId="30CA2796"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16</w:t>
            </w:r>
          </w:p>
        </w:tc>
        <w:tc>
          <w:tcPr>
            <w:tcW w:w="1939" w:type="dxa"/>
            <w:vAlign w:val="bottom"/>
          </w:tcPr>
          <w:p w14:paraId="565D6627"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OBGG-52</w:t>
            </w:r>
          </w:p>
        </w:tc>
        <w:tc>
          <w:tcPr>
            <w:tcW w:w="1276" w:type="dxa"/>
            <w:vAlign w:val="bottom"/>
          </w:tcPr>
          <w:p w14:paraId="5824DD0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992" w:type="dxa"/>
            <w:vAlign w:val="bottom"/>
          </w:tcPr>
          <w:p w14:paraId="193F4C5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82</w:t>
            </w:r>
          </w:p>
        </w:tc>
        <w:tc>
          <w:tcPr>
            <w:tcW w:w="1011" w:type="dxa"/>
            <w:vAlign w:val="bottom"/>
          </w:tcPr>
          <w:p w14:paraId="2C60DC2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35.8</w:t>
            </w:r>
          </w:p>
        </w:tc>
        <w:tc>
          <w:tcPr>
            <w:tcW w:w="1007" w:type="dxa"/>
            <w:vAlign w:val="bottom"/>
          </w:tcPr>
          <w:p w14:paraId="1AE9CA1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3.9</w:t>
            </w:r>
          </w:p>
        </w:tc>
        <w:tc>
          <w:tcPr>
            <w:tcW w:w="687" w:type="dxa"/>
            <w:vAlign w:val="bottom"/>
          </w:tcPr>
          <w:p w14:paraId="15FB722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12.1</w:t>
            </w:r>
          </w:p>
        </w:tc>
        <w:tc>
          <w:tcPr>
            <w:tcW w:w="688" w:type="dxa"/>
            <w:vAlign w:val="bottom"/>
          </w:tcPr>
          <w:p w14:paraId="6A5653A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0CD3E43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3.4</w:t>
            </w:r>
          </w:p>
        </w:tc>
        <w:tc>
          <w:tcPr>
            <w:tcW w:w="870" w:type="dxa"/>
            <w:vAlign w:val="bottom"/>
          </w:tcPr>
          <w:p w14:paraId="37E6F4D0"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300.00</w:t>
            </w:r>
          </w:p>
        </w:tc>
      </w:tr>
      <w:tr w:rsidR="006D4B73" w:rsidRPr="008C052F" w14:paraId="36D1EBF0" w14:textId="77777777" w:rsidTr="00072677">
        <w:trPr>
          <w:trHeight w:val="315"/>
        </w:trPr>
        <w:tc>
          <w:tcPr>
            <w:tcW w:w="927" w:type="dxa"/>
          </w:tcPr>
          <w:p w14:paraId="72ED61A2"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
        </w:tc>
        <w:tc>
          <w:tcPr>
            <w:tcW w:w="1939" w:type="dxa"/>
          </w:tcPr>
          <w:p w14:paraId="17C77F0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S.E.(m)</w:t>
            </w:r>
            <w:r w:rsidRPr="008C052F">
              <w:rPr>
                <w:rFonts w:ascii="Times New Roman" w:hAnsi="Times New Roman" w:cs="Times New Roman"/>
                <w:sz w:val="28"/>
                <w:szCs w:val="28"/>
                <w:u w:val="single"/>
              </w:rPr>
              <w:t>+</w:t>
            </w:r>
          </w:p>
        </w:tc>
        <w:tc>
          <w:tcPr>
            <w:tcW w:w="1276" w:type="dxa"/>
            <w:vAlign w:val="bottom"/>
          </w:tcPr>
          <w:p w14:paraId="5B61476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0.52</w:t>
            </w:r>
          </w:p>
        </w:tc>
        <w:tc>
          <w:tcPr>
            <w:tcW w:w="992" w:type="dxa"/>
            <w:vAlign w:val="bottom"/>
          </w:tcPr>
          <w:p w14:paraId="3DFDDB3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1011" w:type="dxa"/>
            <w:vAlign w:val="bottom"/>
          </w:tcPr>
          <w:p w14:paraId="4ECEC24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0.85</w:t>
            </w:r>
          </w:p>
        </w:tc>
        <w:tc>
          <w:tcPr>
            <w:tcW w:w="1007" w:type="dxa"/>
            <w:vAlign w:val="bottom"/>
          </w:tcPr>
          <w:p w14:paraId="6D00626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0.35</w:t>
            </w:r>
          </w:p>
        </w:tc>
        <w:tc>
          <w:tcPr>
            <w:tcW w:w="687" w:type="dxa"/>
            <w:vAlign w:val="bottom"/>
          </w:tcPr>
          <w:p w14:paraId="42CBFB3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0.76</w:t>
            </w:r>
          </w:p>
        </w:tc>
        <w:tc>
          <w:tcPr>
            <w:tcW w:w="688" w:type="dxa"/>
            <w:vAlign w:val="bottom"/>
          </w:tcPr>
          <w:p w14:paraId="2672035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0.18</w:t>
            </w:r>
          </w:p>
        </w:tc>
        <w:tc>
          <w:tcPr>
            <w:tcW w:w="688" w:type="dxa"/>
            <w:vAlign w:val="bottom"/>
          </w:tcPr>
          <w:p w14:paraId="7EF6F29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0.11</w:t>
            </w:r>
          </w:p>
        </w:tc>
        <w:tc>
          <w:tcPr>
            <w:tcW w:w="870" w:type="dxa"/>
            <w:vAlign w:val="bottom"/>
          </w:tcPr>
          <w:p w14:paraId="62C4E6A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56.6</w:t>
            </w:r>
          </w:p>
        </w:tc>
      </w:tr>
      <w:tr w:rsidR="006D4B73" w:rsidRPr="008C052F" w14:paraId="49E8669E" w14:textId="77777777" w:rsidTr="00072677">
        <w:trPr>
          <w:trHeight w:val="315"/>
        </w:trPr>
        <w:tc>
          <w:tcPr>
            <w:tcW w:w="927" w:type="dxa"/>
          </w:tcPr>
          <w:p w14:paraId="2E552A6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
        </w:tc>
        <w:tc>
          <w:tcPr>
            <w:tcW w:w="1939" w:type="dxa"/>
          </w:tcPr>
          <w:p w14:paraId="1448B7EB"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roofErr w:type="gramStart"/>
            <w:r w:rsidRPr="008C052F">
              <w:rPr>
                <w:rFonts w:ascii="Times New Roman" w:hAnsi="Times New Roman" w:cs="Times New Roman"/>
                <w:sz w:val="28"/>
                <w:szCs w:val="28"/>
              </w:rPr>
              <w:t>C.D.(</w:t>
            </w:r>
            <w:proofErr w:type="gramEnd"/>
            <w:r w:rsidRPr="008C052F">
              <w:rPr>
                <w:rFonts w:ascii="Times New Roman" w:hAnsi="Times New Roman" w:cs="Times New Roman"/>
                <w:sz w:val="28"/>
                <w:szCs w:val="28"/>
              </w:rPr>
              <w:t>0.05)</w:t>
            </w:r>
          </w:p>
        </w:tc>
        <w:tc>
          <w:tcPr>
            <w:tcW w:w="1276" w:type="dxa"/>
            <w:vAlign w:val="bottom"/>
          </w:tcPr>
          <w:p w14:paraId="44C4679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1.50</w:t>
            </w:r>
          </w:p>
        </w:tc>
        <w:tc>
          <w:tcPr>
            <w:tcW w:w="992" w:type="dxa"/>
            <w:vAlign w:val="bottom"/>
          </w:tcPr>
          <w:p w14:paraId="3DC6248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3.03</w:t>
            </w:r>
          </w:p>
        </w:tc>
        <w:tc>
          <w:tcPr>
            <w:tcW w:w="1011" w:type="dxa"/>
            <w:vAlign w:val="bottom"/>
          </w:tcPr>
          <w:p w14:paraId="75743CB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2.45</w:t>
            </w:r>
          </w:p>
        </w:tc>
        <w:tc>
          <w:tcPr>
            <w:tcW w:w="1007" w:type="dxa"/>
            <w:vAlign w:val="bottom"/>
          </w:tcPr>
          <w:p w14:paraId="074AF58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1.00</w:t>
            </w:r>
          </w:p>
        </w:tc>
        <w:tc>
          <w:tcPr>
            <w:tcW w:w="687" w:type="dxa"/>
            <w:vAlign w:val="bottom"/>
          </w:tcPr>
          <w:p w14:paraId="61B91D6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2.20</w:t>
            </w:r>
          </w:p>
        </w:tc>
        <w:tc>
          <w:tcPr>
            <w:tcW w:w="688" w:type="dxa"/>
            <w:vAlign w:val="bottom"/>
          </w:tcPr>
          <w:p w14:paraId="15AA7D9F"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0.51</w:t>
            </w:r>
          </w:p>
        </w:tc>
        <w:tc>
          <w:tcPr>
            <w:tcW w:w="688" w:type="dxa"/>
            <w:vAlign w:val="bottom"/>
          </w:tcPr>
          <w:p w14:paraId="48A1F7E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0.31</w:t>
            </w:r>
          </w:p>
        </w:tc>
        <w:tc>
          <w:tcPr>
            <w:tcW w:w="870" w:type="dxa"/>
            <w:vAlign w:val="bottom"/>
          </w:tcPr>
          <w:p w14:paraId="08AF58A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163.4</w:t>
            </w:r>
          </w:p>
        </w:tc>
      </w:tr>
      <w:tr w:rsidR="006D4B73" w:rsidRPr="008C052F" w14:paraId="6861E5F0" w14:textId="77777777" w:rsidTr="00072677">
        <w:trPr>
          <w:trHeight w:val="315"/>
        </w:trPr>
        <w:tc>
          <w:tcPr>
            <w:tcW w:w="927" w:type="dxa"/>
          </w:tcPr>
          <w:p w14:paraId="73B5897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
        </w:tc>
        <w:tc>
          <w:tcPr>
            <w:tcW w:w="1939" w:type="dxa"/>
          </w:tcPr>
          <w:p w14:paraId="1667CB24"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roofErr w:type="gramStart"/>
            <w:r w:rsidRPr="008C052F">
              <w:rPr>
                <w:rFonts w:ascii="Times New Roman" w:hAnsi="Times New Roman" w:cs="Times New Roman"/>
                <w:sz w:val="28"/>
                <w:szCs w:val="28"/>
              </w:rPr>
              <w:t>CV(</w:t>
            </w:r>
            <w:proofErr w:type="gramEnd"/>
            <w:r w:rsidRPr="008C052F">
              <w:rPr>
                <w:rFonts w:ascii="Times New Roman" w:hAnsi="Times New Roman" w:cs="Times New Roman"/>
                <w:sz w:val="28"/>
                <w:szCs w:val="28"/>
              </w:rPr>
              <w:t>%)</w:t>
            </w:r>
          </w:p>
        </w:tc>
        <w:tc>
          <w:tcPr>
            <w:tcW w:w="1276" w:type="dxa"/>
            <w:vAlign w:val="bottom"/>
          </w:tcPr>
          <w:p w14:paraId="26E8D20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1.55</w:t>
            </w:r>
          </w:p>
        </w:tc>
        <w:tc>
          <w:tcPr>
            <w:tcW w:w="992" w:type="dxa"/>
            <w:vAlign w:val="bottom"/>
          </w:tcPr>
          <w:p w14:paraId="4CCD7DD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2.09</w:t>
            </w:r>
          </w:p>
        </w:tc>
        <w:tc>
          <w:tcPr>
            <w:tcW w:w="1011" w:type="dxa"/>
            <w:vAlign w:val="bottom"/>
          </w:tcPr>
          <w:p w14:paraId="0261057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5.37</w:t>
            </w:r>
          </w:p>
        </w:tc>
        <w:tc>
          <w:tcPr>
            <w:tcW w:w="1007" w:type="dxa"/>
            <w:vAlign w:val="bottom"/>
          </w:tcPr>
          <w:p w14:paraId="5F1B325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9.72</w:t>
            </w:r>
          </w:p>
        </w:tc>
        <w:tc>
          <w:tcPr>
            <w:tcW w:w="687" w:type="dxa"/>
            <w:vAlign w:val="bottom"/>
          </w:tcPr>
          <w:p w14:paraId="31682A5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8.13</w:t>
            </w:r>
          </w:p>
        </w:tc>
        <w:tc>
          <w:tcPr>
            <w:tcW w:w="688" w:type="dxa"/>
            <w:vAlign w:val="bottom"/>
          </w:tcPr>
          <w:p w14:paraId="042C8B6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2.89</w:t>
            </w:r>
          </w:p>
        </w:tc>
        <w:tc>
          <w:tcPr>
            <w:tcW w:w="688" w:type="dxa"/>
            <w:vAlign w:val="bottom"/>
          </w:tcPr>
          <w:p w14:paraId="3BEC61F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6.49</w:t>
            </w:r>
          </w:p>
        </w:tc>
        <w:tc>
          <w:tcPr>
            <w:tcW w:w="870" w:type="dxa"/>
            <w:vAlign w:val="bottom"/>
          </w:tcPr>
          <w:p w14:paraId="7677AE2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16.7</w:t>
            </w:r>
          </w:p>
        </w:tc>
      </w:tr>
    </w:tbl>
    <w:p w14:paraId="0EBF101E" w14:textId="77777777" w:rsidR="006D4B73" w:rsidRDefault="006D4B73" w:rsidP="008C052F">
      <w:pPr>
        <w:jc w:val="both"/>
        <w:rPr>
          <w:rFonts w:ascii="Times New Roman" w:hAnsi="Times New Roman" w:cs="Times New Roman"/>
          <w:lang w:val="en-IN"/>
        </w:rPr>
      </w:pPr>
    </w:p>
    <w:p w14:paraId="52D9FFE7" w14:textId="77777777" w:rsidR="006D4B73" w:rsidRPr="00011429" w:rsidRDefault="006D4B73" w:rsidP="006D4B73">
      <w:pPr>
        <w:jc w:val="both"/>
        <w:rPr>
          <w:rFonts w:ascii="Times New Roman" w:hAnsi="Times New Roman" w:cs="Times New Roman"/>
          <w:sz w:val="24"/>
          <w:szCs w:val="24"/>
        </w:rPr>
      </w:pPr>
      <w:r w:rsidRPr="00011429">
        <w:rPr>
          <w:rFonts w:ascii="Times New Roman" w:hAnsi="Times New Roman" w:cs="Times New Roman"/>
          <w:sz w:val="24"/>
          <w:szCs w:val="24"/>
        </w:rPr>
        <w:t xml:space="preserve">Table.2. Response   of popular local </w:t>
      </w:r>
      <w:proofErr w:type="spellStart"/>
      <w:r w:rsidRPr="00011429">
        <w:rPr>
          <w:rFonts w:ascii="Times New Roman" w:hAnsi="Times New Roman" w:cs="Times New Roman"/>
          <w:sz w:val="24"/>
          <w:szCs w:val="24"/>
        </w:rPr>
        <w:t>greengram</w:t>
      </w:r>
      <w:proofErr w:type="spellEnd"/>
      <w:r w:rsidRPr="00011429">
        <w:rPr>
          <w:rFonts w:ascii="Times New Roman" w:hAnsi="Times New Roman" w:cs="Times New Roman"/>
          <w:sz w:val="24"/>
          <w:szCs w:val="24"/>
        </w:rPr>
        <w:t xml:space="preserve"> </w:t>
      </w:r>
      <w:proofErr w:type="gramStart"/>
      <w:r w:rsidRPr="00011429">
        <w:rPr>
          <w:rFonts w:ascii="Times New Roman" w:hAnsi="Times New Roman" w:cs="Times New Roman"/>
          <w:sz w:val="24"/>
          <w:szCs w:val="24"/>
        </w:rPr>
        <w:t>varieties  to</w:t>
      </w:r>
      <w:proofErr w:type="gramEnd"/>
      <w:r w:rsidRPr="00011429">
        <w:rPr>
          <w:rFonts w:ascii="Times New Roman" w:hAnsi="Times New Roman" w:cs="Times New Roman"/>
          <w:sz w:val="24"/>
          <w:szCs w:val="24"/>
        </w:rPr>
        <w:t xml:space="preserve"> powdery mildew and YMV diseases during last 3 years in </w:t>
      </w:r>
      <w:proofErr w:type="spellStart"/>
      <w:r w:rsidRPr="00011429">
        <w:rPr>
          <w:rFonts w:ascii="Times New Roman" w:hAnsi="Times New Roman" w:cs="Times New Roman"/>
          <w:sz w:val="24"/>
          <w:szCs w:val="24"/>
        </w:rPr>
        <w:t>Bhawanipatna</w:t>
      </w:r>
      <w:proofErr w:type="spellEnd"/>
      <w:r w:rsidRPr="00011429">
        <w:rPr>
          <w:rFonts w:ascii="Times New Roman" w:hAnsi="Times New Roman" w:cs="Times New Roman"/>
          <w:sz w:val="24"/>
          <w:szCs w:val="24"/>
        </w:rPr>
        <w:t xml:space="preserve">, Kalahandi at different sowing dates </w:t>
      </w:r>
    </w:p>
    <w:p w14:paraId="103B12D1" w14:textId="77777777" w:rsidR="006D4B73" w:rsidRPr="008C052F" w:rsidRDefault="006D4B73" w:rsidP="006D4B73">
      <w:pPr>
        <w:jc w:val="both"/>
        <w:rPr>
          <w:rFonts w:ascii="Times New Roman" w:hAnsi="Times New Roman" w:cs="Times New Roman"/>
        </w:rPr>
      </w:pPr>
    </w:p>
    <w:tbl>
      <w:tblPr>
        <w:tblW w:w="11340" w:type="dxa"/>
        <w:tblInd w:w="-732" w:type="dxa"/>
        <w:tblCellMar>
          <w:left w:w="0" w:type="dxa"/>
          <w:right w:w="0" w:type="dxa"/>
        </w:tblCellMar>
        <w:tblLook w:val="04A0" w:firstRow="1" w:lastRow="0" w:firstColumn="1" w:lastColumn="0" w:noHBand="0" w:noVBand="1"/>
      </w:tblPr>
      <w:tblGrid>
        <w:gridCol w:w="540"/>
        <w:gridCol w:w="1350"/>
        <w:gridCol w:w="900"/>
        <w:gridCol w:w="990"/>
        <w:gridCol w:w="900"/>
        <w:gridCol w:w="990"/>
        <w:gridCol w:w="1170"/>
        <w:gridCol w:w="1080"/>
        <w:gridCol w:w="990"/>
        <w:gridCol w:w="1260"/>
        <w:gridCol w:w="1170"/>
      </w:tblGrid>
      <w:tr w:rsidR="006D4B73" w:rsidRPr="008C052F" w14:paraId="4F88B4D1" w14:textId="77777777" w:rsidTr="00072677">
        <w:trPr>
          <w:trHeight w:val="345"/>
        </w:trPr>
        <w:tc>
          <w:tcPr>
            <w:tcW w:w="540" w:type="dxa"/>
            <w:vMerge w:val="restart"/>
            <w:tcBorders>
              <w:top w:val="single" w:sz="8" w:space="0" w:color="000000"/>
              <w:left w:val="single" w:sz="8" w:space="0" w:color="000000"/>
              <w:right w:val="single" w:sz="8" w:space="0" w:color="000000"/>
            </w:tcBorders>
            <w:tcMar>
              <w:top w:w="13" w:type="dxa"/>
              <w:left w:w="78" w:type="dxa"/>
              <w:bottom w:w="0" w:type="dxa"/>
              <w:right w:w="78" w:type="dxa"/>
            </w:tcMar>
            <w:hideMark/>
          </w:tcPr>
          <w:p w14:paraId="454DA3D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Sl. No. </w:t>
            </w:r>
          </w:p>
        </w:tc>
        <w:tc>
          <w:tcPr>
            <w:tcW w:w="1350" w:type="dxa"/>
            <w:vMerge w:val="restart"/>
            <w:tcBorders>
              <w:top w:val="single" w:sz="8" w:space="0" w:color="000000"/>
              <w:left w:val="single" w:sz="8" w:space="0" w:color="000000"/>
              <w:right w:val="single" w:sz="8" w:space="0" w:color="000000"/>
            </w:tcBorders>
            <w:tcMar>
              <w:top w:w="13" w:type="dxa"/>
              <w:left w:w="78" w:type="dxa"/>
              <w:bottom w:w="0" w:type="dxa"/>
              <w:right w:w="78" w:type="dxa"/>
            </w:tcMar>
            <w:hideMark/>
          </w:tcPr>
          <w:p w14:paraId="4E93F0C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Variety </w:t>
            </w:r>
          </w:p>
        </w:tc>
        <w:tc>
          <w:tcPr>
            <w:tcW w:w="279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C891BE6" w14:textId="77777777" w:rsidR="006D4B73" w:rsidRPr="008C052F" w:rsidRDefault="006D4B73" w:rsidP="00072677">
            <w:pPr>
              <w:jc w:val="center"/>
              <w:rPr>
                <w:rFonts w:ascii="Times New Roman" w:hAnsi="Times New Roman" w:cs="Times New Roman"/>
              </w:rPr>
            </w:pPr>
            <w:r w:rsidRPr="008C052F">
              <w:rPr>
                <w:rFonts w:ascii="Times New Roman" w:hAnsi="Times New Roman" w:cs="Times New Roman"/>
              </w:rPr>
              <w:t>DOS- 07.12.2016</w:t>
            </w:r>
          </w:p>
        </w:tc>
        <w:tc>
          <w:tcPr>
            <w:tcW w:w="324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530007F7" w14:textId="77777777" w:rsidR="006D4B73" w:rsidRPr="008C052F" w:rsidRDefault="006D4B73" w:rsidP="00072677">
            <w:pPr>
              <w:jc w:val="center"/>
              <w:rPr>
                <w:rFonts w:ascii="Times New Roman" w:hAnsi="Times New Roman" w:cs="Times New Roman"/>
              </w:rPr>
            </w:pPr>
            <w:r w:rsidRPr="008C052F">
              <w:rPr>
                <w:rFonts w:ascii="Times New Roman" w:hAnsi="Times New Roman" w:cs="Times New Roman"/>
              </w:rPr>
              <w:t>DOS-02.12.2017</w:t>
            </w:r>
          </w:p>
        </w:tc>
        <w:tc>
          <w:tcPr>
            <w:tcW w:w="342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33E7E86" w14:textId="77777777" w:rsidR="006D4B73" w:rsidRPr="008C052F" w:rsidRDefault="006D4B73" w:rsidP="00072677">
            <w:pPr>
              <w:jc w:val="center"/>
              <w:rPr>
                <w:rFonts w:ascii="Times New Roman" w:hAnsi="Times New Roman" w:cs="Times New Roman"/>
              </w:rPr>
            </w:pPr>
            <w:r w:rsidRPr="008C052F">
              <w:rPr>
                <w:rFonts w:ascii="Times New Roman" w:hAnsi="Times New Roman" w:cs="Times New Roman"/>
              </w:rPr>
              <w:t>DOS – 29.12.2018</w:t>
            </w:r>
          </w:p>
        </w:tc>
      </w:tr>
      <w:tr w:rsidR="006D4B73" w:rsidRPr="008C052F" w14:paraId="2317F456" w14:textId="77777777" w:rsidTr="00072677">
        <w:trPr>
          <w:trHeight w:val="687"/>
        </w:trPr>
        <w:tc>
          <w:tcPr>
            <w:tcW w:w="540" w:type="dxa"/>
            <w:vMerge/>
            <w:tcBorders>
              <w:left w:val="single" w:sz="8" w:space="0" w:color="000000"/>
              <w:bottom w:val="single" w:sz="8" w:space="0" w:color="000000"/>
              <w:right w:val="single" w:sz="8" w:space="0" w:color="000000"/>
            </w:tcBorders>
            <w:tcMar>
              <w:top w:w="13" w:type="dxa"/>
              <w:left w:w="78" w:type="dxa"/>
              <w:bottom w:w="0" w:type="dxa"/>
              <w:right w:w="78" w:type="dxa"/>
            </w:tcMar>
            <w:hideMark/>
          </w:tcPr>
          <w:p w14:paraId="4A8DA378" w14:textId="77777777" w:rsidR="006D4B73" w:rsidRPr="008C052F" w:rsidRDefault="006D4B73" w:rsidP="00072677">
            <w:pPr>
              <w:rPr>
                <w:rFonts w:ascii="Times New Roman" w:hAnsi="Times New Roman" w:cs="Times New Roman"/>
              </w:rPr>
            </w:pPr>
          </w:p>
        </w:tc>
        <w:tc>
          <w:tcPr>
            <w:tcW w:w="1350" w:type="dxa"/>
            <w:vMerge/>
            <w:tcBorders>
              <w:left w:val="single" w:sz="8" w:space="0" w:color="000000"/>
              <w:bottom w:val="single" w:sz="8" w:space="0" w:color="000000"/>
              <w:right w:val="single" w:sz="8" w:space="0" w:color="000000"/>
            </w:tcBorders>
            <w:tcMar>
              <w:top w:w="13" w:type="dxa"/>
              <w:left w:w="78" w:type="dxa"/>
              <w:bottom w:w="0" w:type="dxa"/>
              <w:right w:w="78" w:type="dxa"/>
            </w:tcMar>
            <w:hideMark/>
          </w:tcPr>
          <w:p w14:paraId="36C521DD" w14:textId="77777777" w:rsidR="006D4B73" w:rsidRPr="008C052F" w:rsidRDefault="006D4B73" w:rsidP="00072677">
            <w:pPr>
              <w:rPr>
                <w:rFonts w:ascii="Times New Roman" w:hAnsi="Times New Roman" w:cs="Times New Roman"/>
              </w:rPr>
            </w:pP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3B0EB0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Yield kg/ha</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5348FC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Powdery mildew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C7BCBC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YMV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444BA0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Yield kg/ha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BA07AD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Powdery mildew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694CEE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YMV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5D2AD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Yield kg/ha</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E62F75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Powdery mildew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5B81C0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YMV </w:t>
            </w:r>
          </w:p>
        </w:tc>
      </w:tr>
      <w:tr w:rsidR="006D4B73" w:rsidRPr="008C052F" w14:paraId="775DC55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9055F2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0E1F77A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Kula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3E863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1AF63B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092244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8575E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654.0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080F4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3F1AA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7ED592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377.0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81C54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87ABAD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55FDAB86"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3682C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2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E8C06CC"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lang w:val="en-IN"/>
              </w:rPr>
              <w:t>KulaJhain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ED94C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466.6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17179D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95D493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CE775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670.0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DC5B6A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4FBE66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EC3B65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400.5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5362FA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ACEAE3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234E18D"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FAA1B14"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3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BDDC195"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b/>
                <w:bCs/>
                <w:lang w:val="en-IN"/>
              </w:rPr>
              <w:t>Kharamuga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583996"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575.3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4A5FBC4"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EB88AF5"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8B7C368"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670.0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CD01D8F"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0ADA4E"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665B6A2"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447.7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71C2596"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DDAE94D" w14:textId="77777777" w:rsidR="006D4B73" w:rsidRPr="008C052F" w:rsidRDefault="006D4B73" w:rsidP="00072677">
            <w:pPr>
              <w:rPr>
                <w:rFonts w:ascii="Times New Roman" w:hAnsi="Times New Roman" w:cs="Times New Roman"/>
                <w:b/>
                <w:bCs/>
              </w:rPr>
            </w:pPr>
            <w:r w:rsidRPr="008C052F">
              <w:rPr>
                <w:rFonts w:ascii="Times New Roman" w:hAnsi="Times New Roman" w:cs="Times New Roman"/>
                <w:b/>
                <w:bCs/>
              </w:rPr>
              <w:t>Absent</w:t>
            </w:r>
          </w:p>
        </w:tc>
      </w:tr>
      <w:tr w:rsidR="006D4B73" w:rsidRPr="008C052F" w14:paraId="4A3784E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1BDA90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09497B"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Kala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354BD6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533.3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4F35B2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6FCEA9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FC0939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752.0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9EC22C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2FE712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648992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408.3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A2728E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5A172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EC01C5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EF2088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63EEE60"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 xml:space="preserve">Kala </w:t>
            </w:r>
            <w:proofErr w:type="spellStart"/>
            <w:r w:rsidRPr="008C052F">
              <w:rPr>
                <w:rFonts w:ascii="Times New Roman" w:hAnsi="Times New Roman" w:cs="Times New Roman"/>
                <w:lang w:val="en-IN"/>
              </w:rPr>
              <w:t>Kadua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74BBAF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441.6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F5019E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EFF798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9E6277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327.0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D8561B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1018C2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69BD1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311.6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889CF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FA4F4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49052DCE"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B0B8B93"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6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F63DB4"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b/>
                <w:bCs/>
                <w:lang w:val="en-IN"/>
              </w:rPr>
              <w:t>Jhain</w:t>
            </w:r>
            <w:proofErr w:type="spellEnd"/>
            <w:r w:rsidRPr="008C052F">
              <w:rPr>
                <w:rFonts w:ascii="Times New Roman" w:hAnsi="Times New Roman" w:cs="Times New Roman"/>
                <w:b/>
                <w:bCs/>
                <w:lang w:val="en-IN"/>
              </w:rPr>
              <w:t xml:space="preserve"> </w:t>
            </w:r>
            <w:proofErr w:type="spellStart"/>
            <w:r w:rsidRPr="008C052F">
              <w:rPr>
                <w:rFonts w:ascii="Times New Roman" w:hAnsi="Times New Roman" w:cs="Times New Roman"/>
                <w:b/>
                <w:bCs/>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5A9D7D1"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491.6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FC933F6"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4DB1F56"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4DFE34"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980.0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1E1A89"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9ECC72C"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A1AED0"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405.0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4BC3483"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373BFE"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r>
      <w:tr w:rsidR="006D4B73" w:rsidRPr="008C052F" w14:paraId="64DDF0AD"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6BB09F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7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079D8D7"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lang w:val="en-IN"/>
              </w:rPr>
              <w:t>Bansapala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D808BF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266.6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786771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C93B0E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F772C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441.0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FC023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9EE708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B5F650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276.6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5B4692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33F22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9AB07C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166F85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8.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651CCC3"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rPr>
              <w:t>Lakripalli</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B2946A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988718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277068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4155E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556.0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88A2D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DB962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B1C28A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349.4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250DB1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F12F2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8631F4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155DC2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lastRenderedPageBreak/>
              <w:t xml:space="preserve">9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EC5907"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Aska desi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720419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425.0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81858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2ECDBB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B6F55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441.0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CEF0B5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99297F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7DCC1B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407.2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B003AE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E1B82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62248F82"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DB33EC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10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07C6FA5"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rPr>
              <w:t>Seragada</w:t>
            </w:r>
            <w:proofErr w:type="spellEnd"/>
            <w:r w:rsidRPr="008C052F">
              <w:rPr>
                <w:rFonts w:ascii="Times New Roman" w:hAnsi="Times New Roman" w:cs="Times New Roman"/>
              </w:rPr>
              <w:t xml:space="preserve"> Desi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0D409D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350.0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8A9BC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D87FCB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F79C6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425.0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A37F42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F9D989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BF3A35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360.5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CCDE2D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184790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00EC90E6"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FA2596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11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4B87FA"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rPr>
              <w:t>Dharakote</w:t>
            </w:r>
            <w:proofErr w:type="spellEnd"/>
            <w:r w:rsidRPr="008C052F">
              <w:rPr>
                <w:rFonts w:ascii="Times New Roman" w:hAnsi="Times New Roman" w:cs="Times New Roman"/>
              </w:rPr>
              <w:t xml:space="preserve"> Desi mug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6AC3BF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8854AC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C9268D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CC006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556.0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39420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A68D4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B8710D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349.4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79E1A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77906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FA690F5"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0E7F7F3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12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40AC56"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Angul Kala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20438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133.3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8CBAA4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51030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6EEAA3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359.0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D05E01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571DA5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D1561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181.6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E0126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2E20A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4A28FD9F" w14:textId="77777777" w:rsidTr="00072677">
        <w:trPr>
          <w:trHeight w:val="46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4140A5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13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FDE0891"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lang w:val="en-IN"/>
              </w:rPr>
              <w:t>Nayagarh</w:t>
            </w:r>
            <w:proofErr w:type="spellEnd"/>
            <w:r w:rsidRPr="008C052F">
              <w:rPr>
                <w:rFonts w:ascii="Times New Roman" w:hAnsi="Times New Roman" w:cs="Times New Roman"/>
                <w:lang w:val="en-IN"/>
              </w:rPr>
              <w:t xml:space="preserve"> local</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3FB95C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5AD5A0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66429A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B9F5E8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703.0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F995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0F53EA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72654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405.0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EA3A33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6B85F3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6A65AEB3"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1968B4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14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76A5726"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IPM 02-14</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59E084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300.0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AB12DF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A3E2FB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EB902B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523.0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AA985F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850EA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F8FDFC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443.8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D89B21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681BE1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r>
      <w:tr w:rsidR="006D4B73" w:rsidRPr="008C052F" w14:paraId="589CE6B2"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59EBF41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15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005293"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OBGG-52</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36CB60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325.0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C90289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7156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41C210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833.0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62B337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261B38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931C39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394.4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289D6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22BE27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01A48F7"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64B1C3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16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867D37"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lang w:val="en-IN"/>
              </w:rPr>
              <w:t>Chaiti</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47E7DE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308.3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3B0AF0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C369A1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C277A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474.0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07592A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9878E5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06CADF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308.8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5AE16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D8706B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bl>
    <w:p w14:paraId="3B6E1082" w14:textId="77777777" w:rsidR="006D4B73" w:rsidRPr="008C052F" w:rsidRDefault="006D4B73" w:rsidP="006D4B73">
      <w:pPr>
        <w:jc w:val="both"/>
        <w:rPr>
          <w:rFonts w:ascii="Times New Roman" w:hAnsi="Times New Roman" w:cs="Times New Roman"/>
        </w:rPr>
      </w:pPr>
    </w:p>
    <w:p w14:paraId="087C30E8" w14:textId="77777777" w:rsidR="006D4B73" w:rsidRPr="008C052F" w:rsidRDefault="006D4B73" w:rsidP="008C052F">
      <w:pPr>
        <w:jc w:val="both"/>
        <w:rPr>
          <w:rFonts w:ascii="Times New Roman" w:hAnsi="Times New Roman" w:cs="Times New Roman"/>
          <w:lang w:val="en-IN"/>
        </w:rPr>
      </w:pPr>
    </w:p>
    <w:p w14:paraId="1F6CFA6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 Discussion</w:t>
      </w:r>
    </w:p>
    <w:p w14:paraId="32CF8EF3"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1. Yield Variability and Genotype × Environment Interaction</w:t>
      </w:r>
    </w:p>
    <w:p w14:paraId="5FABBCF8"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observed yield differences among genotypes and across years reflect strong genotype × environment interactions (G×E). Environmental factors such as temperature and sowing time significantly influenced both yield and disease expression. Early sowing minimized YMV infection, while cooler, humid conditions </w:t>
      </w:r>
      <w:proofErr w:type="spellStart"/>
      <w:r w:rsidRPr="008C052F">
        <w:rPr>
          <w:rFonts w:ascii="Times New Roman" w:hAnsi="Times New Roman" w:cs="Times New Roman"/>
          <w:lang w:val="en-IN"/>
        </w:rPr>
        <w:t>favored</w:t>
      </w:r>
      <w:proofErr w:type="spellEnd"/>
      <w:r w:rsidRPr="008C052F">
        <w:rPr>
          <w:rFonts w:ascii="Times New Roman" w:hAnsi="Times New Roman" w:cs="Times New Roman"/>
          <w:lang w:val="en-IN"/>
        </w:rPr>
        <w:t xml:space="preserve"> powdery mildew outbreaks. Similar findings have been reported by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and (Sahni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where temperature-dependent expression of resistance was linked to differential activation of </w:t>
      </w:r>
      <w:proofErr w:type="spellStart"/>
      <w:r w:rsidRPr="008C052F">
        <w:rPr>
          <w:rFonts w:ascii="Times New Roman" w:hAnsi="Times New Roman" w:cs="Times New Roman"/>
          <w:lang w:val="en-IN"/>
        </w:rPr>
        <w:t>defense</w:t>
      </w:r>
      <w:proofErr w:type="spellEnd"/>
      <w:r w:rsidRPr="008C052F">
        <w:rPr>
          <w:rFonts w:ascii="Times New Roman" w:hAnsi="Times New Roman" w:cs="Times New Roman"/>
          <w:lang w:val="en-IN"/>
        </w:rPr>
        <w:t xml:space="preserve"> pathways.</w:t>
      </w:r>
    </w:p>
    <w:p w14:paraId="5A7D54E0"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Local landraces exhibited higher yield stability across the years, suggesting their superior adaptation and phenotypic plasticity. The consistency in yield performance across three seasons validates their potential as genetic donors for multi-environment breeding.</w:t>
      </w:r>
    </w:p>
    <w:p w14:paraId="152E0CF7"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2. Genetic Resistance and Breeding Implications</w:t>
      </w:r>
    </w:p>
    <w:p w14:paraId="22B40F50"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complete resistance of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to both YMV and powdery mildew across three years strongly indicates stable, heritable genetic resistance. Previous studies have identified dominant genes conferring MYMV resistance and mapped QTLs on linkage groups 2 and 6 in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Kitsanachandee</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2013). Similar resistance loci were associated with pathogen recognition proteins and downstream activation of </w:t>
      </w:r>
      <w:proofErr w:type="spellStart"/>
      <w:r w:rsidRPr="008C052F">
        <w:rPr>
          <w:rFonts w:ascii="Times New Roman" w:hAnsi="Times New Roman" w:cs="Times New Roman"/>
          <w:lang w:val="en-IN"/>
        </w:rPr>
        <w:t>jasmonic</w:t>
      </w:r>
      <w:proofErr w:type="spellEnd"/>
      <w:r w:rsidRPr="008C052F">
        <w:rPr>
          <w:rFonts w:ascii="Times New Roman" w:hAnsi="Times New Roman" w:cs="Times New Roman"/>
          <w:lang w:val="en-IN"/>
        </w:rPr>
        <w:t xml:space="preserve"> acid and </w:t>
      </w:r>
      <w:proofErr w:type="spellStart"/>
      <w:r w:rsidRPr="008C052F">
        <w:rPr>
          <w:rFonts w:ascii="Times New Roman" w:hAnsi="Times New Roman" w:cs="Times New Roman"/>
          <w:lang w:val="en-IN"/>
        </w:rPr>
        <w:t>brassinosteroid</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signaling</w:t>
      </w:r>
      <w:proofErr w:type="spellEnd"/>
      <w:r w:rsidRPr="008C052F">
        <w:rPr>
          <w:rFonts w:ascii="Times New Roman" w:hAnsi="Times New Roman" w:cs="Times New Roman"/>
          <w:lang w:val="en-IN"/>
        </w:rPr>
        <w:t xml:space="preserve"> (Dasgupta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w:t>
      </w:r>
    </w:p>
    <w:p w14:paraId="70BC30A6"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lastRenderedPageBreak/>
        <w:t xml:space="preserve">The present study’s resistant genotypes can serve as parental lines in future hybridization programs for broad-spectrum resistance. The incorporation of marker-assisted selection (MAS) using SSR and </w:t>
      </w:r>
      <w:proofErr w:type="spellStart"/>
      <w:r w:rsidRPr="008C052F">
        <w:rPr>
          <w:rFonts w:ascii="Times New Roman" w:hAnsi="Times New Roman" w:cs="Times New Roman"/>
          <w:lang w:val="en-IN"/>
        </w:rPr>
        <w:t>InDel</w:t>
      </w:r>
      <w:proofErr w:type="spellEnd"/>
      <w:r w:rsidRPr="008C052F">
        <w:rPr>
          <w:rFonts w:ascii="Times New Roman" w:hAnsi="Times New Roman" w:cs="Times New Roman"/>
          <w:lang w:val="en-IN"/>
        </w:rPr>
        <w:t xml:space="preserve"> markers flanking disease-resistance loci (</w:t>
      </w:r>
      <w:proofErr w:type="spellStart"/>
      <w:r w:rsidRPr="008C052F">
        <w:rPr>
          <w:rFonts w:ascii="Times New Roman" w:hAnsi="Times New Roman" w:cs="Times New Roman"/>
          <w:lang w:val="en-IN"/>
        </w:rPr>
        <w:t>Tantasawat</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 can accelerate the breeding process for durable resistance.</w:t>
      </w:r>
    </w:p>
    <w:p w14:paraId="7EA3402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3. Physiological and Morphological Contributions to Disease Tolerance</w:t>
      </w:r>
    </w:p>
    <w:p w14:paraId="57E1B92A"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superior performance of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may also be attributed to their morphological adaptability—shorter internodes, dense canopy, and thicker leaf lamina. These features reduce microclimatic humidity within the canopy, limiting pathogen development. Similar adaptive morphological traits were documented by (Singh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098970B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Furthermore, higher photosynthetic efficiency and sustained chlorophyll retention were noted in resistant lines, consistent with reports linking photosystem protection and antioxidant enzyme activity to disease tolerance (Nair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2024).</w:t>
      </w:r>
    </w:p>
    <w:p w14:paraId="78B65BB2"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4. Role of Molecular Insights in Disease Management</w:t>
      </w:r>
    </w:p>
    <w:p w14:paraId="06E8AA7D"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Recent molecular studies in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have demonstrated that resistance to YMV involves a multi-layered </w:t>
      </w:r>
      <w:proofErr w:type="spellStart"/>
      <w:r w:rsidRPr="008C052F">
        <w:rPr>
          <w:rFonts w:ascii="Times New Roman" w:hAnsi="Times New Roman" w:cs="Times New Roman"/>
          <w:lang w:val="en-IN"/>
        </w:rPr>
        <w:t>defense</w:t>
      </w:r>
      <w:proofErr w:type="spellEnd"/>
      <w:r w:rsidRPr="008C052F">
        <w:rPr>
          <w:rFonts w:ascii="Times New Roman" w:hAnsi="Times New Roman" w:cs="Times New Roman"/>
          <w:lang w:val="en-IN"/>
        </w:rPr>
        <w:t xml:space="preserve"> network encompassing pathogen recognition (R genes), transcriptional regulation, and hormonal crosstalk (Dasgupta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 The resistant genotypes identified in this study can now be evaluated using such transcriptomic markers to identify functional resistance genes.</w:t>
      </w:r>
    </w:p>
    <w:p w14:paraId="26E12367"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Similarly, recent work by (</w:t>
      </w:r>
      <w:proofErr w:type="spellStart"/>
      <w:r w:rsidRPr="008C052F">
        <w:rPr>
          <w:rFonts w:ascii="Times New Roman" w:hAnsi="Times New Roman" w:cs="Times New Roman"/>
          <w:lang w:val="en-IN"/>
        </w:rPr>
        <w:t>Waengwan</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pinpointed the qPMRUM5-2 locus controlling powdery mildew resistance, which could be </w:t>
      </w:r>
      <w:proofErr w:type="spellStart"/>
      <w:r w:rsidRPr="008C052F">
        <w:rPr>
          <w:rFonts w:ascii="Times New Roman" w:hAnsi="Times New Roman" w:cs="Times New Roman"/>
          <w:lang w:val="en-IN"/>
        </w:rPr>
        <w:t>introgressed</w:t>
      </w:r>
      <w:proofErr w:type="spellEnd"/>
      <w:r w:rsidRPr="008C052F">
        <w:rPr>
          <w:rFonts w:ascii="Times New Roman" w:hAnsi="Times New Roman" w:cs="Times New Roman"/>
          <w:lang w:val="en-IN"/>
        </w:rPr>
        <w:t xml:space="preserve"> into susceptible high-yielding cultivars through marker-assisted backcrossing.</w:t>
      </w:r>
    </w:p>
    <w:p w14:paraId="2617DD6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5. Agronomic Implications and Climate Resilience</w:t>
      </w:r>
    </w:p>
    <w:p w14:paraId="7C9611C8"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ability of these local genotypes to perform well under rainfed conditions without irrigation demonstrates their drought resilience. This aligns with prior research highlighting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as a model crop for low-input, climate-smart agriculture (Sahoo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2020). Integrating such resilient genotypes into paddy–pulse rotations could substantially improve soil fertility, system productivity, and farmer income in semi-arid regions of Odisha.</w:t>
      </w:r>
    </w:p>
    <w:p w14:paraId="2435238A"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6. Implications for Future Breeding and Research</w:t>
      </w:r>
    </w:p>
    <w:p w14:paraId="25A11E9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This study underscores the importance of conserving and utilizing indigenous landraces as reservoirs of adaptive and disease-resistance genes. Future research should focus on:</w:t>
      </w:r>
    </w:p>
    <w:p w14:paraId="311FE000"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t xml:space="preserve">Molecular characterization of resistance genes in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using whole-genome resequencing.</w:t>
      </w:r>
    </w:p>
    <w:p w14:paraId="2EE1229D"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t>Developing genomic selection models for YMV and powdery mildew resistance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0DF9A6DF"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t xml:space="preserve">Conducting multi-location trials to validate genotype stability under diverse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-ecological zones.</w:t>
      </w:r>
    </w:p>
    <w:p w14:paraId="3D837794" w14:textId="77777777" w:rsidR="00F5675B" w:rsidRPr="008C052F" w:rsidRDefault="00F5675B" w:rsidP="008C052F">
      <w:pPr>
        <w:jc w:val="both"/>
        <w:rPr>
          <w:rFonts w:ascii="Times New Roman" w:hAnsi="Times New Roman" w:cs="Times New Roman"/>
          <w:b/>
          <w:bCs/>
        </w:rPr>
      </w:pPr>
      <w:r w:rsidRPr="008C052F">
        <w:rPr>
          <w:rFonts w:ascii="Times New Roman" w:hAnsi="Times New Roman" w:cs="Times New Roman"/>
          <w:noProof/>
          <w:lang w:val="en-IN" w:eastAsia="en-IN" w:bidi="or-IN"/>
        </w:rPr>
        <w:lastRenderedPageBreak/>
        <w:drawing>
          <wp:inline distT="0" distB="0" distL="0" distR="0" wp14:anchorId="7F67407A" wp14:editId="37217844">
            <wp:extent cx="5943600" cy="4457700"/>
            <wp:effectExtent l="0" t="0" r="0" b="0"/>
            <wp:docPr id="3" name="Picture 2" descr="C:\Users\dell\Downloads\20170223_11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20170223_110856.jpg"/>
                    <pic:cNvPicPr>
                      <a:picLocks noChangeAspect="1" noChangeArrowheads="1"/>
                    </pic:cNvPicPr>
                  </pic:nvPicPr>
                  <pic:blipFill>
                    <a:blip r:embed="rId7"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778F35F0" w14:textId="77777777" w:rsidR="00F5675B" w:rsidRPr="008C052F" w:rsidRDefault="00F5675B" w:rsidP="00EA06A5">
      <w:pPr>
        <w:jc w:val="both"/>
        <w:rPr>
          <w:rFonts w:ascii="Times New Roman" w:hAnsi="Times New Roman" w:cs="Times New Roman"/>
          <w:b/>
        </w:rPr>
      </w:pPr>
      <w:r w:rsidRPr="008C052F">
        <w:rPr>
          <w:rFonts w:ascii="Times New Roman" w:hAnsi="Times New Roman" w:cs="Times New Roman"/>
          <w:b/>
        </w:rPr>
        <w:t>Fig</w:t>
      </w:r>
      <w:r w:rsidR="008D2161">
        <w:rPr>
          <w:rFonts w:ascii="Times New Roman" w:hAnsi="Times New Roman" w:cs="Times New Roman"/>
          <w:b/>
        </w:rPr>
        <w:t>ure</w:t>
      </w:r>
      <w:r w:rsidRPr="008C052F">
        <w:rPr>
          <w:rFonts w:ascii="Times New Roman" w:hAnsi="Times New Roman" w:cs="Times New Roman"/>
          <w:b/>
        </w:rPr>
        <w:t xml:space="preserve">. 1 Comparison of Local green gram cultivars (left side) with OBGG-52 </w:t>
      </w:r>
      <w:proofErr w:type="gramStart"/>
      <w:r w:rsidRPr="008C052F">
        <w:rPr>
          <w:rFonts w:ascii="Times New Roman" w:hAnsi="Times New Roman" w:cs="Times New Roman"/>
          <w:b/>
        </w:rPr>
        <w:t>for  YMV</w:t>
      </w:r>
      <w:proofErr w:type="gramEnd"/>
      <w:r w:rsidRPr="008C052F">
        <w:rPr>
          <w:rFonts w:ascii="Times New Roman" w:hAnsi="Times New Roman" w:cs="Times New Roman"/>
          <w:b/>
        </w:rPr>
        <w:t xml:space="preserve"> infestation </w:t>
      </w:r>
    </w:p>
    <w:p w14:paraId="4C153BD6" w14:textId="77777777" w:rsidR="00173ACC" w:rsidRPr="008C052F" w:rsidRDefault="00173ACC" w:rsidP="00EA06A5">
      <w:pPr>
        <w:jc w:val="both"/>
        <w:rPr>
          <w:rFonts w:ascii="Times New Roman" w:hAnsi="Times New Roman" w:cs="Times New Roman"/>
          <w:b/>
          <w:sz w:val="28"/>
          <w:szCs w:val="28"/>
        </w:rPr>
      </w:pPr>
      <w:r w:rsidRPr="008C052F">
        <w:rPr>
          <w:rFonts w:ascii="Times New Roman" w:hAnsi="Times New Roman" w:cs="Times New Roman"/>
          <w:b/>
          <w:sz w:val="28"/>
          <w:szCs w:val="28"/>
        </w:rPr>
        <w:t>Conclusion:</w:t>
      </w:r>
    </w:p>
    <w:p w14:paraId="65A56020"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present investigation conducted at the Regional Research and Technology Transfer Station (RRTTS), </w:t>
      </w:r>
      <w:proofErr w:type="spellStart"/>
      <w:r w:rsidRPr="008C052F">
        <w:rPr>
          <w:rFonts w:ascii="Times New Roman" w:hAnsi="Times New Roman" w:cs="Times New Roman"/>
          <w:lang w:val="en-IN"/>
        </w:rPr>
        <w:t>Bhawanipatna</w:t>
      </w:r>
      <w:proofErr w:type="spellEnd"/>
      <w:r w:rsidRPr="008C052F">
        <w:rPr>
          <w:rFonts w:ascii="Times New Roman" w:hAnsi="Times New Roman" w:cs="Times New Roman"/>
          <w:lang w:val="en-IN"/>
        </w:rPr>
        <w:t xml:space="preserve">, during the </w:t>
      </w:r>
      <w:proofErr w:type="spellStart"/>
      <w:r w:rsidRPr="008C052F">
        <w:rPr>
          <w:rFonts w:ascii="Times New Roman" w:hAnsi="Times New Roman" w:cs="Times New Roman"/>
          <w:lang w:val="en-IN"/>
        </w:rPr>
        <w:t>rabi</w:t>
      </w:r>
      <w:proofErr w:type="spellEnd"/>
      <w:r w:rsidRPr="008C052F">
        <w:rPr>
          <w:rFonts w:ascii="Times New Roman" w:hAnsi="Times New Roman" w:cs="Times New Roman"/>
          <w:lang w:val="en-IN"/>
        </w:rPr>
        <w:t xml:space="preserve"> seasons of 2016 to 2018, provided comprehensive insights into the performance of sixteen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genotypes under the Western Undulating Zone of Odisha. The study conclusively demonstrated that significant genetic variability exists among local landraces and released varieties for key agronomic, phenological, and disease-resistance traits. The findings reaffirm the adaptive superiority and resilience of indigenous cultivars over improved varieties when evaluated under local rainfed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 xml:space="preserve">-climatic </w:t>
      </w:r>
      <w:proofErr w:type="spellStart"/>
      <w:proofErr w:type="gramStart"/>
      <w:r w:rsidRPr="008C052F">
        <w:rPr>
          <w:rFonts w:ascii="Times New Roman" w:hAnsi="Times New Roman" w:cs="Times New Roman"/>
          <w:lang w:val="en-IN"/>
        </w:rPr>
        <w:t>conditions.Among</w:t>
      </w:r>
      <w:proofErr w:type="spellEnd"/>
      <w:proofErr w:type="gramEnd"/>
      <w:r w:rsidRPr="008C052F">
        <w:rPr>
          <w:rFonts w:ascii="Times New Roman" w:hAnsi="Times New Roman" w:cs="Times New Roman"/>
          <w:lang w:val="en-IN"/>
        </w:rPr>
        <w:t xml:space="preserve"> the evaluated genotypes,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consistently exhibited higher yield potential, earlier maturity, and complete or near-complete resistance to both </w:t>
      </w:r>
      <w:r w:rsidRPr="008C052F">
        <w:rPr>
          <w:rFonts w:ascii="Times New Roman" w:hAnsi="Times New Roman" w:cs="Times New Roman"/>
          <w:b/>
          <w:bCs/>
          <w:lang w:val="en-IN"/>
        </w:rPr>
        <w:t>Yellow Mosaic Virus (YMV)</w:t>
      </w:r>
      <w:r w:rsidRPr="008C052F">
        <w:rPr>
          <w:rFonts w:ascii="Times New Roman" w:hAnsi="Times New Roman" w:cs="Times New Roman"/>
          <w:lang w:val="en-IN"/>
        </w:rPr>
        <w:t xml:space="preserve"> and </w:t>
      </w:r>
      <w:r w:rsidRPr="008C052F">
        <w:rPr>
          <w:rFonts w:ascii="Times New Roman" w:hAnsi="Times New Roman" w:cs="Times New Roman"/>
          <w:b/>
          <w:bCs/>
          <w:lang w:val="en-IN"/>
        </w:rPr>
        <w:t>powdery mildew</w:t>
      </w:r>
      <w:r w:rsidRPr="008C052F">
        <w:rPr>
          <w:rFonts w:ascii="Times New Roman" w:hAnsi="Times New Roman" w:cs="Times New Roman"/>
          <w:lang w:val="en-IN"/>
        </w:rPr>
        <w:t xml:space="preserve">. Their stable performance across three consecutive years confirms their genetic robustness and suitability for cultivation in the Western Undulating Zone of Odisha. The local genotypes also showed superior pod production, greater cluster formation, and better synchrony between vegetative and reproductive growth phases, which contributed to their higher productivity compared to released varieties such as </w:t>
      </w:r>
      <w:r w:rsidRPr="008C052F">
        <w:rPr>
          <w:rFonts w:ascii="Times New Roman" w:hAnsi="Times New Roman" w:cs="Times New Roman"/>
          <w:i/>
          <w:iCs/>
          <w:lang w:val="en-IN"/>
        </w:rPr>
        <w:t>OBGG-52</w:t>
      </w:r>
      <w:r w:rsidRPr="008C052F">
        <w:rPr>
          <w:rFonts w:ascii="Times New Roman" w:hAnsi="Times New Roman" w:cs="Times New Roman"/>
          <w:lang w:val="en-IN"/>
        </w:rPr>
        <w:t xml:space="preserve"> and </w:t>
      </w:r>
      <w:r w:rsidRPr="008C052F">
        <w:rPr>
          <w:rFonts w:ascii="Times New Roman" w:hAnsi="Times New Roman" w:cs="Times New Roman"/>
          <w:i/>
          <w:iCs/>
          <w:lang w:val="en-IN"/>
        </w:rPr>
        <w:t>IPM 02-14</w:t>
      </w:r>
      <w:r w:rsidRPr="008C052F">
        <w:rPr>
          <w:rFonts w:ascii="Times New Roman" w:hAnsi="Times New Roman" w:cs="Times New Roman"/>
          <w:lang w:val="en-IN"/>
        </w:rPr>
        <w:t>. These observations highlight the importance of utilizing well-adapted local germplasm as a valuable genetic resource for yield stability and disease resistance breeding.</w:t>
      </w:r>
    </w:p>
    <w:p w14:paraId="14658E3C" w14:textId="77777777" w:rsidR="008C052F" w:rsidRDefault="00A26DA7" w:rsidP="008C052F">
      <w:pPr>
        <w:jc w:val="both"/>
        <w:rPr>
          <w:rFonts w:ascii="Times New Roman" w:hAnsi="Times New Roman" w:cs="Times New Roman"/>
          <w:lang w:val="en-IN"/>
        </w:rPr>
      </w:pPr>
      <w:r>
        <w:rPr>
          <w:rFonts w:ascii="Times New Roman" w:hAnsi="Times New Roman" w:cs="Times New Roman"/>
          <w:lang w:val="en-IN"/>
        </w:rPr>
        <w:lastRenderedPageBreak/>
        <w:tab/>
      </w:r>
      <w:r w:rsidR="008C052F" w:rsidRPr="008C052F">
        <w:rPr>
          <w:rFonts w:ascii="Times New Roman" w:hAnsi="Times New Roman" w:cs="Times New Roman"/>
          <w:lang w:val="en-IN"/>
        </w:rPr>
        <w:t xml:space="preserve">The study underscores that </w:t>
      </w:r>
      <w:r w:rsidR="008C052F" w:rsidRPr="008C052F">
        <w:rPr>
          <w:rFonts w:ascii="Times New Roman" w:hAnsi="Times New Roman" w:cs="Times New Roman"/>
          <w:b/>
          <w:bCs/>
          <w:lang w:val="en-IN"/>
        </w:rPr>
        <w:t>genotype × environment interaction</w:t>
      </w:r>
      <w:r w:rsidR="008C052F" w:rsidRPr="008C052F">
        <w:rPr>
          <w:rFonts w:ascii="Times New Roman" w:hAnsi="Times New Roman" w:cs="Times New Roman"/>
          <w:lang w:val="en-IN"/>
        </w:rPr>
        <w:t xml:space="preserve"> plays a critical role in determining yield performance and disease expression, emphasizing the need for multi-location and multi-season testing of promising genotypes. Furthermore, the disease-free performance of </w:t>
      </w:r>
      <w:proofErr w:type="spellStart"/>
      <w:r w:rsidR="008C052F" w:rsidRPr="008C052F">
        <w:rPr>
          <w:rFonts w:ascii="Times New Roman" w:hAnsi="Times New Roman" w:cs="Times New Roman"/>
          <w:i/>
          <w:iCs/>
          <w:lang w:val="en-IN"/>
        </w:rPr>
        <w:t>Jhain</w:t>
      </w:r>
      <w:proofErr w:type="spellEnd"/>
      <w:r w:rsidR="008C052F" w:rsidRPr="008C052F">
        <w:rPr>
          <w:rFonts w:ascii="Times New Roman" w:hAnsi="Times New Roman" w:cs="Times New Roman"/>
          <w:i/>
          <w:iCs/>
          <w:lang w:val="en-IN"/>
        </w:rPr>
        <w:t xml:space="preserve"> </w:t>
      </w:r>
      <w:proofErr w:type="spellStart"/>
      <w:r w:rsidR="008C052F" w:rsidRPr="008C052F">
        <w:rPr>
          <w:rFonts w:ascii="Times New Roman" w:hAnsi="Times New Roman" w:cs="Times New Roman"/>
          <w:i/>
          <w:iCs/>
          <w:lang w:val="en-IN"/>
        </w:rPr>
        <w:t>muga</w:t>
      </w:r>
      <w:proofErr w:type="spellEnd"/>
      <w:r w:rsidR="008C052F" w:rsidRPr="008C052F">
        <w:rPr>
          <w:rFonts w:ascii="Times New Roman" w:hAnsi="Times New Roman" w:cs="Times New Roman"/>
          <w:lang w:val="en-IN"/>
        </w:rPr>
        <w:t xml:space="preserve"> suggests the presence of stable and heritable resistance genes, making it a potential donor in future resistance-breeding programs. The use of molecular markers and genomic tools will further facilitate precise introgression of resistance genes into elite genetic backgrounds.</w:t>
      </w:r>
      <w:r w:rsidR="00DE6FD8">
        <w:rPr>
          <w:rFonts w:ascii="Times New Roman" w:hAnsi="Times New Roman" w:cs="Times New Roman"/>
          <w:lang w:val="en-IN"/>
        </w:rPr>
        <w:t xml:space="preserve"> </w:t>
      </w:r>
      <w:r w:rsidR="008C052F" w:rsidRPr="008C052F">
        <w:rPr>
          <w:rFonts w:ascii="Times New Roman" w:hAnsi="Times New Roman" w:cs="Times New Roman"/>
          <w:lang w:val="en-IN"/>
        </w:rPr>
        <w:t xml:space="preserve">From an agronomic standpoint, the incorporation of disease-tolerant and high-yielding </w:t>
      </w:r>
      <w:proofErr w:type="spellStart"/>
      <w:r w:rsidR="008C052F" w:rsidRPr="008C052F">
        <w:rPr>
          <w:rFonts w:ascii="Times New Roman" w:hAnsi="Times New Roman" w:cs="Times New Roman"/>
          <w:lang w:val="en-IN"/>
        </w:rPr>
        <w:t>greengram</w:t>
      </w:r>
      <w:proofErr w:type="spellEnd"/>
      <w:r w:rsidR="008C052F" w:rsidRPr="008C052F">
        <w:rPr>
          <w:rFonts w:ascii="Times New Roman" w:hAnsi="Times New Roman" w:cs="Times New Roman"/>
          <w:lang w:val="en-IN"/>
        </w:rPr>
        <w:t xml:space="preserve"> varieties into existing </w:t>
      </w:r>
      <w:r w:rsidR="008C052F" w:rsidRPr="008C052F">
        <w:rPr>
          <w:rFonts w:ascii="Times New Roman" w:hAnsi="Times New Roman" w:cs="Times New Roman"/>
          <w:b/>
          <w:bCs/>
          <w:lang w:val="en-IN"/>
        </w:rPr>
        <w:t>paddy-based cropping systems</w:t>
      </w:r>
      <w:r w:rsidR="008C052F" w:rsidRPr="008C052F">
        <w:rPr>
          <w:rFonts w:ascii="Times New Roman" w:hAnsi="Times New Roman" w:cs="Times New Roman"/>
          <w:lang w:val="en-IN"/>
        </w:rPr>
        <w:t xml:space="preserve"> can significantly enhance soil fertility through nitrogen fixation, break disease cycles, and improve system productivity. Promoting these cultivars will contribute to the sustainability of pulse production and ensure nutritional security in the region. Thus, integrating traditional genetic diversity with modern breeding techniques offers a viable pathway toward resilient, high-yielding, and climate-smart </w:t>
      </w:r>
      <w:proofErr w:type="spellStart"/>
      <w:r w:rsidR="008C052F" w:rsidRPr="008C052F">
        <w:rPr>
          <w:rFonts w:ascii="Times New Roman" w:hAnsi="Times New Roman" w:cs="Times New Roman"/>
          <w:lang w:val="en-IN"/>
        </w:rPr>
        <w:t>greengram</w:t>
      </w:r>
      <w:proofErr w:type="spellEnd"/>
      <w:r w:rsidR="008C052F" w:rsidRPr="008C052F">
        <w:rPr>
          <w:rFonts w:ascii="Times New Roman" w:hAnsi="Times New Roman" w:cs="Times New Roman"/>
          <w:lang w:val="en-IN"/>
        </w:rPr>
        <w:t xml:space="preserve"> production systems for Odisha and similar </w:t>
      </w:r>
      <w:proofErr w:type="spellStart"/>
      <w:r w:rsidR="008C052F" w:rsidRPr="008C052F">
        <w:rPr>
          <w:rFonts w:ascii="Times New Roman" w:hAnsi="Times New Roman" w:cs="Times New Roman"/>
          <w:lang w:val="en-IN"/>
        </w:rPr>
        <w:t>agro</w:t>
      </w:r>
      <w:proofErr w:type="spellEnd"/>
      <w:r w:rsidR="008C052F" w:rsidRPr="008C052F">
        <w:rPr>
          <w:rFonts w:ascii="Times New Roman" w:hAnsi="Times New Roman" w:cs="Times New Roman"/>
          <w:lang w:val="en-IN"/>
        </w:rPr>
        <w:t>-ecological zones in India.</w:t>
      </w:r>
    </w:p>
    <w:p w14:paraId="4CEC4132" w14:textId="77777777" w:rsidR="000F4742" w:rsidRDefault="000F4742" w:rsidP="008C052F">
      <w:pPr>
        <w:jc w:val="both"/>
        <w:rPr>
          <w:rFonts w:ascii="Times New Roman" w:hAnsi="Times New Roman" w:cs="Times New Roman"/>
          <w:lang w:val="en-IN"/>
        </w:rPr>
      </w:pPr>
    </w:p>
    <w:p w14:paraId="5E766D07" w14:textId="77777777" w:rsidR="000F4742" w:rsidRPr="000F4742" w:rsidRDefault="000F4742" w:rsidP="000F4742">
      <w:pPr>
        <w:jc w:val="both"/>
        <w:rPr>
          <w:rFonts w:ascii="Times New Roman" w:hAnsi="Times New Roman" w:cs="Times New Roman"/>
          <w:lang w:val="en-IN"/>
        </w:rPr>
      </w:pPr>
      <w:r w:rsidRPr="000F4742">
        <w:rPr>
          <w:rFonts w:ascii="Times New Roman" w:hAnsi="Times New Roman" w:cs="Times New Roman"/>
          <w:lang w:val="en-IN"/>
        </w:rPr>
        <w:t>COMPETING INTERESTS DISCLAIMER:</w:t>
      </w:r>
    </w:p>
    <w:p w14:paraId="48616900" w14:textId="0041A094" w:rsidR="000F4742" w:rsidRDefault="000F4742" w:rsidP="000F4742">
      <w:pPr>
        <w:jc w:val="both"/>
        <w:rPr>
          <w:rFonts w:ascii="Times New Roman" w:hAnsi="Times New Roman" w:cs="Times New Roman"/>
          <w:lang w:val="en-IN"/>
        </w:rPr>
      </w:pPr>
      <w:r w:rsidRPr="000F4742">
        <w:rPr>
          <w:rFonts w:ascii="Times New Roman" w:hAnsi="Times New Roman" w:cs="Times New Roman"/>
          <w:lang w:val="en-IN"/>
        </w:rPr>
        <w:t>Authors have declared that they have no known competing financial interests OR non-financial interests OR personal relationships that could have appeared to influence the work reported in this paper.</w:t>
      </w:r>
    </w:p>
    <w:p w14:paraId="6B25A5C3" w14:textId="77777777" w:rsidR="000F4742" w:rsidRPr="008C052F" w:rsidRDefault="000F4742" w:rsidP="008C052F">
      <w:pPr>
        <w:jc w:val="both"/>
        <w:rPr>
          <w:rFonts w:ascii="Times New Roman" w:hAnsi="Times New Roman" w:cs="Times New Roman"/>
          <w:lang w:val="en-IN"/>
        </w:rPr>
      </w:pPr>
    </w:p>
    <w:p w14:paraId="170E48C6" w14:textId="77777777" w:rsidR="00173ACC" w:rsidRPr="008C052F" w:rsidRDefault="00135A19" w:rsidP="00EA06A5">
      <w:pPr>
        <w:jc w:val="both"/>
        <w:rPr>
          <w:rFonts w:ascii="Times New Roman" w:hAnsi="Times New Roman" w:cs="Times New Roman"/>
          <w:b/>
          <w:bCs/>
          <w:sz w:val="28"/>
          <w:szCs w:val="28"/>
        </w:rPr>
      </w:pPr>
      <w:r w:rsidRPr="008C052F">
        <w:rPr>
          <w:rFonts w:ascii="Times New Roman" w:hAnsi="Times New Roman" w:cs="Times New Roman"/>
          <w:b/>
          <w:bCs/>
          <w:sz w:val="28"/>
          <w:szCs w:val="28"/>
        </w:rPr>
        <w:t>Reference:</w:t>
      </w:r>
    </w:p>
    <w:p w14:paraId="44BA18DE"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Abbas, G., Akhtar, K. P., Ahsan, M., Asghar, M. J., Ahmad, F., &amp; Rizwan, M. (2018). Field screening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 </w:t>
      </w:r>
      <w:proofErr w:type="spellStart"/>
      <w:r w:rsidRPr="00C52DD1">
        <w:rPr>
          <w:rFonts w:ascii="Times New Roman" w:hAnsi="Times New Roman" w:cs="Times New Roman"/>
          <w:lang w:val="en-IN"/>
        </w:rPr>
        <w:t>mashbean</w:t>
      </w:r>
      <w:proofErr w:type="spellEnd"/>
      <w:r w:rsidRPr="00C52DD1">
        <w:rPr>
          <w:rFonts w:ascii="Times New Roman" w:hAnsi="Times New Roman" w:cs="Times New Roman"/>
          <w:lang w:val="en-IN"/>
        </w:rPr>
        <w:t xml:space="preserve"> inter-specific recombinant genotypes against yellow mosaic disease (YMD). Pakistan Journal of Agricultural Research, 31(3), 279–284. </w:t>
      </w:r>
      <w:hyperlink r:id="rId8" w:history="1">
        <w:r w:rsidRPr="00DE3E96">
          <w:rPr>
            <w:rStyle w:val="Hyperlink"/>
            <w:rFonts w:ascii="Times New Roman" w:hAnsi="Times New Roman" w:cs="Times New Roman"/>
            <w:lang w:val="en-IN"/>
          </w:rPr>
          <w:t>https://doi.org/10.17582/journal.pjar/2018.31.3.279.284</w:t>
        </w:r>
      </w:hyperlink>
      <w:r>
        <w:rPr>
          <w:rFonts w:ascii="Times New Roman" w:hAnsi="Times New Roman" w:cs="Times New Roman"/>
          <w:lang w:val="en-IN"/>
        </w:rPr>
        <w:t xml:space="preserve"> </w:t>
      </w:r>
    </w:p>
    <w:p w14:paraId="5B5DA931"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Akhtar, J., Lal, H. C., Singh, P. K., </w:t>
      </w:r>
      <w:proofErr w:type="spellStart"/>
      <w:r w:rsidRPr="00C52DD1">
        <w:rPr>
          <w:rFonts w:ascii="Times New Roman" w:hAnsi="Times New Roman" w:cs="Times New Roman"/>
          <w:lang w:val="en-IN"/>
        </w:rPr>
        <w:t>Karmakar</w:t>
      </w:r>
      <w:proofErr w:type="spellEnd"/>
      <w:r w:rsidRPr="00C52DD1">
        <w:rPr>
          <w:rFonts w:ascii="Times New Roman" w:hAnsi="Times New Roman" w:cs="Times New Roman"/>
          <w:lang w:val="en-IN"/>
        </w:rPr>
        <w:t xml:space="preserve">, S., Gautam, N. K., &amp; Kumar, A. (2016). Identification of resistant sources of Vigna spp. against yellow mosaic disease. Virology &amp; Mycology, 5(1), 1–4. </w:t>
      </w:r>
      <w:hyperlink r:id="rId9" w:history="1">
        <w:r w:rsidRPr="00DE3E96">
          <w:rPr>
            <w:rStyle w:val="Hyperlink"/>
            <w:rFonts w:ascii="Times New Roman" w:hAnsi="Times New Roman" w:cs="Times New Roman"/>
            <w:lang w:val="en-IN"/>
          </w:rPr>
          <w:t>https://doi.org/10.4172/2161-0517.1000153</w:t>
        </w:r>
      </w:hyperlink>
      <w:r>
        <w:rPr>
          <w:rFonts w:ascii="Times New Roman" w:hAnsi="Times New Roman" w:cs="Times New Roman"/>
          <w:lang w:val="en-IN"/>
        </w:rPr>
        <w:t xml:space="preserve"> </w:t>
      </w:r>
    </w:p>
    <w:p w14:paraId="39CB9406" w14:textId="40997D03" w:rsidR="00CB7FDA" w:rsidRPr="0005656C" w:rsidRDefault="00011429"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Bashir</w:t>
      </w:r>
      <w:r w:rsidR="00CB7FDA" w:rsidRPr="0005656C">
        <w:rPr>
          <w:rFonts w:ascii="Times New Roman" w:hAnsi="Times New Roman" w:cs="Times New Roman"/>
          <w:lang w:val="en-IN"/>
        </w:rPr>
        <w:t xml:space="preserve">, M., Jamali, A. R., &amp; Ahmad, Z. (2006). Genetic resistance in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and </w:t>
      </w:r>
      <w:proofErr w:type="spellStart"/>
      <w:r w:rsidR="00CB7FDA" w:rsidRPr="0005656C">
        <w:rPr>
          <w:rFonts w:ascii="Times New Roman" w:hAnsi="Times New Roman" w:cs="Times New Roman"/>
          <w:lang w:val="en-IN"/>
        </w:rPr>
        <w:t>mashbean</w:t>
      </w:r>
      <w:proofErr w:type="spellEnd"/>
      <w:r w:rsidR="00CB7FDA" w:rsidRPr="0005656C">
        <w:rPr>
          <w:rFonts w:ascii="Times New Roman" w:hAnsi="Times New Roman" w:cs="Times New Roman"/>
          <w:lang w:val="en-IN"/>
        </w:rPr>
        <w:t xml:space="preserve"> germplasm against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yellow mosaic </w:t>
      </w:r>
      <w:proofErr w:type="spellStart"/>
      <w:r w:rsidR="00CB7FDA" w:rsidRPr="0005656C">
        <w:rPr>
          <w:rFonts w:ascii="Times New Roman" w:hAnsi="Times New Roman" w:cs="Times New Roman"/>
          <w:lang w:val="en-IN"/>
        </w:rPr>
        <w:t>begomovirus</w:t>
      </w:r>
      <w:proofErr w:type="spellEnd"/>
      <w:r w:rsidR="00CB7FDA" w:rsidRPr="0005656C">
        <w:rPr>
          <w:rFonts w:ascii="Times New Roman" w:hAnsi="Times New Roman" w:cs="Times New Roman"/>
          <w:lang w:val="en-IN"/>
        </w:rPr>
        <w:t xml:space="preserve">. </w:t>
      </w:r>
      <w:proofErr w:type="spellStart"/>
      <w:r w:rsidR="00CB7FDA" w:rsidRPr="0005656C">
        <w:rPr>
          <w:rFonts w:ascii="Times New Roman" w:hAnsi="Times New Roman" w:cs="Times New Roman"/>
          <w:i/>
          <w:iCs/>
          <w:lang w:val="en-IN"/>
        </w:rPr>
        <w:t>Mycopath</w:t>
      </w:r>
      <w:proofErr w:type="spellEnd"/>
      <w:r w:rsidR="00CB7FDA" w:rsidRPr="0005656C">
        <w:rPr>
          <w:rFonts w:ascii="Times New Roman" w:hAnsi="Times New Roman" w:cs="Times New Roman"/>
          <w:i/>
          <w:iCs/>
          <w:lang w:val="en-IN"/>
        </w:rPr>
        <w:t>, 4</w:t>
      </w:r>
      <w:r w:rsidR="00CB7FDA" w:rsidRPr="0005656C">
        <w:rPr>
          <w:rFonts w:ascii="Times New Roman" w:hAnsi="Times New Roman" w:cs="Times New Roman"/>
          <w:lang w:val="en-IN"/>
        </w:rPr>
        <w:t>(2), 1–4.</w:t>
      </w:r>
    </w:p>
    <w:p w14:paraId="485F9A6D"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Bharadwaj, K., </w:t>
      </w:r>
      <w:proofErr w:type="spellStart"/>
      <w:r w:rsidRPr="00C52DD1">
        <w:rPr>
          <w:rFonts w:ascii="Times New Roman" w:hAnsi="Times New Roman" w:cs="Times New Roman"/>
          <w:lang w:val="en-IN"/>
        </w:rPr>
        <w:t>Kalita</w:t>
      </w:r>
      <w:proofErr w:type="spellEnd"/>
      <w:r w:rsidRPr="00C52DD1">
        <w:rPr>
          <w:rFonts w:ascii="Times New Roman" w:hAnsi="Times New Roman" w:cs="Times New Roman"/>
          <w:lang w:val="en-IN"/>
        </w:rPr>
        <w:t xml:space="preserve">, M. K., Mishra, R., Rajkumari, P., &amp; Bora, B. (2023). Influence of meteorological parameters on incidence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yellow mosaic virus disease in green gram in Assam. The Pharma Innovation Journal. </w:t>
      </w:r>
      <w:hyperlink r:id="rId10" w:history="1">
        <w:r w:rsidRPr="00DE3E96">
          <w:rPr>
            <w:rStyle w:val="Hyperlink"/>
            <w:rFonts w:ascii="Times New Roman" w:hAnsi="Times New Roman" w:cs="Times New Roman"/>
            <w:lang w:val="en-IN"/>
          </w:rPr>
          <w:t>https://doi.org/10.22271/tpi.2023.v12.i2ah.18796</w:t>
        </w:r>
      </w:hyperlink>
      <w:r>
        <w:rPr>
          <w:rFonts w:ascii="Times New Roman" w:hAnsi="Times New Roman" w:cs="Times New Roman"/>
          <w:lang w:val="en-IN"/>
        </w:rPr>
        <w:t xml:space="preserve"> </w:t>
      </w:r>
    </w:p>
    <w:p w14:paraId="4A919936"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Dasgupta, U., Mishra, G. P., Dikshit, H. K., Mishra, D. C., </w:t>
      </w:r>
      <w:proofErr w:type="spellStart"/>
      <w:r w:rsidRPr="00C52DD1">
        <w:rPr>
          <w:rFonts w:ascii="Times New Roman" w:hAnsi="Times New Roman" w:cs="Times New Roman"/>
          <w:lang w:val="en-IN"/>
        </w:rPr>
        <w:t>Bosamia</w:t>
      </w:r>
      <w:proofErr w:type="spellEnd"/>
      <w:r w:rsidRPr="00C52DD1">
        <w:rPr>
          <w:rFonts w:ascii="Times New Roman" w:hAnsi="Times New Roman" w:cs="Times New Roman"/>
          <w:lang w:val="en-IN"/>
        </w:rPr>
        <w:t xml:space="preserve">, T., Roy, A., </w:t>
      </w:r>
      <w:proofErr w:type="spellStart"/>
      <w:r w:rsidRPr="00C52DD1">
        <w:rPr>
          <w:rFonts w:ascii="Times New Roman" w:hAnsi="Times New Roman" w:cs="Times New Roman"/>
          <w:lang w:val="en-IN"/>
        </w:rPr>
        <w:t>Bhati</w:t>
      </w:r>
      <w:proofErr w:type="spellEnd"/>
      <w:r w:rsidRPr="00C52DD1">
        <w:rPr>
          <w:rFonts w:ascii="Times New Roman" w:hAnsi="Times New Roman" w:cs="Times New Roman"/>
          <w:lang w:val="en-IN"/>
        </w:rPr>
        <w:t xml:space="preserve">, J., </w:t>
      </w:r>
      <w:proofErr w:type="spellStart"/>
      <w:r w:rsidRPr="00C52DD1">
        <w:rPr>
          <w:rFonts w:ascii="Times New Roman" w:hAnsi="Times New Roman" w:cs="Times New Roman"/>
          <w:lang w:val="en-IN"/>
        </w:rPr>
        <w:t>Aski</w:t>
      </w:r>
      <w:proofErr w:type="spellEnd"/>
      <w:r w:rsidRPr="00C52DD1">
        <w:rPr>
          <w:rFonts w:ascii="Times New Roman" w:hAnsi="Times New Roman" w:cs="Times New Roman"/>
          <w:lang w:val="en-IN"/>
        </w:rPr>
        <w:t xml:space="preserve">, M., Kumar, R., Singh, A. K., Kumar, A., Sinha, S. K., </w:t>
      </w:r>
      <w:proofErr w:type="spellStart"/>
      <w:r w:rsidRPr="00C52DD1">
        <w:rPr>
          <w:rFonts w:ascii="Times New Roman" w:hAnsi="Times New Roman" w:cs="Times New Roman"/>
          <w:lang w:val="en-IN"/>
        </w:rPr>
        <w:t>Chaurasia</w:t>
      </w:r>
      <w:proofErr w:type="spellEnd"/>
      <w:r w:rsidRPr="00C52DD1">
        <w:rPr>
          <w:rFonts w:ascii="Times New Roman" w:hAnsi="Times New Roman" w:cs="Times New Roman"/>
          <w:lang w:val="en-IN"/>
        </w:rPr>
        <w:t>, S., Praveen, S., &amp; Nair, R. M. (2021). Comparative RNA-</w:t>
      </w:r>
      <w:proofErr w:type="spellStart"/>
      <w:r w:rsidRPr="00C52DD1">
        <w:rPr>
          <w:rFonts w:ascii="Times New Roman" w:hAnsi="Times New Roman" w:cs="Times New Roman"/>
          <w:lang w:val="en-IN"/>
        </w:rPr>
        <w:t>Seq</w:t>
      </w:r>
      <w:proofErr w:type="spellEnd"/>
      <w:r w:rsidRPr="00C52DD1">
        <w:rPr>
          <w:rFonts w:ascii="Times New Roman" w:hAnsi="Times New Roman" w:cs="Times New Roman"/>
          <w:lang w:val="en-IN"/>
        </w:rPr>
        <w:t xml:space="preserve"> analysis unfolds a complex regulatory network imparting yellow mosaic disease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[Vigna radiata (L.) R. </w:t>
      </w:r>
      <w:proofErr w:type="spellStart"/>
      <w:r w:rsidRPr="00C52DD1">
        <w:rPr>
          <w:rFonts w:ascii="Times New Roman" w:hAnsi="Times New Roman" w:cs="Times New Roman"/>
          <w:lang w:val="en-IN"/>
        </w:rPr>
        <w:t>Wilczek</w:t>
      </w:r>
      <w:proofErr w:type="spellEnd"/>
      <w:r w:rsidRPr="00C52DD1">
        <w:rPr>
          <w:rFonts w:ascii="Times New Roman" w:hAnsi="Times New Roman" w:cs="Times New Roman"/>
          <w:lang w:val="en-IN"/>
        </w:rPr>
        <w:t>]. *</w:t>
      </w:r>
      <w:proofErr w:type="spellStart"/>
      <w:r w:rsidRPr="00C52DD1">
        <w:rPr>
          <w:rFonts w:ascii="Times New Roman" w:hAnsi="Times New Roman" w:cs="Times New Roman"/>
          <w:lang w:val="en-IN"/>
        </w:rPr>
        <w:t>PLoS</w:t>
      </w:r>
      <w:proofErr w:type="spellEnd"/>
      <w:r w:rsidRPr="00C52DD1">
        <w:rPr>
          <w:rFonts w:ascii="Times New Roman" w:hAnsi="Times New Roman" w:cs="Times New Roman"/>
          <w:lang w:val="en-IN"/>
        </w:rPr>
        <w:t xml:space="preserve"> ONE*, *16*(1), e0244593. </w:t>
      </w:r>
      <w:hyperlink r:id="rId11" w:history="1">
        <w:r w:rsidRPr="00DE3E96">
          <w:rPr>
            <w:rStyle w:val="Hyperlink"/>
            <w:rFonts w:ascii="Times New Roman" w:hAnsi="Times New Roman" w:cs="Times New Roman"/>
            <w:lang w:val="en-IN"/>
          </w:rPr>
          <w:t>https://doi.org/10.1371/journal.pone.0244593</w:t>
        </w:r>
      </w:hyperlink>
      <w:r>
        <w:rPr>
          <w:rFonts w:ascii="Times New Roman" w:hAnsi="Times New Roman" w:cs="Times New Roman"/>
          <w:lang w:val="en-IN"/>
        </w:rPr>
        <w:t xml:space="preserve"> </w:t>
      </w:r>
    </w:p>
    <w:p w14:paraId="0689D85F"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Desai, K., &amp; Modi, N. (2023). Morphological characterization and multivariate analysis of different genotypes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(Vigna radiata (L.) R. </w:t>
      </w:r>
      <w:proofErr w:type="spellStart"/>
      <w:r w:rsidRPr="00C52DD1">
        <w:rPr>
          <w:rFonts w:ascii="Times New Roman" w:hAnsi="Times New Roman" w:cs="Times New Roman"/>
          <w:lang w:val="en-IN"/>
        </w:rPr>
        <w:t>Wilczek</w:t>
      </w:r>
      <w:proofErr w:type="spellEnd"/>
      <w:r w:rsidRPr="00C52DD1">
        <w:rPr>
          <w:rFonts w:ascii="Times New Roman" w:hAnsi="Times New Roman" w:cs="Times New Roman"/>
          <w:lang w:val="en-IN"/>
        </w:rPr>
        <w:t xml:space="preserve">). VIDYA – A Journal of Gujarat University. </w:t>
      </w:r>
      <w:hyperlink r:id="rId12" w:history="1">
        <w:r w:rsidRPr="00DE3E96">
          <w:rPr>
            <w:rStyle w:val="Hyperlink"/>
            <w:rFonts w:ascii="Times New Roman" w:hAnsi="Times New Roman" w:cs="Times New Roman"/>
            <w:lang w:val="en-IN"/>
          </w:rPr>
          <w:t>https://doi.org/10.47413/vidya.v2i2.261</w:t>
        </w:r>
      </w:hyperlink>
      <w:r>
        <w:rPr>
          <w:rFonts w:ascii="Times New Roman" w:hAnsi="Times New Roman" w:cs="Times New Roman"/>
          <w:lang w:val="en-IN"/>
        </w:rPr>
        <w:t xml:space="preserve"> </w:t>
      </w:r>
    </w:p>
    <w:p w14:paraId="58760234" w14:textId="77777777" w:rsidR="00C52DD1" w:rsidRDefault="00C52DD1" w:rsidP="0005656C">
      <w:pPr>
        <w:pStyle w:val="ListParagraph"/>
        <w:numPr>
          <w:ilvl w:val="0"/>
          <w:numId w:val="7"/>
        </w:numPr>
        <w:jc w:val="both"/>
        <w:rPr>
          <w:rFonts w:ascii="Times New Roman" w:hAnsi="Times New Roman" w:cs="Times New Roman"/>
          <w:lang w:val="en-IN"/>
        </w:rPr>
      </w:pPr>
      <w:proofErr w:type="spellStart"/>
      <w:r w:rsidRPr="00C52DD1">
        <w:rPr>
          <w:rFonts w:ascii="Times New Roman" w:hAnsi="Times New Roman" w:cs="Times New Roman"/>
          <w:lang w:val="en-IN"/>
        </w:rPr>
        <w:t>Mogali</w:t>
      </w:r>
      <w:proofErr w:type="spellEnd"/>
      <w:r w:rsidRPr="00C52DD1">
        <w:rPr>
          <w:rFonts w:ascii="Times New Roman" w:hAnsi="Times New Roman" w:cs="Times New Roman"/>
          <w:lang w:val="en-IN"/>
        </w:rPr>
        <w:t xml:space="preserve">, S. S., </w:t>
      </w:r>
      <w:proofErr w:type="spellStart"/>
      <w:r w:rsidRPr="00C52DD1">
        <w:rPr>
          <w:rFonts w:ascii="Times New Roman" w:hAnsi="Times New Roman" w:cs="Times New Roman"/>
          <w:lang w:val="en-IN"/>
        </w:rPr>
        <w:t>Balol</w:t>
      </w:r>
      <w:proofErr w:type="spellEnd"/>
      <w:r w:rsidRPr="00C52DD1">
        <w:rPr>
          <w:rFonts w:ascii="Times New Roman" w:hAnsi="Times New Roman" w:cs="Times New Roman"/>
          <w:lang w:val="en-IN"/>
        </w:rPr>
        <w:t xml:space="preserve">, G. G., </w:t>
      </w:r>
      <w:proofErr w:type="spellStart"/>
      <w:r w:rsidRPr="00C52DD1">
        <w:rPr>
          <w:rFonts w:ascii="Times New Roman" w:hAnsi="Times New Roman" w:cs="Times New Roman"/>
          <w:lang w:val="en-IN"/>
        </w:rPr>
        <w:t>Goudar</w:t>
      </w:r>
      <w:proofErr w:type="spellEnd"/>
      <w:r w:rsidRPr="00C52DD1">
        <w:rPr>
          <w:rFonts w:ascii="Times New Roman" w:hAnsi="Times New Roman" w:cs="Times New Roman"/>
          <w:lang w:val="en-IN"/>
        </w:rPr>
        <w:t xml:space="preserve">, I. I., &amp; Bhat, S. S. (2023). Development of genotypes for foliar disease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[Vigna radiata (L.) </w:t>
      </w:r>
      <w:proofErr w:type="spellStart"/>
      <w:r w:rsidRPr="00C52DD1">
        <w:rPr>
          <w:rFonts w:ascii="Times New Roman" w:hAnsi="Times New Roman" w:cs="Times New Roman"/>
          <w:lang w:val="en-IN"/>
        </w:rPr>
        <w:t>Wilczek</w:t>
      </w:r>
      <w:proofErr w:type="spellEnd"/>
      <w:r w:rsidRPr="00C52DD1">
        <w:rPr>
          <w:rFonts w:ascii="Times New Roman" w:hAnsi="Times New Roman" w:cs="Times New Roman"/>
          <w:lang w:val="en-IN"/>
        </w:rPr>
        <w:t xml:space="preserve">] through recombination and </w:t>
      </w:r>
      <w:r w:rsidRPr="00C52DD1">
        <w:rPr>
          <w:rFonts w:ascii="Times New Roman" w:hAnsi="Times New Roman" w:cs="Times New Roman"/>
          <w:lang w:val="en-IN"/>
        </w:rPr>
        <w:lastRenderedPageBreak/>
        <w:t xml:space="preserve">mutation breeding. Legume Research – An International Journal. </w:t>
      </w:r>
      <w:hyperlink r:id="rId13" w:history="1">
        <w:r w:rsidRPr="00DE3E96">
          <w:rPr>
            <w:rStyle w:val="Hyperlink"/>
            <w:rFonts w:ascii="Times New Roman" w:hAnsi="Times New Roman" w:cs="Times New Roman"/>
            <w:lang w:val="en-IN"/>
          </w:rPr>
          <w:t>https://doi.org/10.18805/LR-5096</w:t>
        </w:r>
      </w:hyperlink>
      <w:r>
        <w:rPr>
          <w:rFonts w:ascii="Times New Roman" w:hAnsi="Times New Roman" w:cs="Times New Roman"/>
          <w:lang w:val="en-IN"/>
        </w:rPr>
        <w:t xml:space="preserve"> </w:t>
      </w:r>
    </w:p>
    <w:p w14:paraId="067C2B0F"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Nair, R. M., Chaudhari, S., Devi, N., </w:t>
      </w:r>
      <w:proofErr w:type="spellStart"/>
      <w:r w:rsidRPr="00C52DD1">
        <w:rPr>
          <w:rFonts w:ascii="Times New Roman" w:hAnsi="Times New Roman" w:cs="Times New Roman"/>
          <w:lang w:val="en-IN"/>
        </w:rPr>
        <w:t>Shivanna</w:t>
      </w:r>
      <w:proofErr w:type="spellEnd"/>
      <w:r w:rsidRPr="00C52DD1">
        <w:rPr>
          <w:rFonts w:ascii="Times New Roman" w:hAnsi="Times New Roman" w:cs="Times New Roman"/>
          <w:lang w:val="en-IN"/>
        </w:rPr>
        <w:t xml:space="preserve">, A., Gowda, A., </w:t>
      </w:r>
      <w:proofErr w:type="spellStart"/>
      <w:r w:rsidRPr="00C52DD1">
        <w:rPr>
          <w:rFonts w:ascii="Times New Roman" w:hAnsi="Times New Roman" w:cs="Times New Roman"/>
          <w:lang w:val="en-IN"/>
        </w:rPr>
        <w:t>Boddepalli</w:t>
      </w:r>
      <w:proofErr w:type="spellEnd"/>
      <w:r w:rsidRPr="00C52DD1">
        <w:rPr>
          <w:rFonts w:ascii="Times New Roman" w:hAnsi="Times New Roman" w:cs="Times New Roman"/>
          <w:lang w:val="en-IN"/>
        </w:rPr>
        <w:t xml:space="preserve">, V. N., Pradhan, H., </w:t>
      </w:r>
      <w:proofErr w:type="spellStart"/>
      <w:r w:rsidRPr="00C52DD1">
        <w:rPr>
          <w:rFonts w:ascii="Times New Roman" w:hAnsi="Times New Roman" w:cs="Times New Roman"/>
          <w:lang w:val="en-IN"/>
        </w:rPr>
        <w:t>Schafleitner</w:t>
      </w:r>
      <w:proofErr w:type="spellEnd"/>
      <w:r w:rsidRPr="00C52DD1">
        <w:rPr>
          <w:rFonts w:ascii="Times New Roman" w:hAnsi="Times New Roman" w:cs="Times New Roman"/>
          <w:lang w:val="en-IN"/>
        </w:rPr>
        <w:t xml:space="preserve">, R., </w:t>
      </w:r>
      <w:proofErr w:type="spellStart"/>
      <w:r w:rsidRPr="00C52DD1">
        <w:rPr>
          <w:rFonts w:ascii="Times New Roman" w:hAnsi="Times New Roman" w:cs="Times New Roman"/>
          <w:lang w:val="en-IN"/>
        </w:rPr>
        <w:t>Jegadeesan</w:t>
      </w:r>
      <w:proofErr w:type="spellEnd"/>
      <w:r w:rsidRPr="00C52DD1">
        <w:rPr>
          <w:rFonts w:ascii="Times New Roman" w:hAnsi="Times New Roman" w:cs="Times New Roman"/>
          <w:lang w:val="en-IN"/>
        </w:rPr>
        <w:t xml:space="preserve">, S., &amp; </w:t>
      </w:r>
      <w:proofErr w:type="spellStart"/>
      <w:r w:rsidRPr="00C52DD1">
        <w:rPr>
          <w:rFonts w:ascii="Times New Roman" w:hAnsi="Times New Roman" w:cs="Times New Roman"/>
          <w:lang w:val="en-IN"/>
        </w:rPr>
        <w:t>Somta</w:t>
      </w:r>
      <w:proofErr w:type="spellEnd"/>
      <w:r w:rsidRPr="00C52DD1">
        <w:rPr>
          <w:rFonts w:ascii="Times New Roman" w:hAnsi="Times New Roman" w:cs="Times New Roman"/>
          <w:lang w:val="en-IN"/>
        </w:rPr>
        <w:t xml:space="preserve">, P. (2024). Genetics, genomics, and breeding of black gram [Vigna mungo (L.) Hepper]. Frontiers in Plant Science, 14, 1273363. </w:t>
      </w:r>
      <w:hyperlink r:id="rId14" w:history="1">
        <w:r w:rsidRPr="00DE3E96">
          <w:rPr>
            <w:rStyle w:val="Hyperlink"/>
            <w:rFonts w:ascii="Times New Roman" w:hAnsi="Times New Roman" w:cs="Times New Roman"/>
            <w:lang w:val="en-IN"/>
          </w:rPr>
          <w:t>https://doi.org/10.3389/fpls.2023.1273363</w:t>
        </w:r>
      </w:hyperlink>
      <w:r>
        <w:rPr>
          <w:rFonts w:ascii="Times New Roman" w:hAnsi="Times New Roman" w:cs="Times New Roman"/>
          <w:lang w:val="en-IN"/>
        </w:rPr>
        <w:t xml:space="preserve"> </w:t>
      </w:r>
    </w:p>
    <w:p w14:paraId="58B51373"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Pal, R., Singh, S. P., Kumar, S., Kumar, Y., Singh, A., &amp; Kumar, S. (2024). Growth parameter of mung bean (Vigna radiata L.) under different integrated nutrient management practices in Western Uttar Pradesh, India. Asian Journal of Soil Science and Plant Nutrition. </w:t>
      </w:r>
      <w:hyperlink r:id="rId15" w:history="1">
        <w:r w:rsidRPr="00DE3E96">
          <w:rPr>
            <w:rStyle w:val="Hyperlink"/>
            <w:rFonts w:ascii="Times New Roman" w:hAnsi="Times New Roman" w:cs="Times New Roman"/>
            <w:lang w:val="en-IN"/>
          </w:rPr>
          <w:t>https://doi.org/10.9734/ajsspn/2024/v10i3361</w:t>
        </w:r>
      </w:hyperlink>
      <w:r>
        <w:rPr>
          <w:rFonts w:ascii="Times New Roman" w:hAnsi="Times New Roman" w:cs="Times New Roman"/>
          <w:lang w:val="en-IN"/>
        </w:rPr>
        <w:t xml:space="preserve"> </w:t>
      </w:r>
    </w:p>
    <w:p w14:paraId="4AB8ECAC" w14:textId="6BDEAD8E" w:rsidR="00CB7FDA" w:rsidRPr="0005656C" w:rsidRDefault="00CB7FDA" w:rsidP="0005656C">
      <w:pPr>
        <w:pStyle w:val="ListParagraph"/>
        <w:numPr>
          <w:ilvl w:val="0"/>
          <w:numId w:val="7"/>
        </w:numPr>
        <w:jc w:val="both"/>
        <w:rPr>
          <w:rFonts w:ascii="Times New Roman" w:hAnsi="Times New Roman" w:cs="Times New Roman"/>
          <w:lang w:val="en-IN"/>
        </w:rPr>
      </w:pPr>
      <w:proofErr w:type="spellStart"/>
      <w:r w:rsidRPr="0005656C">
        <w:rPr>
          <w:rFonts w:ascii="Times New Roman" w:hAnsi="Times New Roman" w:cs="Times New Roman"/>
          <w:lang w:val="en-IN"/>
        </w:rPr>
        <w:t>Pandiyan</w:t>
      </w:r>
      <w:proofErr w:type="spellEnd"/>
      <w:r w:rsidRPr="0005656C">
        <w:rPr>
          <w:rFonts w:ascii="Times New Roman" w:hAnsi="Times New Roman" w:cs="Times New Roman"/>
          <w:lang w:val="en-IN"/>
        </w:rPr>
        <w:t xml:space="preserve">, M., Krishnaveni, A., Sivakumar, P., Sivakumar, C., </w:t>
      </w:r>
      <w:proofErr w:type="spellStart"/>
      <w:r w:rsidRPr="0005656C">
        <w:rPr>
          <w:rFonts w:ascii="Times New Roman" w:hAnsi="Times New Roman" w:cs="Times New Roman"/>
          <w:lang w:val="en-IN"/>
        </w:rPr>
        <w:t>Vaithilingan</w:t>
      </w:r>
      <w:proofErr w:type="spellEnd"/>
      <w:r w:rsidRPr="0005656C">
        <w:rPr>
          <w:rFonts w:ascii="Times New Roman" w:hAnsi="Times New Roman" w:cs="Times New Roman"/>
          <w:lang w:val="en-IN"/>
        </w:rPr>
        <w:t xml:space="preserve">, M., Jamuna, E., Radhakrishnan, V., Sivakumar, B., &amp; Senthilkumar, P. (2020). Development of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yellow mosaic virus (MYMV) resistant genotypes in </w:t>
      </w:r>
      <w:proofErr w:type="spellStart"/>
      <w:r w:rsidRPr="0005656C">
        <w:rPr>
          <w:rFonts w:ascii="Times New Roman" w:hAnsi="Times New Roman" w:cs="Times New Roman"/>
          <w:lang w:val="en-IN"/>
        </w:rPr>
        <w:t>greengram</w:t>
      </w:r>
      <w:proofErr w:type="spellEnd"/>
      <w:r w:rsidRPr="0005656C">
        <w:rPr>
          <w:rFonts w:ascii="Times New Roman" w:hAnsi="Times New Roman" w:cs="Times New Roman"/>
          <w:lang w:val="en-IN"/>
        </w:rPr>
        <w:t xml:space="preserve"> through </w:t>
      </w:r>
      <w:proofErr w:type="spellStart"/>
      <w:r w:rsidRPr="0005656C">
        <w:rPr>
          <w:rFonts w:ascii="Times New Roman" w:hAnsi="Times New Roman" w:cs="Times New Roman"/>
          <w:lang w:val="en-IN"/>
        </w:rPr>
        <w:t>introgression</w:t>
      </w:r>
      <w:proofErr w:type="spellEnd"/>
      <w:r w:rsidRPr="0005656C">
        <w:rPr>
          <w:rFonts w:ascii="Times New Roman" w:hAnsi="Times New Roman" w:cs="Times New Roman"/>
          <w:lang w:val="en-IN"/>
        </w:rPr>
        <w:t xml:space="preserve"> of wild genotypes. </w:t>
      </w:r>
      <w:r w:rsidRPr="0005656C">
        <w:rPr>
          <w:rFonts w:ascii="Times New Roman" w:hAnsi="Times New Roman" w:cs="Times New Roman"/>
          <w:i/>
          <w:iCs/>
          <w:lang w:val="en-IN"/>
        </w:rPr>
        <w:t>International Journal of Current Microbiology and Applied Sciences, 9</w:t>
      </w:r>
      <w:r w:rsidRPr="0005656C">
        <w:rPr>
          <w:rFonts w:ascii="Times New Roman" w:hAnsi="Times New Roman" w:cs="Times New Roman"/>
          <w:lang w:val="en-IN"/>
        </w:rPr>
        <w:t xml:space="preserve">(6), 449. </w:t>
      </w:r>
      <w:hyperlink r:id="rId16" w:tgtFrame="_new" w:history="1">
        <w:r w:rsidRPr="0005656C">
          <w:rPr>
            <w:rStyle w:val="Hyperlink"/>
            <w:rFonts w:ascii="Times New Roman" w:hAnsi="Times New Roman" w:cs="Times New Roman"/>
            <w:lang w:val="en-IN"/>
          </w:rPr>
          <w:t>https://doi.org/10.20546/ijcmas.2020.906.449</w:t>
        </w:r>
      </w:hyperlink>
    </w:p>
    <w:p w14:paraId="335C4CD0"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Panse, V. G., </w:t>
      </w:r>
      <w:proofErr w:type="spellStart"/>
      <w:r w:rsidRPr="0005656C">
        <w:rPr>
          <w:rFonts w:ascii="Times New Roman" w:hAnsi="Times New Roman" w:cs="Times New Roman"/>
          <w:lang w:val="en-IN"/>
        </w:rPr>
        <w:t>Sukhatme</w:t>
      </w:r>
      <w:proofErr w:type="spellEnd"/>
      <w:r w:rsidRPr="0005656C">
        <w:rPr>
          <w:rFonts w:ascii="Times New Roman" w:hAnsi="Times New Roman" w:cs="Times New Roman"/>
          <w:lang w:val="en-IN"/>
        </w:rPr>
        <w:t xml:space="preserve">, P. V., &amp; Amble, V. N. (1985). </w:t>
      </w:r>
      <w:r w:rsidRPr="0005656C">
        <w:rPr>
          <w:rFonts w:ascii="Times New Roman" w:hAnsi="Times New Roman" w:cs="Times New Roman"/>
          <w:i/>
          <w:iCs/>
          <w:lang w:val="en-IN"/>
        </w:rPr>
        <w:t>Statistical methods for agricultural workers</w:t>
      </w:r>
      <w:r w:rsidRPr="0005656C">
        <w:rPr>
          <w:rFonts w:ascii="Times New Roman" w:hAnsi="Times New Roman" w:cs="Times New Roman"/>
          <w:lang w:val="en-IN"/>
        </w:rPr>
        <w:t xml:space="preserve"> (4th ed.). Indian Council of Agricultural Research.</w:t>
      </w:r>
    </w:p>
    <w:p w14:paraId="76FBA897"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Priya, K., Dhaneswar, S., &amp; Ranjan, R. (2021). Morpho-genetic assessment of </w:t>
      </w:r>
      <w:proofErr w:type="spellStart"/>
      <w:r w:rsidRPr="0005656C">
        <w:rPr>
          <w:rFonts w:ascii="Times New Roman" w:hAnsi="Times New Roman" w:cs="Times New Roman"/>
          <w:lang w:val="en-IN"/>
        </w:rPr>
        <w:t>greengram</w:t>
      </w:r>
      <w:proofErr w:type="spellEnd"/>
      <w:r w:rsidRPr="0005656C">
        <w:rPr>
          <w:rFonts w:ascii="Times New Roman" w:hAnsi="Times New Roman" w:cs="Times New Roman"/>
          <w:lang w:val="en-IN"/>
        </w:rPr>
        <w:t xml:space="preserve">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landraces of Odisha, India for MYMV resistance. </w:t>
      </w:r>
      <w:r w:rsidRPr="0005656C">
        <w:rPr>
          <w:rFonts w:ascii="Times New Roman" w:hAnsi="Times New Roman" w:cs="Times New Roman"/>
          <w:i/>
          <w:iCs/>
          <w:lang w:val="en-IN"/>
        </w:rPr>
        <w:t>Journal of Crop Research, 2</w:t>
      </w:r>
      <w:r w:rsidRPr="0005656C">
        <w:rPr>
          <w:rFonts w:ascii="Times New Roman" w:hAnsi="Times New Roman" w:cs="Times New Roman"/>
          <w:lang w:val="en-IN"/>
        </w:rPr>
        <w:t xml:space="preserve">(1), 35–47. </w:t>
      </w:r>
      <w:hyperlink r:id="rId17" w:tgtFrame="_new" w:history="1">
        <w:r w:rsidRPr="0005656C">
          <w:rPr>
            <w:rStyle w:val="Hyperlink"/>
            <w:rFonts w:ascii="Times New Roman" w:hAnsi="Times New Roman" w:cs="Times New Roman"/>
            <w:lang w:val="en-IN"/>
          </w:rPr>
          <w:t>https://doi.org/10.36959/451/698</w:t>
        </w:r>
      </w:hyperlink>
    </w:p>
    <w:p w14:paraId="2F7FB1AD" w14:textId="77777777" w:rsidR="00CB7FDA" w:rsidRPr="0005656C" w:rsidRDefault="00CB7FDA" w:rsidP="0005656C">
      <w:pPr>
        <w:pStyle w:val="ListParagraph"/>
        <w:numPr>
          <w:ilvl w:val="0"/>
          <w:numId w:val="7"/>
        </w:numPr>
        <w:jc w:val="both"/>
        <w:rPr>
          <w:rFonts w:ascii="Times New Roman" w:hAnsi="Times New Roman" w:cs="Times New Roman"/>
          <w:lang w:val="en-IN"/>
        </w:rPr>
      </w:pPr>
      <w:proofErr w:type="spellStart"/>
      <w:r w:rsidRPr="0005656C">
        <w:rPr>
          <w:rFonts w:ascii="Times New Roman" w:hAnsi="Times New Roman" w:cs="Times New Roman"/>
          <w:lang w:val="en-IN"/>
        </w:rPr>
        <w:t>Rohilla</w:t>
      </w:r>
      <w:proofErr w:type="spellEnd"/>
      <w:r w:rsidRPr="0005656C">
        <w:rPr>
          <w:rFonts w:ascii="Times New Roman" w:hAnsi="Times New Roman" w:cs="Times New Roman"/>
          <w:lang w:val="en-IN"/>
        </w:rPr>
        <w:t xml:space="preserve">, V., Yadav, R., </w:t>
      </w:r>
      <w:proofErr w:type="spellStart"/>
      <w:r w:rsidRPr="0005656C">
        <w:rPr>
          <w:rFonts w:ascii="Times New Roman" w:hAnsi="Times New Roman" w:cs="Times New Roman"/>
          <w:lang w:val="en-IN"/>
        </w:rPr>
        <w:t>Poonia</w:t>
      </w:r>
      <w:proofErr w:type="spellEnd"/>
      <w:r w:rsidRPr="0005656C">
        <w:rPr>
          <w:rFonts w:ascii="Times New Roman" w:hAnsi="Times New Roman" w:cs="Times New Roman"/>
          <w:lang w:val="en-IN"/>
        </w:rPr>
        <w:t xml:space="preserve">, A., </w:t>
      </w:r>
      <w:proofErr w:type="spellStart"/>
      <w:r w:rsidRPr="0005656C">
        <w:rPr>
          <w:rFonts w:ascii="Times New Roman" w:hAnsi="Times New Roman" w:cs="Times New Roman"/>
          <w:lang w:val="en-IN"/>
        </w:rPr>
        <w:t>Sheoran</w:t>
      </w:r>
      <w:proofErr w:type="spellEnd"/>
      <w:r w:rsidRPr="0005656C">
        <w:rPr>
          <w:rFonts w:ascii="Times New Roman" w:hAnsi="Times New Roman" w:cs="Times New Roman"/>
          <w:lang w:val="en-IN"/>
        </w:rPr>
        <w:t>, R., Kumari, G., Shanmugavadivel, P., &amp; Pratap, A. (2022). Association mapping for yield attributing traits and yellow mosaic disease resistance in mung bean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w:t>
      </w:r>
      <w:r w:rsidRPr="0005656C">
        <w:rPr>
          <w:rFonts w:ascii="Times New Roman" w:hAnsi="Times New Roman" w:cs="Times New Roman"/>
          <w:i/>
          <w:iCs/>
          <w:lang w:val="en-IN"/>
        </w:rPr>
        <w:t>Frontiers in Plant Science, 12</w:t>
      </w:r>
      <w:r w:rsidRPr="0005656C">
        <w:rPr>
          <w:rFonts w:ascii="Times New Roman" w:hAnsi="Times New Roman" w:cs="Times New Roman"/>
          <w:lang w:val="en-IN"/>
        </w:rPr>
        <w:t xml:space="preserve">, 749439. </w:t>
      </w:r>
      <w:hyperlink r:id="rId18" w:tgtFrame="_new" w:history="1">
        <w:r w:rsidRPr="0005656C">
          <w:rPr>
            <w:rStyle w:val="Hyperlink"/>
            <w:rFonts w:ascii="Times New Roman" w:hAnsi="Times New Roman" w:cs="Times New Roman"/>
            <w:lang w:val="en-IN"/>
          </w:rPr>
          <w:t>https://doi.org/10.3389/fpls.2021.749439</w:t>
        </w:r>
      </w:hyperlink>
    </w:p>
    <w:p w14:paraId="50D00766"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Sahoo, J., Mishra, A., Mishra, D., &amp; Samal, K. (2020). Nutrient-rich beans with benefit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A review. </w:t>
      </w:r>
      <w:r w:rsidRPr="0005656C">
        <w:rPr>
          <w:rFonts w:ascii="Times New Roman" w:hAnsi="Times New Roman" w:cs="Times New Roman"/>
          <w:i/>
          <w:iCs/>
          <w:lang w:val="en-IN"/>
        </w:rPr>
        <w:t>International Journal of Current Microbiology and Applied Sciences, 9</w:t>
      </w:r>
      <w:r w:rsidRPr="0005656C">
        <w:rPr>
          <w:rFonts w:ascii="Times New Roman" w:hAnsi="Times New Roman" w:cs="Times New Roman"/>
          <w:lang w:val="en-IN"/>
        </w:rPr>
        <w:t xml:space="preserve">, 3280–3289. </w:t>
      </w:r>
      <w:hyperlink r:id="rId19" w:tgtFrame="_new" w:history="1">
        <w:r w:rsidRPr="0005656C">
          <w:rPr>
            <w:rStyle w:val="Hyperlink"/>
            <w:rFonts w:ascii="Times New Roman" w:hAnsi="Times New Roman" w:cs="Times New Roman"/>
            <w:lang w:val="en-IN"/>
          </w:rPr>
          <w:t>https://doi.org/10.20546/ijcmas.2020.908.375</w:t>
        </w:r>
      </w:hyperlink>
    </w:p>
    <w:p w14:paraId="57B8ADD1"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Sahni, S., Prasad, B., </w:t>
      </w:r>
      <w:proofErr w:type="spellStart"/>
      <w:r w:rsidRPr="0005656C">
        <w:rPr>
          <w:rFonts w:ascii="Times New Roman" w:hAnsi="Times New Roman" w:cs="Times New Roman"/>
          <w:lang w:val="en-IN"/>
        </w:rPr>
        <w:t>Equbal</w:t>
      </w:r>
      <w:proofErr w:type="spellEnd"/>
      <w:r w:rsidRPr="0005656C">
        <w:rPr>
          <w:rFonts w:ascii="Times New Roman" w:hAnsi="Times New Roman" w:cs="Times New Roman"/>
          <w:lang w:val="en-IN"/>
        </w:rPr>
        <w:t xml:space="preserve">, M., &amp; Kumar, B. (2022). Field screening and molecular characterization of </w:t>
      </w:r>
      <w:proofErr w:type="spellStart"/>
      <w:r w:rsidRPr="0005656C">
        <w:rPr>
          <w:rFonts w:ascii="Times New Roman" w:hAnsi="Times New Roman" w:cs="Times New Roman"/>
          <w:lang w:val="en-IN"/>
        </w:rPr>
        <w:t>urdbean</w:t>
      </w:r>
      <w:proofErr w:type="spellEnd"/>
      <w:r w:rsidRPr="0005656C">
        <w:rPr>
          <w:rFonts w:ascii="Times New Roman" w:hAnsi="Times New Roman" w:cs="Times New Roman"/>
          <w:lang w:val="en-IN"/>
        </w:rPr>
        <w:t xml:space="preserve"> genotypes for yellow mosaic disease. </w:t>
      </w:r>
      <w:r w:rsidRPr="0005656C">
        <w:rPr>
          <w:rFonts w:ascii="Times New Roman" w:hAnsi="Times New Roman" w:cs="Times New Roman"/>
          <w:i/>
          <w:iCs/>
          <w:lang w:val="en-IN"/>
        </w:rPr>
        <w:t xml:space="preserve">Legume Research – An International </w:t>
      </w:r>
      <w:proofErr w:type="spellStart"/>
      <w:r w:rsidRPr="0005656C">
        <w:rPr>
          <w:rFonts w:ascii="Times New Roman" w:hAnsi="Times New Roman" w:cs="Times New Roman"/>
          <w:i/>
          <w:iCs/>
          <w:lang w:val="en-IN"/>
        </w:rPr>
        <w:t>Journal.</w:t>
      </w:r>
      <w:hyperlink r:id="rId20" w:tgtFrame="_new" w:history="1">
        <w:r w:rsidRPr="0005656C">
          <w:rPr>
            <w:rStyle w:val="Hyperlink"/>
            <w:rFonts w:ascii="Times New Roman" w:hAnsi="Times New Roman" w:cs="Times New Roman"/>
            <w:lang w:val="en-IN"/>
          </w:rPr>
          <w:t>https</w:t>
        </w:r>
        <w:proofErr w:type="spellEnd"/>
        <w:r w:rsidRPr="0005656C">
          <w:rPr>
            <w:rStyle w:val="Hyperlink"/>
            <w:rFonts w:ascii="Times New Roman" w:hAnsi="Times New Roman" w:cs="Times New Roman"/>
            <w:lang w:val="en-IN"/>
          </w:rPr>
          <w:t>://doi.org/10.18805/lr-5005</w:t>
        </w:r>
      </w:hyperlink>
    </w:p>
    <w:p w14:paraId="62F11BFE"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Singh, P., Pandey, B., Pratap, A., Gyaneshwari, U., Nair, R., Mishra, A., &amp; Singh, C. (2022). Genetic and genomics resources of cross-species </w:t>
      </w:r>
      <w:r w:rsidRPr="0005656C">
        <w:rPr>
          <w:rFonts w:ascii="Times New Roman" w:hAnsi="Times New Roman" w:cs="Times New Roman"/>
          <w:i/>
          <w:iCs/>
          <w:lang w:val="en-IN"/>
        </w:rPr>
        <w:t>Vigna</w:t>
      </w:r>
      <w:r w:rsidRPr="0005656C">
        <w:rPr>
          <w:rFonts w:ascii="Times New Roman" w:hAnsi="Times New Roman" w:cs="Times New Roman"/>
          <w:lang w:val="en-IN"/>
        </w:rPr>
        <w:t xml:space="preserve"> gene pools for improving biotic stress resistance in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w:t>
      </w:r>
      <w:r w:rsidRPr="0005656C">
        <w:rPr>
          <w:rFonts w:ascii="Times New Roman" w:hAnsi="Times New Roman" w:cs="Times New Roman"/>
          <w:i/>
          <w:iCs/>
          <w:lang w:val="en-IN"/>
        </w:rPr>
        <w:t>Agronomy, 12</w:t>
      </w:r>
      <w:r w:rsidRPr="0005656C">
        <w:rPr>
          <w:rFonts w:ascii="Times New Roman" w:hAnsi="Times New Roman" w:cs="Times New Roman"/>
          <w:lang w:val="en-IN"/>
        </w:rPr>
        <w:t xml:space="preserve">(12), 3000. </w:t>
      </w:r>
      <w:hyperlink r:id="rId21" w:tgtFrame="_new" w:history="1">
        <w:r w:rsidRPr="0005656C">
          <w:rPr>
            <w:rStyle w:val="Hyperlink"/>
            <w:rFonts w:ascii="Times New Roman" w:hAnsi="Times New Roman" w:cs="Times New Roman"/>
            <w:lang w:val="en-IN"/>
          </w:rPr>
          <w:t>https://doi.org/10.3390/agronomy12123000</w:t>
        </w:r>
      </w:hyperlink>
    </w:p>
    <w:p w14:paraId="56CBBCC8" w14:textId="77777777" w:rsidR="00CB7FDA" w:rsidRPr="0005656C" w:rsidRDefault="00011429" w:rsidP="0005656C">
      <w:pPr>
        <w:pStyle w:val="ListParagraph"/>
        <w:numPr>
          <w:ilvl w:val="0"/>
          <w:numId w:val="7"/>
        </w:numPr>
        <w:jc w:val="both"/>
        <w:rPr>
          <w:rFonts w:ascii="Times New Roman" w:hAnsi="Times New Roman" w:cs="Times New Roman"/>
          <w:lang w:val="en-IN"/>
        </w:rPr>
      </w:pPr>
      <w:proofErr w:type="spellStart"/>
      <w:r w:rsidRPr="0005656C">
        <w:rPr>
          <w:rFonts w:ascii="Times New Roman" w:hAnsi="Times New Roman" w:cs="Times New Roman"/>
          <w:lang w:val="en-IN"/>
        </w:rPr>
        <w:t>Tantasawat</w:t>
      </w:r>
      <w:proofErr w:type="spellEnd"/>
      <w:r w:rsidR="00CB7FDA" w:rsidRPr="0005656C">
        <w:rPr>
          <w:rFonts w:ascii="Times New Roman" w:hAnsi="Times New Roman" w:cs="Times New Roman"/>
          <w:lang w:val="en-IN"/>
        </w:rPr>
        <w:t xml:space="preserve">, P., </w:t>
      </w:r>
      <w:proofErr w:type="spellStart"/>
      <w:r w:rsidR="00CB7FDA" w:rsidRPr="0005656C">
        <w:rPr>
          <w:rFonts w:ascii="Times New Roman" w:hAnsi="Times New Roman" w:cs="Times New Roman"/>
          <w:lang w:val="en-IN"/>
        </w:rPr>
        <w:t>Poolsawat</w:t>
      </w:r>
      <w:proofErr w:type="spellEnd"/>
      <w:r w:rsidR="00CB7FDA" w:rsidRPr="0005656C">
        <w:rPr>
          <w:rFonts w:ascii="Times New Roman" w:hAnsi="Times New Roman" w:cs="Times New Roman"/>
          <w:lang w:val="en-IN"/>
        </w:rPr>
        <w:t xml:space="preserve">, O., </w:t>
      </w:r>
      <w:proofErr w:type="spellStart"/>
      <w:r w:rsidR="00CB7FDA" w:rsidRPr="0005656C">
        <w:rPr>
          <w:rFonts w:ascii="Times New Roman" w:hAnsi="Times New Roman" w:cs="Times New Roman"/>
          <w:lang w:val="en-IN"/>
        </w:rPr>
        <w:t>Kativat</w:t>
      </w:r>
      <w:proofErr w:type="spellEnd"/>
      <w:r w:rsidR="00CB7FDA" w:rsidRPr="0005656C">
        <w:rPr>
          <w:rFonts w:ascii="Times New Roman" w:hAnsi="Times New Roman" w:cs="Times New Roman"/>
          <w:lang w:val="en-IN"/>
        </w:rPr>
        <w:t xml:space="preserve">, C., </w:t>
      </w:r>
      <w:proofErr w:type="spellStart"/>
      <w:r w:rsidR="00CB7FDA" w:rsidRPr="0005656C">
        <w:rPr>
          <w:rFonts w:ascii="Times New Roman" w:hAnsi="Times New Roman" w:cs="Times New Roman"/>
          <w:lang w:val="en-IN"/>
        </w:rPr>
        <w:t>Arsakit</w:t>
      </w:r>
      <w:proofErr w:type="spellEnd"/>
      <w:r w:rsidR="00CB7FDA" w:rsidRPr="0005656C">
        <w:rPr>
          <w:rFonts w:ascii="Times New Roman" w:hAnsi="Times New Roman" w:cs="Times New Roman"/>
          <w:lang w:val="en-IN"/>
        </w:rPr>
        <w:t xml:space="preserve">, K., Papan, P., </w:t>
      </w:r>
      <w:proofErr w:type="spellStart"/>
      <w:r w:rsidR="00CB7FDA" w:rsidRPr="0005656C">
        <w:rPr>
          <w:rFonts w:ascii="Times New Roman" w:hAnsi="Times New Roman" w:cs="Times New Roman"/>
          <w:lang w:val="en-IN"/>
        </w:rPr>
        <w:t>Chueakhunthod</w:t>
      </w:r>
      <w:proofErr w:type="spellEnd"/>
      <w:r w:rsidR="00CB7FDA" w:rsidRPr="0005656C">
        <w:rPr>
          <w:rFonts w:ascii="Times New Roman" w:hAnsi="Times New Roman" w:cs="Times New Roman"/>
          <w:lang w:val="en-IN"/>
        </w:rPr>
        <w:t xml:space="preserve">, W., &amp; </w:t>
      </w:r>
      <w:proofErr w:type="spellStart"/>
      <w:r w:rsidR="00CB7FDA" w:rsidRPr="0005656C">
        <w:rPr>
          <w:rFonts w:ascii="Times New Roman" w:hAnsi="Times New Roman" w:cs="Times New Roman"/>
          <w:lang w:val="en-IN"/>
        </w:rPr>
        <w:t>Pookhamsak</w:t>
      </w:r>
      <w:proofErr w:type="spellEnd"/>
      <w:r w:rsidR="00CB7FDA" w:rsidRPr="0005656C">
        <w:rPr>
          <w:rFonts w:ascii="Times New Roman" w:hAnsi="Times New Roman" w:cs="Times New Roman"/>
          <w:lang w:val="en-IN"/>
        </w:rPr>
        <w:t xml:space="preserve">, P. (2022). Inheritance and identification of ISSR-RGA markers associated with powdery mildew resistance in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for marker-assisted breeding. </w:t>
      </w:r>
      <w:r w:rsidR="00CB7FDA" w:rsidRPr="0005656C">
        <w:rPr>
          <w:rFonts w:ascii="Times New Roman" w:hAnsi="Times New Roman" w:cs="Times New Roman"/>
          <w:i/>
          <w:iCs/>
          <w:lang w:val="en-IN"/>
        </w:rPr>
        <w:t>Chilean Journal of Agricultural Research, 82</w:t>
      </w:r>
      <w:r w:rsidR="00CB7FDA" w:rsidRPr="0005656C">
        <w:rPr>
          <w:rFonts w:ascii="Times New Roman" w:hAnsi="Times New Roman" w:cs="Times New Roman"/>
          <w:lang w:val="en-IN"/>
        </w:rPr>
        <w:t xml:space="preserve">(1), 3–12. </w:t>
      </w:r>
      <w:hyperlink r:id="rId22" w:tgtFrame="_new" w:history="1">
        <w:r w:rsidR="00CB7FDA" w:rsidRPr="0005656C">
          <w:rPr>
            <w:rStyle w:val="Hyperlink"/>
            <w:rFonts w:ascii="Times New Roman" w:hAnsi="Times New Roman" w:cs="Times New Roman"/>
            <w:lang w:val="en-IN"/>
          </w:rPr>
          <w:t>https://doi.org/10.4067/s0718-58392022000100003</w:t>
        </w:r>
      </w:hyperlink>
    </w:p>
    <w:p w14:paraId="23586D47" w14:textId="093168FD" w:rsidR="00C52DD1" w:rsidRP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Thakur, S. S., Sharma, S. S., Tripathi, N. N., Sharma, R. R., Kumar, A., &amp; Ramakrishnan, R. R. S. (2024). Assessment of genetic diversity for MYMV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[Vigna radiata (L.) </w:t>
      </w:r>
      <w:proofErr w:type="spellStart"/>
      <w:r w:rsidRPr="00C52DD1">
        <w:rPr>
          <w:rFonts w:ascii="Times New Roman" w:hAnsi="Times New Roman" w:cs="Times New Roman"/>
          <w:lang w:val="en-IN"/>
        </w:rPr>
        <w:t>Wilczek</w:t>
      </w:r>
      <w:proofErr w:type="spellEnd"/>
      <w:r w:rsidRPr="00C52DD1">
        <w:rPr>
          <w:rFonts w:ascii="Times New Roman" w:hAnsi="Times New Roman" w:cs="Times New Roman"/>
          <w:lang w:val="en-IN"/>
        </w:rPr>
        <w:t xml:space="preserve">] using SSR markers. Legume Research – An International Journal. </w:t>
      </w:r>
      <w:hyperlink r:id="rId23" w:history="1">
        <w:r w:rsidRPr="00DE3E96">
          <w:rPr>
            <w:rStyle w:val="Hyperlink"/>
            <w:rFonts w:ascii="Times New Roman" w:hAnsi="Times New Roman" w:cs="Times New Roman"/>
            <w:lang w:val="en-IN"/>
          </w:rPr>
          <w:t>https://doi.org/10.18805/LR-</w:t>
        </w:r>
        <w:r w:rsidRPr="00DE3E96">
          <w:rPr>
            <w:rStyle w:val="Hyperlink"/>
            <w:lang w:val="en-IN"/>
          </w:rPr>
          <w:t>4985</w:t>
        </w:r>
      </w:hyperlink>
    </w:p>
    <w:p w14:paraId="2C90924A" w14:textId="43F4D9E8" w:rsidR="00CB7FDA" w:rsidRPr="0005656C" w:rsidRDefault="00CB7FDA" w:rsidP="0005656C">
      <w:pPr>
        <w:pStyle w:val="ListParagraph"/>
        <w:numPr>
          <w:ilvl w:val="0"/>
          <w:numId w:val="7"/>
        </w:numPr>
        <w:jc w:val="both"/>
        <w:rPr>
          <w:rFonts w:ascii="Times New Roman" w:hAnsi="Times New Roman" w:cs="Times New Roman"/>
          <w:lang w:val="en-IN"/>
        </w:rPr>
      </w:pPr>
      <w:r w:rsidRPr="00C52DD1">
        <w:t>Waengwan</w:t>
      </w:r>
      <w:r w:rsidRPr="0005656C">
        <w:rPr>
          <w:rFonts w:ascii="Times New Roman" w:hAnsi="Times New Roman" w:cs="Times New Roman"/>
          <w:lang w:val="en-IN"/>
        </w:rPr>
        <w:t xml:space="preserve">, P., </w:t>
      </w:r>
      <w:proofErr w:type="spellStart"/>
      <w:r w:rsidRPr="0005656C">
        <w:rPr>
          <w:rFonts w:ascii="Times New Roman" w:hAnsi="Times New Roman" w:cs="Times New Roman"/>
          <w:lang w:val="en-IN"/>
        </w:rPr>
        <w:t>Laosatit</w:t>
      </w:r>
      <w:proofErr w:type="spellEnd"/>
      <w:r w:rsidRPr="0005656C">
        <w:rPr>
          <w:rFonts w:ascii="Times New Roman" w:hAnsi="Times New Roman" w:cs="Times New Roman"/>
          <w:lang w:val="en-IN"/>
        </w:rPr>
        <w:t xml:space="preserve">, K., Lin, Y., </w:t>
      </w:r>
      <w:proofErr w:type="spellStart"/>
      <w:r w:rsidRPr="0005656C">
        <w:rPr>
          <w:rFonts w:ascii="Times New Roman" w:hAnsi="Times New Roman" w:cs="Times New Roman"/>
          <w:lang w:val="en-IN"/>
        </w:rPr>
        <w:t>Yimram</w:t>
      </w:r>
      <w:proofErr w:type="spellEnd"/>
      <w:r w:rsidRPr="0005656C">
        <w:rPr>
          <w:rFonts w:ascii="Times New Roman" w:hAnsi="Times New Roman" w:cs="Times New Roman"/>
          <w:lang w:val="en-IN"/>
        </w:rPr>
        <w:t xml:space="preserve">, T., Yuan, X., Chen, X., &amp; </w:t>
      </w:r>
      <w:proofErr w:type="spellStart"/>
      <w:r w:rsidRPr="0005656C">
        <w:rPr>
          <w:rFonts w:ascii="Times New Roman" w:hAnsi="Times New Roman" w:cs="Times New Roman"/>
          <w:lang w:val="en-IN"/>
        </w:rPr>
        <w:t>Somta</w:t>
      </w:r>
      <w:proofErr w:type="spellEnd"/>
      <w:r w:rsidRPr="0005656C">
        <w:rPr>
          <w:rFonts w:ascii="Times New Roman" w:hAnsi="Times New Roman" w:cs="Times New Roman"/>
          <w:lang w:val="en-IN"/>
        </w:rPr>
        <w:t xml:space="preserve">, P. (2024). A cluster of </w:t>
      </w:r>
      <w:r w:rsidRPr="0005656C">
        <w:rPr>
          <w:rFonts w:ascii="Times New Roman" w:hAnsi="Times New Roman" w:cs="Times New Roman"/>
          <w:i/>
          <w:iCs/>
          <w:lang w:val="en-IN"/>
        </w:rPr>
        <w:t>Peronospora parasitica</w:t>
      </w:r>
      <w:r w:rsidRPr="0005656C">
        <w:rPr>
          <w:rFonts w:ascii="Times New Roman" w:hAnsi="Times New Roman" w:cs="Times New Roman"/>
          <w:lang w:val="en-IN"/>
        </w:rPr>
        <w:t xml:space="preserve"> 13-like (NBS-LRR) genes is associated with powdery mildew </w:t>
      </w:r>
      <w:r w:rsidRPr="0005656C">
        <w:rPr>
          <w:rFonts w:ascii="Times New Roman" w:hAnsi="Times New Roman" w:cs="Times New Roman"/>
          <w:lang w:val="en-IN"/>
        </w:rPr>
        <w:lastRenderedPageBreak/>
        <w:t>(</w:t>
      </w:r>
      <w:r w:rsidRPr="0005656C">
        <w:rPr>
          <w:rFonts w:ascii="Times New Roman" w:hAnsi="Times New Roman" w:cs="Times New Roman"/>
          <w:i/>
          <w:iCs/>
          <w:lang w:val="en-IN"/>
        </w:rPr>
        <w:t xml:space="preserve">Erysiphe </w:t>
      </w:r>
      <w:proofErr w:type="spellStart"/>
      <w:r w:rsidRPr="0005656C">
        <w:rPr>
          <w:rFonts w:ascii="Times New Roman" w:hAnsi="Times New Roman" w:cs="Times New Roman"/>
          <w:i/>
          <w:iCs/>
          <w:lang w:val="en-IN"/>
        </w:rPr>
        <w:t>polygoni</w:t>
      </w:r>
      <w:proofErr w:type="spellEnd"/>
      <w:r w:rsidRPr="0005656C">
        <w:rPr>
          <w:rFonts w:ascii="Times New Roman" w:hAnsi="Times New Roman" w:cs="Times New Roman"/>
          <w:lang w:val="en-IN"/>
        </w:rPr>
        <w:t xml:space="preserve">) resistance in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w:t>
      </w:r>
      <w:r w:rsidRPr="0005656C">
        <w:rPr>
          <w:rFonts w:ascii="Times New Roman" w:hAnsi="Times New Roman" w:cs="Times New Roman"/>
          <w:i/>
          <w:iCs/>
          <w:lang w:val="en-IN"/>
        </w:rPr>
        <w:t>Plants, 13</w:t>
      </w:r>
      <w:r w:rsidRPr="0005656C">
        <w:rPr>
          <w:rFonts w:ascii="Times New Roman" w:hAnsi="Times New Roman" w:cs="Times New Roman"/>
          <w:lang w:val="en-IN"/>
        </w:rPr>
        <w:t xml:space="preserve">(9), 1230. </w:t>
      </w:r>
      <w:hyperlink r:id="rId24" w:tgtFrame="_new" w:history="1">
        <w:r w:rsidRPr="0005656C">
          <w:rPr>
            <w:rStyle w:val="Hyperlink"/>
            <w:rFonts w:ascii="Times New Roman" w:hAnsi="Times New Roman" w:cs="Times New Roman"/>
            <w:lang w:val="en-IN"/>
          </w:rPr>
          <w:t>https://doi.org/10.3390/plants13091230</w:t>
        </w:r>
      </w:hyperlink>
    </w:p>
    <w:p w14:paraId="4148DB1A"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Weinberger, K. (2003). </w:t>
      </w:r>
      <w:r w:rsidRPr="0005656C">
        <w:rPr>
          <w:rFonts w:ascii="Times New Roman" w:hAnsi="Times New Roman" w:cs="Times New Roman"/>
          <w:i/>
          <w:iCs/>
          <w:lang w:val="en-IN"/>
        </w:rPr>
        <w:t>Impact analysis of mung bean research in South and Southeast Asia: Final report of GTZ Project.</w:t>
      </w:r>
      <w:r w:rsidRPr="0005656C">
        <w:rPr>
          <w:rFonts w:ascii="Times New Roman" w:hAnsi="Times New Roman" w:cs="Times New Roman"/>
          <w:lang w:val="en-IN"/>
        </w:rPr>
        <w:t xml:space="preserve"> The World Vegetable </w:t>
      </w:r>
      <w:proofErr w:type="spellStart"/>
      <w:r w:rsidRPr="0005656C">
        <w:rPr>
          <w:rFonts w:ascii="Times New Roman" w:hAnsi="Times New Roman" w:cs="Times New Roman"/>
          <w:lang w:val="en-IN"/>
        </w:rPr>
        <w:t>Center</w:t>
      </w:r>
      <w:proofErr w:type="spellEnd"/>
      <w:r w:rsidRPr="0005656C">
        <w:rPr>
          <w:rFonts w:ascii="Times New Roman" w:hAnsi="Times New Roman" w:cs="Times New Roman"/>
          <w:lang w:val="en-IN"/>
        </w:rPr>
        <w:t xml:space="preserve"> (AVRDC), </w:t>
      </w:r>
      <w:proofErr w:type="spellStart"/>
      <w:r w:rsidRPr="0005656C">
        <w:rPr>
          <w:rFonts w:ascii="Times New Roman" w:hAnsi="Times New Roman" w:cs="Times New Roman"/>
          <w:lang w:val="en-IN"/>
        </w:rPr>
        <w:t>Shanhua</w:t>
      </w:r>
      <w:proofErr w:type="spellEnd"/>
      <w:r w:rsidRPr="0005656C">
        <w:rPr>
          <w:rFonts w:ascii="Times New Roman" w:hAnsi="Times New Roman" w:cs="Times New Roman"/>
          <w:lang w:val="en-IN"/>
        </w:rPr>
        <w:t>, Taiwan.</w:t>
      </w:r>
    </w:p>
    <w:p w14:paraId="230A5375"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Yoseph, T. (2022). Performance evaluation of mung bean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varieties in pastoral areas of South Omo Zone, Southern Ethiopia. </w:t>
      </w:r>
      <w:r w:rsidRPr="0005656C">
        <w:rPr>
          <w:rFonts w:ascii="Times New Roman" w:hAnsi="Times New Roman" w:cs="Times New Roman"/>
          <w:i/>
          <w:iCs/>
          <w:lang w:val="en-IN"/>
        </w:rPr>
        <w:t>International Journal of Agricultural Research, Innovation and Technology, 12</w:t>
      </w:r>
      <w:r w:rsidRPr="0005656C">
        <w:rPr>
          <w:rFonts w:ascii="Times New Roman" w:hAnsi="Times New Roman" w:cs="Times New Roman"/>
          <w:lang w:val="en-IN"/>
        </w:rPr>
        <w:t xml:space="preserve">(1), 45–54. </w:t>
      </w:r>
      <w:hyperlink r:id="rId25" w:tgtFrame="_new" w:history="1">
        <w:r w:rsidRPr="0005656C">
          <w:rPr>
            <w:rStyle w:val="Hyperlink"/>
            <w:rFonts w:ascii="Times New Roman" w:hAnsi="Times New Roman" w:cs="Times New Roman"/>
            <w:lang w:val="en-IN"/>
          </w:rPr>
          <w:t>https://doi.org/10.3329/ijarit.v12i1.61044</w:t>
        </w:r>
      </w:hyperlink>
    </w:p>
    <w:p w14:paraId="5E306F44" w14:textId="77777777" w:rsidR="00074717" w:rsidRDefault="00074717" w:rsidP="00EA06A5">
      <w:pPr>
        <w:jc w:val="both"/>
        <w:rPr>
          <w:rFonts w:ascii="Times New Roman" w:hAnsi="Times New Roman" w:cs="Times New Roman"/>
        </w:rPr>
      </w:pPr>
    </w:p>
    <w:p w14:paraId="032973A6" w14:textId="77777777" w:rsidR="00397EDB" w:rsidRDefault="00397EDB" w:rsidP="00EA06A5">
      <w:pPr>
        <w:jc w:val="both"/>
        <w:rPr>
          <w:rFonts w:ascii="Times New Roman" w:hAnsi="Times New Roman" w:cs="Times New Roman"/>
        </w:rPr>
      </w:pPr>
    </w:p>
    <w:p w14:paraId="68466904" w14:textId="77777777" w:rsidR="00397EDB" w:rsidRDefault="00397EDB" w:rsidP="00EA06A5">
      <w:pPr>
        <w:jc w:val="both"/>
        <w:rPr>
          <w:rFonts w:ascii="Times New Roman" w:hAnsi="Times New Roman" w:cs="Times New Roman"/>
        </w:rPr>
      </w:pPr>
    </w:p>
    <w:p w14:paraId="7037A3C2" w14:textId="77777777" w:rsidR="00397EDB" w:rsidRDefault="00397EDB" w:rsidP="00EA06A5">
      <w:pPr>
        <w:jc w:val="both"/>
        <w:rPr>
          <w:rFonts w:ascii="Times New Roman" w:hAnsi="Times New Roman" w:cs="Times New Roman"/>
        </w:rPr>
      </w:pPr>
    </w:p>
    <w:p w14:paraId="21922A23" w14:textId="77777777" w:rsidR="00397EDB" w:rsidRPr="00074717" w:rsidRDefault="00397EDB" w:rsidP="00EA06A5">
      <w:pPr>
        <w:jc w:val="both"/>
        <w:rPr>
          <w:rFonts w:ascii="Times New Roman" w:hAnsi="Times New Roman" w:cs="Times New Roman"/>
        </w:rPr>
      </w:pPr>
    </w:p>
    <w:sectPr w:rsidR="00397EDB" w:rsidRPr="00074717" w:rsidSect="00A92DA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11323" w14:textId="77777777" w:rsidR="00D82882" w:rsidRDefault="00D82882" w:rsidP="0028737A">
      <w:pPr>
        <w:spacing w:after="0" w:line="240" w:lineRule="auto"/>
      </w:pPr>
      <w:r>
        <w:separator/>
      </w:r>
    </w:p>
  </w:endnote>
  <w:endnote w:type="continuationSeparator" w:id="0">
    <w:p w14:paraId="73A14E5C" w14:textId="77777777" w:rsidR="00D82882" w:rsidRDefault="00D82882" w:rsidP="0028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4F67" w14:textId="77777777" w:rsidR="00BA2B4D" w:rsidRDefault="00BA2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1827" w14:textId="77777777" w:rsidR="00BA2B4D" w:rsidRDefault="00BA2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7C63" w14:textId="77777777" w:rsidR="00BA2B4D" w:rsidRDefault="00BA2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FD413" w14:textId="77777777" w:rsidR="00D82882" w:rsidRDefault="00D82882" w:rsidP="0028737A">
      <w:pPr>
        <w:spacing w:after="0" w:line="240" w:lineRule="auto"/>
      </w:pPr>
      <w:r>
        <w:separator/>
      </w:r>
    </w:p>
  </w:footnote>
  <w:footnote w:type="continuationSeparator" w:id="0">
    <w:p w14:paraId="4F848398" w14:textId="77777777" w:rsidR="00D82882" w:rsidRDefault="00D82882" w:rsidP="00287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A8B3" w14:textId="020C7B7C" w:rsidR="00BA2B4D" w:rsidRDefault="00BA2B4D">
    <w:pPr>
      <w:pStyle w:val="Header"/>
    </w:pPr>
    <w:r>
      <w:rPr>
        <w:noProof/>
      </w:rPr>
      <w:pict w14:anchorId="16317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E608" w14:textId="7869DD5D" w:rsidR="00BA2B4D" w:rsidRDefault="00BA2B4D">
    <w:pPr>
      <w:pStyle w:val="Header"/>
    </w:pPr>
    <w:r>
      <w:rPr>
        <w:noProof/>
      </w:rPr>
      <w:pict w14:anchorId="56579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359C" w14:textId="15E0139C" w:rsidR="00BA2B4D" w:rsidRDefault="00BA2B4D">
    <w:pPr>
      <w:pStyle w:val="Header"/>
    </w:pPr>
    <w:r>
      <w:rPr>
        <w:noProof/>
      </w:rPr>
      <w:pict w14:anchorId="57A2A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7AD5"/>
    <w:multiLevelType w:val="hybridMultilevel"/>
    <w:tmpl w:val="43C44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8A45D9"/>
    <w:multiLevelType w:val="hybridMultilevel"/>
    <w:tmpl w:val="E5BE4F6C"/>
    <w:lvl w:ilvl="0" w:tplc="97B693A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CF1A3D"/>
    <w:multiLevelType w:val="multilevel"/>
    <w:tmpl w:val="A8D6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1574D"/>
    <w:multiLevelType w:val="hybridMultilevel"/>
    <w:tmpl w:val="A9F6EBF4"/>
    <w:lvl w:ilvl="0" w:tplc="B80C3CF4">
      <w:start w:val="1"/>
      <w:numFmt w:val="bullet"/>
      <w:lvlText w:val="•"/>
      <w:lvlJc w:val="left"/>
      <w:pPr>
        <w:tabs>
          <w:tab w:val="num" w:pos="720"/>
        </w:tabs>
        <w:ind w:left="720" w:hanging="360"/>
      </w:pPr>
      <w:rPr>
        <w:rFonts w:ascii="Arial" w:hAnsi="Arial" w:hint="default"/>
      </w:rPr>
    </w:lvl>
    <w:lvl w:ilvl="1" w:tplc="B3F8D9AE" w:tentative="1">
      <w:start w:val="1"/>
      <w:numFmt w:val="bullet"/>
      <w:lvlText w:val="•"/>
      <w:lvlJc w:val="left"/>
      <w:pPr>
        <w:tabs>
          <w:tab w:val="num" w:pos="1440"/>
        </w:tabs>
        <w:ind w:left="1440" w:hanging="360"/>
      </w:pPr>
      <w:rPr>
        <w:rFonts w:ascii="Arial" w:hAnsi="Arial" w:hint="default"/>
      </w:rPr>
    </w:lvl>
    <w:lvl w:ilvl="2" w:tplc="7E8AE0EA" w:tentative="1">
      <w:start w:val="1"/>
      <w:numFmt w:val="bullet"/>
      <w:lvlText w:val="•"/>
      <w:lvlJc w:val="left"/>
      <w:pPr>
        <w:tabs>
          <w:tab w:val="num" w:pos="2160"/>
        </w:tabs>
        <w:ind w:left="2160" w:hanging="360"/>
      </w:pPr>
      <w:rPr>
        <w:rFonts w:ascii="Arial" w:hAnsi="Arial" w:hint="default"/>
      </w:rPr>
    </w:lvl>
    <w:lvl w:ilvl="3" w:tplc="EDFEC156" w:tentative="1">
      <w:start w:val="1"/>
      <w:numFmt w:val="bullet"/>
      <w:lvlText w:val="•"/>
      <w:lvlJc w:val="left"/>
      <w:pPr>
        <w:tabs>
          <w:tab w:val="num" w:pos="2880"/>
        </w:tabs>
        <w:ind w:left="2880" w:hanging="360"/>
      </w:pPr>
      <w:rPr>
        <w:rFonts w:ascii="Arial" w:hAnsi="Arial" w:hint="default"/>
      </w:rPr>
    </w:lvl>
    <w:lvl w:ilvl="4" w:tplc="AF7CDB66" w:tentative="1">
      <w:start w:val="1"/>
      <w:numFmt w:val="bullet"/>
      <w:lvlText w:val="•"/>
      <w:lvlJc w:val="left"/>
      <w:pPr>
        <w:tabs>
          <w:tab w:val="num" w:pos="3600"/>
        </w:tabs>
        <w:ind w:left="3600" w:hanging="360"/>
      </w:pPr>
      <w:rPr>
        <w:rFonts w:ascii="Arial" w:hAnsi="Arial" w:hint="default"/>
      </w:rPr>
    </w:lvl>
    <w:lvl w:ilvl="5" w:tplc="5BC87DCA" w:tentative="1">
      <w:start w:val="1"/>
      <w:numFmt w:val="bullet"/>
      <w:lvlText w:val="•"/>
      <w:lvlJc w:val="left"/>
      <w:pPr>
        <w:tabs>
          <w:tab w:val="num" w:pos="4320"/>
        </w:tabs>
        <w:ind w:left="4320" w:hanging="360"/>
      </w:pPr>
      <w:rPr>
        <w:rFonts w:ascii="Arial" w:hAnsi="Arial" w:hint="default"/>
      </w:rPr>
    </w:lvl>
    <w:lvl w:ilvl="6" w:tplc="2C145750" w:tentative="1">
      <w:start w:val="1"/>
      <w:numFmt w:val="bullet"/>
      <w:lvlText w:val="•"/>
      <w:lvlJc w:val="left"/>
      <w:pPr>
        <w:tabs>
          <w:tab w:val="num" w:pos="5040"/>
        </w:tabs>
        <w:ind w:left="5040" w:hanging="360"/>
      </w:pPr>
      <w:rPr>
        <w:rFonts w:ascii="Arial" w:hAnsi="Arial" w:hint="default"/>
      </w:rPr>
    </w:lvl>
    <w:lvl w:ilvl="7" w:tplc="238E83E8" w:tentative="1">
      <w:start w:val="1"/>
      <w:numFmt w:val="bullet"/>
      <w:lvlText w:val="•"/>
      <w:lvlJc w:val="left"/>
      <w:pPr>
        <w:tabs>
          <w:tab w:val="num" w:pos="5760"/>
        </w:tabs>
        <w:ind w:left="5760" w:hanging="360"/>
      </w:pPr>
      <w:rPr>
        <w:rFonts w:ascii="Arial" w:hAnsi="Arial" w:hint="default"/>
      </w:rPr>
    </w:lvl>
    <w:lvl w:ilvl="8" w:tplc="D0D27F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BA68F3"/>
    <w:multiLevelType w:val="hybridMultilevel"/>
    <w:tmpl w:val="DB142F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1B6017"/>
    <w:multiLevelType w:val="multilevel"/>
    <w:tmpl w:val="373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9390A"/>
    <w:multiLevelType w:val="multilevel"/>
    <w:tmpl w:val="A40CE080"/>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06A5"/>
    <w:rsid w:val="00002249"/>
    <w:rsid w:val="00005A0D"/>
    <w:rsid w:val="0000632C"/>
    <w:rsid w:val="00011429"/>
    <w:rsid w:val="00054C2C"/>
    <w:rsid w:val="0005656C"/>
    <w:rsid w:val="00064374"/>
    <w:rsid w:val="00074717"/>
    <w:rsid w:val="0009108E"/>
    <w:rsid w:val="00091607"/>
    <w:rsid w:val="000D799C"/>
    <w:rsid w:val="000F4742"/>
    <w:rsid w:val="000F769D"/>
    <w:rsid w:val="00120536"/>
    <w:rsid w:val="00135A19"/>
    <w:rsid w:val="001509DD"/>
    <w:rsid w:val="0015322E"/>
    <w:rsid w:val="00162089"/>
    <w:rsid w:val="00167A58"/>
    <w:rsid w:val="00173ACC"/>
    <w:rsid w:val="00175BC1"/>
    <w:rsid w:val="00176ACE"/>
    <w:rsid w:val="00190DB4"/>
    <w:rsid w:val="00195F6A"/>
    <w:rsid w:val="001A0390"/>
    <w:rsid w:val="001A57C0"/>
    <w:rsid w:val="001F595E"/>
    <w:rsid w:val="002059BD"/>
    <w:rsid w:val="00206970"/>
    <w:rsid w:val="00212829"/>
    <w:rsid w:val="00225DF4"/>
    <w:rsid w:val="00235281"/>
    <w:rsid w:val="00251715"/>
    <w:rsid w:val="00252D21"/>
    <w:rsid w:val="00256508"/>
    <w:rsid w:val="0027160C"/>
    <w:rsid w:val="0028177C"/>
    <w:rsid w:val="0028737A"/>
    <w:rsid w:val="002A42F4"/>
    <w:rsid w:val="002B32E4"/>
    <w:rsid w:val="002D0916"/>
    <w:rsid w:val="002E1D2F"/>
    <w:rsid w:val="002E4797"/>
    <w:rsid w:val="002F70B7"/>
    <w:rsid w:val="003046F5"/>
    <w:rsid w:val="0031005E"/>
    <w:rsid w:val="003119DB"/>
    <w:rsid w:val="0033494A"/>
    <w:rsid w:val="0037517B"/>
    <w:rsid w:val="003851E7"/>
    <w:rsid w:val="00393FC2"/>
    <w:rsid w:val="00394A72"/>
    <w:rsid w:val="00397EDB"/>
    <w:rsid w:val="003E4699"/>
    <w:rsid w:val="003E4EA8"/>
    <w:rsid w:val="003E7C74"/>
    <w:rsid w:val="00400E42"/>
    <w:rsid w:val="00412F9B"/>
    <w:rsid w:val="0042274D"/>
    <w:rsid w:val="00436990"/>
    <w:rsid w:val="004608B4"/>
    <w:rsid w:val="00463280"/>
    <w:rsid w:val="0047798B"/>
    <w:rsid w:val="004E004E"/>
    <w:rsid w:val="004F1813"/>
    <w:rsid w:val="005136C9"/>
    <w:rsid w:val="005163A0"/>
    <w:rsid w:val="005170A5"/>
    <w:rsid w:val="00520F6C"/>
    <w:rsid w:val="0052496A"/>
    <w:rsid w:val="0052642C"/>
    <w:rsid w:val="00527AE5"/>
    <w:rsid w:val="0054723D"/>
    <w:rsid w:val="00547609"/>
    <w:rsid w:val="00566240"/>
    <w:rsid w:val="00572476"/>
    <w:rsid w:val="00582A02"/>
    <w:rsid w:val="005B2AF5"/>
    <w:rsid w:val="005C6C9C"/>
    <w:rsid w:val="005D058F"/>
    <w:rsid w:val="005D19C4"/>
    <w:rsid w:val="005D3E58"/>
    <w:rsid w:val="005E2B9B"/>
    <w:rsid w:val="005F6505"/>
    <w:rsid w:val="00600B69"/>
    <w:rsid w:val="00624DFD"/>
    <w:rsid w:val="0064645A"/>
    <w:rsid w:val="00675C17"/>
    <w:rsid w:val="0069722E"/>
    <w:rsid w:val="006D321A"/>
    <w:rsid w:val="006D4B73"/>
    <w:rsid w:val="006F1C38"/>
    <w:rsid w:val="006F69D2"/>
    <w:rsid w:val="007063DD"/>
    <w:rsid w:val="007212AC"/>
    <w:rsid w:val="007228CA"/>
    <w:rsid w:val="00731D43"/>
    <w:rsid w:val="00736E9E"/>
    <w:rsid w:val="00744448"/>
    <w:rsid w:val="00752AED"/>
    <w:rsid w:val="00757BEA"/>
    <w:rsid w:val="00771D78"/>
    <w:rsid w:val="00773D30"/>
    <w:rsid w:val="007947D8"/>
    <w:rsid w:val="007A0E45"/>
    <w:rsid w:val="007A4A74"/>
    <w:rsid w:val="007B29DF"/>
    <w:rsid w:val="007B67CF"/>
    <w:rsid w:val="007C1265"/>
    <w:rsid w:val="007C66BF"/>
    <w:rsid w:val="007F368D"/>
    <w:rsid w:val="007F765B"/>
    <w:rsid w:val="0080628A"/>
    <w:rsid w:val="00811866"/>
    <w:rsid w:val="00820AF5"/>
    <w:rsid w:val="00837C5E"/>
    <w:rsid w:val="0087577D"/>
    <w:rsid w:val="00881432"/>
    <w:rsid w:val="008817B4"/>
    <w:rsid w:val="0089465F"/>
    <w:rsid w:val="00896A68"/>
    <w:rsid w:val="008B2173"/>
    <w:rsid w:val="008B57BF"/>
    <w:rsid w:val="008C01DE"/>
    <w:rsid w:val="008C052F"/>
    <w:rsid w:val="008C2C81"/>
    <w:rsid w:val="008C7504"/>
    <w:rsid w:val="008D2161"/>
    <w:rsid w:val="008E37A4"/>
    <w:rsid w:val="008F1608"/>
    <w:rsid w:val="009061F6"/>
    <w:rsid w:val="00943034"/>
    <w:rsid w:val="0096694A"/>
    <w:rsid w:val="00983CAC"/>
    <w:rsid w:val="00987AF8"/>
    <w:rsid w:val="00995B5C"/>
    <w:rsid w:val="009A7455"/>
    <w:rsid w:val="009C324D"/>
    <w:rsid w:val="009D135C"/>
    <w:rsid w:val="009D3526"/>
    <w:rsid w:val="009E0EEF"/>
    <w:rsid w:val="00A238F9"/>
    <w:rsid w:val="00A26DA7"/>
    <w:rsid w:val="00A643CA"/>
    <w:rsid w:val="00A66B9F"/>
    <w:rsid w:val="00A719DD"/>
    <w:rsid w:val="00A92DA1"/>
    <w:rsid w:val="00AB3ABB"/>
    <w:rsid w:val="00AB4379"/>
    <w:rsid w:val="00AB4AD5"/>
    <w:rsid w:val="00AB5147"/>
    <w:rsid w:val="00AC43E3"/>
    <w:rsid w:val="00AD334E"/>
    <w:rsid w:val="00AD391F"/>
    <w:rsid w:val="00AE38D2"/>
    <w:rsid w:val="00B02093"/>
    <w:rsid w:val="00B16DFB"/>
    <w:rsid w:val="00B36A0F"/>
    <w:rsid w:val="00B57DB2"/>
    <w:rsid w:val="00B6074F"/>
    <w:rsid w:val="00B7104A"/>
    <w:rsid w:val="00B7382C"/>
    <w:rsid w:val="00B76CD2"/>
    <w:rsid w:val="00B9068C"/>
    <w:rsid w:val="00B94A94"/>
    <w:rsid w:val="00BA1698"/>
    <w:rsid w:val="00BA203A"/>
    <w:rsid w:val="00BA2B4D"/>
    <w:rsid w:val="00BA7A49"/>
    <w:rsid w:val="00BB535E"/>
    <w:rsid w:val="00BB7CEF"/>
    <w:rsid w:val="00BC4D4F"/>
    <w:rsid w:val="00BC6624"/>
    <w:rsid w:val="00BE2237"/>
    <w:rsid w:val="00BE38D9"/>
    <w:rsid w:val="00BE48AC"/>
    <w:rsid w:val="00BE6FBC"/>
    <w:rsid w:val="00BF00CA"/>
    <w:rsid w:val="00C110EE"/>
    <w:rsid w:val="00C27157"/>
    <w:rsid w:val="00C35549"/>
    <w:rsid w:val="00C46C1E"/>
    <w:rsid w:val="00C52C1F"/>
    <w:rsid w:val="00C52DD1"/>
    <w:rsid w:val="00C61A62"/>
    <w:rsid w:val="00C64591"/>
    <w:rsid w:val="00C65C39"/>
    <w:rsid w:val="00C74284"/>
    <w:rsid w:val="00C7636D"/>
    <w:rsid w:val="00C97B78"/>
    <w:rsid w:val="00C97D14"/>
    <w:rsid w:val="00CB2C92"/>
    <w:rsid w:val="00CB7FDA"/>
    <w:rsid w:val="00CD081D"/>
    <w:rsid w:val="00D0432D"/>
    <w:rsid w:val="00D268D0"/>
    <w:rsid w:val="00D64156"/>
    <w:rsid w:val="00D82882"/>
    <w:rsid w:val="00DA2AA6"/>
    <w:rsid w:val="00DA4B7B"/>
    <w:rsid w:val="00DB298C"/>
    <w:rsid w:val="00DB73FC"/>
    <w:rsid w:val="00DC43CF"/>
    <w:rsid w:val="00DE02EA"/>
    <w:rsid w:val="00DE2349"/>
    <w:rsid w:val="00DE2A8D"/>
    <w:rsid w:val="00DE6FD8"/>
    <w:rsid w:val="00DF2EB9"/>
    <w:rsid w:val="00E04328"/>
    <w:rsid w:val="00E06712"/>
    <w:rsid w:val="00E22B74"/>
    <w:rsid w:val="00E53C33"/>
    <w:rsid w:val="00E6211E"/>
    <w:rsid w:val="00E62908"/>
    <w:rsid w:val="00E7014E"/>
    <w:rsid w:val="00E70762"/>
    <w:rsid w:val="00E750F0"/>
    <w:rsid w:val="00E85BF0"/>
    <w:rsid w:val="00E90F99"/>
    <w:rsid w:val="00EA06A5"/>
    <w:rsid w:val="00EA2F40"/>
    <w:rsid w:val="00EB6B92"/>
    <w:rsid w:val="00EC06FB"/>
    <w:rsid w:val="00EC76E8"/>
    <w:rsid w:val="00ED10DA"/>
    <w:rsid w:val="00ED293E"/>
    <w:rsid w:val="00ED72CF"/>
    <w:rsid w:val="00EE2880"/>
    <w:rsid w:val="00EE4050"/>
    <w:rsid w:val="00EE4F3D"/>
    <w:rsid w:val="00F55B7D"/>
    <w:rsid w:val="00F5675B"/>
    <w:rsid w:val="00F56CA6"/>
    <w:rsid w:val="00F75681"/>
    <w:rsid w:val="00F75C47"/>
    <w:rsid w:val="00F77B21"/>
    <w:rsid w:val="00F9763A"/>
    <w:rsid w:val="00FA7B50"/>
    <w:rsid w:val="00FB6978"/>
    <w:rsid w:val="00FD2744"/>
    <w:rsid w:val="00FF0563"/>
    <w:rsid w:val="00FF5EA7"/>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A0D12"/>
  <w15:docId w15:val="{4C994EBD-D317-40E5-8CE6-C8B6A229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DA1"/>
  </w:style>
  <w:style w:type="paragraph" w:styleId="Heading2">
    <w:name w:val="heading 2"/>
    <w:basedOn w:val="Normal"/>
    <w:next w:val="Normal"/>
    <w:link w:val="Heading2Char"/>
    <w:uiPriority w:val="9"/>
    <w:unhideWhenUsed/>
    <w:qFormat/>
    <w:rsid w:val="008C05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7A"/>
  </w:style>
  <w:style w:type="paragraph" w:styleId="Footer">
    <w:name w:val="footer"/>
    <w:basedOn w:val="Normal"/>
    <w:link w:val="FooterChar"/>
    <w:uiPriority w:val="99"/>
    <w:unhideWhenUsed/>
    <w:rsid w:val="0028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7A"/>
  </w:style>
  <w:style w:type="paragraph" w:styleId="ListParagraph">
    <w:name w:val="List Paragraph"/>
    <w:basedOn w:val="Normal"/>
    <w:uiPriority w:val="34"/>
    <w:qFormat/>
    <w:rsid w:val="00FB6978"/>
    <w:pPr>
      <w:ind w:left="720"/>
      <w:contextualSpacing/>
    </w:pPr>
  </w:style>
  <w:style w:type="character" w:customStyle="1" w:styleId="Heading2Char">
    <w:name w:val="Heading 2 Char"/>
    <w:basedOn w:val="DefaultParagraphFont"/>
    <w:link w:val="Heading2"/>
    <w:uiPriority w:val="9"/>
    <w:rsid w:val="008C052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74717"/>
    <w:rPr>
      <w:color w:val="0000FF" w:themeColor="hyperlink"/>
      <w:u w:val="single"/>
    </w:rPr>
  </w:style>
  <w:style w:type="character" w:customStyle="1" w:styleId="UnresolvedMention1">
    <w:name w:val="Unresolved Mention1"/>
    <w:basedOn w:val="DefaultParagraphFont"/>
    <w:uiPriority w:val="99"/>
    <w:semiHidden/>
    <w:unhideWhenUsed/>
    <w:rsid w:val="00074717"/>
    <w:rPr>
      <w:color w:val="605E5C"/>
      <w:shd w:val="clear" w:color="auto" w:fill="E1DFDD"/>
    </w:rPr>
  </w:style>
  <w:style w:type="paragraph" w:styleId="BalloonText">
    <w:name w:val="Balloon Text"/>
    <w:basedOn w:val="Normal"/>
    <w:link w:val="BalloonTextChar"/>
    <w:uiPriority w:val="99"/>
    <w:semiHidden/>
    <w:unhideWhenUsed/>
    <w:rsid w:val="003E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EA8"/>
    <w:rPr>
      <w:rFonts w:ascii="Tahoma" w:hAnsi="Tahoma" w:cs="Tahoma"/>
      <w:sz w:val="16"/>
      <w:szCs w:val="16"/>
    </w:rPr>
  </w:style>
  <w:style w:type="character" w:styleId="UnresolvedMention">
    <w:name w:val="Unresolved Mention"/>
    <w:basedOn w:val="DefaultParagraphFont"/>
    <w:uiPriority w:val="99"/>
    <w:semiHidden/>
    <w:unhideWhenUsed/>
    <w:rsid w:val="00BE3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77205">
      <w:bodyDiv w:val="1"/>
      <w:marLeft w:val="0"/>
      <w:marRight w:val="0"/>
      <w:marTop w:val="0"/>
      <w:marBottom w:val="0"/>
      <w:divBdr>
        <w:top w:val="none" w:sz="0" w:space="0" w:color="auto"/>
        <w:left w:val="none" w:sz="0" w:space="0" w:color="auto"/>
        <w:bottom w:val="none" w:sz="0" w:space="0" w:color="auto"/>
        <w:right w:val="none" w:sz="0" w:space="0" w:color="auto"/>
      </w:divBdr>
      <w:divsChild>
        <w:div w:id="1353066342">
          <w:marLeft w:val="547"/>
          <w:marRight w:val="0"/>
          <w:marTop w:val="144"/>
          <w:marBottom w:val="0"/>
          <w:divBdr>
            <w:top w:val="none" w:sz="0" w:space="0" w:color="auto"/>
            <w:left w:val="none" w:sz="0" w:space="0" w:color="auto"/>
            <w:bottom w:val="none" w:sz="0" w:space="0" w:color="auto"/>
            <w:right w:val="none" w:sz="0" w:space="0" w:color="auto"/>
          </w:divBdr>
        </w:div>
        <w:div w:id="131100460">
          <w:marLeft w:val="547"/>
          <w:marRight w:val="0"/>
          <w:marTop w:val="144"/>
          <w:marBottom w:val="0"/>
          <w:divBdr>
            <w:top w:val="none" w:sz="0" w:space="0" w:color="auto"/>
            <w:left w:val="none" w:sz="0" w:space="0" w:color="auto"/>
            <w:bottom w:val="none" w:sz="0" w:space="0" w:color="auto"/>
            <w:right w:val="none" w:sz="0" w:space="0" w:color="auto"/>
          </w:divBdr>
        </w:div>
        <w:div w:id="160003379">
          <w:marLeft w:val="547"/>
          <w:marRight w:val="0"/>
          <w:marTop w:val="144"/>
          <w:marBottom w:val="0"/>
          <w:divBdr>
            <w:top w:val="none" w:sz="0" w:space="0" w:color="auto"/>
            <w:left w:val="none" w:sz="0" w:space="0" w:color="auto"/>
            <w:bottom w:val="none" w:sz="0" w:space="0" w:color="auto"/>
            <w:right w:val="none" w:sz="0" w:space="0" w:color="auto"/>
          </w:divBdr>
        </w:div>
        <w:div w:id="1498301813">
          <w:marLeft w:val="547"/>
          <w:marRight w:val="0"/>
          <w:marTop w:val="144"/>
          <w:marBottom w:val="0"/>
          <w:divBdr>
            <w:top w:val="none" w:sz="0" w:space="0" w:color="auto"/>
            <w:left w:val="none" w:sz="0" w:space="0" w:color="auto"/>
            <w:bottom w:val="none" w:sz="0" w:space="0" w:color="auto"/>
            <w:right w:val="none" w:sz="0" w:space="0" w:color="auto"/>
          </w:divBdr>
        </w:div>
        <w:div w:id="894707609">
          <w:marLeft w:val="547"/>
          <w:marRight w:val="0"/>
          <w:marTop w:val="144"/>
          <w:marBottom w:val="0"/>
          <w:divBdr>
            <w:top w:val="none" w:sz="0" w:space="0" w:color="auto"/>
            <w:left w:val="none" w:sz="0" w:space="0" w:color="auto"/>
            <w:bottom w:val="none" w:sz="0" w:space="0" w:color="auto"/>
            <w:right w:val="none" w:sz="0" w:space="0" w:color="auto"/>
          </w:divBdr>
        </w:div>
      </w:divsChild>
    </w:div>
    <w:div w:id="1033577767">
      <w:bodyDiv w:val="1"/>
      <w:marLeft w:val="0"/>
      <w:marRight w:val="0"/>
      <w:marTop w:val="0"/>
      <w:marBottom w:val="0"/>
      <w:divBdr>
        <w:top w:val="none" w:sz="0" w:space="0" w:color="auto"/>
        <w:left w:val="none" w:sz="0" w:space="0" w:color="auto"/>
        <w:bottom w:val="none" w:sz="0" w:space="0" w:color="auto"/>
        <w:right w:val="none" w:sz="0" w:space="0" w:color="auto"/>
      </w:divBdr>
    </w:div>
    <w:div w:id="1244221012">
      <w:bodyDiv w:val="1"/>
      <w:marLeft w:val="0"/>
      <w:marRight w:val="0"/>
      <w:marTop w:val="0"/>
      <w:marBottom w:val="0"/>
      <w:divBdr>
        <w:top w:val="none" w:sz="0" w:space="0" w:color="auto"/>
        <w:left w:val="none" w:sz="0" w:space="0" w:color="auto"/>
        <w:bottom w:val="none" w:sz="0" w:space="0" w:color="auto"/>
        <w:right w:val="none" w:sz="0" w:space="0" w:color="auto"/>
      </w:divBdr>
    </w:div>
    <w:div w:id="1276521629">
      <w:bodyDiv w:val="1"/>
      <w:marLeft w:val="0"/>
      <w:marRight w:val="0"/>
      <w:marTop w:val="0"/>
      <w:marBottom w:val="0"/>
      <w:divBdr>
        <w:top w:val="none" w:sz="0" w:space="0" w:color="auto"/>
        <w:left w:val="none" w:sz="0" w:space="0" w:color="auto"/>
        <w:bottom w:val="none" w:sz="0" w:space="0" w:color="auto"/>
        <w:right w:val="none" w:sz="0" w:space="0" w:color="auto"/>
      </w:divBdr>
    </w:div>
    <w:div w:id="16371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8805/LR-5096" TargetMode="External"/><Relationship Id="rId18" Type="http://schemas.openxmlformats.org/officeDocument/2006/relationships/hyperlink" Target="https://doi.org/10.3389/fpls.2021.74943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390/agronomy12123000" TargetMode="External"/><Relationship Id="rId7" Type="http://schemas.openxmlformats.org/officeDocument/2006/relationships/image" Target="media/image1.jpeg"/><Relationship Id="rId12" Type="http://schemas.openxmlformats.org/officeDocument/2006/relationships/hyperlink" Target="https://doi.org/10.47413/vidya.v2i2.261" TargetMode="External"/><Relationship Id="rId17" Type="http://schemas.openxmlformats.org/officeDocument/2006/relationships/hyperlink" Target="https://doi.org/10.36959/451/698" TargetMode="External"/><Relationship Id="rId25" Type="http://schemas.openxmlformats.org/officeDocument/2006/relationships/hyperlink" Target="https://doi.org/10.3329/ijarit.v12i1.6104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0546/ijcmas.2020.906.449" TargetMode="External"/><Relationship Id="rId20" Type="http://schemas.openxmlformats.org/officeDocument/2006/relationships/hyperlink" Target="https://doi.org/10.18805/lr-500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244593" TargetMode="External"/><Relationship Id="rId24" Type="http://schemas.openxmlformats.org/officeDocument/2006/relationships/hyperlink" Target="https://doi.org/10.3390/plants1309123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ajsspn/2024/v10i3361" TargetMode="External"/><Relationship Id="rId23" Type="http://schemas.openxmlformats.org/officeDocument/2006/relationships/hyperlink" Target="https://doi.org/10.18805/LR-4985" TargetMode="External"/><Relationship Id="rId28" Type="http://schemas.openxmlformats.org/officeDocument/2006/relationships/footer" Target="footer1.xml"/><Relationship Id="rId10" Type="http://schemas.openxmlformats.org/officeDocument/2006/relationships/hyperlink" Target="https://doi.org/10.22271/tpi.2023.v12.i2ah.18796" TargetMode="External"/><Relationship Id="rId19" Type="http://schemas.openxmlformats.org/officeDocument/2006/relationships/hyperlink" Target="https://doi.org/10.20546/ijcmas.2020.908.37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172/2161-0517.1000153" TargetMode="External"/><Relationship Id="rId14" Type="http://schemas.openxmlformats.org/officeDocument/2006/relationships/hyperlink" Target="https://doi.org/10.3389/fpls.2023.1273363" TargetMode="External"/><Relationship Id="rId22" Type="http://schemas.openxmlformats.org/officeDocument/2006/relationships/hyperlink" Target="https://doi.org/10.4067/s0718-5839202200010000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7582/journal.pjar/2018.31.3.279.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15</Pages>
  <Words>6343</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196</cp:revision>
  <dcterms:created xsi:type="dcterms:W3CDTF">2019-04-12T10:28:00Z</dcterms:created>
  <dcterms:modified xsi:type="dcterms:W3CDTF">2025-12-18T10:13:00Z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ae53cfbf-992c-4309-96a6-6cedcc29484c</vt:lpwstr>
  </property>
</Properties>
</file>