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C0A" w:rsidRPr="00786387" w:rsidRDefault="004620E1">
      <w:pPr>
        <w:jc w:val="center"/>
        <w:rPr>
          <w:rFonts w:ascii="Times New Roman" w:hAnsi="Times New Roman" w:cs="Times New Roman"/>
          <w:b/>
          <w:bCs/>
          <w:sz w:val="28"/>
          <w:szCs w:val="28"/>
          <w:lang w:val="en-US"/>
        </w:rPr>
      </w:pPr>
      <w:r w:rsidRPr="00786387">
        <w:rPr>
          <w:rFonts w:ascii="Times New Roman" w:hAnsi="Times New Roman" w:cs="Times New Roman"/>
          <w:b/>
          <w:bCs/>
          <w:sz w:val="28"/>
          <w:szCs w:val="28"/>
          <w:lang w:val="en-US"/>
        </w:rPr>
        <w:t xml:space="preserve">Effect of </w:t>
      </w:r>
      <w:r w:rsidR="00786387" w:rsidRPr="00786387">
        <w:rPr>
          <w:rFonts w:ascii="Times New Roman" w:hAnsi="Times New Roman" w:cs="Times New Roman"/>
          <w:b/>
          <w:bCs/>
          <w:sz w:val="28"/>
          <w:szCs w:val="28"/>
          <w:lang w:val="en-US"/>
        </w:rPr>
        <w:t>Tea tree oil as a Natural feed Additive to enhance growth and survival in White leg Shrimp (</w:t>
      </w:r>
      <w:r w:rsidR="00786387" w:rsidRPr="00786387">
        <w:rPr>
          <w:rFonts w:ascii="Times New Roman" w:hAnsi="Times New Roman" w:cs="Times New Roman"/>
          <w:b/>
          <w:bCs/>
          <w:i/>
          <w:iCs/>
          <w:sz w:val="28"/>
          <w:szCs w:val="28"/>
          <w:lang w:val="en-US"/>
        </w:rPr>
        <w:t xml:space="preserve">Penaeus </w:t>
      </w:r>
      <w:proofErr w:type="spellStart"/>
      <w:r w:rsidR="00786387" w:rsidRPr="00786387">
        <w:rPr>
          <w:rFonts w:ascii="Times New Roman" w:hAnsi="Times New Roman" w:cs="Times New Roman"/>
          <w:b/>
          <w:bCs/>
          <w:i/>
          <w:iCs/>
          <w:sz w:val="28"/>
          <w:szCs w:val="28"/>
          <w:lang w:val="en-US"/>
        </w:rPr>
        <w:t>vannamei</w:t>
      </w:r>
      <w:proofErr w:type="spellEnd"/>
      <w:r w:rsidR="00786387" w:rsidRPr="00786387">
        <w:rPr>
          <w:rFonts w:ascii="Times New Roman" w:hAnsi="Times New Roman" w:cs="Times New Roman"/>
          <w:b/>
          <w:bCs/>
          <w:sz w:val="28"/>
          <w:szCs w:val="28"/>
          <w:lang w:val="en-US"/>
        </w:rPr>
        <w:t>)</w:t>
      </w:r>
    </w:p>
    <w:p w:rsidR="004F522C" w:rsidRDefault="004F522C">
      <w:pPr>
        <w:jc w:val="both"/>
        <w:rPr>
          <w:rFonts w:ascii="Times New Roman" w:hAnsi="Times New Roman" w:cs="Times New Roman"/>
          <w:b/>
          <w:bCs/>
          <w:sz w:val="24"/>
          <w:szCs w:val="24"/>
        </w:rPr>
      </w:pPr>
    </w:p>
    <w:p w:rsidR="00DA1C0A" w:rsidRPr="00961515" w:rsidRDefault="00786387">
      <w:pPr>
        <w:jc w:val="both"/>
        <w:rPr>
          <w:rFonts w:ascii="Times New Roman" w:hAnsi="Times New Roman" w:cs="Times New Roman"/>
          <w:b/>
          <w:bCs/>
          <w:sz w:val="24"/>
          <w:szCs w:val="24"/>
        </w:rPr>
      </w:pPr>
      <w:bookmarkStart w:id="0" w:name="_GoBack"/>
      <w:bookmarkEnd w:id="0"/>
      <w:r w:rsidRPr="00961515">
        <w:rPr>
          <w:rFonts w:ascii="Times New Roman" w:hAnsi="Times New Roman" w:cs="Times New Roman"/>
          <w:b/>
          <w:bCs/>
          <w:sz w:val="24"/>
          <w:szCs w:val="24"/>
        </w:rPr>
        <w:t xml:space="preserve">Abstract </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aquaculture industry plays crucial role in ensuring the global food security. As an alternative approach, eco-friendly additives like essential oils are employed to avoid the direct and indirect effect on the aquatic ecosystem and human health. The current study aimed to explore the effect of tea tree oil (TTO) on growth and survival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Five treatments were prepared with formulation of 35% protein level. The TTO treatment diets were 0 mg/kg (T0, control), 25 mg/kg (T1), 50 mg/kg (T2), 75 mg/kg (T3) and 100 mg/kg (T4) and the experiment was conducted for 60 days. Two hundred and twenty-five shrimps were stocked in the 15 plastic aquarium tanks in five treatments with three replications by employing CRD design. The shrimps were fed twice in a day during morning and evening. The growth parameters like mean weight, mean weight gain, was evaluated in fortnight intervals till 60 days. The survival rate was observed on daily basis and reported the data of mortality. The specific growth rate (SGR), feed conversion ratio (FCR), feeding efficiency ratio (FER), and protein efficiency ratio (PER) were evaluated after the 60 days experiment. The result of the experiment demonstrated higher mean weight gain and SGR in treatment T4 incorporated with 100 mg/kg TTO in the diet with the significant difference among all the treatments. The higher survival rate was exhibited in TTO treatment groups as compared to control. While, the FCR, FER, and PER was also demonstrated the higher in the treatments T4, but shows non-significant difference between treatments T2, T3 and T4. In conclusion, the study recommends the inclusion of 100 mg/kg in treatment T4 demonstrated the beneficial effects on growth performance and survival rate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w:t>
      </w:r>
    </w:p>
    <w:p w:rsidR="00DA1C0A" w:rsidRDefault="00D806A9">
      <w:pPr>
        <w:jc w:val="both"/>
        <w:rPr>
          <w:rFonts w:ascii="Times New Roman" w:hAnsi="Times New Roman" w:cs="Times New Roman"/>
          <w:sz w:val="24"/>
          <w:szCs w:val="24"/>
        </w:rPr>
      </w:pPr>
      <w:r>
        <w:rPr>
          <w:rFonts w:ascii="Times New Roman" w:hAnsi="Times New Roman" w:cs="Times New Roman"/>
          <w:b/>
          <w:bCs/>
          <w:sz w:val="24"/>
          <w:szCs w:val="24"/>
        </w:rPr>
        <w:t>Key</w:t>
      </w:r>
      <w:r w:rsidR="00786387" w:rsidRPr="00D806A9">
        <w:rPr>
          <w:rFonts w:ascii="Times New Roman" w:hAnsi="Times New Roman" w:cs="Times New Roman"/>
          <w:b/>
          <w:bCs/>
          <w:sz w:val="24"/>
          <w:szCs w:val="24"/>
        </w:rPr>
        <w:t>words</w:t>
      </w:r>
      <w:r w:rsidR="00786387">
        <w:rPr>
          <w:rFonts w:ascii="Times New Roman" w:hAnsi="Times New Roman" w:cs="Times New Roman"/>
          <w:sz w:val="24"/>
          <w:szCs w:val="24"/>
        </w:rPr>
        <w:t xml:space="preserve">: Essential oil, Tea tree oil, </w:t>
      </w:r>
      <w:r w:rsidR="00786387">
        <w:rPr>
          <w:rFonts w:ascii="Times New Roman" w:hAnsi="Times New Roman" w:cs="Times New Roman"/>
          <w:i/>
          <w:sz w:val="24"/>
          <w:szCs w:val="24"/>
        </w:rPr>
        <w:t xml:space="preserve">Penaeus </w:t>
      </w:r>
      <w:proofErr w:type="spellStart"/>
      <w:r w:rsidR="00786387">
        <w:rPr>
          <w:rFonts w:ascii="Times New Roman" w:hAnsi="Times New Roman" w:cs="Times New Roman"/>
          <w:i/>
          <w:sz w:val="24"/>
          <w:szCs w:val="24"/>
        </w:rPr>
        <w:t>vannamei</w:t>
      </w:r>
      <w:proofErr w:type="spellEnd"/>
      <w:r w:rsidR="00786387">
        <w:rPr>
          <w:rFonts w:ascii="Times New Roman" w:hAnsi="Times New Roman" w:cs="Times New Roman"/>
          <w:sz w:val="24"/>
          <w:szCs w:val="24"/>
        </w:rPr>
        <w:t>, completely randomized design (CRD).</w:t>
      </w:r>
      <w:r w:rsidR="00786387">
        <w:rPr>
          <w:rFonts w:ascii="Times New Roman" w:hAnsi="Times New Roman" w:cs="Times New Roman"/>
          <w:sz w:val="24"/>
          <w:szCs w:val="24"/>
          <w:lang w:val="en-US"/>
        </w:rPr>
        <w:t xml:space="preserve"> </w:t>
      </w:r>
    </w:p>
    <w:p w:rsidR="00DA1C0A" w:rsidRDefault="00DA1C0A">
      <w:pPr>
        <w:jc w:val="both"/>
        <w:rPr>
          <w:rFonts w:ascii="Times New Roman" w:hAnsi="Times New Roman" w:cs="Times New Roman"/>
          <w:sz w:val="24"/>
          <w:szCs w:val="24"/>
        </w:rPr>
      </w:pPr>
    </w:p>
    <w:p w:rsidR="00DA1C0A" w:rsidRDefault="00786387">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Aquatic organisms have long been integral to human nutrition and livelihoods, providing high-quality animal protein and supporting millions of people worldwide. With global fish consumption rising from 9.5 kg per capita in 1999 to 20.7 kg in 2022, aquaculture has become the fastest-growing food-production sector and a key contributor to global food security (De Silva &amp; Davy, 2010; FAO, 2024). In 2022, total aquatic animal production reached 185 million tonnes, and around 61.8 million people depended directly or indirectly on fisheries and aquaculture for their livelihoods (FAO, 2024). Ensuring optimal nutrition, health, and performance of cultured species is essential for sustainable aquaculture development (</w:t>
      </w:r>
      <w:proofErr w:type="spellStart"/>
      <w:r>
        <w:rPr>
          <w:rFonts w:ascii="Times New Roman" w:hAnsi="Times New Roman" w:cs="Times New Roman"/>
          <w:sz w:val="24"/>
          <w:szCs w:val="24"/>
        </w:rPr>
        <w:t>Acar</w:t>
      </w:r>
      <w:proofErr w:type="spellEnd"/>
      <w:r>
        <w:rPr>
          <w:rFonts w:ascii="Times New Roman" w:hAnsi="Times New Roman" w:cs="Times New Roman"/>
          <w:sz w:val="24"/>
          <w:szCs w:val="24"/>
        </w:rPr>
        <w:t xml:space="preserve"> et al., 2015).</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In India, the shrimp industry represents a major economic sector, contributing significantly to employment and export earnings. Among shrimp species, the Pacific white shrimp </w:t>
      </w:r>
      <w:r>
        <w:rPr>
          <w:rFonts w:ascii="Times New Roman" w:hAnsi="Times New Roman" w:cs="Times New Roman"/>
          <w:i/>
          <w:iCs/>
          <w:sz w:val="24"/>
          <w:szCs w:val="24"/>
        </w:rPr>
        <w:t xml:space="preserve">Penaeus </w:t>
      </w:r>
      <w:proofErr w:type="spellStart"/>
      <w:r>
        <w:rPr>
          <w:rFonts w:ascii="Times New Roman" w:hAnsi="Times New Roman" w:cs="Times New Roman"/>
          <w:i/>
          <w:iCs/>
          <w:sz w:val="24"/>
          <w:szCs w:val="24"/>
        </w:rPr>
        <w:t>vannamei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is the most widely cultivated globally, contributing 6.8 million tonnes and ranking as the top species in world aquaculture production in 2022 (FAO, 2024). India alone </w:t>
      </w:r>
      <w:r>
        <w:rPr>
          <w:rFonts w:ascii="Times New Roman" w:hAnsi="Times New Roman" w:cs="Times New Roman"/>
          <w:sz w:val="24"/>
          <w:szCs w:val="24"/>
        </w:rPr>
        <w:lastRenderedPageBreak/>
        <w:t xml:space="preserve">produced 1,076,970 metric tons during 2023-24, with Andhra Pradesh leading national production (MPEDA, 2024). Native to the Eastern Pacific,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 xml:space="preserve"> has become a dominant species in Asian aquaculture due to its rapid growth, high nutritional value, adaptability, and economic importance (</w:t>
      </w:r>
      <w:proofErr w:type="spellStart"/>
      <w:r>
        <w:rPr>
          <w:rFonts w:ascii="Times New Roman" w:hAnsi="Times New Roman" w:cs="Times New Roman"/>
          <w:sz w:val="24"/>
          <w:szCs w:val="24"/>
        </w:rPr>
        <w:t>Albalat</w:t>
      </w:r>
      <w:proofErr w:type="spellEnd"/>
      <w:r>
        <w:rPr>
          <w:rFonts w:ascii="Times New Roman" w:hAnsi="Times New Roman" w:cs="Times New Roman"/>
          <w:sz w:val="24"/>
          <w:szCs w:val="24"/>
        </w:rPr>
        <w:t xml:space="preserve"> et al., 2022; Amaya et al., 2007).</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Feed constitutes 60-80% of shrimp farming operational costs, making efficient feeding strategies and high-quality ingredients essential for profitable production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&amp; Velasco, 1999).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 xml:space="preserve"> is typically fed pelleted diets containing 25–40% protein and 6-8% lipid along with essential fatty acids and cholesterol (Thomas &amp; </w:t>
      </w:r>
      <w:proofErr w:type="spellStart"/>
      <w:r>
        <w:rPr>
          <w:rFonts w:ascii="Times New Roman" w:hAnsi="Times New Roman" w:cs="Times New Roman"/>
          <w:sz w:val="24"/>
          <w:szCs w:val="24"/>
        </w:rPr>
        <w:t>Amaresan</w:t>
      </w:r>
      <w:proofErr w:type="spellEnd"/>
      <w:r>
        <w:rPr>
          <w:rFonts w:ascii="Times New Roman" w:hAnsi="Times New Roman" w:cs="Times New Roman"/>
          <w:sz w:val="24"/>
          <w:szCs w:val="24"/>
        </w:rPr>
        <w:t xml:space="preserve">, 2023). Diseases caused by bacterial, fungal, parasitic, and viral pathogens remain the major limiting factor for crustacean aquaculture. Antibiotics were widely used in aquaculture for growth and disease control, but their use is now limited due to residue concerns. With rising awareness of the risks of synthetic chemicals, interest in natural and eco-friendly solutions has grown. As a result, medicinal herbs are increasingly used as dietary supplements in aquaculture (Ebrahimi et al., 2020; Ji et al., 2007). Functional feed additives, including plant extracts and essential oils have gained increasing attention as </w:t>
      </w:r>
      <w:proofErr w:type="gramStart"/>
      <w:r>
        <w:rPr>
          <w:rFonts w:ascii="Times New Roman" w:hAnsi="Times New Roman" w:cs="Times New Roman"/>
          <w:sz w:val="24"/>
          <w:szCs w:val="24"/>
        </w:rPr>
        <w:t>environmental</w:t>
      </w:r>
      <w:proofErr w:type="gramEnd"/>
      <w:r>
        <w:rPr>
          <w:rFonts w:ascii="Times New Roman" w:hAnsi="Times New Roman" w:cs="Times New Roman"/>
          <w:sz w:val="24"/>
          <w:szCs w:val="24"/>
        </w:rPr>
        <w:t xml:space="preserve"> friendly alternatives to synthetic chemicals due to their roles in growth promotion, stress reduction, immune enhancement, and disease resistance (</w:t>
      </w:r>
      <w:proofErr w:type="spellStart"/>
      <w:r>
        <w:rPr>
          <w:rFonts w:ascii="Times New Roman" w:hAnsi="Times New Roman" w:cs="Times New Roman"/>
          <w:sz w:val="24"/>
          <w:szCs w:val="24"/>
        </w:rPr>
        <w:t>Vaseeharan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Thaya</w:t>
      </w:r>
      <w:proofErr w:type="spellEnd"/>
      <w:r>
        <w:rPr>
          <w:rFonts w:ascii="Times New Roman" w:hAnsi="Times New Roman" w:cs="Times New Roman"/>
          <w:sz w:val="24"/>
          <w:szCs w:val="24"/>
        </w:rPr>
        <w:t>, 2014; Liu et al., 2011).</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Essential oils (EOs) are volatile plant-derived compounds recognized for their antimicrobial, antioxidant, immunostimulatory, and digestive-enhancing properties (</w:t>
      </w:r>
      <w:proofErr w:type="spellStart"/>
      <w:r>
        <w:rPr>
          <w:rFonts w:ascii="Times New Roman" w:hAnsi="Times New Roman" w:cs="Times New Roman"/>
          <w:sz w:val="24"/>
          <w:szCs w:val="24"/>
        </w:rPr>
        <w:t>Bakkali</w:t>
      </w:r>
      <w:proofErr w:type="spellEnd"/>
      <w:r>
        <w:rPr>
          <w:rFonts w:ascii="Times New Roman" w:hAnsi="Times New Roman" w:cs="Times New Roman"/>
          <w:sz w:val="24"/>
          <w:szCs w:val="24"/>
        </w:rPr>
        <w:t xml:space="preserve"> et al., 2008; Ngugi et al., 2017). Tea tree oil (TTO), extracted from </w:t>
      </w:r>
      <w:r>
        <w:rPr>
          <w:rFonts w:ascii="Times New Roman" w:hAnsi="Times New Roman" w:cs="Times New Roman"/>
          <w:i/>
          <w:iCs/>
          <w:sz w:val="24"/>
          <w:szCs w:val="24"/>
        </w:rPr>
        <w:t>Melaleuca alternifolia</w:t>
      </w:r>
      <w:r>
        <w:rPr>
          <w:rFonts w:ascii="Times New Roman" w:hAnsi="Times New Roman" w:cs="Times New Roman"/>
          <w:sz w:val="24"/>
          <w:szCs w:val="24"/>
        </w:rPr>
        <w:t>, is particularly known for its strong bacteriostatic and fungistatic activity (</w:t>
      </w:r>
      <w:proofErr w:type="spellStart"/>
      <w:r>
        <w:rPr>
          <w:rFonts w:ascii="Times New Roman" w:hAnsi="Times New Roman" w:cs="Times New Roman"/>
          <w:sz w:val="24"/>
          <w:szCs w:val="24"/>
        </w:rPr>
        <w:t>Verghese</w:t>
      </w:r>
      <w:proofErr w:type="spellEnd"/>
      <w:r>
        <w:rPr>
          <w:rFonts w:ascii="Times New Roman" w:hAnsi="Times New Roman" w:cs="Times New Roman"/>
          <w:sz w:val="24"/>
          <w:szCs w:val="24"/>
        </w:rPr>
        <w:t xml:space="preserve"> et al., 1996; Carson et al., 2006). Terpinen-4-ol, its major bioactive component, exhibits antiviral, antifungal, anti-inflammatory, and metabolic regulatory effects (Benelli et al., 2013; An et al., 2019). Previous studies have demonstrated that dietary TTO can improve growth performance, intestinal morphology, antioxidant status, hepatic lipid metabolism, and immune response in various fish and crustaceans (</w:t>
      </w:r>
      <w:proofErr w:type="spellStart"/>
      <w:r>
        <w:rPr>
          <w:rFonts w:ascii="Times New Roman" w:hAnsi="Times New Roman" w:cs="Times New Roman"/>
          <w:sz w:val="24"/>
          <w:szCs w:val="24"/>
        </w:rPr>
        <w:t>Valladão</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Baldissera</w:t>
      </w:r>
      <w:proofErr w:type="spellEnd"/>
      <w:r>
        <w:rPr>
          <w:rFonts w:ascii="Times New Roman" w:hAnsi="Times New Roman" w:cs="Times New Roman"/>
          <w:sz w:val="24"/>
          <w:szCs w:val="24"/>
        </w:rPr>
        <w:t xml:space="preserve"> et al., 2017; Liu et al., 2022).</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Despite extensive evidence in finfish and some crustaceans, little is known about the efficacy of TTO as a dietary additive for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 xml:space="preserve">. Given the species economic importance and the increasing use of high-lipid diets in shrimp aquaculture, investigating natural additives that can enhance feeding efficiency, growth, and health is of considerable interest. Therefore, the present study evaluates the effects of dietary tea tree oil on the growth performance and feeding efficiency of </w:t>
      </w:r>
      <w:r>
        <w:rPr>
          <w:rFonts w:ascii="Times New Roman" w:hAnsi="Times New Roman" w:cs="Times New Roman"/>
          <w:i/>
          <w:iCs/>
          <w:sz w:val="24"/>
          <w:szCs w:val="24"/>
        </w:rPr>
        <w:t xml:space="preserve">Penaeus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w:t>
      </w:r>
    </w:p>
    <w:p w:rsidR="00DA1C0A" w:rsidRDefault="00786387">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DA1C0A" w:rsidRDefault="00961515">
      <w:pPr>
        <w:pStyle w:val="ListParagraph"/>
        <w:numPr>
          <w:ilvl w:val="1"/>
          <w:numId w:val="2"/>
        </w:num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Experimental set-up</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shrimps were procured from a commercial hatchery and transported to the experimental facility in airtight plastic bags filled with oxygenated water. Upon arrival, they were acclimatized for 15 days under continuous aeration and regular feeding. After acclimatization, a total of 225 juveniles (15 shrimp per tank) were stocked into 50 L capacity tanks (2×1×1 ft). The experiment followed a completely randomized design (CRD) comprising five treatments with three replications each. Before stocking, all tanks were disinfected with potassium permanganate at 4 mg L</w:t>
      </w:r>
      <w:r>
        <w:rPr>
          <w:rFonts w:ascii="Cambria Math" w:hAnsi="Cambria Math" w:cs="Cambria Math"/>
          <w:sz w:val="24"/>
          <w:szCs w:val="24"/>
        </w:rPr>
        <w:t>⁻</w:t>
      </w:r>
      <w:r>
        <w:rPr>
          <w:rFonts w:ascii="Times New Roman" w:hAnsi="Times New Roman" w:cs="Times New Roman"/>
          <w:sz w:val="24"/>
          <w:szCs w:val="24"/>
        </w:rPr>
        <w:t>¹ and filled with water adjusted to a salinity of 15 ppt.</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 xml:space="preserve">Experimental diets </w:t>
      </w:r>
    </w:p>
    <w:p w:rsidR="00DA1C0A" w:rsidRDefault="0078638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Experimental diets were formulated using the Pearson’s square method to obtain a 35% crude protein level. Five dietary treatments were prepared: T1 – 0 mg kg</w:t>
      </w:r>
      <w:r>
        <w:rPr>
          <w:rFonts w:ascii="Cambria Math" w:hAnsi="Cambria Math" w:cs="Cambria Math"/>
          <w:sz w:val="24"/>
          <w:szCs w:val="24"/>
          <w:lang w:val="en-US"/>
        </w:rPr>
        <w:t>⁻</w:t>
      </w:r>
      <w:r>
        <w:rPr>
          <w:rFonts w:ascii="Times New Roman" w:hAnsi="Times New Roman" w:cs="Times New Roman"/>
          <w:sz w:val="24"/>
          <w:szCs w:val="24"/>
          <w:lang w:val="en-US"/>
        </w:rPr>
        <w:t>¹ (control), T2 – 25 mg kg</w:t>
      </w:r>
      <w:r>
        <w:rPr>
          <w:rFonts w:ascii="Cambria Math" w:hAnsi="Cambria Math" w:cs="Cambria Math"/>
          <w:sz w:val="24"/>
          <w:szCs w:val="24"/>
          <w:lang w:val="en-US"/>
        </w:rPr>
        <w:t>⁻</w:t>
      </w:r>
      <w:r>
        <w:rPr>
          <w:rFonts w:ascii="Times New Roman" w:hAnsi="Times New Roman" w:cs="Times New Roman"/>
          <w:sz w:val="24"/>
          <w:szCs w:val="24"/>
          <w:lang w:val="en-US"/>
        </w:rPr>
        <w:t>¹, T3 – 50 mg kg</w:t>
      </w:r>
      <w:r>
        <w:rPr>
          <w:rFonts w:ascii="Cambria Math" w:hAnsi="Cambria Math" w:cs="Cambria Math"/>
          <w:sz w:val="24"/>
          <w:szCs w:val="24"/>
          <w:lang w:val="en-US"/>
        </w:rPr>
        <w:t>⁻</w:t>
      </w:r>
      <w:r>
        <w:rPr>
          <w:rFonts w:ascii="Times New Roman" w:hAnsi="Times New Roman" w:cs="Times New Roman"/>
          <w:sz w:val="24"/>
          <w:szCs w:val="24"/>
          <w:lang w:val="en-US"/>
        </w:rPr>
        <w:t>¹, T4 – 75 mg kg</w:t>
      </w:r>
      <w:r>
        <w:rPr>
          <w:rFonts w:ascii="Cambria Math" w:hAnsi="Cambria Math" w:cs="Cambria Math"/>
          <w:sz w:val="24"/>
          <w:szCs w:val="24"/>
          <w:lang w:val="en-US"/>
        </w:rPr>
        <w:t>⁻</w:t>
      </w:r>
      <w:r>
        <w:rPr>
          <w:rFonts w:ascii="Times New Roman" w:hAnsi="Times New Roman" w:cs="Times New Roman"/>
          <w:sz w:val="24"/>
          <w:szCs w:val="24"/>
          <w:lang w:val="en-US"/>
        </w:rPr>
        <w:t>¹, and T5 – 100 mg kg</w:t>
      </w:r>
      <w:r>
        <w:rPr>
          <w:rFonts w:ascii="Cambria Math" w:hAnsi="Cambria Math" w:cs="Cambria Math"/>
          <w:sz w:val="24"/>
          <w:szCs w:val="24"/>
          <w:lang w:val="en-US"/>
        </w:rPr>
        <w:t>⁻</w:t>
      </w:r>
      <w:r>
        <w:rPr>
          <w:rFonts w:ascii="Times New Roman" w:hAnsi="Times New Roman" w:cs="Times New Roman"/>
          <w:sz w:val="24"/>
          <w:szCs w:val="24"/>
          <w:lang w:val="en-US"/>
        </w:rPr>
        <w:t>¹ tea tree oil (TTO) supplementation (Liu et al., 2022a). All feed ingredients were accurately weighed, finely ground, sieved to ensure uniform particle size, and thoroughly mixed to achieve a homogeneous blend. The mixed feed was then pelletized using a laboratory pelletizer, followed by drying at room temperature to remove excess moisture. After drying, the pellets were stored in clean, airtight containers to maintain freshness and prevent contamination until use in the feeding trial.</w:t>
      </w:r>
    </w:p>
    <w:p w:rsidR="00DA1C0A" w:rsidRDefault="00786387">
      <w:pPr>
        <w:jc w:val="both"/>
        <w:rPr>
          <w:rFonts w:ascii="Times New Roman" w:hAnsi="Times New Roman" w:cs="Times New Roman"/>
          <w:sz w:val="24"/>
          <w:szCs w:val="24"/>
          <w:lang w:val="en-US"/>
        </w:rPr>
      </w:pPr>
      <w:r>
        <w:rPr>
          <w:rFonts w:ascii="Times New Roman" w:hAnsi="Times New Roman" w:cs="Times New Roman"/>
          <w:b/>
          <w:bCs/>
          <w:sz w:val="24"/>
          <w:szCs w:val="24"/>
          <w:lang w:val="en-US"/>
        </w:rPr>
        <w:t>Table 1:</w:t>
      </w:r>
      <w:r>
        <w:rPr>
          <w:rFonts w:ascii="Times New Roman" w:hAnsi="Times New Roman" w:cs="Times New Roman"/>
          <w:sz w:val="24"/>
          <w:szCs w:val="24"/>
          <w:lang w:val="en-US"/>
        </w:rPr>
        <w:t xml:space="preserve"> </w:t>
      </w:r>
      <w:r>
        <w:rPr>
          <w:rFonts w:ascii="Times New Roman" w:hAnsi="Times New Roman" w:cs="Times New Roman"/>
          <w:b/>
          <w:bCs/>
          <w:sz w:val="24"/>
          <w:szCs w:val="24"/>
        </w:rPr>
        <w:t>Feed Formulation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diet composition is given below:</w:t>
      </w:r>
    </w:p>
    <w:tbl>
      <w:tblPr>
        <w:tblStyle w:val="TableGrid"/>
        <w:tblW w:w="4857" w:type="pct"/>
        <w:tblInd w:w="108" w:type="dxa"/>
        <w:tblLayout w:type="fixed"/>
        <w:tblLook w:val="04A0" w:firstRow="1" w:lastRow="0" w:firstColumn="1" w:lastColumn="0" w:noHBand="0" w:noVBand="1"/>
      </w:tblPr>
      <w:tblGrid>
        <w:gridCol w:w="4062"/>
        <w:gridCol w:w="873"/>
        <w:gridCol w:w="1092"/>
        <w:gridCol w:w="995"/>
        <w:gridCol w:w="1056"/>
        <w:gridCol w:w="900"/>
      </w:tblGrid>
      <w:tr w:rsidR="00DA1C0A">
        <w:trPr>
          <w:trHeight w:val="391"/>
        </w:trPr>
        <w:tc>
          <w:tcPr>
            <w:tcW w:w="2263" w:type="pct"/>
            <w:vMerge w:val="restart"/>
            <w:vAlign w:val="center"/>
            <w:hideMark/>
          </w:tcPr>
          <w:p w:rsidR="00DA1C0A" w:rsidRDefault="00786387">
            <w:pPr>
              <w:spacing w:line="360" w:lineRule="auto"/>
              <w:rPr>
                <w:rFonts w:ascii="Times New Roman" w:hAnsi="Times New Roman" w:cs="Times New Roman"/>
                <w:b/>
                <w:bCs/>
                <w:sz w:val="24"/>
                <w:szCs w:val="24"/>
              </w:rPr>
            </w:pPr>
            <w:r>
              <w:rPr>
                <w:rFonts w:ascii="Times New Roman" w:hAnsi="Times New Roman" w:cs="Times New Roman"/>
                <w:b/>
                <w:bCs/>
                <w:sz w:val="24"/>
                <w:szCs w:val="24"/>
              </w:rPr>
              <w:t>Ingredients (%)</w:t>
            </w:r>
          </w:p>
        </w:tc>
        <w:tc>
          <w:tcPr>
            <w:tcW w:w="2737" w:type="pct"/>
            <w:gridSpan w:val="5"/>
            <w:vAlign w:val="center"/>
            <w:hideMark/>
          </w:tcPr>
          <w:p w:rsidR="00DA1C0A" w:rsidRDefault="00786387">
            <w:pPr>
              <w:jc w:val="center"/>
              <w:rPr>
                <w:rFonts w:ascii="Times New Roman" w:hAnsi="Times New Roman" w:cs="Times New Roman"/>
                <w:b/>
                <w:bCs/>
                <w:sz w:val="24"/>
                <w:szCs w:val="24"/>
              </w:rPr>
            </w:pPr>
            <w:r>
              <w:rPr>
                <w:rFonts w:ascii="Times New Roman" w:hAnsi="Times New Roman" w:cs="Times New Roman"/>
                <w:b/>
                <w:bCs/>
                <w:sz w:val="24"/>
                <w:szCs w:val="24"/>
              </w:rPr>
              <w:t>Diets (35% protein)</w:t>
            </w:r>
          </w:p>
        </w:tc>
      </w:tr>
      <w:tr w:rsidR="00DA1C0A">
        <w:trPr>
          <w:trHeight w:val="264"/>
        </w:trPr>
        <w:tc>
          <w:tcPr>
            <w:tcW w:w="2263" w:type="pct"/>
            <w:vMerge/>
            <w:hideMark/>
          </w:tcPr>
          <w:p w:rsidR="00DA1C0A" w:rsidRDefault="00DA1C0A">
            <w:pPr>
              <w:spacing w:after="160" w:line="259" w:lineRule="auto"/>
              <w:jc w:val="both"/>
              <w:rPr>
                <w:rFonts w:ascii="Times New Roman" w:hAnsi="Times New Roman" w:cs="Times New Roman"/>
                <w:sz w:val="24"/>
                <w:szCs w:val="24"/>
              </w:rPr>
            </w:pPr>
          </w:p>
        </w:tc>
        <w:tc>
          <w:tcPr>
            <w:tcW w:w="486"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T0</w:t>
            </w:r>
          </w:p>
        </w:tc>
        <w:tc>
          <w:tcPr>
            <w:tcW w:w="608"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T1</w:t>
            </w:r>
          </w:p>
        </w:tc>
        <w:tc>
          <w:tcPr>
            <w:tcW w:w="554"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T2</w:t>
            </w:r>
          </w:p>
        </w:tc>
        <w:tc>
          <w:tcPr>
            <w:tcW w:w="588"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T3</w:t>
            </w:r>
          </w:p>
        </w:tc>
        <w:tc>
          <w:tcPr>
            <w:tcW w:w="501"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T4</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Tea Tree Oil (mg/kg)</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Fish Meal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Groundnut Oil Cake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Tapioca Flour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Wheat Flour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Plant Oil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1.975</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1.925</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Fish Oil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A1C0A">
        <w:trPr>
          <w:trHeight w:val="38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Vitamins &amp; Minerals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DA1C0A" w:rsidRDefault="00DA1C0A">
      <w:pPr>
        <w:jc w:val="both"/>
        <w:rPr>
          <w:rFonts w:ascii="Times New Roman" w:hAnsi="Times New Roman" w:cs="Times New Roman"/>
          <w:b/>
          <w:bCs/>
          <w:sz w:val="24"/>
          <w:szCs w:val="24"/>
        </w:rPr>
      </w:pP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Experimental Procedure</w:t>
      </w:r>
    </w:p>
    <w:p w:rsidR="00DA1C0A" w:rsidRDefault="0078638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60-day experimental period, the growth was calculated at 15-day intervals. Feed intake was closely monitored throughout the study. Survival rate was determined by daily observation of each tank, and all mortalities were recorded for the entire 60-day duration. Shrimps were fed twice daily at 10% of their biomass, which was gradually reduced to 5% during the final 15 days of the experiment, with uneaten feed removed promptly. </w:t>
      </w:r>
    </w:p>
    <w:p w:rsidR="00DA1C0A" w:rsidRDefault="00786387">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Growth Study</w:t>
      </w:r>
    </w:p>
    <w:p w:rsidR="00DA1C0A" w:rsidRDefault="00786387">
      <w:pPr>
        <w:jc w:val="both"/>
        <w:rPr>
          <w:rFonts w:ascii="Times New Roman" w:hAnsi="Times New Roman" w:cs="Times New Roman"/>
          <w:sz w:val="24"/>
          <w:szCs w:val="24"/>
        </w:rPr>
      </w:pPr>
      <w:r>
        <w:rPr>
          <w:rFonts w:ascii="Times New Roman" w:hAnsi="Times New Roman" w:cs="Times New Roman"/>
          <w:bCs/>
          <w:sz w:val="24"/>
          <w:szCs w:val="24"/>
        </w:rPr>
        <w:t>Mean weight increment</w:t>
      </w:r>
      <w:r>
        <w:rPr>
          <w:rFonts w:ascii="Times New Roman" w:hAnsi="Times New Roman" w:cs="Times New Roman"/>
          <w:sz w:val="24"/>
          <w:szCs w:val="24"/>
        </w:rPr>
        <w:t xml:space="preserve"> = Final average body weight - initial average body weight</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Specific growth rate (SGR, % day</w:t>
      </w:r>
      <w:r>
        <w:rPr>
          <w:rFonts w:ascii="Times New Roman" w:hAnsi="Times New Roman" w:cs="Times New Roman"/>
          <w:sz w:val="24"/>
          <w:szCs w:val="24"/>
          <w:vertAlign w:val="superscript"/>
        </w:rPr>
        <w:t>-1</w:t>
      </w:r>
      <w:r>
        <w:rPr>
          <w:rFonts w:ascii="Times New Roman" w:hAnsi="Times New Roman" w:cs="Times New Roman"/>
          <w:sz w:val="24"/>
          <w:szCs w:val="24"/>
        </w:rPr>
        <w:t xml:space="preserve">) = [(ln final weight – ln initial weight) / No. of days of experiment (day)] × 100 </w:t>
      </w:r>
    </w:p>
    <w:p w:rsidR="00DA1C0A" w:rsidRDefault="00786387">
      <w:pPr>
        <w:jc w:val="both"/>
        <w:rPr>
          <w:rFonts w:ascii="Times New Roman" w:eastAsia="SimSun" w:hAnsi="Times New Roman" w:cs="Times New Roman"/>
          <w:sz w:val="24"/>
          <w:szCs w:val="24"/>
        </w:rPr>
      </w:pPr>
      <w:r>
        <w:rPr>
          <w:rFonts w:ascii="Times New Roman" w:eastAsia="SimSun" w:hAnsi="Times New Roman" w:cs="Times New Roman"/>
          <w:sz w:val="24"/>
          <w:szCs w:val="24"/>
        </w:rPr>
        <w:t>Feed conversion ratio (FCR) = Feed intake (g)/ Weight gain (g)</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Feed efficiency ratio (FER) = </w:t>
      </w:r>
      <w:r>
        <w:rPr>
          <w:rFonts w:ascii="Times New Roman" w:eastAsia="SimSun" w:hAnsi="Times New Roman" w:cs="Times New Roman"/>
          <w:sz w:val="24"/>
          <w:szCs w:val="24"/>
        </w:rPr>
        <w:t>Weight gain (g)/ Feed intake (g)</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Protein efficiency ratio (PER) = </w:t>
      </w:r>
      <w:r>
        <w:rPr>
          <w:rFonts w:ascii="Times New Roman" w:eastAsia="SimSun" w:hAnsi="Times New Roman" w:cs="Times New Roman"/>
          <w:sz w:val="24"/>
          <w:szCs w:val="24"/>
        </w:rPr>
        <w:t>Weight gain (g)/ Protein intake (g)</w:t>
      </w:r>
    </w:p>
    <w:p w:rsidR="00DA1C0A" w:rsidRDefault="00961515">
      <w:pPr>
        <w:pStyle w:val="ListParagraph"/>
        <w:numPr>
          <w:ilvl w:val="1"/>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86387">
        <w:rPr>
          <w:rFonts w:ascii="Times New Roman" w:hAnsi="Times New Roman" w:cs="Times New Roman"/>
          <w:b/>
          <w:sz w:val="24"/>
          <w:szCs w:val="24"/>
        </w:rPr>
        <w:t>Survival</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survival rate of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was observed and recorded by the daily observation of each experimental tank. The dead shrimps were removed from the tanks and mortality was recorded. The survival of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in percentage was calculated using the formula.</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Survival rate (SR, %) = 100 × (No. of shrimp survived after rearing / No. of shrimp stocked)</w:t>
      </w:r>
    </w:p>
    <w:p w:rsidR="00DA1C0A" w:rsidRDefault="00961515">
      <w:pPr>
        <w:pStyle w:val="ListParagraph"/>
        <w:numPr>
          <w:ilvl w:val="1"/>
          <w:numId w:val="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786387">
        <w:rPr>
          <w:rFonts w:ascii="Times New Roman" w:hAnsi="Times New Roman" w:cs="Times New Roman"/>
          <w:b/>
          <w:sz w:val="24"/>
          <w:szCs w:val="24"/>
        </w:rPr>
        <w:t>Analysis of Water Quality Parameters</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water quality parameters such as temperature, dissolve oxygen (DO), pH, salinity and total hardness were recorded in weekly interval of experimental period and maintained at optimal levels.</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Statistical Analysis</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Data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one-way ANOVA, and differences among treatment means were determined using Duncan’s Multiple Range Test (DMRT) at a significance level of P &lt; 0.05.</w:t>
      </w:r>
    </w:p>
    <w:p w:rsidR="00DA1C0A" w:rsidRDefault="00DA1C0A">
      <w:pPr>
        <w:jc w:val="both"/>
        <w:rPr>
          <w:rFonts w:ascii="Times New Roman" w:hAnsi="Times New Roman" w:cs="Times New Roman"/>
          <w:b/>
          <w:bCs/>
          <w:sz w:val="24"/>
          <w:szCs w:val="24"/>
        </w:rPr>
      </w:pPr>
    </w:p>
    <w:p w:rsidR="00DA1C0A" w:rsidRDefault="00786387">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Result and Discussion</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 xml:space="preserve">Growth Performance </w:t>
      </w:r>
    </w:p>
    <w:p w:rsidR="00DA1C0A" w:rsidRDefault="00786387">
      <w:pPr>
        <w:ind w:left="360"/>
        <w:jc w:val="both"/>
        <w:rPr>
          <w:rFonts w:ascii="Times New Roman" w:hAnsi="Times New Roman" w:cs="Times New Roman"/>
          <w:b/>
          <w:bCs/>
          <w:i/>
          <w:iCs/>
          <w:sz w:val="24"/>
          <w:szCs w:val="24"/>
        </w:rPr>
      </w:pPr>
      <w:r>
        <w:rPr>
          <w:rFonts w:ascii="Times New Roman" w:hAnsi="Times New Roman" w:cs="Times New Roman"/>
          <w:b/>
          <w:bCs/>
          <w:sz w:val="24"/>
          <w:szCs w:val="24"/>
        </w:rPr>
        <w:t xml:space="preserve">Table 2: Effects of dietary tea tree oil on growth performance and survival of </w:t>
      </w:r>
      <w:r>
        <w:rPr>
          <w:rFonts w:ascii="Times New Roman" w:hAnsi="Times New Roman" w:cs="Times New Roman"/>
          <w:b/>
          <w:bCs/>
          <w:i/>
          <w:iCs/>
          <w:sz w:val="24"/>
          <w:szCs w:val="24"/>
        </w:rPr>
        <w:t xml:space="preserve">P. </w:t>
      </w:r>
      <w:proofErr w:type="spellStart"/>
      <w:r>
        <w:rPr>
          <w:rFonts w:ascii="Times New Roman" w:hAnsi="Times New Roman" w:cs="Times New Roman"/>
          <w:b/>
          <w:bCs/>
          <w:i/>
          <w:iCs/>
          <w:sz w:val="24"/>
          <w:szCs w:val="24"/>
        </w:rPr>
        <w:t>vannamei</w:t>
      </w:r>
      <w:proofErr w:type="spellEnd"/>
    </w:p>
    <w:tbl>
      <w:tblPr>
        <w:tblStyle w:val="TableGrid"/>
        <w:tblW w:w="0" w:type="auto"/>
        <w:tblInd w:w="108" w:type="dxa"/>
        <w:tblLayout w:type="fixed"/>
        <w:tblLook w:val="04A0" w:firstRow="1" w:lastRow="0" w:firstColumn="1" w:lastColumn="0" w:noHBand="0" w:noVBand="1"/>
      </w:tblPr>
      <w:tblGrid>
        <w:gridCol w:w="1170"/>
        <w:gridCol w:w="1530"/>
        <w:gridCol w:w="1620"/>
        <w:gridCol w:w="1530"/>
        <w:gridCol w:w="1530"/>
        <w:gridCol w:w="1620"/>
      </w:tblGrid>
      <w:tr w:rsidR="00DA1C0A">
        <w:trPr>
          <w:trHeight w:val="290"/>
        </w:trPr>
        <w:tc>
          <w:tcPr>
            <w:tcW w:w="1170" w:type="dxa"/>
            <w:vAlign w:val="center"/>
          </w:tcPr>
          <w:p w:rsidR="00DA1C0A" w:rsidRDefault="00DA1C0A">
            <w:pPr>
              <w:pStyle w:val="ListParagraph"/>
              <w:ind w:left="0"/>
              <w:rPr>
                <w:rFonts w:ascii="Times New Roman" w:hAnsi="Times New Roman" w:cs="Times New Roman"/>
                <w:b/>
                <w:bCs/>
                <w:sz w:val="24"/>
                <w:szCs w:val="24"/>
              </w:rPr>
            </w:pP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T0</w:t>
            </w:r>
          </w:p>
        </w:tc>
        <w:tc>
          <w:tcPr>
            <w:tcW w:w="162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T1</w:t>
            </w: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T2</w:t>
            </w: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T3</w:t>
            </w:r>
          </w:p>
        </w:tc>
        <w:tc>
          <w:tcPr>
            <w:tcW w:w="162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T4</w:t>
            </w:r>
          </w:p>
        </w:tc>
      </w:tr>
      <w:tr w:rsidR="00DA1C0A">
        <w:trPr>
          <w:trHeight w:val="607"/>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IW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0.14±0.002</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0.14±0.002</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r>
      <w:tr w:rsidR="00DA1C0A">
        <w:trPr>
          <w:trHeight w:val="491"/>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FW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3.23±0.045</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3.58±0.050</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3.92±0.063</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4.21±0.024</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4.50±0.028</w:t>
            </w:r>
          </w:p>
        </w:tc>
      </w:tr>
      <w:tr w:rsidR="00DA1C0A">
        <w:trPr>
          <w:trHeight w:val="481"/>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WG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3.08±0.046</w:t>
            </w:r>
            <w:r>
              <w:rPr>
                <w:rFonts w:ascii="Times New Roman" w:hAnsi="Times New Roman" w:cs="Times New Roman"/>
                <w:sz w:val="24"/>
                <w:szCs w:val="24"/>
                <w:vertAlign w:val="superscript"/>
              </w:rPr>
              <w:t>e</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3.44±0.050</w:t>
            </w:r>
            <w:r>
              <w:rPr>
                <w:rFonts w:ascii="Times New Roman" w:hAnsi="Times New Roman" w:cs="Times New Roman"/>
                <w:sz w:val="24"/>
                <w:szCs w:val="24"/>
                <w:vertAlign w:val="superscript"/>
              </w:rPr>
              <w:t>d</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3.78±0.061</w:t>
            </w:r>
            <w:r>
              <w:rPr>
                <w:rFonts w:ascii="Times New Roman" w:hAnsi="Times New Roman" w:cs="Times New Roman"/>
                <w:sz w:val="24"/>
                <w:szCs w:val="24"/>
                <w:vertAlign w:val="superscript"/>
              </w:rPr>
              <w:t>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4.07±0.027</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4.36±0.027</w:t>
            </w:r>
            <w:r>
              <w:rPr>
                <w:rFonts w:ascii="Times New Roman" w:hAnsi="Times New Roman" w:cs="Times New Roman"/>
                <w:sz w:val="24"/>
                <w:szCs w:val="24"/>
                <w:vertAlign w:val="superscript"/>
              </w:rPr>
              <w:t>a</w:t>
            </w:r>
          </w:p>
        </w:tc>
      </w:tr>
      <w:tr w:rsidR="00DA1C0A">
        <w:trPr>
          <w:trHeight w:val="43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SGR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5.13±0.077</w:t>
            </w:r>
            <w:r>
              <w:rPr>
                <w:rFonts w:ascii="Times New Roman" w:hAnsi="Times New Roman" w:cs="Times New Roman"/>
                <w:sz w:val="24"/>
                <w:szCs w:val="24"/>
                <w:vertAlign w:val="superscript"/>
              </w:rPr>
              <w:t>e</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5.74±0.083 </w:t>
            </w:r>
            <w:r>
              <w:rPr>
                <w:rFonts w:ascii="Times New Roman" w:hAnsi="Times New Roman" w:cs="Times New Roman"/>
                <w:sz w:val="24"/>
                <w:szCs w:val="24"/>
                <w:vertAlign w:val="superscript"/>
              </w:rPr>
              <w:t>d</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6.29±0.101</w:t>
            </w:r>
            <w:r>
              <w:rPr>
                <w:rFonts w:ascii="Times New Roman" w:hAnsi="Times New Roman" w:cs="Times New Roman"/>
                <w:sz w:val="24"/>
                <w:szCs w:val="24"/>
                <w:vertAlign w:val="superscript"/>
              </w:rPr>
              <w:t>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6.79±0.045</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7.27±0.045</w:t>
            </w:r>
            <w:r>
              <w:rPr>
                <w:rFonts w:ascii="Times New Roman" w:hAnsi="Times New Roman" w:cs="Times New Roman"/>
                <w:sz w:val="24"/>
                <w:szCs w:val="24"/>
                <w:vertAlign w:val="superscript"/>
              </w:rPr>
              <w:t>a</w:t>
            </w:r>
          </w:p>
        </w:tc>
      </w:tr>
      <w:tr w:rsidR="00DA1C0A">
        <w:trPr>
          <w:trHeight w:val="37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FCR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1.41±0.004</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1.38±0.011</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1.33±0.029</w:t>
            </w:r>
            <w:r>
              <w:rPr>
                <w:rFonts w:ascii="Times New Roman" w:hAnsi="Times New Roman" w:cs="Times New Roman"/>
                <w:sz w:val="24"/>
                <w:szCs w:val="24"/>
                <w:vertAlign w:val="superscript"/>
              </w:rPr>
              <w:t>bc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1.31±0.005</w:t>
            </w:r>
            <w:r>
              <w:rPr>
                <w:rFonts w:ascii="Times New Roman" w:hAnsi="Times New Roman" w:cs="Times New Roman"/>
                <w:sz w:val="24"/>
                <w:szCs w:val="24"/>
                <w:vertAlign w:val="superscript"/>
              </w:rPr>
              <w:t>c</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1.30±0.007</w:t>
            </w:r>
            <w:r>
              <w:rPr>
                <w:rFonts w:ascii="Times New Roman" w:hAnsi="Times New Roman" w:cs="Times New Roman"/>
                <w:sz w:val="24"/>
                <w:szCs w:val="24"/>
                <w:vertAlign w:val="superscript"/>
              </w:rPr>
              <w:t>c</w:t>
            </w:r>
          </w:p>
        </w:tc>
      </w:tr>
      <w:tr w:rsidR="00DA1C0A">
        <w:trPr>
          <w:trHeight w:val="38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FER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0.71±0.002</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0.73±0.006 </w:t>
            </w:r>
            <w:r>
              <w:rPr>
                <w:rFonts w:ascii="Times New Roman" w:hAnsi="Times New Roman" w:cs="Times New Roman"/>
                <w:sz w:val="24"/>
                <w:szCs w:val="24"/>
                <w:vertAlign w:val="superscript"/>
              </w:rPr>
              <w:t>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0.75±0.016</w:t>
            </w:r>
            <w:r>
              <w:rPr>
                <w:rFonts w:ascii="Times New Roman" w:hAnsi="Times New Roman" w:cs="Times New Roman"/>
                <w:sz w:val="24"/>
                <w:szCs w:val="24"/>
                <w:vertAlign w:val="superscript"/>
              </w:rPr>
              <w:t>a</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0.76±0.003</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0.77±0.004</w:t>
            </w:r>
            <w:r>
              <w:rPr>
                <w:rFonts w:ascii="Times New Roman" w:hAnsi="Times New Roman" w:cs="Times New Roman"/>
                <w:sz w:val="24"/>
                <w:szCs w:val="24"/>
                <w:vertAlign w:val="superscript"/>
              </w:rPr>
              <w:t>a</w:t>
            </w:r>
          </w:p>
        </w:tc>
      </w:tr>
      <w:tr w:rsidR="00DA1C0A">
        <w:trPr>
          <w:trHeight w:val="40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PER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2.02±0.006</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2.08±0.016 </w:t>
            </w:r>
            <w:r>
              <w:rPr>
                <w:rFonts w:ascii="Times New Roman" w:hAnsi="Times New Roman" w:cs="Times New Roman"/>
                <w:sz w:val="24"/>
                <w:szCs w:val="24"/>
                <w:vertAlign w:val="superscript"/>
              </w:rPr>
              <w:t>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2.15±0.045</w:t>
            </w:r>
            <w:r>
              <w:rPr>
                <w:rFonts w:ascii="Times New Roman" w:hAnsi="Times New Roman" w:cs="Times New Roman"/>
                <w:sz w:val="24"/>
                <w:szCs w:val="24"/>
                <w:vertAlign w:val="superscript"/>
              </w:rPr>
              <w:t>a</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2.18±0.008</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2.20±0.012</w:t>
            </w:r>
            <w:r>
              <w:rPr>
                <w:rFonts w:ascii="Times New Roman" w:hAnsi="Times New Roman" w:cs="Times New Roman"/>
                <w:sz w:val="24"/>
                <w:szCs w:val="24"/>
                <w:vertAlign w:val="superscript"/>
              </w:rPr>
              <w:t>a</w:t>
            </w:r>
          </w:p>
        </w:tc>
      </w:tr>
      <w:tr w:rsidR="00DA1C0A">
        <w:trPr>
          <w:trHeight w:val="44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(SR %)</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88.33±2.33</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90.67±2.33</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93±0.000</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97.67±2.33</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97.67±2.33</w:t>
            </w:r>
            <w:r>
              <w:rPr>
                <w:rFonts w:ascii="Times New Roman" w:hAnsi="Times New Roman" w:cs="Times New Roman"/>
                <w:sz w:val="24"/>
                <w:szCs w:val="24"/>
                <w:vertAlign w:val="superscript"/>
              </w:rPr>
              <w:t>a</w:t>
            </w:r>
          </w:p>
        </w:tc>
      </w:tr>
    </w:tbl>
    <w:p w:rsidR="00DA1C0A" w:rsidRDefault="00786387">
      <w:pPr>
        <w:pStyle w:val="BodyText"/>
      </w:pPr>
      <w:r>
        <w:t>IW-initial weight; FW-final weight; WG-weight gain; SGR-specific growth rate; FCR-feed conversion rate; FER-feed intake rate; PER-protein efficiency rate; SR-survival rate.</w:t>
      </w:r>
    </w:p>
    <w:p w:rsidR="00DA1C0A" w:rsidRDefault="00786387">
      <w:pPr>
        <w:pStyle w:val="ListParagraph"/>
        <w:numPr>
          <w:ilvl w:val="2"/>
          <w:numId w:val="2"/>
        </w:numPr>
        <w:jc w:val="both"/>
        <w:rPr>
          <w:rFonts w:ascii="Times New Roman" w:hAnsi="Times New Roman" w:cs="Times New Roman"/>
          <w:b/>
          <w:bCs/>
          <w:sz w:val="28"/>
          <w:szCs w:val="28"/>
        </w:rPr>
      </w:pPr>
      <w:r>
        <w:rPr>
          <w:b/>
          <w:bCs/>
        </w:rPr>
        <w:t xml:space="preserve"> </w:t>
      </w:r>
      <w:r>
        <w:rPr>
          <w:rFonts w:ascii="Times New Roman" w:hAnsi="Times New Roman" w:cs="Times New Roman"/>
          <w:b/>
          <w:bCs/>
          <w:sz w:val="24"/>
          <w:szCs w:val="24"/>
        </w:rPr>
        <w:t>Mean Weight</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During the 60-day experiment, the mean weight of shrimp increased progressively across all treatments. The initial mean weight for all groups was 0.14±0.002 g. By the end of the experiment, the final mean weights were 3.23±0.045 g for the control (T0), and</w:t>
      </w:r>
      <w:r>
        <w:t xml:space="preserve"> </w:t>
      </w:r>
      <w:r>
        <w:rPr>
          <w:rFonts w:ascii="Times New Roman" w:hAnsi="Times New Roman" w:cs="Times New Roman"/>
          <w:sz w:val="24"/>
          <w:szCs w:val="24"/>
        </w:rPr>
        <w:t xml:space="preserve">3.58±0.050 g, 3.92±0.063 g, 4.21±0.024 g, and 4.50±0.028 g for T1, T2, T3, and T4, respectively. The results demonstrate a clear positive correlation between TTO concentration in the diet and growth of shrimp. Treatments supplemented with TTO exhibited higher growth rates compared to the control, with the highest growth observed in T4, containing 100 mg/kg of </w:t>
      </w:r>
      <w:r>
        <w:rPr>
          <w:rFonts w:ascii="Times New Roman" w:hAnsi="Times New Roman" w:cs="Times New Roman"/>
          <w:sz w:val="24"/>
          <w:szCs w:val="24"/>
        </w:rPr>
        <w:lastRenderedPageBreak/>
        <w:t xml:space="preserve">TTO. This trend aligns with previous studies in </w:t>
      </w:r>
      <w:proofErr w:type="spellStart"/>
      <w:r>
        <w:rPr>
          <w:rFonts w:ascii="Times New Roman" w:hAnsi="Times New Roman" w:cs="Times New Roman"/>
          <w:i/>
          <w:iCs/>
          <w:sz w:val="24"/>
          <w:szCs w:val="24"/>
        </w:rPr>
        <w:t>Macrobrachium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rosenbergii</w:t>
      </w:r>
      <w:proofErr w:type="spellEnd"/>
      <w:r>
        <w:rPr>
          <w:rFonts w:ascii="Times New Roman" w:hAnsi="Times New Roman" w:cs="Times New Roman"/>
          <w:sz w:val="24"/>
          <w:szCs w:val="24"/>
        </w:rPr>
        <w:t xml:space="preserve"> and other fish species, where TTO enhanced growth, potentially due to the active component terpinol-4 improving nutrient absorption and hepatopancreas function. </w:t>
      </w:r>
    </w:p>
    <w:p w:rsidR="00DA1C0A" w:rsidRDefault="00786387">
      <w:pPr>
        <w:jc w:val="both"/>
        <w:rPr>
          <w:rFonts w:ascii="Times New Roman" w:hAnsi="Times New Roman" w:cs="Times New Roman"/>
          <w:b/>
          <w:bCs/>
          <w:sz w:val="24"/>
          <w:szCs w:val="24"/>
        </w:rPr>
      </w:pPr>
      <w:r>
        <w:rPr>
          <w:rFonts w:ascii="Times New Roman" w:hAnsi="Times New Roman" w:cs="Times New Roman"/>
          <w:b/>
          <w:bCs/>
          <w:noProof/>
          <w:sz w:val="24"/>
          <w:szCs w:val="24"/>
          <w:lang w:val="en-US" w:bidi="hi-IN"/>
        </w:rPr>
        <w:drawing>
          <wp:inline distT="0" distB="0" distL="0" distR="0">
            <wp:extent cx="4240530" cy="2400300"/>
            <wp:effectExtent l="19050" t="0" r="762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240530" cy="240030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1: Mean weight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w:t>
      </w: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Weight Gain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mean weight gain of shrimp also increased with higher concentrations of TTO. After 60 days, weight gain was highest in T4 (4.36 g) and lowest in the control T0 (3.08 g). Statistical analysis revealed significant differences among all treatments at each 15-day interval. T4 consistently showed superior weight gain, followed by T3 and T2, whereas T0 had the lowest gain. This supports the observation that TTO enhances growth performance, likely by improving digestion and nutrient assimilation.</w:t>
      </w:r>
    </w:p>
    <w:p w:rsidR="00DA1C0A" w:rsidRDefault="00786387">
      <w:pPr>
        <w:jc w:val="both"/>
        <w:rPr>
          <w:rFonts w:ascii="Times New Roman" w:hAnsi="Times New Roman" w:cs="Times New Roman"/>
          <w:b/>
          <w:bCs/>
          <w:sz w:val="24"/>
          <w:szCs w:val="24"/>
        </w:rPr>
      </w:pPr>
      <w:r>
        <w:rPr>
          <w:rFonts w:ascii="Times New Roman" w:hAnsi="Times New Roman" w:cs="Times New Roman"/>
          <w:b/>
          <w:bCs/>
          <w:noProof/>
          <w:sz w:val="24"/>
          <w:szCs w:val="24"/>
          <w:lang w:val="en-US" w:bidi="hi-IN"/>
        </w:rPr>
        <w:drawing>
          <wp:inline distT="0" distB="0" distL="0" distR="0">
            <wp:extent cx="5294011" cy="2682240"/>
            <wp:effectExtent l="19050" t="0" r="1889"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5294011" cy="268224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2: Weight gain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Specific Growth Rate (SGR)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specific growth rate mirrored the trends in weight gain. The highest SGR was observed in T4 (7.27%/day), followed by T3 (6.79%), T2 (6.29%), and T1 (5.74%), with T0 showing </w:t>
      </w:r>
      <w:r>
        <w:rPr>
          <w:rFonts w:ascii="Times New Roman" w:hAnsi="Times New Roman" w:cs="Times New Roman"/>
          <w:sz w:val="24"/>
          <w:szCs w:val="24"/>
        </w:rPr>
        <w:lastRenderedPageBreak/>
        <w:t xml:space="preserve">the lowest (5.13%). Statistical analysis confirmed significant differences among treatments. The findings of current study align with Liu et al. (2022b) as they indicate that 100 mg/kg TTO was feeding in diet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resulted the higher specific growth rate as compared to control group. Liu et al. (2022) in Largemouth bass and Domínguez-</w:t>
      </w:r>
      <w:proofErr w:type="spellStart"/>
      <w:r>
        <w:rPr>
          <w:rFonts w:ascii="Times New Roman" w:hAnsi="Times New Roman" w:cs="Times New Roman"/>
          <w:sz w:val="24"/>
          <w:szCs w:val="24"/>
        </w:rPr>
        <w:t>Borbor</w:t>
      </w:r>
      <w:proofErr w:type="spellEnd"/>
      <w:r>
        <w:rPr>
          <w:rFonts w:ascii="Times New Roman" w:hAnsi="Times New Roman" w:cs="Times New Roman"/>
          <w:sz w:val="24"/>
          <w:szCs w:val="24"/>
        </w:rPr>
        <w:t xml:space="preserve">, et al. (2020) in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also reported the similar result. The finding of </w:t>
      </w:r>
      <w:proofErr w:type="spellStart"/>
      <w:r>
        <w:rPr>
          <w:rFonts w:ascii="Times New Roman" w:hAnsi="Times New Roman" w:cs="Times New Roman"/>
          <w:sz w:val="24"/>
          <w:szCs w:val="24"/>
        </w:rPr>
        <w:t>Aktaş</w:t>
      </w:r>
      <w:proofErr w:type="spellEnd"/>
      <w:r>
        <w:rPr>
          <w:rFonts w:ascii="Times New Roman" w:hAnsi="Times New Roman" w:cs="Times New Roman"/>
          <w:sz w:val="24"/>
          <w:szCs w:val="24"/>
        </w:rPr>
        <w:t xml:space="preserve"> et al. (2022) is consistent with the present study which observed the higher specific growth rate in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treated with thyme oil in diet.</w:t>
      </w:r>
    </w:p>
    <w:p w:rsidR="00DA1C0A" w:rsidRDefault="00786387">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31510" cy="3360420"/>
            <wp:effectExtent l="19050" t="0" r="2540" b="0"/>
            <wp:docPr id="10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9" cstate="print"/>
                    <a:srcRect/>
                    <a:stretch/>
                  </pic:blipFill>
                  <pic:spPr>
                    <a:xfrm>
                      <a:off x="0" y="0"/>
                      <a:ext cx="5731510" cy="336042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3: Specific growth rate (%/day) </w:t>
      </w:r>
    </w:p>
    <w:p w:rsidR="00DA1C0A" w:rsidRDefault="00DA1C0A">
      <w:pPr>
        <w:jc w:val="both"/>
        <w:rPr>
          <w:rFonts w:ascii="Times New Roman" w:hAnsi="Times New Roman" w:cs="Times New Roman"/>
          <w:b/>
          <w:bCs/>
          <w:sz w:val="24"/>
          <w:szCs w:val="24"/>
        </w:rPr>
      </w:pP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Effect on Feed Conversion Ratio (FCR)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feed conversion ratio (FCR) decreased as TTO concentration increased. T4 had the lowest FCR (1.30), followed closely by T3, indicating better feed utilization compared to the control (T0, 1.41). Statistical analysis showed significant differences between treatments, suggesting TTO improves feed efficiency, likely due to enhanced digestion and absorption of nutrients. The present study aligns with the findings of </w:t>
      </w:r>
      <w:proofErr w:type="spellStart"/>
      <w:r>
        <w:rPr>
          <w:rFonts w:ascii="Times New Roman" w:hAnsi="Times New Roman" w:cs="Times New Roman"/>
          <w:sz w:val="24"/>
          <w:szCs w:val="24"/>
          <w:lang w:val="en-GB"/>
        </w:rPr>
        <w:t>Aktaş</w:t>
      </w:r>
      <w:proofErr w:type="spellEnd"/>
      <w:r>
        <w:rPr>
          <w:rFonts w:ascii="Times New Roman" w:hAnsi="Times New Roman" w:cs="Times New Roman"/>
          <w:sz w:val="24"/>
          <w:szCs w:val="24"/>
        </w:rPr>
        <w:t xml:space="preserve"> et al. (2022) and Sheikh et al. (2018) on effect of thyme oil and cumin essential oil respectively on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 xml:space="preserve"> significantly improved FCR as compared to control diet.</w:t>
      </w:r>
    </w:p>
    <w:p w:rsidR="00DA1C0A" w:rsidRDefault="00786387">
      <w:pPr>
        <w:jc w:val="both"/>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0" distR="0">
            <wp:extent cx="5731510" cy="3588615"/>
            <wp:effectExtent l="19050" t="0" r="2540" b="0"/>
            <wp:docPr id="10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pic:cNvPicPr/>
                  </pic:nvPicPr>
                  <pic:blipFill>
                    <a:blip r:embed="rId10" cstate="print"/>
                    <a:srcRect/>
                    <a:stretch/>
                  </pic:blipFill>
                  <pic:spPr>
                    <a:xfrm>
                      <a:off x="0" y="0"/>
                      <a:ext cx="5731510" cy="3588615"/>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4: Feed conversion ratio (FCR) </w:t>
      </w: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Effect on Feeding Efficiency Ratio (FER)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feeding efficiency ratio (FER) was highest in T4 (0.77) and lowest in T0 (0.71), with T2 and T3 showing comparable results to T4. Significant differences were observed among treatments. The improvement in FER is consistent with the increased villus height in the intestine reported in previous studies, which enhances nutrient absorption. </w:t>
      </w:r>
      <w:r>
        <w:rPr>
          <w:rFonts w:ascii="Times New Roman" w:hAnsi="Times New Roman" w:cs="Times New Roman"/>
          <w:bCs/>
          <w:sz w:val="24"/>
          <w:szCs w:val="24"/>
        </w:rPr>
        <w:t xml:space="preserve">This study was similar to </w:t>
      </w:r>
      <w:r>
        <w:rPr>
          <w:rFonts w:ascii="Times New Roman" w:hAnsi="Times New Roman" w:cs="Times New Roman"/>
          <w:sz w:val="24"/>
          <w:szCs w:val="24"/>
        </w:rPr>
        <w:t xml:space="preserve">Li et al. (2014) demonstrated the improved FER through inclusion of linseed oil in diet of </w:t>
      </w:r>
      <w:proofErr w:type="spellStart"/>
      <w:r>
        <w:rPr>
          <w:rFonts w:ascii="Times New Roman" w:hAnsi="Times New Roman" w:cs="Times New Roman"/>
          <w:sz w:val="24"/>
          <w:szCs w:val="24"/>
        </w:rPr>
        <w:t>darkbarbel</w:t>
      </w:r>
      <w:proofErr w:type="spellEnd"/>
      <w:r>
        <w:rPr>
          <w:rFonts w:ascii="Times New Roman" w:hAnsi="Times New Roman" w:cs="Times New Roman"/>
          <w:sz w:val="24"/>
          <w:szCs w:val="24"/>
        </w:rPr>
        <w:t xml:space="preserve"> catfish </w:t>
      </w:r>
      <w:r>
        <w:rPr>
          <w:rFonts w:ascii="Times New Roman" w:hAnsi="Times New Roman" w:cs="Times New Roman"/>
          <w:i/>
          <w:iCs/>
          <w:sz w:val="24"/>
          <w:szCs w:val="24"/>
        </w:rPr>
        <w:t>(</w:t>
      </w:r>
      <w:proofErr w:type="spellStart"/>
      <w:r>
        <w:rPr>
          <w:rFonts w:ascii="Times New Roman" w:hAnsi="Times New Roman" w:cs="Times New Roman"/>
          <w:i/>
          <w:iCs/>
          <w:sz w:val="24"/>
          <w:szCs w:val="24"/>
        </w:rPr>
        <w:t>Pelteobagrus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vachelli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Feeding efficiency is might be better due to the proper </w:t>
      </w:r>
      <w:proofErr w:type="spellStart"/>
      <w:r>
        <w:rPr>
          <w:rFonts w:ascii="Times New Roman" w:hAnsi="Times New Roman" w:cs="Times New Roman"/>
          <w:sz w:val="24"/>
          <w:szCs w:val="24"/>
        </w:rPr>
        <w:t>absorbtion</w:t>
      </w:r>
      <w:proofErr w:type="spellEnd"/>
      <w:r>
        <w:rPr>
          <w:rFonts w:ascii="Times New Roman" w:hAnsi="Times New Roman" w:cs="Times New Roman"/>
          <w:sz w:val="24"/>
          <w:szCs w:val="24"/>
        </w:rPr>
        <w:t xml:space="preserve"> and digestion due to higher villus height (</w:t>
      </w:r>
      <w:proofErr w:type="spellStart"/>
      <w:r>
        <w:rPr>
          <w:rFonts w:ascii="Times New Roman" w:hAnsi="Times New Roman" w:cs="Times New Roman"/>
          <w:sz w:val="24"/>
          <w:szCs w:val="24"/>
          <w:lang w:val="en-GB"/>
        </w:rPr>
        <w:t>Valladão</w:t>
      </w:r>
      <w:proofErr w:type="spellEnd"/>
      <w:r>
        <w:rPr>
          <w:rFonts w:ascii="Times New Roman" w:hAnsi="Times New Roman" w:cs="Times New Roman"/>
          <w:sz w:val="24"/>
          <w:szCs w:val="24"/>
          <w:lang w:val="en-GB"/>
        </w:rPr>
        <w:t xml:space="preserve"> et al., 2017).</w:t>
      </w:r>
    </w:p>
    <w:p w:rsidR="00DA1C0A" w:rsidRDefault="00786387">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26842" cy="3124748"/>
            <wp:effectExtent l="19050" t="0" r="7208" b="0"/>
            <wp:docPr id="103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11" cstate="print"/>
                    <a:srcRect/>
                    <a:stretch/>
                  </pic:blipFill>
                  <pic:spPr>
                    <a:xfrm>
                      <a:off x="0" y="0"/>
                      <a:ext cx="5726842" cy="3124748"/>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Fig. 5: Feeding efficiency ratio (FER) </w:t>
      </w: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3.1.6 </w:t>
      </w:r>
      <w:r>
        <w:rPr>
          <w:rFonts w:ascii="Times New Roman" w:hAnsi="Times New Roman" w:cs="Times New Roman"/>
          <w:b/>
          <w:bCs/>
          <w:sz w:val="24"/>
          <w:szCs w:val="24"/>
        </w:rPr>
        <w:t>Effect on Protein Efficiency Ratio (PER)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protein efficiency ratio (PER) followed a similar trend, with the highest value in T4 (2.20) and the lowest in T0 (2.02). Treatments T2 and T3 showed PER values comparable to T4. Statistical analysis confirmed significant differences between treatments. These findings indicate that TTO supplementation improves protein utilization efficiency, supporting better growth performance. Similar result was observed by Liu et al. (2022) increased the PER in largemouth bass. In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also the PER shows better results by Liu et al. (2022a).</w:t>
      </w:r>
    </w:p>
    <w:p w:rsidR="00DA1C0A" w:rsidRDefault="00786387">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27054" cy="2987040"/>
            <wp:effectExtent l="19050" t="0" r="6995" b="0"/>
            <wp:docPr id="103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12" cstate="print"/>
                    <a:srcRect/>
                    <a:stretch/>
                  </pic:blipFill>
                  <pic:spPr>
                    <a:xfrm>
                      <a:off x="0" y="0"/>
                      <a:ext cx="5727054" cy="298704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6: Protein efficiency ratio (PER) </w:t>
      </w: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Pr>
          <w:rFonts w:ascii="Times New Roman" w:hAnsi="Times New Roman" w:cs="Times New Roman"/>
          <w:b/>
          <w:bCs/>
          <w:sz w:val="24"/>
          <w:szCs w:val="24"/>
        </w:rPr>
        <w:t xml:space="preserve">Survival Rate  </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survival rate of shrimp was influenced by TTO supplementation. During the first 30 days, no significant difference was observed among treatments. However, at 45 and 60 days, T4 exhibited the highest survival rate (97.67%), while the control group had the lowest (88.33%). Statistical analysis confirmed that TTO treatments significantly improved survival compared to the control at the end of the experiment. This aligns with previous studies showing essential oils, including TTO, enhance immunity and resistance to stress, thereby improving survival. The result of present study is similar with the findings of Liu et al. (2022a), Liu et al. (2022b) and Liu et al. (2022c) at 100 mg/kg TTO got higher survival rate in </w:t>
      </w:r>
      <w:proofErr w:type="spellStart"/>
      <w:r>
        <w:rPr>
          <w:rFonts w:ascii="Times New Roman" w:hAnsi="Times New Roman" w:cs="Times New Roman"/>
          <w:i/>
          <w:sz w:val="24"/>
          <w:szCs w:val="24"/>
        </w:rPr>
        <w:t>Marcrobrachium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as compared to control group on feeding in diet. According to the study of Domínguez-</w:t>
      </w:r>
      <w:proofErr w:type="spellStart"/>
      <w:r>
        <w:rPr>
          <w:rFonts w:ascii="Times New Roman" w:hAnsi="Times New Roman" w:cs="Times New Roman"/>
          <w:sz w:val="24"/>
          <w:szCs w:val="24"/>
        </w:rPr>
        <w:t>Borbor</w:t>
      </w:r>
      <w:proofErr w:type="spellEnd"/>
      <w:r>
        <w:rPr>
          <w:rFonts w:ascii="Times New Roman" w:hAnsi="Times New Roman" w:cs="Times New Roman"/>
          <w:sz w:val="24"/>
          <w:szCs w:val="24"/>
        </w:rPr>
        <w:t xml:space="preserve"> et al. (2020) the survival rate in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was</w:t>
      </w:r>
      <w:r>
        <w:rPr>
          <w:rFonts w:ascii="Times New Roman" w:hAnsi="Times New Roman" w:cs="Times New Roman"/>
          <w:sz w:val="24"/>
          <w:szCs w:val="24"/>
        </w:rPr>
        <w:t xml:space="preserve"> significantly increased when five different essential oils were incorporated into their diet where TTO was also present.</w:t>
      </w:r>
    </w:p>
    <w:p w:rsidR="00DA1C0A" w:rsidRDefault="00786387">
      <w:pPr>
        <w:jc w:val="both"/>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0" distR="0">
            <wp:extent cx="5731510" cy="3548425"/>
            <wp:effectExtent l="19050" t="0" r="2540" b="0"/>
            <wp:docPr id="1032"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9"/>
                    <pic:cNvPicPr/>
                  </pic:nvPicPr>
                  <pic:blipFill>
                    <a:blip r:embed="rId13" cstate="print"/>
                    <a:srcRect/>
                    <a:stretch/>
                  </pic:blipFill>
                  <pic:spPr>
                    <a:xfrm>
                      <a:off x="0" y="0"/>
                      <a:ext cx="5731510" cy="3548425"/>
                    </a:xfrm>
                    <a:prstGeom prst="rect">
                      <a:avLst/>
                    </a:prstGeom>
                    <a:ln>
                      <a:noFill/>
                    </a:ln>
                  </pic:spPr>
                </pic:pic>
              </a:graphicData>
            </a:graphic>
          </wp:inline>
        </w:drawing>
      </w:r>
      <w:r>
        <w:rPr>
          <w:rFonts w:ascii="Times New Roman" w:hAnsi="Times New Roman" w:cs="Times New Roman"/>
          <w:sz w:val="24"/>
          <w:szCs w:val="24"/>
        </w:rPr>
        <w:t>Fig. 7: Survival rate (%)</w:t>
      </w:r>
    </w:p>
    <w:p w:rsidR="00DA1C0A" w:rsidRDefault="00DA1C0A">
      <w:pPr>
        <w:jc w:val="both"/>
        <w:rPr>
          <w:rFonts w:ascii="Times New Roman" w:hAnsi="Times New Roman" w:cs="Times New Roman"/>
          <w:sz w:val="24"/>
          <w:szCs w:val="24"/>
        </w:rPr>
      </w:pPr>
    </w:p>
    <w:p w:rsidR="00DA1C0A" w:rsidRDefault="00786387">
      <w:pPr>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r>
        <w:rPr>
          <w:rFonts w:ascii="Times New Roman" w:hAnsi="Times New Roman" w:cs="Times New Roman"/>
          <w:b/>
          <w:sz w:val="24"/>
          <w:szCs w:val="24"/>
        </w:rPr>
        <w:t>Conclusions</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present study aimed to evaluate the impact of tea tree oil on growth and survival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findings revealed that treatment T4, which was incorporated with 100 mg/kg TTO, reflects the positive effect on the growth parameters, including mean weight gain and specific growth rate (SGR). Moreover, T4 exhibited the lower FCR and higher FER and PER with 100 mg/kg TTO incorporation in diet. The higher survival rate of 88% was recorded in both T3 and T4 treatments. These results highlight the potential of Tea Tree oil in promoting the well-being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i/>
          <w:sz w:val="24"/>
          <w:szCs w:val="24"/>
        </w:rPr>
        <w:t>.</w:t>
      </w:r>
      <w:r>
        <w:rPr>
          <w:rFonts w:ascii="Times New Roman" w:hAnsi="Times New Roman" w:cs="Times New Roman"/>
          <w:sz w:val="24"/>
          <w:szCs w:val="24"/>
        </w:rPr>
        <w:t xml:space="preserve"> Overall, the TTO incorporated with 100 mg/kg gives the better outcomes as compared to other treatments. So, the inclusion of 100 mg/kg TTO (Treatment T4) is recommended for higher growth and survival of the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vannamei</w:t>
      </w:r>
      <w:proofErr w:type="spellEnd"/>
      <w:r>
        <w:rPr>
          <w:rFonts w:ascii="Times New Roman" w:hAnsi="Times New Roman" w:cs="Times New Roman"/>
          <w:i/>
          <w:iCs/>
          <w:sz w:val="24"/>
          <w:szCs w:val="24"/>
        </w:rPr>
        <w:t>.</w:t>
      </w:r>
    </w:p>
    <w:p w:rsidR="00DA1C0A" w:rsidRDefault="00DA1C0A">
      <w:pPr>
        <w:jc w:val="both"/>
        <w:rPr>
          <w:rFonts w:ascii="Times New Roman" w:hAnsi="Times New Roman" w:cs="Times New Roman"/>
          <w:sz w:val="24"/>
          <w:szCs w:val="24"/>
        </w:rPr>
      </w:pP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 </w:t>
      </w:r>
      <w:r>
        <w:rPr>
          <w:rFonts w:ascii="Times New Roman" w:hAnsi="Times New Roman" w:cs="Times New Roman"/>
          <w:b/>
          <w:bCs/>
          <w:sz w:val="24"/>
          <w:szCs w:val="24"/>
        </w:rPr>
        <w:t>References</w:t>
      </w:r>
    </w:p>
    <w:p w:rsidR="00DA1C0A" w:rsidRPr="00D81963" w:rsidRDefault="000C0341" w:rsidP="00D81963">
      <w:pPr>
        <w:jc w:val="both"/>
        <w:rPr>
          <w:rFonts w:ascii="Times New Roman" w:hAnsi="Times New Roman" w:cs="Times New Roman"/>
          <w:sz w:val="24"/>
          <w:szCs w:val="24"/>
          <w:lang w:val="en-US"/>
        </w:rPr>
      </w:pPr>
      <w:proofErr w:type="spellStart"/>
      <w:r w:rsidRPr="00D81963">
        <w:rPr>
          <w:rFonts w:ascii="Times New Roman" w:hAnsi="Times New Roman" w:cs="Times New Roman"/>
          <w:sz w:val="24"/>
          <w:szCs w:val="24"/>
          <w:lang w:val="en-US"/>
        </w:rPr>
        <w:t>Acar</w:t>
      </w:r>
      <w:proofErr w:type="spellEnd"/>
      <w:r w:rsidRPr="00D81963">
        <w:rPr>
          <w:rFonts w:ascii="Times New Roman" w:hAnsi="Times New Roman" w:cs="Times New Roman"/>
          <w:sz w:val="24"/>
          <w:szCs w:val="24"/>
          <w:lang w:val="en-US"/>
        </w:rPr>
        <w:t xml:space="preserve">, Ü., </w:t>
      </w:r>
      <w:proofErr w:type="spellStart"/>
      <w:r w:rsidRPr="00D81963">
        <w:rPr>
          <w:rFonts w:ascii="Times New Roman" w:hAnsi="Times New Roman" w:cs="Times New Roman"/>
          <w:sz w:val="24"/>
          <w:szCs w:val="24"/>
          <w:lang w:val="en-US"/>
        </w:rPr>
        <w:t>Kesbiç</w:t>
      </w:r>
      <w:proofErr w:type="spellEnd"/>
      <w:r w:rsidRPr="00D81963">
        <w:rPr>
          <w:rFonts w:ascii="Times New Roman" w:hAnsi="Times New Roman" w:cs="Times New Roman"/>
          <w:sz w:val="24"/>
          <w:szCs w:val="24"/>
          <w:lang w:val="en-US"/>
        </w:rPr>
        <w:t xml:space="preserve">, O. S., </w:t>
      </w:r>
      <w:proofErr w:type="spellStart"/>
      <w:r w:rsidRPr="00D81963">
        <w:rPr>
          <w:rFonts w:ascii="Times New Roman" w:hAnsi="Times New Roman" w:cs="Times New Roman"/>
          <w:sz w:val="24"/>
          <w:szCs w:val="24"/>
          <w:lang w:val="en-US"/>
        </w:rPr>
        <w:t>Yılmaz</w:t>
      </w:r>
      <w:proofErr w:type="spellEnd"/>
      <w:r w:rsidRPr="00D81963">
        <w:rPr>
          <w:rFonts w:ascii="Times New Roman" w:hAnsi="Times New Roman" w:cs="Times New Roman"/>
          <w:sz w:val="24"/>
          <w:szCs w:val="24"/>
          <w:lang w:val="en-US"/>
        </w:rPr>
        <w:t xml:space="preserve">, S., </w:t>
      </w:r>
      <w:proofErr w:type="spellStart"/>
      <w:r w:rsidRPr="00D81963">
        <w:rPr>
          <w:rFonts w:ascii="Times New Roman" w:hAnsi="Times New Roman" w:cs="Times New Roman"/>
          <w:sz w:val="24"/>
          <w:szCs w:val="24"/>
          <w:lang w:val="en-US"/>
        </w:rPr>
        <w:t>Gültepe</w:t>
      </w:r>
      <w:proofErr w:type="spellEnd"/>
      <w:r w:rsidRPr="00D81963">
        <w:rPr>
          <w:rFonts w:ascii="Times New Roman" w:hAnsi="Times New Roman" w:cs="Times New Roman"/>
          <w:sz w:val="24"/>
          <w:szCs w:val="24"/>
          <w:lang w:val="en-US"/>
        </w:rPr>
        <w:t xml:space="preserve">, N., &amp; </w:t>
      </w:r>
      <w:proofErr w:type="spellStart"/>
      <w:r w:rsidRPr="00D81963">
        <w:rPr>
          <w:rFonts w:ascii="Times New Roman" w:hAnsi="Times New Roman" w:cs="Times New Roman"/>
          <w:sz w:val="24"/>
          <w:szCs w:val="24"/>
          <w:lang w:val="en-US"/>
        </w:rPr>
        <w:t>Türker</w:t>
      </w:r>
      <w:proofErr w:type="spellEnd"/>
      <w:r w:rsidRPr="00D81963">
        <w:rPr>
          <w:rFonts w:ascii="Times New Roman" w:hAnsi="Times New Roman" w:cs="Times New Roman"/>
          <w:sz w:val="24"/>
          <w:szCs w:val="24"/>
          <w:lang w:val="en-US"/>
        </w:rPr>
        <w:t xml:space="preserve">, A. (2015). Evaluation of the effects of essential oil extracted from sweet orange peel (Citrus </w:t>
      </w:r>
      <w:proofErr w:type="spellStart"/>
      <w:r w:rsidRPr="00D81963">
        <w:rPr>
          <w:rFonts w:ascii="Times New Roman" w:hAnsi="Times New Roman" w:cs="Times New Roman"/>
          <w:sz w:val="24"/>
          <w:szCs w:val="24"/>
          <w:lang w:val="en-US"/>
        </w:rPr>
        <w:t>sinensis</w:t>
      </w:r>
      <w:proofErr w:type="spellEnd"/>
      <w:r w:rsidRPr="00D81963">
        <w:rPr>
          <w:rFonts w:ascii="Times New Roman" w:hAnsi="Times New Roman" w:cs="Times New Roman"/>
          <w:sz w:val="24"/>
          <w:szCs w:val="24"/>
          <w:lang w:val="en-US"/>
        </w:rPr>
        <w:t xml:space="preserve">) on growth rate of tilapia (Oreochromis </w:t>
      </w:r>
      <w:proofErr w:type="spellStart"/>
      <w:r w:rsidRPr="00D81963">
        <w:rPr>
          <w:rFonts w:ascii="Times New Roman" w:hAnsi="Times New Roman" w:cs="Times New Roman"/>
          <w:sz w:val="24"/>
          <w:szCs w:val="24"/>
          <w:lang w:val="en-US"/>
        </w:rPr>
        <w:t>mossambicus</w:t>
      </w:r>
      <w:proofErr w:type="spellEnd"/>
      <w:r w:rsidRPr="00D81963">
        <w:rPr>
          <w:rFonts w:ascii="Times New Roman" w:hAnsi="Times New Roman" w:cs="Times New Roman"/>
          <w:sz w:val="24"/>
          <w:szCs w:val="24"/>
          <w:lang w:val="en-US"/>
        </w:rPr>
        <w:t xml:space="preserve">) and possible disease resistance against Streptococcus </w:t>
      </w:r>
      <w:proofErr w:type="spellStart"/>
      <w:r w:rsidRPr="00D81963">
        <w:rPr>
          <w:rFonts w:ascii="Times New Roman" w:hAnsi="Times New Roman" w:cs="Times New Roman"/>
          <w:sz w:val="24"/>
          <w:szCs w:val="24"/>
          <w:lang w:val="en-US"/>
        </w:rPr>
        <w:t>iniae</w:t>
      </w:r>
      <w:proofErr w:type="spellEnd"/>
      <w:r w:rsidRPr="00D81963">
        <w:rPr>
          <w:rFonts w:ascii="Times New Roman" w:hAnsi="Times New Roman" w:cs="Times New Roman"/>
          <w:sz w:val="24"/>
          <w:szCs w:val="24"/>
          <w:lang w:val="en-US"/>
        </w:rPr>
        <w:t xml:space="preserve">. Aquaculture, 437, 282-286. </w:t>
      </w:r>
      <w:hyperlink r:id="rId14" w:history="1">
        <w:r w:rsidRPr="00D81963">
          <w:rPr>
            <w:rStyle w:val="Hyperlink"/>
            <w:rFonts w:ascii="Times New Roman" w:hAnsi="Times New Roman" w:cs="Times New Roman"/>
            <w:sz w:val="24"/>
            <w:szCs w:val="24"/>
            <w:lang w:val="en-US"/>
          </w:rPr>
          <w:t>https://doi.org/10.1016/j.aquaculture.2014.12.015</w:t>
        </w:r>
      </w:hyperlink>
      <w:r w:rsidRPr="00D81963">
        <w:rPr>
          <w:rFonts w:ascii="Times New Roman" w:hAnsi="Times New Roman" w:cs="Times New Roman"/>
          <w:sz w:val="24"/>
          <w:szCs w:val="24"/>
          <w:lang w:val="en-US"/>
        </w:rPr>
        <w:t xml:space="preserve"> </w:t>
      </w:r>
    </w:p>
    <w:p w:rsidR="00DA1C0A" w:rsidRPr="00D81963" w:rsidRDefault="006604B8"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Aktaş</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Genç</w:t>
      </w:r>
      <w:proofErr w:type="spellEnd"/>
      <w:r w:rsidRPr="00D81963">
        <w:rPr>
          <w:rFonts w:ascii="Times New Roman" w:hAnsi="Times New Roman" w:cs="Times New Roman"/>
          <w:sz w:val="24"/>
          <w:szCs w:val="24"/>
          <w:lang w:val="en-GB"/>
        </w:rPr>
        <w:t xml:space="preserve">, M. A., </w:t>
      </w:r>
      <w:proofErr w:type="spellStart"/>
      <w:r w:rsidRPr="00D81963">
        <w:rPr>
          <w:rFonts w:ascii="Times New Roman" w:hAnsi="Times New Roman" w:cs="Times New Roman"/>
          <w:sz w:val="24"/>
          <w:szCs w:val="24"/>
          <w:lang w:val="en-GB"/>
        </w:rPr>
        <w:t>Bircan</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Yıldırım</w:t>
      </w:r>
      <w:proofErr w:type="spellEnd"/>
      <w:r w:rsidRPr="00D81963">
        <w:rPr>
          <w:rFonts w:ascii="Times New Roman" w:hAnsi="Times New Roman" w:cs="Times New Roman"/>
          <w:sz w:val="24"/>
          <w:szCs w:val="24"/>
          <w:lang w:val="en-GB"/>
        </w:rPr>
        <w:t xml:space="preserve">, Y., Kaya, D., </w:t>
      </w:r>
      <w:proofErr w:type="spellStart"/>
      <w:r w:rsidRPr="00D81963">
        <w:rPr>
          <w:rFonts w:ascii="Times New Roman" w:hAnsi="Times New Roman" w:cs="Times New Roman"/>
          <w:sz w:val="24"/>
          <w:szCs w:val="24"/>
          <w:lang w:val="en-GB"/>
        </w:rPr>
        <w:t>Narin</w:t>
      </w:r>
      <w:proofErr w:type="spellEnd"/>
      <w:r w:rsidRPr="00D81963">
        <w:rPr>
          <w:rFonts w:ascii="Times New Roman" w:hAnsi="Times New Roman" w:cs="Times New Roman"/>
          <w:sz w:val="24"/>
          <w:szCs w:val="24"/>
          <w:lang w:val="en-GB"/>
        </w:rPr>
        <w:t xml:space="preserve">, Ö. Ç., &amp; </w:t>
      </w:r>
      <w:proofErr w:type="spellStart"/>
      <w:r w:rsidRPr="00D81963">
        <w:rPr>
          <w:rFonts w:ascii="Times New Roman" w:hAnsi="Times New Roman" w:cs="Times New Roman"/>
          <w:sz w:val="24"/>
          <w:szCs w:val="24"/>
          <w:lang w:val="en-GB"/>
        </w:rPr>
        <w:t>Genç</w:t>
      </w:r>
      <w:proofErr w:type="spellEnd"/>
      <w:r w:rsidRPr="00D81963">
        <w:rPr>
          <w:rFonts w:ascii="Times New Roman" w:hAnsi="Times New Roman" w:cs="Times New Roman"/>
          <w:sz w:val="24"/>
          <w:szCs w:val="24"/>
          <w:lang w:val="en-GB"/>
        </w:rPr>
        <w:t xml:space="preserve">, E. (2022). Effects of Thyme and Thyme Oil on Growth of White Shrimp, </w:t>
      </w:r>
      <w:proofErr w:type="spellStart"/>
      <w:r w:rsidRPr="00D81963">
        <w:rPr>
          <w:rFonts w:ascii="Times New Roman" w:hAnsi="Times New Roman" w:cs="Times New Roman"/>
          <w:sz w:val="24"/>
          <w:szCs w:val="24"/>
          <w:lang w:val="en-GB"/>
        </w:rPr>
        <w:t>Litopenaeus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Acta Aquatica Turcica, 18(1), 81-92. </w:t>
      </w:r>
      <w:hyperlink r:id="rId15" w:history="1">
        <w:r w:rsidRPr="00D81963">
          <w:rPr>
            <w:rStyle w:val="Hyperlink"/>
            <w:rFonts w:ascii="Times New Roman" w:hAnsi="Times New Roman" w:cs="Times New Roman"/>
            <w:sz w:val="24"/>
            <w:szCs w:val="24"/>
            <w:lang w:val="en-GB"/>
          </w:rPr>
          <w:t>https://doi.org/10.22392/actaquatr.976901</w:t>
        </w:r>
      </w:hyperlink>
      <w:r w:rsidRPr="00D81963">
        <w:rPr>
          <w:rFonts w:ascii="Times New Roman" w:hAnsi="Times New Roman" w:cs="Times New Roman"/>
          <w:sz w:val="24"/>
          <w:szCs w:val="24"/>
          <w:lang w:val="en-GB"/>
        </w:rPr>
        <w:t xml:space="preserve"> </w:t>
      </w:r>
    </w:p>
    <w:p w:rsidR="00DA1C0A" w:rsidRPr="00D81963" w:rsidRDefault="006B5E6C"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lastRenderedPageBreak/>
        <w:t>Albalat</w:t>
      </w:r>
      <w:proofErr w:type="spellEnd"/>
      <w:r w:rsidRPr="00D81963">
        <w:rPr>
          <w:rFonts w:ascii="Times New Roman" w:hAnsi="Times New Roman" w:cs="Times New Roman"/>
          <w:sz w:val="24"/>
          <w:szCs w:val="24"/>
          <w:lang w:val="en-GB"/>
        </w:rPr>
        <w:t xml:space="preserve">, A., Zacarias, S., Coates, C. J., Neil, D. M., &amp; </w:t>
      </w:r>
      <w:proofErr w:type="spellStart"/>
      <w:r w:rsidRPr="00D81963">
        <w:rPr>
          <w:rFonts w:ascii="Times New Roman" w:hAnsi="Times New Roman" w:cs="Times New Roman"/>
          <w:sz w:val="24"/>
          <w:szCs w:val="24"/>
          <w:lang w:val="en-GB"/>
        </w:rPr>
        <w:t>Planellas</w:t>
      </w:r>
      <w:proofErr w:type="spellEnd"/>
      <w:r w:rsidRPr="00D81963">
        <w:rPr>
          <w:rFonts w:ascii="Times New Roman" w:hAnsi="Times New Roman" w:cs="Times New Roman"/>
          <w:sz w:val="24"/>
          <w:szCs w:val="24"/>
          <w:lang w:val="en-GB"/>
        </w:rPr>
        <w:t xml:space="preserve">, S. R. (2022). Welfare in farmed decapod crustaceans, with particular reference to Penaeus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Frontiers in Marine Science, 9, 886024. </w:t>
      </w:r>
      <w:hyperlink r:id="rId16" w:history="1">
        <w:r w:rsidRPr="00D81963">
          <w:rPr>
            <w:rStyle w:val="Hyperlink"/>
            <w:rFonts w:ascii="Times New Roman" w:hAnsi="Times New Roman" w:cs="Times New Roman"/>
            <w:sz w:val="24"/>
            <w:szCs w:val="24"/>
            <w:lang w:val="en-GB"/>
          </w:rPr>
          <w:t>https://doi.org/10.3389/fmars.2022.886024</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F404E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Amaya, E. A., Davis, D. A., &amp; Rouse, D. B. (2007). Replacement of fish meal in practical diets for the Pacific white shrimp (</w:t>
      </w:r>
      <w:proofErr w:type="spellStart"/>
      <w:r w:rsidRPr="00D81963">
        <w:rPr>
          <w:rFonts w:ascii="Times New Roman" w:hAnsi="Times New Roman" w:cs="Times New Roman"/>
          <w:sz w:val="24"/>
          <w:szCs w:val="24"/>
          <w:lang w:val="en-GB"/>
        </w:rPr>
        <w:t>Litopenaeus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reared under pond conditions. Aquaculture, 262(2-4), 393-401. </w:t>
      </w:r>
      <w:hyperlink r:id="rId17" w:history="1">
        <w:r w:rsidRPr="00D81963">
          <w:rPr>
            <w:rStyle w:val="Hyperlink"/>
            <w:rFonts w:ascii="Times New Roman" w:hAnsi="Times New Roman" w:cs="Times New Roman"/>
            <w:sz w:val="24"/>
            <w:szCs w:val="24"/>
            <w:lang w:val="en-GB"/>
          </w:rPr>
          <w:t>https://doi.org/10.1016/j.aquaculture.2006.11.015</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72555C"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An, P., Yang, X., Yu, J., Qi, J., Ren, X., &amp; Kong, Q. (2019). α-terpineol and terpene-4-ol, the critical components of tea tree oil, exert antifungal activities in vitro and in vivo against Aspergillus </w:t>
      </w:r>
      <w:proofErr w:type="spellStart"/>
      <w:r w:rsidRPr="00D81963">
        <w:rPr>
          <w:rFonts w:ascii="Times New Roman" w:hAnsi="Times New Roman" w:cs="Times New Roman"/>
          <w:sz w:val="24"/>
          <w:szCs w:val="24"/>
          <w:lang w:val="en-GB"/>
        </w:rPr>
        <w:t>niger</w:t>
      </w:r>
      <w:proofErr w:type="spellEnd"/>
      <w:r w:rsidRPr="00D81963">
        <w:rPr>
          <w:rFonts w:ascii="Times New Roman" w:hAnsi="Times New Roman" w:cs="Times New Roman"/>
          <w:sz w:val="24"/>
          <w:szCs w:val="24"/>
          <w:lang w:val="en-GB"/>
        </w:rPr>
        <w:t xml:space="preserve"> in grapes by inducing </w:t>
      </w:r>
      <w:proofErr w:type="spellStart"/>
      <w:r w:rsidRPr="00D81963">
        <w:rPr>
          <w:rFonts w:ascii="Times New Roman" w:hAnsi="Times New Roman" w:cs="Times New Roman"/>
          <w:sz w:val="24"/>
          <w:szCs w:val="24"/>
          <w:lang w:val="en-GB"/>
        </w:rPr>
        <w:t>morphous</w:t>
      </w:r>
      <w:proofErr w:type="spellEnd"/>
      <w:r w:rsidRPr="00D81963">
        <w:rPr>
          <w:rFonts w:ascii="Times New Roman" w:hAnsi="Times New Roman" w:cs="Times New Roman"/>
          <w:sz w:val="24"/>
          <w:szCs w:val="24"/>
          <w:lang w:val="en-GB"/>
        </w:rPr>
        <w:t xml:space="preserve"> damage and metabolic changes of fungus. Food Control. </w:t>
      </w:r>
      <w:hyperlink r:id="rId18" w:history="1">
        <w:r w:rsidRPr="00D81963">
          <w:rPr>
            <w:rStyle w:val="Hyperlink"/>
            <w:rFonts w:ascii="Times New Roman" w:hAnsi="Times New Roman" w:cs="Times New Roman"/>
            <w:sz w:val="24"/>
            <w:szCs w:val="24"/>
            <w:lang w:val="en-GB"/>
          </w:rPr>
          <w:t>https://doi.org/10.1016/j.foodcont.2018.11.013</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515FCD"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Bakkali</w:t>
      </w:r>
      <w:proofErr w:type="spellEnd"/>
      <w:r w:rsidRPr="00D81963">
        <w:rPr>
          <w:rFonts w:ascii="Times New Roman" w:hAnsi="Times New Roman" w:cs="Times New Roman"/>
          <w:sz w:val="24"/>
          <w:szCs w:val="24"/>
          <w:lang w:val="en-GB"/>
        </w:rPr>
        <w:t xml:space="preserve">, F., </w:t>
      </w:r>
      <w:proofErr w:type="spellStart"/>
      <w:r w:rsidRPr="00D81963">
        <w:rPr>
          <w:rFonts w:ascii="Times New Roman" w:hAnsi="Times New Roman" w:cs="Times New Roman"/>
          <w:sz w:val="24"/>
          <w:szCs w:val="24"/>
          <w:lang w:val="en-GB"/>
        </w:rPr>
        <w:t>Averbeck</w:t>
      </w:r>
      <w:proofErr w:type="spellEnd"/>
      <w:r w:rsidRPr="00D81963">
        <w:rPr>
          <w:rFonts w:ascii="Times New Roman" w:hAnsi="Times New Roman" w:cs="Times New Roman"/>
          <w:sz w:val="24"/>
          <w:szCs w:val="24"/>
          <w:lang w:val="en-GB"/>
        </w:rPr>
        <w:t xml:space="preserve">, S., </w:t>
      </w:r>
      <w:proofErr w:type="spellStart"/>
      <w:r w:rsidRPr="00D81963">
        <w:rPr>
          <w:rFonts w:ascii="Times New Roman" w:hAnsi="Times New Roman" w:cs="Times New Roman"/>
          <w:sz w:val="24"/>
          <w:szCs w:val="24"/>
          <w:lang w:val="en-GB"/>
        </w:rPr>
        <w:t>Averbeck</w:t>
      </w:r>
      <w:proofErr w:type="spellEnd"/>
      <w:r w:rsidRPr="00D81963">
        <w:rPr>
          <w:rFonts w:ascii="Times New Roman" w:hAnsi="Times New Roman" w:cs="Times New Roman"/>
          <w:sz w:val="24"/>
          <w:szCs w:val="24"/>
          <w:lang w:val="en-GB"/>
        </w:rPr>
        <w:t xml:space="preserve">, D., &amp; </w:t>
      </w:r>
      <w:proofErr w:type="spellStart"/>
      <w:r w:rsidRPr="00D81963">
        <w:rPr>
          <w:rFonts w:ascii="Times New Roman" w:hAnsi="Times New Roman" w:cs="Times New Roman"/>
          <w:sz w:val="24"/>
          <w:szCs w:val="24"/>
          <w:lang w:val="en-GB"/>
        </w:rPr>
        <w:t>Idaomar</w:t>
      </w:r>
      <w:proofErr w:type="spellEnd"/>
      <w:r w:rsidRPr="00D81963">
        <w:rPr>
          <w:rFonts w:ascii="Times New Roman" w:hAnsi="Times New Roman" w:cs="Times New Roman"/>
          <w:sz w:val="24"/>
          <w:szCs w:val="24"/>
          <w:lang w:val="en-GB"/>
        </w:rPr>
        <w:t xml:space="preserve">, M. (2008). Biological effects of essential oils–a review. Food and Chemical Toxicology, 46(2), 446-475. </w:t>
      </w:r>
      <w:hyperlink r:id="rId19" w:history="1">
        <w:r w:rsidRPr="00D81963">
          <w:rPr>
            <w:rStyle w:val="Hyperlink"/>
            <w:rFonts w:ascii="Times New Roman" w:hAnsi="Times New Roman" w:cs="Times New Roman"/>
            <w:sz w:val="24"/>
            <w:szCs w:val="24"/>
            <w:lang w:val="en-GB"/>
          </w:rPr>
          <w:t>https://doi.org/10.1016/j.fct.2007.09.106</w:t>
        </w:r>
      </w:hyperlink>
      <w:r w:rsidRPr="00D81963">
        <w:rPr>
          <w:rFonts w:ascii="Times New Roman" w:hAnsi="Times New Roman" w:cs="Times New Roman"/>
          <w:sz w:val="24"/>
          <w:szCs w:val="24"/>
          <w:lang w:val="en-GB"/>
        </w:rPr>
        <w:t xml:space="preserve"> </w:t>
      </w:r>
    </w:p>
    <w:p w:rsidR="00DA1C0A" w:rsidRPr="00D81963" w:rsidRDefault="00456E50"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Baldissera</w:t>
      </w:r>
      <w:proofErr w:type="spellEnd"/>
      <w:r w:rsidRPr="00D81963">
        <w:rPr>
          <w:rFonts w:ascii="Times New Roman" w:hAnsi="Times New Roman" w:cs="Times New Roman"/>
          <w:sz w:val="24"/>
          <w:szCs w:val="24"/>
          <w:lang w:val="en-GB"/>
        </w:rPr>
        <w:t xml:space="preserve">, M. D., Souza, C. F., Júnior, G. B., de Vargas, A. C., </w:t>
      </w:r>
      <w:proofErr w:type="spellStart"/>
      <w:r w:rsidRPr="00D81963">
        <w:rPr>
          <w:rFonts w:ascii="Times New Roman" w:hAnsi="Times New Roman" w:cs="Times New Roman"/>
          <w:sz w:val="24"/>
          <w:szCs w:val="24"/>
          <w:lang w:val="en-GB"/>
        </w:rPr>
        <w:t>Boligon</w:t>
      </w:r>
      <w:proofErr w:type="spellEnd"/>
      <w:r w:rsidRPr="00D81963">
        <w:rPr>
          <w:rFonts w:ascii="Times New Roman" w:hAnsi="Times New Roman" w:cs="Times New Roman"/>
          <w:sz w:val="24"/>
          <w:szCs w:val="24"/>
          <w:lang w:val="en-GB"/>
        </w:rPr>
        <w:t xml:space="preserve">, A. A., de Campos, M. M., Stefani, L. M., &amp; </w:t>
      </w:r>
      <w:proofErr w:type="spellStart"/>
      <w:r w:rsidRPr="00D81963">
        <w:rPr>
          <w:rFonts w:ascii="Times New Roman" w:hAnsi="Times New Roman" w:cs="Times New Roman"/>
          <w:sz w:val="24"/>
          <w:szCs w:val="24"/>
          <w:lang w:val="en-GB"/>
        </w:rPr>
        <w:t>Baldisserotto</w:t>
      </w:r>
      <w:proofErr w:type="spellEnd"/>
      <w:r w:rsidRPr="00D81963">
        <w:rPr>
          <w:rFonts w:ascii="Times New Roman" w:hAnsi="Times New Roman" w:cs="Times New Roman"/>
          <w:sz w:val="24"/>
          <w:szCs w:val="24"/>
          <w:lang w:val="en-GB"/>
        </w:rPr>
        <w:t xml:space="preserve">, B. (2017). Melaleuca alternifolia essential oil enhances the non-specific immune system and prevents oxidative damage in </w:t>
      </w:r>
      <w:proofErr w:type="spellStart"/>
      <w:r w:rsidRPr="00D81963">
        <w:rPr>
          <w:rFonts w:ascii="Times New Roman" w:hAnsi="Times New Roman" w:cs="Times New Roman"/>
          <w:sz w:val="24"/>
          <w:szCs w:val="24"/>
          <w:lang w:val="en-GB"/>
        </w:rPr>
        <w:t>Rhamdia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quelen</w:t>
      </w:r>
      <w:proofErr w:type="spellEnd"/>
      <w:r w:rsidRPr="00D81963">
        <w:rPr>
          <w:rFonts w:ascii="Times New Roman" w:hAnsi="Times New Roman" w:cs="Times New Roman"/>
          <w:sz w:val="24"/>
          <w:szCs w:val="24"/>
          <w:lang w:val="en-GB"/>
        </w:rPr>
        <w:t xml:space="preserve"> experimentally infected by Aeromonas </w:t>
      </w:r>
      <w:proofErr w:type="spellStart"/>
      <w:r w:rsidRPr="00D81963">
        <w:rPr>
          <w:rFonts w:ascii="Times New Roman" w:hAnsi="Times New Roman" w:cs="Times New Roman"/>
          <w:sz w:val="24"/>
          <w:szCs w:val="24"/>
          <w:lang w:val="en-GB"/>
        </w:rPr>
        <w:t>hydrophila</w:t>
      </w:r>
      <w:proofErr w:type="spellEnd"/>
      <w:r w:rsidRPr="00D81963">
        <w:rPr>
          <w:rFonts w:ascii="Times New Roman" w:hAnsi="Times New Roman" w:cs="Times New Roman"/>
          <w:sz w:val="24"/>
          <w:szCs w:val="24"/>
          <w:lang w:val="en-GB"/>
        </w:rPr>
        <w:t xml:space="preserve">: Effects on cholinergic and purinergic systems in liver tissue. Fish &amp; shellfish immunology, 61, 1-8. </w:t>
      </w:r>
      <w:hyperlink r:id="rId20" w:history="1">
        <w:r w:rsidRPr="00D81963">
          <w:rPr>
            <w:rStyle w:val="Hyperlink"/>
            <w:rFonts w:ascii="Times New Roman" w:hAnsi="Times New Roman" w:cs="Times New Roman"/>
            <w:sz w:val="24"/>
            <w:szCs w:val="24"/>
            <w:lang w:val="en-GB"/>
          </w:rPr>
          <w:t>https://doi.org/10.1016/j.fsi.2016.12.016</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13157A"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Benelli, G., </w:t>
      </w:r>
      <w:proofErr w:type="spellStart"/>
      <w:r w:rsidRPr="00D81963">
        <w:rPr>
          <w:rFonts w:ascii="Times New Roman" w:hAnsi="Times New Roman" w:cs="Times New Roman"/>
          <w:sz w:val="24"/>
          <w:szCs w:val="24"/>
          <w:lang w:val="en-GB"/>
        </w:rPr>
        <w:t>Canale</w:t>
      </w:r>
      <w:proofErr w:type="spellEnd"/>
      <w:r w:rsidRPr="00D81963">
        <w:rPr>
          <w:rFonts w:ascii="Times New Roman" w:hAnsi="Times New Roman" w:cs="Times New Roman"/>
          <w:sz w:val="24"/>
          <w:szCs w:val="24"/>
          <w:lang w:val="en-GB"/>
        </w:rPr>
        <w:t xml:space="preserve">, A., </w:t>
      </w:r>
      <w:proofErr w:type="spellStart"/>
      <w:r w:rsidRPr="00D81963">
        <w:rPr>
          <w:rFonts w:ascii="Times New Roman" w:hAnsi="Times New Roman" w:cs="Times New Roman"/>
          <w:sz w:val="24"/>
          <w:szCs w:val="24"/>
          <w:lang w:val="en-GB"/>
        </w:rPr>
        <w:t>Flamini</w:t>
      </w:r>
      <w:proofErr w:type="spellEnd"/>
      <w:r w:rsidRPr="00D81963">
        <w:rPr>
          <w:rFonts w:ascii="Times New Roman" w:hAnsi="Times New Roman" w:cs="Times New Roman"/>
          <w:sz w:val="24"/>
          <w:szCs w:val="24"/>
          <w:lang w:val="en-GB"/>
        </w:rPr>
        <w:t xml:space="preserve">, G., </w:t>
      </w:r>
      <w:proofErr w:type="spellStart"/>
      <w:r w:rsidRPr="00D81963">
        <w:rPr>
          <w:rFonts w:ascii="Times New Roman" w:hAnsi="Times New Roman" w:cs="Times New Roman"/>
          <w:sz w:val="24"/>
          <w:szCs w:val="24"/>
          <w:lang w:val="en-GB"/>
        </w:rPr>
        <w:t>Cioni</w:t>
      </w:r>
      <w:proofErr w:type="spellEnd"/>
      <w:r w:rsidRPr="00D81963">
        <w:rPr>
          <w:rFonts w:ascii="Times New Roman" w:hAnsi="Times New Roman" w:cs="Times New Roman"/>
          <w:sz w:val="24"/>
          <w:szCs w:val="24"/>
          <w:lang w:val="en-GB"/>
        </w:rPr>
        <w:t xml:space="preserve">, P. L., Demi, F., </w:t>
      </w:r>
      <w:proofErr w:type="spellStart"/>
      <w:r w:rsidRPr="00D81963">
        <w:rPr>
          <w:rFonts w:ascii="Times New Roman" w:hAnsi="Times New Roman" w:cs="Times New Roman"/>
          <w:sz w:val="24"/>
          <w:szCs w:val="24"/>
          <w:lang w:val="en-GB"/>
        </w:rPr>
        <w:t>Ceccarini</w:t>
      </w:r>
      <w:proofErr w:type="spellEnd"/>
      <w:r w:rsidRPr="00D81963">
        <w:rPr>
          <w:rFonts w:ascii="Times New Roman" w:hAnsi="Times New Roman" w:cs="Times New Roman"/>
          <w:sz w:val="24"/>
          <w:szCs w:val="24"/>
          <w:lang w:val="en-GB"/>
        </w:rPr>
        <w:t>, L., Macchia, M., &amp; Conti, B. (2013). Biotoxicity of Melaleuca alternifolia (</w:t>
      </w:r>
      <w:proofErr w:type="spellStart"/>
      <w:r w:rsidRPr="00D81963">
        <w:rPr>
          <w:rFonts w:ascii="Times New Roman" w:hAnsi="Times New Roman" w:cs="Times New Roman"/>
          <w:sz w:val="24"/>
          <w:szCs w:val="24"/>
          <w:lang w:val="en-GB"/>
        </w:rPr>
        <w:t>Myrtaceae</w:t>
      </w:r>
      <w:proofErr w:type="spellEnd"/>
      <w:r w:rsidRPr="00D81963">
        <w:rPr>
          <w:rFonts w:ascii="Times New Roman" w:hAnsi="Times New Roman" w:cs="Times New Roman"/>
          <w:sz w:val="24"/>
          <w:szCs w:val="24"/>
          <w:lang w:val="en-GB"/>
        </w:rPr>
        <w:t xml:space="preserve">) essential oil against the Mediterranean fruit fly, </w:t>
      </w:r>
      <w:proofErr w:type="spellStart"/>
      <w:r w:rsidRPr="00D81963">
        <w:rPr>
          <w:rFonts w:ascii="Times New Roman" w:hAnsi="Times New Roman" w:cs="Times New Roman"/>
          <w:sz w:val="24"/>
          <w:szCs w:val="24"/>
          <w:lang w:val="en-GB"/>
        </w:rPr>
        <w:t>Ceratitis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capitata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Diptera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Tephritidae</w:t>
      </w:r>
      <w:proofErr w:type="spellEnd"/>
      <w:r w:rsidRPr="00D81963">
        <w:rPr>
          <w:rFonts w:ascii="Times New Roman" w:hAnsi="Times New Roman" w:cs="Times New Roman"/>
          <w:sz w:val="24"/>
          <w:szCs w:val="24"/>
          <w:lang w:val="en-GB"/>
        </w:rPr>
        <w:t xml:space="preserve">), and its </w:t>
      </w:r>
      <w:proofErr w:type="spellStart"/>
      <w:r w:rsidRPr="00D81963">
        <w:rPr>
          <w:rFonts w:ascii="Times New Roman" w:hAnsi="Times New Roman" w:cs="Times New Roman"/>
          <w:sz w:val="24"/>
          <w:szCs w:val="24"/>
          <w:lang w:val="en-GB"/>
        </w:rPr>
        <w:t>parasitoid</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Psyttalia</w:t>
      </w:r>
      <w:proofErr w:type="spellEnd"/>
      <w:r w:rsidRPr="00D81963">
        <w:rPr>
          <w:rFonts w:ascii="Times New Roman" w:hAnsi="Times New Roman" w:cs="Times New Roman"/>
          <w:sz w:val="24"/>
          <w:szCs w:val="24"/>
          <w:lang w:val="en-GB"/>
        </w:rPr>
        <w:t xml:space="preserve"> concolor (Hymenoptera: </w:t>
      </w:r>
      <w:proofErr w:type="spellStart"/>
      <w:r w:rsidRPr="00D81963">
        <w:rPr>
          <w:rFonts w:ascii="Times New Roman" w:hAnsi="Times New Roman" w:cs="Times New Roman"/>
          <w:sz w:val="24"/>
          <w:szCs w:val="24"/>
          <w:lang w:val="en-GB"/>
        </w:rPr>
        <w:t>Braconidae</w:t>
      </w:r>
      <w:proofErr w:type="spellEnd"/>
      <w:r w:rsidRPr="00D81963">
        <w:rPr>
          <w:rFonts w:ascii="Times New Roman" w:hAnsi="Times New Roman" w:cs="Times New Roman"/>
          <w:sz w:val="24"/>
          <w:szCs w:val="24"/>
          <w:lang w:val="en-GB"/>
        </w:rPr>
        <w:t xml:space="preserve">). Industrial Crops and Products </w:t>
      </w:r>
      <w:hyperlink r:id="rId21" w:history="1">
        <w:r w:rsidRPr="00D81963">
          <w:rPr>
            <w:rStyle w:val="Hyperlink"/>
            <w:rFonts w:ascii="Times New Roman" w:hAnsi="Times New Roman" w:cs="Times New Roman"/>
            <w:sz w:val="24"/>
            <w:szCs w:val="24"/>
            <w:lang w:val="en-GB"/>
          </w:rPr>
          <w:t>https://doi.org/10.1016/j.indcrop.2013.08.006</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957BD7"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Carson, C. F., Hammer, K. A., &amp; Riley, T. V. (2006). Melaleuca alternifolia (Tea Tree) Oil: </w:t>
      </w:r>
      <w:proofErr w:type="gramStart"/>
      <w:r w:rsidRPr="00D81963">
        <w:rPr>
          <w:rFonts w:ascii="Times New Roman" w:hAnsi="Times New Roman" w:cs="Times New Roman"/>
          <w:sz w:val="24"/>
          <w:szCs w:val="24"/>
          <w:lang w:val="en-GB"/>
        </w:rPr>
        <w:t>a</w:t>
      </w:r>
      <w:proofErr w:type="gramEnd"/>
      <w:r w:rsidRPr="00D81963">
        <w:rPr>
          <w:rFonts w:ascii="Times New Roman" w:hAnsi="Times New Roman" w:cs="Times New Roman"/>
          <w:sz w:val="24"/>
          <w:szCs w:val="24"/>
          <w:lang w:val="en-GB"/>
        </w:rPr>
        <w:t xml:space="preserve"> Review of Antimicrobial and Other Medicinal Properties. Clinical Microbiology Reviews. </w:t>
      </w:r>
      <w:hyperlink r:id="rId22" w:history="1">
        <w:r w:rsidRPr="00D81963">
          <w:rPr>
            <w:rStyle w:val="Hyperlink"/>
            <w:rFonts w:ascii="Times New Roman" w:hAnsi="Times New Roman" w:cs="Times New Roman"/>
            <w:sz w:val="24"/>
            <w:szCs w:val="24"/>
            <w:lang w:val="en-GB"/>
          </w:rPr>
          <w:t>https://doi.org/10.1128/cmr.19.1.50-62.2006</w:t>
        </w:r>
      </w:hyperlink>
      <w:r w:rsidRPr="00D81963">
        <w:rPr>
          <w:rFonts w:ascii="Times New Roman" w:hAnsi="Times New Roman" w:cs="Times New Roman"/>
          <w:sz w:val="24"/>
          <w:szCs w:val="24"/>
          <w:lang w:val="en-GB"/>
        </w:rPr>
        <w:t xml:space="preserve"> </w:t>
      </w:r>
    </w:p>
    <w:p w:rsidR="00DA1C0A" w:rsidRPr="00D81963" w:rsidRDefault="00D50628" w:rsidP="00D81963">
      <w:pPr>
        <w:jc w:val="both"/>
        <w:rPr>
          <w:rFonts w:ascii="Times New Roman" w:hAnsi="Times New Roman" w:cs="Times New Roman"/>
          <w:sz w:val="24"/>
          <w:szCs w:val="24"/>
          <w:lang w:val="en-US"/>
        </w:rPr>
      </w:pPr>
      <w:r w:rsidRPr="00D81963">
        <w:rPr>
          <w:rFonts w:ascii="Times New Roman" w:hAnsi="Times New Roman" w:cs="Times New Roman"/>
          <w:sz w:val="24"/>
          <w:szCs w:val="24"/>
          <w:lang w:val="en-US"/>
        </w:rPr>
        <w:t xml:space="preserve">De Silva, S. S., &amp; Davy, F. B. (2010). Success stories in Asian aquaculture. Springer. </w:t>
      </w:r>
      <w:hyperlink r:id="rId23" w:history="1">
        <w:r w:rsidRPr="00D81963">
          <w:rPr>
            <w:rStyle w:val="Hyperlink"/>
            <w:rFonts w:ascii="Times New Roman" w:hAnsi="Times New Roman" w:cs="Times New Roman"/>
            <w:sz w:val="24"/>
            <w:szCs w:val="24"/>
            <w:lang w:val="en-US"/>
          </w:rPr>
          <w:t>https://doi.org/10.1007/978-90-481-3087-0</w:t>
        </w:r>
      </w:hyperlink>
      <w:r w:rsidRPr="00D81963">
        <w:rPr>
          <w:rFonts w:ascii="Times New Roman" w:hAnsi="Times New Roman" w:cs="Times New Roman"/>
          <w:sz w:val="24"/>
          <w:szCs w:val="24"/>
          <w:lang w:val="en-US"/>
        </w:rPr>
        <w:t xml:space="preserve"> </w:t>
      </w:r>
    </w:p>
    <w:p w:rsidR="00DA1C0A" w:rsidRPr="00D81963" w:rsidRDefault="004C77EF"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Divakaran</w:t>
      </w:r>
      <w:proofErr w:type="spellEnd"/>
      <w:r w:rsidRPr="00D81963">
        <w:rPr>
          <w:rFonts w:ascii="Times New Roman" w:hAnsi="Times New Roman" w:cs="Times New Roman"/>
          <w:sz w:val="24"/>
          <w:szCs w:val="24"/>
          <w:lang w:val="en-GB"/>
        </w:rPr>
        <w:t xml:space="preserve">, S., &amp; Velasco, M. (1999). Effect of proteolytic enzyme addition to a practical feed on growth of the Pacific white shrimp, </w:t>
      </w:r>
      <w:proofErr w:type="spellStart"/>
      <w:r w:rsidRPr="00D81963">
        <w:rPr>
          <w:rFonts w:ascii="Times New Roman" w:hAnsi="Times New Roman" w:cs="Times New Roman"/>
          <w:sz w:val="24"/>
          <w:szCs w:val="24"/>
          <w:lang w:val="en-GB"/>
        </w:rPr>
        <w:t>Litopenaeus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(Boone). Aquaculture Research, 30(5), 335-339. </w:t>
      </w:r>
      <w:hyperlink r:id="rId24" w:history="1">
        <w:r w:rsidRPr="00D81963">
          <w:rPr>
            <w:rStyle w:val="Hyperlink"/>
            <w:rFonts w:ascii="Times New Roman" w:hAnsi="Times New Roman" w:cs="Times New Roman"/>
            <w:sz w:val="24"/>
            <w:szCs w:val="24"/>
            <w:lang w:val="en-GB"/>
          </w:rPr>
          <w:t>https://doi.org/10.1046/j.13652109.1999.00333.x</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5B1154"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Domínguez-</w:t>
      </w:r>
      <w:proofErr w:type="spellStart"/>
      <w:r w:rsidRPr="00D81963">
        <w:rPr>
          <w:rFonts w:ascii="Times New Roman" w:hAnsi="Times New Roman" w:cs="Times New Roman"/>
          <w:sz w:val="24"/>
          <w:szCs w:val="24"/>
          <w:lang w:val="en-GB"/>
        </w:rPr>
        <w:t>Borbor</w:t>
      </w:r>
      <w:proofErr w:type="spellEnd"/>
      <w:r w:rsidRPr="00D81963">
        <w:rPr>
          <w:rFonts w:ascii="Times New Roman" w:hAnsi="Times New Roman" w:cs="Times New Roman"/>
          <w:sz w:val="24"/>
          <w:szCs w:val="24"/>
          <w:lang w:val="en-GB"/>
        </w:rPr>
        <w:t xml:space="preserve">, C., Sánchez-Rodríguez, A., </w:t>
      </w:r>
      <w:proofErr w:type="spellStart"/>
      <w:r w:rsidRPr="00D81963">
        <w:rPr>
          <w:rFonts w:ascii="Times New Roman" w:hAnsi="Times New Roman" w:cs="Times New Roman"/>
          <w:sz w:val="24"/>
          <w:szCs w:val="24"/>
          <w:lang w:val="en-GB"/>
        </w:rPr>
        <w:t>Sonnenholzner</w:t>
      </w:r>
      <w:proofErr w:type="spellEnd"/>
      <w:r w:rsidRPr="00D81963">
        <w:rPr>
          <w:rFonts w:ascii="Times New Roman" w:hAnsi="Times New Roman" w:cs="Times New Roman"/>
          <w:sz w:val="24"/>
          <w:szCs w:val="24"/>
          <w:lang w:val="en-GB"/>
        </w:rPr>
        <w:t xml:space="preserve">, S., &amp; Rodríguez, J. (2020). Essential oils mediated </w:t>
      </w:r>
      <w:proofErr w:type="spellStart"/>
      <w:r w:rsidRPr="00D81963">
        <w:rPr>
          <w:rFonts w:ascii="Times New Roman" w:hAnsi="Times New Roman" w:cs="Times New Roman"/>
          <w:sz w:val="24"/>
          <w:szCs w:val="24"/>
          <w:lang w:val="en-GB"/>
        </w:rPr>
        <w:t>antivirulence</w:t>
      </w:r>
      <w:proofErr w:type="spellEnd"/>
      <w:r w:rsidRPr="00D81963">
        <w:rPr>
          <w:rFonts w:ascii="Times New Roman" w:hAnsi="Times New Roman" w:cs="Times New Roman"/>
          <w:sz w:val="24"/>
          <w:szCs w:val="24"/>
          <w:lang w:val="en-GB"/>
        </w:rPr>
        <w:t xml:space="preserve"> therapy against vibriosis in L.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Aquaculture, 529, 735639. </w:t>
      </w:r>
      <w:hyperlink r:id="rId25" w:history="1">
        <w:r w:rsidRPr="00D81963">
          <w:rPr>
            <w:rStyle w:val="Hyperlink"/>
            <w:rFonts w:ascii="Times New Roman" w:hAnsi="Times New Roman" w:cs="Times New Roman"/>
            <w:sz w:val="24"/>
            <w:szCs w:val="24"/>
            <w:lang w:val="en-GB"/>
          </w:rPr>
          <w:t>https://doi.org/10.1016/j.aquaculture.2020.735639</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824FCD" w:rsidP="00D81963">
      <w:pPr>
        <w:jc w:val="both"/>
        <w:rPr>
          <w:rFonts w:ascii="Times New Roman" w:hAnsi="Times New Roman" w:cs="Times New Roman"/>
          <w:sz w:val="24"/>
          <w:szCs w:val="24"/>
          <w:lang w:val="en-US"/>
        </w:rPr>
      </w:pPr>
      <w:r w:rsidRPr="00D81963">
        <w:rPr>
          <w:rFonts w:ascii="Times New Roman" w:hAnsi="Times New Roman" w:cs="Times New Roman"/>
          <w:sz w:val="24"/>
          <w:szCs w:val="24"/>
          <w:lang w:val="en-US"/>
        </w:rPr>
        <w:t xml:space="preserve">FAO. (2024). The State of World Fisheries and Aquaculture 2024 – Blue Transformation in action. Rome, Italy. </w:t>
      </w:r>
      <w:hyperlink r:id="rId26" w:history="1">
        <w:r w:rsidRPr="00D81963">
          <w:rPr>
            <w:rStyle w:val="Hyperlink"/>
            <w:rFonts w:ascii="Times New Roman" w:hAnsi="Times New Roman" w:cs="Times New Roman"/>
            <w:sz w:val="24"/>
            <w:szCs w:val="24"/>
            <w:lang w:val="en-US"/>
          </w:rPr>
          <w:t>https://doi.org/10.4060/cd0683en</w:t>
        </w:r>
      </w:hyperlink>
      <w:r w:rsidRPr="00D81963">
        <w:rPr>
          <w:rFonts w:ascii="Times New Roman" w:hAnsi="Times New Roman" w:cs="Times New Roman"/>
          <w:sz w:val="24"/>
          <w:szCs w:val="24"/>
          <w:lang w:val="en-US"/>
        </w:rPr>
        <w:t xml:space="preserve"> </w:t>
      </w:r>
      <w:r w:rsidR="00786387" w:rsidRPr="00D81963">
        <w:rPr>
          <w:rFonts w:ascii="Times New Roman" w:hAnsi="Times New Roman" w:cs="Times New Roman"/>
          <w:sz w:val="24"/>
          <w:szCs w:val="24"/>
          <w:lang w:val="en-US"/>
        </w:rPr>
        <w:t xml:space="preserve"> </w:t>
      </w:r>
    </w:p>
    <w:p w:rsidR="00DA1C0A" w:rsidRPr="00D81963" w:rsidRDefault="007B3C9F"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 M., Yu, N., Qin, J. G., Li, E., Du, Z., &amp; Chen, L. (2014). Effects of ammonia stress, dietary linseed oil and </w:t>
      </w:r>
      <w:proofErr w:type="spellStart"/>
      <w:r w:rsidRPr="00D81963">
        <w:rPr>
          <w:rFonts w:ascii="Times New Roman" w:hAnsi="Times New Roman" w:cs="Times New Roman"/>
          <w:sz w:val="24"/>
          <w:szCs w:val="24"/>
          <w:lang w:val="en-GB"/>
        </w:rPr>
        <w:t>Edwardsiella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ictaluri</w:t>
      </w:r>
      <w:proofErr w:type="spellEnd"/>
      <w:r w:rsidRPr="00D81963">
        <w:rPr>
          <w:rFonts w:ascii="Times New Roman" w:hAnsi="Times New Roman" w:cs="Times New Roman"/>
          <w:sz w:val="24"/>
          <w:szCs w:val="24"/>
          <w:lang w:val="en-GB"/>
        </w:rPr>
        <w:t xml:space="preserve"> challenge on juvenile </w:t>
      </w:r>
      <w:proofErr w:type="spellStart"/>
      <w:r w:rsidRPr="00D81963">
        <w:rPr>
          <w:rFonts w:ascii="Times New Roman" w:hAnsi="Times New Roman" w:cs="Times New Roman"/>
          <w:sz w:val="24"/>
          <w:szCs w:val="24"/>
          <w:lang w:val="en-GB"/>
        </w:rPr>
        <w:t>darkbarbel</w:t>
      </w:r>
      <w:proofErr w:type="spellEnd"/>
      <w:r w:rsidRPr="00D81963">
        <w:rPr>
          <w:rFonts w:ascii="Times New Roman" w:hAnsi="Times New Roman" w:cs="Times New Roman"/>
          <w:sz w:val="24"/>
          <w:szCs w:val="24"/>
          <w:lang w:val="en-GB"/>
        </w:rPr>
        <w:t xml:space="preserve"> catfish </w:t>
      </w:r>
      <w:proofErr w:type="spellStart"/>
      <w:r w:rsidRPr="00D81963">
        <w:rPr>
          <w:rFonts w:ascii="Times New Roman" w:hAnsi="Times New Roman" w:cs="Times New Roman"/>
          <w:sz w:val="24"/>
          <w:szCs w:val="24"/>
          <w:lang w:val="en-GB"/>
        </w:rPr>
        <w:t>Pelteobagrus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vachelli</w:t>
      </w:r>
      <w:proofErr w:type="spellEnd"/>
      <w:r w:rsidRPr="00D81963">
        <w:rPr>
          <w:rFonts w:ascii="Times New Roman" w:hAnsi="Times New Roman" w:cs="Times New Roman"/>
          <w:sz w:val="24"/>
          <w:szCs w:val="24"/>
          <w:lang w:val="en-GB"/>
        </w:rPr>
        <w:t xml:space="preserve">. Fish &amp; Shellfish Immunology, 38(1), 158-165. </w:t>
      </w:r>
      <w:hyperlink r:id="rId27" w:history="1">
        <w:r w:rsidRPr="00D81963">
          <w:rPr>
            <w:rStyle w:val="Hyperlink"/>
            <w:rFonts w:ascii="Times New Roman" w:hAnsi="Times New Roman" w:cs="Times New Roman"/>
            <w:sz w:val="24"/>
            <w:szCs w:val="24"/>
            <w:lang w:val="en-GB"/>
          </w:rPr>
          <w:t>https://doi.org/10.1016/j.fsi.2014.03.015</w:t>
        </w:r>
      </w:hyperlink>
      <w:r w:rsidRPr="00D81963">
        <w:rPr>
          <w:rFonts w:ascii="Times New Roman" w:hAnsi="Times New Roman" w:cs="Times New Roman"/>
          <w:sz w:val="24"/>
          <w:szCs w:val="24"/>
          <w:lang w:val="en-GB"/>
        </w:rPr>
        <w:t xml:space="preserve"> </w:t>
      </w:r>
    </w:p>
    <w:p w:rsidR="00DA1C0A" w:rsidRPr="00D81963" w:rsidRDefault="00C5277A"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lastRenderedPageBreak/>
        <w:t xml:space="preserve">Liu, H. W., Tong, J. M., &amp; Zhou, D. W. (2011). Utilization of Chinese herbal feed additives in animal production. Agricultural Sciences in China, 10(8), 1262-1272. </w:t>
      </w:r>
      <w:hyperlink r:id="rId28" w:history="1">
        <w:r w:rsidRPr="00D81963">
          <w:rPr>
            <w:rStyle w:val="Hyperlink"/>
            <w:rFonts w:ascii="Times New Roman" w:hAnsi="Times New Roman" w:cs="Times New Roman"/>
            <w:sz w:val="24"/>
            <w:szCs w:val="24"/>
            <w:lang w:val="en-GB"/>
          </w:rPr>
          <w:t>https://doi.org/10.1016/s1671-2927(11)60118-1</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8028C2"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Liu, M., Gao, Q., Sun, C., Liu, B., Liu, X., Zhou, Q., Zheng, X., &amp; Xu, P. (2022). Effects of dietary tea tree oil on the growth, physiological and non-specific immunity response in the giant freshwater prawn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under high ammonia stress. Fish &amp; Shellfish Immunology, 120, 458-469. </w:t>
      </w:r>
      <w:hyperlink r:id="rId29" w:history="1">
        <w:r w:rsidRPr="00D81963">
          <w:rPr>
            <w:rStyle w:val="Hyperlink"/>
            <w:rFonts w:ascii="Times New Roman" w:hAnsi="Times New Roman" w:cs="Times New Roman"/>
            <w:sz w:val="24"/>
            <w:szCs w:val="24"/>
            <w:lang w:val="en-GB"/>
          </w:rPr>
          <w:t>https://doi.org/10.1016/j.fsi.2021.12.025</w:t>
        </w:r>
      </w:hyperlink>
      <w:r w:rsidRPr="00D81963">
        <w:rPr>
          <w:rFonts w:ascii="Times New Roman" w:hAnsi="Times New Roman" w:cs="Times New Roman"/>
          <w:sz w:val="24"/>
          <w:szCs w:val="24"/>
          <w:lang w:val="en-GB"/>
        </w:rPr>
        <w:t xml:space="preserve"> </w:t>
      </w:r>
    </w:p>
    <w:p w:rsidR="00DA1C0A" w:rsidRPr="00D81963" w:rsidRDefault="00E17C7C"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Liu, M., Sun, C., Xu, P., Liu, B., Zheng, X., Liu, B., &amp; Zhou, Q. (2022). Effects of dietary tea tree (Melaleuca alternifolia) oil and feeding patterns on the zootechnical performance and nonspecific immune response of the giant freshwater prawn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Journal of the World Aquaculture Society, 53(2), 542-557. </w:t>
      </w:r>
      <w:hyperlink r:id="rId30" w:history="1">
        <w:r w:rsidRPr="00D81963">
          <w:rPr>
            <w:rStyle w:val="Hyperlink"/>
            <w:rFonts w:ascii="Times New Roman" w:hAnsi="Times New Roman" w:cs="Times New Roman"/>
            <w:sz w:val="24"/>
            <w:szCs w:val="24"/>
            <w:lang w:val="en-GB"/>
          </w:rPr>
          <w:t>https://doi.org/10.1111/jwas.12831</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3402AE"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Liu, M., Sun, C., Zheng, X., Zhou, Q., Liu, B., Zhou, Y., &amp; Xu, P. (2022). Comparative Proteomic Analysis Revealed the Mechanism of Tea Tree Oil Targeting Lipid Metabolism and Antioxidant System to Protect Hepatopancreatic Health in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Frontiers in Immunology. </w:t>
      </w:r>
      <w:hyperlink r:id="rId31" w:history="1">
        <w:r w:rsidRPr="00D81963">
          <w:rPr>
            <w:rStyle w:val="Hyperlink"/>
            <w:rFonts w:ascii="Times New Roman" w:hAnsi="Times New Roman" w:cs="Times New Roman"/>
            <w:sz w:val="24"/>
            <w:szCs w:val="24"/>
            <w:lang w:val="en-GB"/>
          </w:rPr>
          <w:t>https://doi.org/10.3389/fimmu.2022.906435</w:t>
        </w:r>
      </w:hyperlink>
      <w:r w:rsidRPr="00D81963">
        <w:rPr>
          <w:rFonts w:ascii="Times New Roman" w:hAnsi="Times New Roman" w:cs="Times New Roman"/>
          <w:sz w:val="24"/>
          <w:szCs w:val="24"/>
          <w:lang w:val="en-GB"/>
        </w:rPr>
        <w:t xml:space="preserve"> </w:t>
      </w:r>
    </w:p>
    <w:p w:rsidR="00DA1C0A" w:rsidRPr="00D81963" w:rsidRDefault="0044237F"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Liu, X., Deng, H. Y., Xu, Q. Q., Luo, K., Zhou, J., Gao, W. H., Wang, Z. D., Zhang, H. T., &amp; Zhou, X. Q. (2022). Effects of tea tree essential oil supplementation in low fish meal diet on growth, lipid metabolism, anti-oxidant capacity and immunity of largemouth bass (Micropterus </w:t>
      </w:r>
      <w:proofErr w:type="spellStart"/>
      <w:r w:rsidRPr="00D81963">
        <w:rPr>
          <w:rFonts w:ascii="Times New Roman" w:hAnsi="Times New Roman" w:cs="Times New Roman"/>
          <w:sz w:val="24"/>
          <w:szCs w:val="24"/>
          <w:lang w:val="en-GB"/>
        </w:rPr>
        <w:t>salmoides</w:t>
      </w:r>
      <w:proofErr w:type="spellEnd"/>
      <w:r w:rsidRPr="00D81963">
        <w:rPr>
          <w:rFonts w:ascii="Times New Roman" w:hAnsi="Times New Roman" w:cs="Times New Roman"/>
          <w:sz w:val="24"/>
          <w:szCs w:val="24"/>
          <w:lang w:val="en-GB"/>
        </w:rPr>
        <w:t xml:space="preserve">). Aquaculture Reports, 27, 101380. </w:t>
      </w:r>
      <w:hyperlink r:id="rId32" w:history="1">
        <w:r w:rsidRPr="00D81963">
          <w:rPr>
            <w:rStyle w:val="Hyperlink"/>
            <w:rFonts w:ascii="Times New Roman" w:hAnsi="Times New Roman" w:cs="Times New Roman"/>
            <w:sz w:val="24"/>
            <w:szCs w:val="24"/>
            <w:lang w:val="en-GB"/>
          </w:rPr>
          <w:t>https://doi.org/10.1016/j.aqrep.2022.101380</w:t>
        </w:r>
      </w:hyperlink>
      <w:r w:rsidRPr="00D81963">
        <w:rPr>
          <w:rFonts w:ascii="Times New Roman" w:hAnsi="Times New Roman" w:cs="Times New Roman"/>
          <w:sz w:val="24"/>
          <w:szCs w:val="24"/>
          <w:lang w:val="en-GB"/>
        </w:rPr>
        <w:t xml:space="preserve"> </w:t>
      </w:r>
    </w:p>
    <w:p w:rsidR="00DA1C0A" w:rsidRPr="00D81963" w:rsidRDefault="007F5EF8" w:rsidP="00D81963">
      <w:pPr>
        <w:jc w:val="both"/>
        <w:rPr>
          <w:rFonts w:ascii="Times New Roman" w:hAnsi="Times New Roman" w:cs="Times New Roman"/>
          <w:color w:val="000000"/>
          <w:sz w:val="24"/>
          <w:szCs w:val="24"/>
          <w:lang w:val="en-GB"/>
        </w:rPr>
      </w:pPr>
      <w:r w:rsidRPr="00D81963">
        <w:rPr>
          <w:rFonts w:ascii="Times New Roman" w:hAnsi="Times New Roman" w:cs="Times New Roman"/>
          <w:sz w:val="24"/>
          <w:szCs w:val="24"/>
          <w:lang w:val="en-GB"/>
        </w:rPr>
        <w:t xml:space="preserve">The Marine Products Export Development Authority. (2024). MPEDA Annual Report 2023-2024. The Marine Products Export Development Authority. </w:t>
      </w:r>
      <w:hyperlink r:id="rId33" w:history="1">
        <w:r w:rsidRPr="00D81963">
          <w:rPr>
            <w:rStyle w:val="Hyperlink"/>
            <w:rFonts w:ascii="Times New Roman" w:hAnsi="Times New Roman" w:cs="Times New Roman"/>
            <w:sz w:val="24"/>
            <w:szCs w:val="24"/>
            <w:lang w:val="en-GB"/>
          </w:rPr>
          <w:t>https://mcommerce.gov.in/publications-reports</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color w:val="000000"/>
          <w:sz w:val="24"/>
          <w:szCs w:val="24"/>
          <w:lang w:val="en-GB"/>
        </w:rPr>
        <w:t xml:space="preserve"> </w:t>
      </w:r>
    </w:p>
    <w:p w:rsidR="00DA1C0A" w:rsidRPr="00D81963" w:rsidRDefault="008F2E42"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Ngugi, C. C., </w:t>
      </w:r>
      <w:proofErr w:type="spellStart"/>
      <w:r w:rsidRPr="00D81963">
        <w:rPr>
          <w:rFonts w:ascii="Times New Roman" w:hAnsi="Times New Roman" w:cs="Times New Roman"/>
          <w:sz w:val="24"/>
          <w:szCs w:val="24"/>
          <w:lang w:val="en-GB"/>
        </w:rPr>
        <w:t>Oyoo</w:t>
      </w:r>
      <w:proofErr w:type="spellEnd"/>
      <w:r w:rsidRPr="00D81963">
        <w:rPr>
          <w:rFonts w:ascii="Times New Roman" w:hAnsi="Times New Roman" w:cs="Times New Roman"/>
          <w:sz w:val="24"/>
          <w:szCs w:val="24"/>
          <w:lang w:val="en-GB"/>
        </w:rPr>
        <w:t xml:space="preserve">‐Okoth, E., &amp; </w:t>
      </w:r>
      <w:proofErr w:type="spellStart"/>
      <w:r w:rsidRPr="00D81963">
        <w:rPr>
          <w:rFonts w:ascii="Times New Roman" w:hAnsi="Times New Roman" w:cs="Times New Roman"/>
          <w:sz w:val="24"/>
          <w:szCs w:val="24"/>
          <w:lang w:val="en-GB"/>
        </w:rPr>
        <w:t>Muchiri</w:t>
      </w:r>
      <w:proofErr w:type="spellEnd"/>
      <w:r w:rsidRPr="00D81963">
        <w:rPr>
          <w:rFonts w:ascii="Times New Roman" w:hAnsi="Times New Roman" w:cs="Times New Roman"/>
          <w:sz w:val="24"/>
          <w:szCs w:val="24"/>
          <w:lang w:val="en-GB"/>
        </w:rPr>
        <w:t xml:space="preserve">, M. (2017). Effects of dietary levels of essential oil (EO) extract from bitter lemon (Citrus </w:t>
      </w:r>
      <w:proofErr w:type="spellStart"/>
      <w:r w:rsidRPr="00D81963">
        <w:rPr>
          <w:rFonts w:ascii="Times New Roman" w:hAnsi="Times New Roman" w:cs="Times New Roman"/>
          <w:sz w:val="24"/>
          <w:szCs w:val="24"/>
          <w:lang w:val="en-GB"/>
        </w:rPr>
        <w:t>limon</w:t>
      </w:r>
      <w:proofErr w:type="spellEnd"/>
      <w:r w:rsidRPr="00D81963">
        <w:rPr>
          <w:rFonts w:ascii="Times New Roman" w:hAnsi="Times New Roman" w:cs="Times New Roman"/>
          <w:sz w:val="24"/>
          <w:szCs w:val="24"/>
          <w:lang w:val="en-GB"/>
        </w:rPr>
        <w:t xml:space="preserve">) fruit peels on growth, biochemical, haemato‐immunological parameters and disease resistance in Juvenile </w:t>
      </w:r>
      <w:proofErr w:type="spellStart"/>
      <w:r w:rsidRPr="00D81963">
        <w:rPr>
          <w:rFonts w:ascii="Times New Roman" w:hAnsi="Times New Roman" w:cs="Times New Roman"/>
          <w:sz w:val="24"/>
          <w:szCs w:val="24"/>
          <w:lang w:val="en-GB"/>
        </w:rPr>
        <w:t>Labeo</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victorianus</w:t>
      </w:r>
      <w:proofErr w:type="spellEnd"/>
      <w:r w:rsidRPr="00D81963">
        <w:rPr>
          <w:rFonts w:ascii="Times New Roman" w:hAnsi="Times New Roman" w:cs="Times New Roman"/>
          <w:sz w:val="24"/>
          <w:szCs w:val="24"/>
          <w:lang w:val="en-GB"/>
        </w:rPr>
        <w:t xml:space="preserve"> fingerlings challenged with Aeromonas </w:t>
      </w:r>
      <w:proofErr w:type="spellStart"/>
      <w:r w:rsidRPr="00D81963">
        <w:rPr>
          <w:rFonts w:ascii="Times New Roman" w:hAnsi="Times New Roman" w:cs="Times New Roman"/>
          <w:sz w:val="24"/>
          <w:szCs w:val="24"/>
          <w:lang w:val="en-GB"/>
        </w:rPr>
        <w:t>hydrophila</w:t>
      </w:r>
      <w:proofErr w:type="spellEnd"/>
      <w:r w:rsidRPr="00D81963">
        <w:rPr>
          <w:rFonts w:ascii="Times New Roman" w:hAnsi="Times New Roman" w:cs="Times New Roman"/>
          <w:sz w:val="24"/>
          <w:szCs w:val="24"/>
          <w:lang w:val="en-GB"/>
        </w:rPr>
        <w:t xml:space="preserve">. Aquaculture Research, 48(5), 2253-2265. </w:t>
      </w:r>
      <w:hyperlink r:id="rId34" w:history="1">
        <w:r w:rsidRPr="00D81963">
          <w:rPr>
            <w:rStyle w:val="Hyperlink"/>
            <w:rFonts w:ascii="Times New Roman" w:hAnsi="Times New Roman" w:cs="Times New Roman"/>
            <w:sz w:val="24"/>
            <w:szCs w:val="24"/>
            <w:lang w:val="en-GB"/>
          </w:rPr>
          <w:t>https://doi.org/10.1111/are.13062</w:t>
        </w:r>
      </w:hyperlink>
      <w:r w:rsidRPr="00D81963">
        <w:rPr>
          <w:rFonts w:ascii="Times New Roman" w:hAnsi="Times New Roman" w:cs="Times New Roman"/>
          <w:sz w:val="24"/>
          <w:szCs w:val="24"/>
          <w:lang w:val="en-GB"/>
        </w:rPr>
        <w:t xml:space="preserve"> </w:t>
      </w:r>
    </w:p>
    <w:p w:rsidR="00DA1C0A" w:rsidRPr="00D81963" w:rsidRDefault="00B203FF"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Sheikh </w:t>
      </w:r>
      <w:proofErr w:type="spellStart"/>
      <w:r w:rsidRPr="00D81963">
        <w:rPr>
          <w:rFonts w:ascii="Times New Roman" w:hAnsi="Times New Roman" w:cs="Times New Roman"/>
          <w:sz w:val="24"/>
          <w:szCs w:val="24"/>
          <w:lang w:val="en-GB"/>
        </w:rPr>
        <w:t>Asadi</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Gharaei</w:t>
      </w:r>
      <w:proofErr w:type="spellEnd"/>
      <w:r w:rsidRPr="00D81963">
        <w:rPr>
          <w:rFonts w:ascii="Times New Roman" w:hAnsi="Times New Roman" w:cs="Times New Roman"/>
          <w:sz w:val="24"/>
          <w:szCs w:val="24"/>
          <w:lang w:val="en-GB"/>
        </w:rPr>
        <w:t xml:space="preserve">, A., </w:t>
      </w:r>
      <w:proofErr w:type="spellStart"/>
      <w:r w:rsidRPr="00D81963">
        <w:rPr>
          <w:rFonts w:ascii="Times New Roman" w:hAnsi="Times New Roman" w:cs="Times New Roman"/>
          <w:sz w:val="24"/>
          <w:szCs w:val="24"/>
          <w:lang w:val="en-GB"/>
        </w:rPr>
        <w:t>Mirdar</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Harijani</w:t>
      </w:r>
      <w:proofErr w:type="spellEnd"/>
      <w:r w:rsidRPr="00D81963">
        <w:rPr>
          <w:rFonts w:ascii="Times New Roman" w:hAnsi="Times New Roman" w:cs="Times New Roman"/>
          <w:sz w:val="24"/>
          <w:szCs w:val="24"/>
          <w:lang w:val="en-GB"/>
        </w:rPr>
        <w:t xml:space="preserve">, J., &amp; </w:t>
      </w:r>
      <w:proofErr w:type="spellStart"/>
      <w:r w:rsidRPr="00D81963">
        <w:rPr>
          <w:rFonts w:ascii="Times New Roman" w:hAnsi="Times New Roman" w:cs="Times New Roman"/>
          <w:sz w:val="24"/>
          <w:szCs w:val="24"/>
          <w:lang w:val="en-GB"/>
        </w:rPr>
        <w:t>Arshadi</w:t>
      </w:r>
      <w:proofErr w:type="spellEnd"/>
      <w:r w:rsidRPr="00D81963">
        <w:rPr>
          <w:rFonts w:ascii="Times New Roman" w:hAnsi="Times New Roman" w:cs="Times New Roman"/>
          <w:sz w:val="24"/>
          <w:szCs w:val="24"/>
          <w:lang w:val="en-GB"/>
        </w:rPr>
        <w:t xml:space="preserve">, A. (2018). A Comparison between dietary effects of </w:t>
      </w:r>
      <w:proofErr w:type="spellStart"/>
      <w:r w:rsidRPr="00D81963">
        <w:rPr>
          <w:rFonts w:ascii="Times New Roman" w:hAnsi="Times New Roman" w:cs="Times New Roman"/>
          <w:sz w:val="24"/>
          <w:szCs w:val="24"/>
          <w:lang w:val="en-GB"/>
        </w:rPr>
        <w:t>Cuminum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cyminum</w:t>
      </w:r>
      <w:proofErr w:type="spellEnd"/>
      <w:r w:rsidRPr="00D81963">
        <w:rPr>
          <w:rFonts w:ascii="Times New Roman" w:hAnsi="Times New Roman" w:cs="Times New Roman"/>
          <w:sz w:val="24"/>
          <w:szCs w:val="24"/>
          <w:lang w:val="en-GB"/>
        </w:rPr>
        <w:t xml:space="preserve"> essential oil and </w:t>
      </w:r>
      <w:proofErr w:type="spellStart"/>
      <w:r w:rsidRPr="00D81963">
        <w:rPr>
          <w:rFonts w:ascii="Times New Roman" w:hAnsi="Times New Roman" w:cs="Times New Roman"/>
          <w:sz w:val="24"/>
          <w:szCs w:val="24"/>
          <w:lang w:val="en-GB"/>
        </w:rPr>
        <w:t>Cuminum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cyminum</w:t>
      </w:r>
      <w:proofErr w:type="spellEnd"/>
      <w:r w:rsidRPr="00D81963">
        <w:rPr>
          <w:rFonts w:ascii="Times New Roman" w:hAnsi="Times New Roman" w:cs="Times New Roman"/>
          <w:sz w:val="24"/>
          <w:szCs w:val="24"/>
          <w:lang w:val="en-GB"/>
        </w:rPr>
        <w:t xml:space="preserve"> essential oil, loaded with iron nanoparticles, on growth performance, immunity and antioxidant indicators of white leg shrimp (</w:t>
      </w:r>
      <w:proofErr w:type="spellStart"/>
      <w:r w:rsidRPr="00D81963">
        <w:rPr>
          <w:rFonts w:ascii="Times New Roman" w:hAnsi="Times New Roman" w:cs="Times New Roman"/>
          <w:sz w:val="24"/>
          <w:szCs w:val="24"/>
          <w:lang w:val="en-GB"/>
        </w:rPr>
        <w:t>Litopenaeus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Aquaculture Nutrition. </w:t>
      </w:r>
      <w:hyperlink r:id="rId35" w:history="1">
        <w:r w:rsidRPr="00D81963">
          <w:rPr>
            <w:rStyle w:val="Hyperlink"/>
            <w:rFonts w:ascii="Times New Roman" w:hAnsi="Times New Roman" w:cs="Times New Roman"/>
            <w:sz w:val="24"/>
            <w:szCs w:val="24"/>
            <w:lang w:val="en-GB"/>
          </w:rPr>
          <w:t>https://doi.org/10.1111/anu.12683</w:t>
        </w:r>
      </w:hyperlink>
      <w:r w:rsidRPr="00D81963">
        <w:rPr>
          <w:rFonts w:ascii="Times New Roman" w:hAnsi="Times New Roman" w:cs="Times New Roman"/>
          <w:sz w:val="24"/>
          <w:szCs w:val="24"/>
          <w:lang w:val="en-GB"/>
        </w:rPr>
        <w:t xml:space="preserve"> </w:t>
      </w:r>
    </w:p>
    <w:p w:rsidR="00DA1C0A" w:rsidRPr="00D81963" w:rsidRDefault="00FE60A0"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Thomas, J., &amp; </w:t>
      </w:r>
      <w:proofErr w:type="spellStart"/>
      <w:r w:rsidRPr="00D81963">
        <w:rPr>
          <w:rFonts w:ascii="Times New Roman" w:hAnsi="Times New Roman" w:cs="Times New Roman"/>
          <w:sz w:val="24"/>
          <w:szCs w:val="24"/>
          <w:lang w:val="en-GB"/>
        </w:rPr>
        <w:t>Amaresan</w:t>
      </w:r>
      <w:proofErr w:type="spellEnd"/>
      <w:r w:rsidRPr="00D81963">
        <w:rPr>
          <w:rFonts w:ascii="Times New Roman" w:hAnsi="Times New Roman" w:cs="Times New Roman"/>
          <w:sz w:val="24"/>
          <w:szCs w:val="24"/>
          <w:lang w:val="en-GB"/>
        </w:rPr>
        <w:t xml:space="preserve">, N. (Eds.). (2023). Aquaculture Microbiology. Springer Nature. </w:t>
      </w:r>
      <w:hyperlink r:id="rId36" w:history="1">
        <w:r w:rsidRPr="00D81963">
          <w:rPr>
            <w:rStyle w:val="Hyperlink"/>
            <w:rFonts w:ascii="Times New Roman" w:hAnsi="Times New Roman" w:cs="Times New Roman"/>
            <w:sz w:val="24"/>
            <w:szCs w:val="24"/>
            <w:lang w:val="en-GB"/>
          </w:rPr>
          <w:t>https://doi.org/10.1007/978-1-0716-3032-7</w:t>
        </w:r>
      </w:hyperlink>
      <w:r w:rsidRPr="00D81963">
        <w:rPr>
          <w:rFonts w:ascii="Times New Roman" w:hAnsi="Times New Roman" w:cs="Times New Roman"/>
          <w:sz w:val="24"/>
          <w:szCs w:val="24"/>
          <w:lang w:val="en-GB"/>
        </w:rPr>
        <w:t xml:space="preserve"> </w:t>
      </w:r>
    </w:p>
    <w:p w:rsidR="00DA1C0A" w:rsidRPr="00D81963" w:rsidRDefault="007019F0"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Valladão</w:t>
      </w:r>
      <w:proofErr w:type="spellEnd"/>
      <w:r w:rsidRPr="00D81963">
        <w:rPr>
          <w:rFonts w:ascii="Times New Roman" w:hAnsi="Times New Roman" w:cs="Times New Roman"/>
          <w:sz w:val="24"/>
          <w:szCs w:val="24"/>
          <w:lang w:val="en-GB"/>
        </w:rPr>
        <w:t xml:space="preserve">, G. M. R., </w:t>
      </w:r>
      <w:proofErr w:type="spellStart"/>
      <w:r w:rsidRPr="00D81963">
        <w:rPr>
          <w:rFonts w:ascii="Times New Roman" w:hAnsi="Times New Roman" w:cs="Times New Roman"/>
          <w:sz w:val="24"/>
          <w:szCs w:val="24"/>
          <w:lang w:val="en-GB"/>
        </w:rPr>
        <w:t>Gallani</w:t>
      </w:r>
      <w:proofErr w:type="spellEnd"/>
      <w:r w:rsidRPr="00D81963">
        <w:rPr>
          <w:rFonts w:ascii="Times New Roman" w:hAnsi="Times New Roman" w:cs="Times New Roman"/>
          <w:sz w:val="24"/>
          <w:szCs w:val="24"/>
          <w:lang w:val="en-GB"/>
        </w:rPr>
        <w:t xml:space="preserve">, S. U., Pala, G., Jesus, R. B., </w:t>
      </w:r>
      <w:proofErr w:type="spellStart"/>
      <w:r w:rsidRPr="00D81963">
        <w:rPr>
          <w:rFonts w:ascii="Times New Roman" w:hAnsi="Times New Roman" w:cs="Times New Roman"/>
          <w:sz w:val="24"/>
          <w:szCs w:val="24"/>
          <w:lang w:val="en-GB"/>
        </w:rPr>
        <w:t>Kotzent</w:t>
      </w:r>
      <w:proofErr w:type="spellEnd"/>
      <w:r w:rsidRPr="00D81963">
        <w:rPr>
          <w:rFonts w:ascii="Times New Roman" w:hAnsi="Times New Roman" w:cs="Times New Roman"/>
          <w:sz w:val="24"/>
          <w:szCs w:val="24"/>
          <w:lang w:val="en-GB"/>
        </w:rPr>
        <w:t xml:space="preserve">, S., Costa, J. C., Silva T. F., &amp; </w:t>
      </w:r>
      <w:proofErr w:type="spellStart"/>
      <w:r w:rsidRPr="00D81963">
        <w:rPr>
          <w:rFonts w:ascii="Times New Roman" w:hAnsi="Times New Roman" w:cs="Times New Roman"/>
          <w:sz w:val="24"/>
          <w:szCs w:val="24"/>
          <w:lang w:val="en-GB"/>
        </w:rPr>
        <w:t>Pilarski</w:t>
      </w:r>
      <w:proofErr w:type="spellEnd"/>
      <w:r w:rsidRPr="00D81963">
        <w:rPr>
          <w:rFonts w:ascii="Times New Roman" w:hAnsi="Times New Roman" w:cs="Times New Roman"/>
          <w:sz w:val="24"/>
          <w:szCs w:val="24"/>
          <w:lang w:val="en-GB"/>
        </w:rPr>
        <w:t xml:space="preserve">, F. (2017). Practical diets with essential oils of plants activate the complement system and alter the intestinal morphology of Nile tilapia. Aquaculture Research, 48(11), 5640-5649. </w:t>
      </w:r>
      <w:hyperlink r:id="rId37" w:history="1">
        <w:r w:rsidRPr="00D81963">
          <w:rPr>
            <w:rStyle w:val="Hyperlink"/>
            <w:rFonts w:ascii="Times New Roman" w:hAnsi="Times New Roman" w:cs="Times New Roman"/>
            <w:sz w:val="24"/>
            <w:szCs w:val="24"/>
            <w:lang w:val="en-GB"/>
          </w:rPr>
          <w:t>https://doi.org/10.1111/are.13386</w:t>
        </w:r>
      </w:hyperlink>
      <w:r w:rsidRPr="00D81963">
        <w:rPr>
          <w:rFonts w:ascii="Times New Roman" w:hAnsi="Times New Roman" w:cs="Times New Roman"/>
          <w:sz w:val="24"/>
          <w:szCs w:val="24"/>
          <w:lang w:val="en-GB"/>
        </w:rPr>
        <w:t xml:space="preserve"> </w:t>
      </w:r>
    </w:p>
    <w:p w:rsidR="00DA1C0A" w:rsidRPr="00D81963" w:rsidRDefault="00730AC5"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lastRenderedPageBreak/>
        <w:t>Vaseeharan</w:t>
      </w:r>
      <w:proofErr w:type="spellEnd"/>
      <w:r w:rsidRPr="00D81963">
        <w:rPr>
          <w:rFonts w:ascii="Times New Roman" w:hAnsi="Times New Roman" w:cs="Times New Roman"/>
          <w:sz w:val="24"/>
          <w:szCs w:val="24"/>
          <w:lang w:val="en-GB"/>
        </w:rPr>
        <w:t xml:space="preserve">, B., &amp; </w:t>
      </w:r>
      <w:proofErr w:type="spellStart"/>
      <w:r w:rsidRPr="00D81963">
        <w:rPr>
          <w:rFonts w:ascii="Times New Roman" w:hAnsi="Times New Roman" w:cs="Times New Roman"/>
          <w:sz w:val="24"/>
          <w:szCs w:val="24"/>
          <w:lang w:val="en-GB"/>
        </w:rPr>
        <w:t>Thaya</w:t>
      </w:r>
      <w:proofErr w:type="spellEnd"/>
      <w:r w:rsidRPr="00D81963">
        <w:rPr>
          <w:rFonts w:ascii="Times New Roman" w:hAnsi="Times New Roman" w:cs="Times New Roman"/>
          <w:sz w:val="24"/>
          <w:szCs w:val="24"/>
          <w:lang w:val="en-GB"/>
        </w:rPr>
        <w:t xml:space="preserve">, R. (2014). Medicinal plant derivatives as immunostimulants: an alternative to chemotherapeutics and antibiotics in aquaculture. Aquaculture International, 22(3), 1079-1091. </w:t>
      </w:r>
      <w:hyperlink r:id="rId38" w:history="1">
        <w:r w:rsidRPr="00D81963">
          <w:rPr>
            <w:rStyle w:val="Hyperlink"/>
            <w:rFonts w:ascii="Times New Roman" w:hAnsi="Times New Roman" w:cs="Times New Roman"/>
            <w:sz w:val="24"/>
            <w:szCs w:val="24"/>
            <w:lang w:val="en-GB"/>
          </w:rPr>
          <w:t>https://doi.org/10.1007/s10499-013-9729-3</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A12FAE"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Verghese</w:t>
      </w:r>
      <w:proofErr w:type="spellEnd"/>
      <w:r w:rsidRPr="00D81963">
        <w:rPr>
          <w:rFonts w:ascii="Times New Roman" w:hAnsi="Times New Roman" w:cs="Times New Roman"/>
          <w:sz w:val="24"/>
          <w:szCs w:val="24"/>
          <w:lang w:val="en-GB"/>
        </w:rPr>
        <w:t xml:space="preserve">, J., Jacob, C. V., </w:t>
      </w:r>
      <w:proofErr w:type="spellStart"/>
      <w:r w:rsidRPr="00D81963">
        <w:rPr>
          <w:rFonts w:ascii="Times New Roman" w:hAnsi="Times New Roman" w:cs="Times New Roman"/>
          <w:sz w:val="24"/>
          <w:szCs w:val="24"/>
          <w:lang w:val="en-GB"/>
        </w:rPr>
        <w:t>Kunjunni</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Kartha</w:t>
      </w:r>
      <w:proofErr w:type="spellEnd"/>
      <w:r w:rsidRPr="00D81963">
        <w:rPr>
          <w:rFonts w:ascii="Times New Roman" w:hAnsi="Times New Roman" w:cs="Times New Roman"/>
          <w:sz w:val="24"/>
          <w:szCs w:val="24"/>
          <w:lang w:val="en-GB"/>
        </w:rPr>
        <w:t xml:space="preserve">, C. V., McCarron, M., Mills, A. J., &amp; Whittaker, D. (1996). Indian tea tree (Melaleuca alternifolia </w:t>
      </w:r>
      <w:proofErr w:type="spellStart"/>
      <w:r w:rsidRPr="00D81963">
        <w:rPr>
          <w:rFonts w:ascii="Times New Roman" w:hAnsi="Times New Roman" w:cs="Times New Roman"/>
          <w:sz w:val="24"/>
          <w:szCs w:val="24"/>
          <w:lang w:val="en-GB"/>
        </w:rPr>
        <w:t>Cheel</w:t>
      </w:r>
      <w:proofErr w:type="spellEnd"/>
      <w:r w:rsidRPr="00D81963">
        <w:rPr>
          <w:rFonts w:ascii="Times New Roman" w:hAnsi="Times New Roman" w:cs="Times New Roman"/>
          <w:sz w:val="24"/>
          <w:szCs w:val="24"/>
          <w:lang w:val="en-GB"/>
        </w:rPr>
        <w:t xml:space="preserve">) essential oil. Flavour and Fragrance Journal, 11(4), 219-221. </w:t>
      </w:r>
      <w:hyperlink r:id="rId39" w:history="1">
        <w:r w:rsidRPr="00D81963">
          <w:rPr>
            <w:rStyle w:val="Hyperlink"/>
            <w:rFonts w:ascii="Times New Roman" w:hAnsi="Times New Roman" w:cs="Times New Roman"/>
            <w:sz w:val="24"/>
            <w:szCs w:val="24"/>
            <w:lang w:val="en-GB"/>
          </w:rPr>
          <w:t>https://doi.org/10.1002/(SICI)1099-1026(199607)11:4&lt;219::AID-FFJ571&gt;3.0.CO;2-I</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p w:rsidR="00DA1C0A" w:rsidRPr="00D81963" w:rsidRDefault="00883897"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Ebrahimi, E., </w:t>
      </w:r>
      <w:proofErr w:type="spellStart"/>
      <w:r w:rsidRPr="00D81963">
        <w:rPr>
          <w:rFonts w:ascii="Times New Roman" w:hAnsi="Times New Roman" w:cs="Times New Roman"/>
          <w:sz w:val="24"/>
          <w:szCs w:val="24"/>
          <w:lang w:val="en-GB"/>
        </w:rPr>
        <w:t>Haghjou</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Nematollahi</w:t>
      </w:r>
      <w:proofErr w:type="spellEnd"/>
      <w:r w:rsidRPr="00D81963">
        <w:rPr>
          <w:rFonts w:ascii="Times New Roman" w:hAnsi="Times New Roman" w:cs="Times New Roman"/>
          <w:sz w:val="24"/>
          <w:szCs w:val="24"/>
          <w:lang w:val="en-GB"/>
        </w:rPr>
        <w:t xml:space="preserve">, A., &amp; </w:t>
      </w:r>
      <w:proofErr w:type="spellStart"/>
      <w:r w:rsidRPr="00D81963">
        <w:rPr>
          <w:rFonts w:ascii="Times New Roman" w:hAnsi="Times New Roman" w:cs="Times New Roman"/>
          <w:sz w:val="24"/>
          <w:szCs w:val="24"/>
          <w:lang w:val="en-GB"/>
        </w:rPr>
        <w:t>Goudarzian</w:t>
      </w:r>
      <w:proofErr w:type="spellEnd"/>
      <w:r w:rsidRPr="00D81963">
        <w:rPr>
          <w:rFonts w:ascii="Times New Roman" w:hAnsi="Times New Roman" w:cs="Times New Roman"/>
          <w:sz w:val="24"/>
          <w:szCs w:val="24"/>
          <w:lang w:val="en-GB"/>
        </w:rPr>
        <w:t xml:space="preserve">, F. (2020). Effects of rosemary essential oil on growth performance and </w:t>
      </w:r>
      <w:proofErr w:type="spellStart"/>
      <w:r w:rsidRPr="00D81963">
        <w:rPr>
          <w:rFonts w:ascii="Times New Roman" w:hAnsi="Times New Roman" w:cs="Times New Roman"/>
          <w:sz w:val="24"/>
          <w:szCs w:val="24"/>
          <w:lang w:val="en-GB"/>
        </w:rPr>
        <w:t>hematological</w:t>
      </w:r>
      <w:proofErr w:type="spellEnd"/>
      <w:r w:rsidRPr="00D81963">
        <w:rPr>
          <w:rFonts w:ascii="Times New Roman" w:hAnsi="Times New Roman" w:cs="Times New Roman"/>
          <w:sz w:val="24"/>
          <w:szCs w:val="24"/>
          <w:lang w:val="en-GB"/>
        </w:rPr>
        <w:t xml:space="preserve"> parameters of young great sturgeon (Huso huso). Aquaculture. </w:t>
      </w:r>
      <w:hyperlink r:id="rId40" w:history="1">
        <w:r w:rsidRPr="00D81963">
          <w:rPr>
            <w:rStyle w:val="Hyperlink"/>
            <w:rFonts w:ascii="Times New Roman" w:hAnsi="Times New Roman" w:cs="Times New Roman"/>
            <w:sz w:val="24"/>
            <w:szCs w:val="24"/>
            <w:lang w:val="en-GB"/>
          </w:rPr>
          <w:t>https://doi.org/10.1016/j.aquaculture.2019.734909</w:t>
        </w:r>
      </w:hyperlink>
      <w:r w:rsidRPr="00D81963">
        <w:rPr>
          <w:rFonts w:ascii="Times New Roman" w:hAnsi="Times New Roman" w:cs="Times New Roman"/>
          <w:sz w:val="24"/>
          <w:szCs w:val="24"/>
          <w:lang w:val="en-GB"/>
        </w:rPr>
        <w:t xml:space="preserve"> </w:t>
      </w:r>
    </w:p>
    <w:p w:rsidR="00DA1C0A" w:rsidRPr="00D81963" w:rsidRDefault="00C350CD"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Ji, S. C., Takaoka, O., </w:t>
      </w:r>
      <w:proofErr w:type="spellStart"/>
      <w:r w:rsidRPr="00D81963">
        <w:rPr>
          <w:rFonts w:ascii="Times New Roman" w:hAnsi="Times New Roman" w:cs="Times New Roman"/>
          <w:sz w:val="24"/>
          <w:szCs w:val="24"/>
          <w:lang w:val="en-GB"/>
        </w:rPr>
        <w:t>Jeong</w:t>
      </w:r>
      <w:proofErr w:type="spellEnd"/>
      <w:r w:rsidRPr="00D81963">
        <w:rPr>
          <w:rFonts w:ascii="Times New Roman" w:hAnsi="Times New Roman" w:cs="Times New Roman"/>
          <w:sz w:val="24"/>
          <w:szCs w:val="24"/>
          <w:lang w:val="en-GB"/>
        </w:rPr>
        <w:t xml:space="preserve">, G. S., Lee, S. W., Ishimaru, K., </w:t>
      </w:r>
      <w:proofErr w:type="spellStart"/>
      <w:r w:rsidRPr="00D81963">
        <w:rPr>
          <w:rFonts w:ascii="Times New Roman" w:hAnsi="Times New Roman" w:cs="Times New Roman"/>
          <w:sz w:val="24"/>
          <w:szCs w:val="24"/>
          <w:lang w:val="en-GB"/>
        </w:rPr>
        <w:t>Seoka</w:t>
      </w:r>
      <w:proofErr w:type="spellEnd"/>
      <w:r w:rsidRPr="00D81963">
        <w:rPr>
          <w:rFonts w:ascii="Times New Roman" w:hAnsi="Times New Roman" w:cs="Times New Roman"/>
          <w:sz w:val="24"/>
          <w:szCs w:val="24"/>
          <w:lang w:val="en-GB"/>
        </w:rPr>
        <w:t xml:space="preserve">, M., &amp; </w:t>
      </w:r>
      <w:proofErr w:type="spellStart"/>
      <w:r w:rsidRPr="00D81963">
        <w:rPr>
          <w:rFonts w:ascii="Times New Roman" w:hAnsi="Times New Roman" w:cs="Times New Roman"/>
          <w:sz w:val="24"/>
          <w:szCs w:val="24"/>
          <w:lang w:val="en-GB"/>
        </w:rPr>
        <w:t>Takii</w:t>
      </w:r>
      <w:proofErr w:type="spellEnd"/>
      <w:r w:rsidRPr="00D81963">
        <w:rPr>
          <w:rFonts w:ascii="Times New Roman" w:hAnsi="Times New Roman" w:cs="Times New Roman"/>
          <w:sz w:val="24"/>
          <w:szCs w:val="24"/>
          <w:lang w:val="en-GB"/>
        </w:rPr>
        <w:t xml:space="preserve">, K. (2007). Dietary medicinal herbs improve growth and some non-specific immunity of red sea bream </w:t>
      </w:r>
      <w:proofErr w:type="spellStart"/>
      <w:r w:rsidRPr="00D81963">
        <w:rPr>
          <w:rFonts w:ascii="Times New Roman" w:hAnsi="Times New Roman" w:cs="Times New Roman"/>
          <w:sz w:val="24"/>
          <w:szCs w:val="24"/>
          <w:lang w:val="en-GB"/>
        </w:rPr>
        <w:t>Pagrus</w:t>
      </w:r>
      <w:proofErr w:type="spellEnd"/>
      <w:r w:rsidRPr="00D81963">
        <w:rPr>
          <w:rFonts w:ascii="Times New Roman" w:hAnsi="Times New Roman" w:cs="Times New Roman"/>
          <w:sz w:val="24"/>
          <w:szCs w:val="24"/>
          <w:lang w:val="en-GB"/>
        </w:rPr>
        <w:t xml:space="preserve"> major. Fisheries Science, 73(1), 63-69. </w:t>
      </w:r>
      <w:hyperlink r:id="rId41" w:history="1">
        <w:r w:rsidRPr="00D81963">
          <w:rPr>
            <w:rStyle w:val="Hyperlink"/>
            <w:rFonts w:ascii="Times New Roman" w:hAnsi="Times New Roman" w:cs="Times New Roman"/>
            <w:sz w:val="24"/>
            <w:szCs w:val="24"/>
            <w:lang w:val="en-GB"/>
          </w:rPr>
          <w:t>https://doi.org/10.1111/j.1444-2906.2007.01302.x</w:t>
        </w:r>
      </w:hyperlink>
      <w:r w:rsidRPr="00D81963">
        <w:rPr>
          <w:rFonts w:ascii="Times New Roman" w:hAnsi="Times New Roman" w:cs="Times New Roman"/>
          <w:sz w:val="24"/>
          <w:szCs w:val="24"/>
          <w:lang w:val="en-GB"/>
        </w:rPr>
        <w:t xml:space="preserve"> </w:t>
      </w:r>
      <w:r w:rsidR="00786387" w:rsidRPr="00D81963">
        <w:rPr>
          <w:rFonts w:ascii="Times New Roman" w:hAnsi="Times New Roman" w:cs="Times New Roman"/>
          <w:sz w:val="24"/>
          <w:szCs w:val="24"/>
          <w:lang w:val="en-GB"/>
        </w:rPr>
        <w:t xml:space="preserve">  </w:t>
      </w:r>
    </w:p>
    <w:sectPr w:rsidR="00DA1C0A" w:rsidRPr="00D81963">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323" w:rsidRDefault="00836323" w:rsidP="004F522C">
      <w:pPr>
        <w:spacing w:after="0" w:line="240" w:lineRule="auto"/>
      </w:pPr>
      <w:r>
        <w:separator/>
      </w:r>
    </w:p>
  </w:endnote>
  <w:endnote w:type="continuationSeparator" w:id="0">
    <w:p w:rsidR="00836323" w:rsidRDefault="00836323" w:rsidP="004F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323" w:rsidRDefault="00836323" w:rsidP="004F522C">
      <w:pPr>
        <w:spacing w:after="0" w:line="240" w:lineRule="auto"/>
      </w:pPr>
      <w:r>
        <w:separator/>
      </w:r>
    </w:p>
  </w:footnote>
  <w:footnote w:type="continuationSeparator" w:id="0">
    <w:p w:rsidR="00836323" w:rsidRDefault="00836323" w:rsidP="004F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B34B2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0000002"/>
    <w:multiLevelType w:val="multilevel"/>
    <w:tmpl w:val="6B727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3BE65D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multilevel"/>
    <w:tmpl w:val="8CD43D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20DCDD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4BFC81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0000000A"/>
    <w:multiLevelType w:val="multilevel"/>
    <w:tmpl w:val="EE7460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multilevel"/>
    <w:tmpl w:val="3CE6AD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2C7D4F"/>
    <w:multiLevelType w:val="multilevel"/>
    <w:tmpl w:val="01E890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D074C78"/>
    <w:multiLevelType w:val="hybridMultilevel"/>
    <w:tmpl w:val="D62E5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0"/>
  </w:num>
  <w:num w:numId="7">
    <w:abstractNumId w:val="7"/>
  </w:num>
  <w:num w:numId="8">
    <w:abstractNumId w:val="6"/>
  </w:num>
  <w:num w:numId="9">
    <w:abstractNumId w:val="11"/>
  </w:num>
  <w:num w:numId="10">
    <w:abstractNumId w:val="4"/>
  </w:num>
  <w:num w:numId="11">
    <w:abstractNumId w:val="0"/>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C0A"/>
    <w:rsid w:val="000C0341"/>
    <w:rsid w:val="000F79E3"/>
    <w:rsid w:val="0013157A"/>
    <w:rsid w:val="002F4E47"/>
    <w:rsid w:val="003402AE"/>
    <w:rsid w:val="00432297"/>
    <w:rsid w:val="0044237F"/>
    <w:rsid w:val="00456E50"/>
    <w:rsid w:val="004620E1"/>
    <w:rsid w:val="004C77EF"/>
    <w:rsid w:val="004F2E36"/>
    <w:rsid w:val="004F522C"/>
    <w:rsid w:val="00515FCD"/>
    <w:rsid w:val="005B1154"/>
    <w:rsid w:val="006061A2"/>
    <w:rsid w:val="006604B8"/>
    <w:rsid w:val="006B5E6C"/>
    <w:rsid w:val="007019F0"/>
    <w:rsid w:val="0072555C"/>
    <w:rsid w:val="00730AC5"/>
    <w:rsid w:val="00786387"/>
    <w:rsid w:val="007B3C9F"/>
    <w:rsid w:val="007F5EF8"/>
    <w:rsid w:val="008028C2"/>
    <w:rsid w:val="00824FCD"/>
    <w:rsid w:val="00836323"/>
    <w:rsid w:val="00883897"/>
    <w:rsid w:val="0088546F"/>
    <w:rsid w:val="00896CBB"/>
    <w:rsid w:val="008F2E42"/>
    <w:rsid w:val="00947C58"/>
    <w:rsid w:val="00957BD7"/>
    <w:rsid w:val="00961515"/>
    <w:rsid w:val="00A12FAE"/>
    <w:rsid w:val="00B203FF"/>
    <w:rsid w:val="00B40579"/>
    <w:rsid w:val="00C350CD"/>
    <w:rsid w:val="00C5277A"/>
    <w:rsid w:val="00D50628"/>
    <w:rsid w:val="00D806A9"/>
    <w:rsid w:val="00D81963"/>
    <w:rsid w:val="00DA1C0A"/>
    <w:rsid w:val="00E17C7C"/>
    <w:rsid w:val="00E3455D"/>
    <w:rsid w:val="00F404EB"/>
    <w:rsid w:val="00FE60A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EDB6B5"/>
  <w15:docId w15:val="{20C1E96A-2FA3-42C0-985E-40AD2CAD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hrut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numPr>
        <w:numId w:val="1"/>
      </w:numPr>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1"/>
    <w:qFormat/>
    <w:pPr>
      <w:keepNext/>
      <w:keepLines/>
      <w:numPr>
        <w:ilvl w:val="1"/>
        <w:numId w:val="1"/>
      </w:numPr>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1"/>
    <w:qFormat/>
    <w:pPr>
      <w:keepNext/>
      <w:keepLines/>
      <w:numPr>
        <w:ilvl w:val="2"/>
        <w:numId w:val="1"/>
      </w:numPr>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numPr>
        <w:ilvl w:val="3"/>
        <w:numId w:val="1"/>
      </w:numPr>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numPr>
        <w:ilvl w:val="4"/>
        <w:numId w:val="1"/>
      </w:numPr>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numPr>
        <w:ilvl w:val="5"/>
        <w:numId w:val="1"/>
      </w:numPr>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numPr>
        <w:ilvl w:val="6"/>
        <w:numId w:val="1"/>
      </w:numPr>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numPr>
        <w:ilvl w:val="7"/>
        <w:numId w:val="1"/>
      </w:numPr>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numPr>
        <w:ilvl w:val="8"/>
        <w:numId w:val="1"/>
      </w:numPr>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libri Light" w:eastAsia="SimSun" w:hAnsi="Calibri Light" w:cs="Shruti"/>
      <w:color w:val="2F5496"/>
      <w:sz w:val="40"/>
      <w:szCs w:val="40"/>
    </w:rPr>
  </w:style>
  <w:style w:type="character" w:customStyle="1" w:styleId="Heading2Char">
    <w:name w:val="Heading 2 Char"/>
    <w:basedOn w:val="DefaultParagraphFont"/>
    <w:link w:val="Heading2"/>
    <w:uiPriority w:val="1"/>
    <w:rPr>
      <w:rFonts w:ascii="Calibri Light" w:eastAsia="SimSun" w:hAnsi="Calibri Light" w:cs="Shruti"/>
      <w:color w:val="2F5496"/>
      <w:sz w:val="32"/>
      <w:szCs w:val="32"/>
    </w:rPr>
  </w:style>
  <w:style w:type="character" w:customStyle="1" w:styleId="Heading3Char">
    <w:name w:val="Heading 3 Char"/>
    <w:basedOn w:val="DefaultParagraphFont"/>
    <w:link w:val="Heading3"/>
    <w:uiPriority w:val="1"/>
    <w:rPr>
      <w:rFonts w:eastAsia="SimSun" w:cs="Shruti"/>
      <w:color w:val="2F5496"/>
      <w:sz w:val="28"/>
      <w:szCs w:val="28"/>
    </w:rPr>
  </w:style>
  <w:style w:type="character" w:customStyle="1" w:styleId="Heading4Char">
    <w:name w:val="Heading 4 Char"/>
    <w:basedOn w:val="DefaultParagraphFont"/>
    <w:link w:val="Heading4"/>
    <w:uiPriority w:val="9"/>
    <w:rPr>
      <w:rFonts w:eastAsia="SimSun" w:cs="Shruti"/>
      <w:i/>
      <w:iCs/>
      <w:color w:val="2F5496"/>
    </w:rPr>
  </w:style>
  <w:style w:type="character" w:customStyle="1" w:styleId="Heading5Char">
    <w:name w:val="Heading 5 Char"/>
    <w:basedOn w:val="DefaultParagraphFont"/>
    <w:link w:val="Heading5"/>
    <w:uiPriority w:val="9"/>
    <w:rPr>
      <w:rFonts w:eastAsia="SimSun" w:cs="Shruti"/>
      <w:color w:val="2F5496"/>
    </w:rPr>
  </w:style>
  <w:style w:type="character" w:customStyle="1" w:styleId="Heading6Char">
    <w:name w:val="Heading 6 Char"/>
    <w:basedOn w:val="DefaultParagraphFont"/>
    <w:link w:val="Heading6"/>
    <w:uiPriority w:val="9"/>
    <w:rPr>
      <w:rFonts w:eastAsia="SimSun" w:cs="Shruti"/>
      <w:i/>
      <w:iCs/>
      <w:color w:val="595959"/>
    </w:rPr>
  </w:style>
  <w:style w:type="character" w:customStyle="1" w:styleId="Heading7Char">
    <w:name w:val="Heading 7 Char"/>
    <w:basedOn w:val="DefaultParagraphFont"/>
    <w:link w:val="Heading7"/>
    <w:uiPriority w:val="9"/>
    <w:rPr>
      <w:rFonts w:eastAsia="SimSun" w:cs="Shruti"/>
      <w:color w:val="595959"/>
    </w:rPr>
  </w:style>
  <w:style w:type="character" w:customStyle="1" w:styleId="Heading8Char">
    <w:name w:val="Heading 8 Char"/>
    <w:basedOn w:val="DefaultParagraphFont"/>
    <w:link w:val="Heading8"/>
    <w:uiPriority w:val="9"/>
    <w:rPr>
      <w:rFonts w:eastAsia="SimSun" w:cs="Shruti"/>
      <w:i/>
      <w:iCs/>
      <w:color w:val="272727"/>
    </w:rPr>
  </w:style>
  <w:style w:type="character" w:customStyle="1" w:styleId="Heading9Char">
    <w:name w:val="Heading 9 Char"/>
    <w:basedOn w:val="DefaultParagraphFont"/>
    <w:link w:val="Heading9"/>
    <w:uiPriority w:val="9"/>
    <w:rPr>
      <w:rFonts w:eastAsia="SimSun" w:cs="Shruti"/>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hruti"/>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hrut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99"/>
    <w:pPr>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styleId="Emphasis">
    <w:name w:val="Emphasis"/>
    <w:basedOn w:val="DefaultParagraphFont"/>
    <w:uiPriority w:val="20"/>
    <w:qFormat/>
    <w:rsid w:val="004620E1"/>
    <w:rPr>
      <w:i/>
      <w:iCs/>
    </w:rPr>
  </w:style>
  <w:style w:type="character" w:styleId="UnresolvedMention">
    <w:name w:val="Unresolved Mention"/>
    <w:basedOn w:val="DefaultParagraphFont"/>
    <w:uiPriority w:val="99"/>
    <w:semiHidden/>
    <w:unhideWhenUsed/>
    <w:rsid w:val="000C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foodcont.2018.11.013" TargetMode="External"/><Relationship Id="rId26" Type="http://schemas.openxmlformats.org/officeDocument/2006/relationships/hyperlink" Target="https://doi.org/10.4060/cd0683en" TargetMode="External"/><Relationship Id="rId39" Type="http://schemas.openxmlformats.org/officeDocument/2006/relationships/hyperlink" Target="https://doi.org/10.1002/(SICI)1099-1026(199607)11:4%3c219::AID-FFJ571%3e3.0.CO;2-I" TargetMode="External"/><Relationship Id="rId21" Type="http://schemas.openxmlformats.org/officeDocument/2006/relationships/hyperlink" Target="https://doi.org/10.1016/j.indcrop.2013.08.006" TargetMode="External"/><Relationship Id="rId34" Type="http://schemas.openxmlformats.org/officeDocument/2006/relationships/hyperlink" Target="https://doi.org/10.1111/are.1306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89/fmars.2022.886024" TargetMode="External"/><Relationship Id="rId29" Type="http://schemas.openxmlformats.org/officeDocument/2006/relationships/hyperlink" Target="https://doi.org/10.1016/j.fsi.2021.12.025" TargetMode="External"/><Relationship Id="rId11" Type="http://schemas.openxmlformats.org/officeDocument/2006/relationships/image" Target="media/image5.png"/><Relationship Id="rId24" Type="http://schemas.openxmlformats.org/officeDocument/2006/relationships/hyperlink" Target="https://doi.org/10.1046/j.13652109.1999.00333.x" TargetMode="External"/><Relationship Id="rId32" Type="http://schemas.openxmlformats.org/officeDocument/2006/relationships/hyperlink" Target="https://doi.org/10.1016/j.aqrep.2022.101380" TargetMode="External"/><Relationship Id="rId37" Type="http://schemas.openxmlformats.org/officeDocument/2006/relationships/hyperlink" Target="https://doi.org/10.1111/are.13386" TargetMode="External"/><Relationship Id="rId40" Type="http://schemas.openxmlformats.org/officeDocument/2006/relationships/hyperlink" Target="https://doi.org/10.1016/j.aquaculture.2019.734909"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2392/actaquatr.976901" TargetMode="External"/><Relationship Id="rId23" Type="http://schemas.openxmlformats.org/officeDocument/2006/relationships/hyperlink" Target="https://doi.org/10.1007/978-90-481-3087-0" TargetMode="External"/><Relationship Id="rId28" Type="http://schemas.openxmlformats.org/officeDocument/2006/relationships/hyperlink" Target="https://doi.org/10.1016/s1671-2927(11)60118-1" TargetMode="External"/><Relationship Id="rId36" Type="http://schemas.openxmlformats.org/officeDocument/2006/relationships/hyperlink" Target="https://doi.org/10.1007/978-1-0716-3032-7"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16/j.fct.2007.09.106" TargetMode="External"/><Relationship Id="rId31" Type="http://schemas.openxmlformats.org/officeDocument/2006/relationships/hyperlink" Target="https://doi.org/10.3389/fimmu.2022.90643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quaculture.2014.12.015" TargetMode="External"/><Relationship Id="rId22" Type="http://schemas.openxmlformats.org/officeDocument/2006/relationships/hyperlink" Target="https://doi.org/10.1128/cmr.19.1.50-62.2006" TargetMode="External"/><Relationship Id="rId27" Type="http://schemas.openxmlformats.org/officeDocument/2006/relationships/hyperlink" Target="https://doi.org/10.1016/j.fsi.2014.03.015" TargetMode="External"/><Relationship Id="rId30" Type="http://schemas.openxmlformats.org/officeDocument/2006/relationships/hyperlink" Target="https://doi.org/10.1111/jwas.12831" TargetMode="External"/><Relationship Id="rId35" Type="http://schemas.openxmlformats.org/officeDocument/2006/relationships/hyperlink" Target="https://doi.org/10.1111/anu.1268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aquaculture.2006.11.015" TargetMode="External"/><Relationship Id="rId25" Type="http://schemas.openxmlformats.org/officeDocument/2006/relationships/hyperlink" Target="https://doi.org/10.1016/j.aquaculture.2020.735639" TargetMode="External"/><Relationship Id="rId33" Type="http://schemas.openxmlformats.org/officeDocument/2006/relationships/hyperlink" Target="https://mcommerce.gov.in/publications-reports" TargetMode="External"/><Relationship Id="rId38" Type="http://schemas.openxmlformats.org/officeDocument/2006/relationships/hyperlink" Target="https://doi.org/10.1007/s10499-013-9729-3" TargetMode="External"/><Relationship Id="rId46" Type="http://schemas.openxmlformats.org/officeDocument/2006/relationships/header" Target="header3.xml"/><Relationship Id="rId20" Type="http://schemas.openxmlformats.org/officeDocument/2006/relationships/hyperlink" Target="https://doi.org/10.1016/j.fsi.2016.12.016" TargetMode="External"/><Relationship Id="rId41" Type="http://schemas.openxmlformats.org/officeDocument/2006/relationships/hyperlink" Target="https://doi.org/10.1111/j.1444-2906.2007.01302.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12</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vrutika lakkad</dc:creator>
  <cp:lastModifiedBy>SDI 1084</cp:lastModifiedBy>
  <cp:revision>203</cp:revision>
  <dcterms:created xsi:type="dcterms:W3CDTF">2025-11-16T09:13:00Z</dcterms:created>
  <dcterms:modified xsi:type="dcterms:W3CDTF">2025-12-12T11:56:00Z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4df8fb70-d6a5-4cfe-8c53-fa433ecd33fc</vt:lpwstr>
  </property>
  <property fmtid="{D5CDD505-2E9C-101B-9397-08002B2CF9AE}" pid="3" name="ICV">
    <vt:lpwstr>eef098813c5e436e87c43d660db74706</vt:lpwstr>
  </property>
</Properties>
</file>