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32C50" w14:textId="77777777" w:rsidR="005C4FF3" w:rsidRPr="005C4FF3" w:rsidRDefault="005C4FF3" w:rsidP="005C4F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val="en-US" w:eastAsia="fr-FR"/>
          <w14:ligatures w14:val="none"/>
        </w:rPr>
      </w:pPr>
      <w:r w:rsidRPr="005C4FF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val="en-US" w:eastAsia="fr-FR"/>
          <w14:ligatures w14:val="none"/>
        </w:rPr>
        <w:t>Original Research Article</w:t>
      </w:r>
    </w:p>
    <w:p w14:paraId="2853220F" w14:textId="77777777" w:rsidR="009A7303" w:rsidRDefault="009A7303" w:rsidP="00FB36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9A7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Evaluation of the </w:t>
      </w:r>
      <w:proofErr w:type="spellStart"/>
      <w:r w:rsidRPr="009A7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microbiological</w:t>
      </w:r>
      <w:proofErr w:type="spellEnd"/>
      <w:r w:rsidRPr="009A7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9A7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quality</w:t>
      </w:r>
      <w:proofErr w:type="spellEnd"/>
      <w:r w:rsidRPr="009A7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of </w:t>
      </w:r>
      <w:proofErr w:type="spellStart"/>
      <w:r w:rsidRPr="009A7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sheep</w:t>
      </w:r>
      <w:proofErr w:type="spellEnd"/>
      <w:r w:rsidRPr="009A7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9A7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meat</w:t>
      </w:r>
      <w:proofErr w:type="spellEnd"/>
      <w:r w:rsidRPr="009A7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9A7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sold</w:t>
      </w:r>
      <w:proofErr w:type="spellEnd"/>
      <w:r w:rsidRPr="009A7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in N'Djamena (Chad)</w:t>
      </w:r>
    </w:p>
    <w:p w14:paraId="40A543AE" w14:textId="477B72F2" w:rsidR="0059196C" w:rsidRDefault="0059196C">
      <w:pPr>
        <w:spacing w:after="0" w:line="360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</w:p>
    <w:p w14:paraId="65F57E9C" w14:textId="77777777" w:rsidR="008921A1" w:rsidRDefault="008921A1">
      <w:pPr>
        <w:spacing w:after="0" w:line="360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</w:p>
    <w:p w14:paraId="79F3FFC2" w14:textId="0B2FB7A7" w:rsidR="00AD776A" w:rsidRPr="00B16247" w:rsidRDefault="009A7303">
      <w:pPr>
        <w:spacing w:after="0" w:line="360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B1624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Abstract </w:t>
      </w:r>
    </w:p>
    <w:p w14:paraId="19D1A983" w14:textId="79A89E2A" w:rsidR="009A7303" w:rsidRPr="0024464A" w:rsidRDefault="006869F3" w:rsidP="009A7303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24464A">
        <w:rPr>
          <w:rFonts w:ascii="Arial" w:hAnsi="Arial" w:cs="Arial"/>
          <w:sz w:val="20"/>
          <w:szCs w:val="20"/>
        </w:rPr>
        <w:t xml:space="preserve">In Chad, a pastoral country in the Sahel </w:t>
      </w:r>
      <w:proofErr w:type="spellStart"/>
      <w:r w:rsidRPr="0024464A">
        <w:rPr>
          <w:rFonts w:ascii="Arial" w:hAnsi="Arial" w:cs="Arial"/>
          <w:sz w:val="20"/>
          <w:szCs w:val="20"/>
        </w:rPr>
        <w:t>where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sheep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farming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thrives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464A">
        <w:rPr>
          <w:rFonts w:ascii="Arial" w:hAnsi="Arial" w:cs="Arial"/>
          <w:sz w:val="20"/>
          <w:szCs w:val="20"/>
        </w:rPr>
        <w:t>it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is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a major </w:t>
      </w:r>
      <w:proofErr w:type="spellStart"/>
      <w:r w:rsidRPr="0024464A">
        <w:rPr>
          <w:rFonts w:ascii="Arial" w:hAnsi="Arial" w:cs="Arial"/>
          <w:sz w:val="20"/>
          <w:szCs w:val="20"/>
        </w:rPr>
        <w:t>socioeconomic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and cultural </w:t>
      </w:r>
      <w:proofErr w:type="spellStart"/>
      <w:r w:rsidRPr="0024464A">
        <w:rPr>
          <w:rFonts w:ascii="Arial" w:hAnsi="Arial" w:cs="Arial"/>
          <w:sz w:val="20"/>
          <w:szCs w:val="20"/>
        </w:rPr>
        <w:t>pillar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. This prospective and </w:t>
      </w:r>
      <w:proofErr w:type="spellStart"/>
      <w:r w:rsidRPr="0024464A">
        <w:rPr>
          <w:rFonts w:ascii="Arial" w:hAnsi="Arial" w:cs="Arial"/>
          <w:sz w:val="20"/>
          <w:szCs w:val="20"/>
        </w:rPr>
        <w:t>analytical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study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assesses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24464A">
        <w:rPr>
          <w:rFonts w:ascii="Arial" w:hAnsi="Arial" w:cs="Arial"/>
          <w:sz w:val="20"/>
          <w:szCs w:val="20"/>
        </w:rPr>
        <w:t>microbiological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quality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4464A">
        <w:rPr>
          <w:rFonts w:ascii="Arial" w:hAnsi="Arial" w:cs="Arial"/>
          <w:sz w:val="20"/>
          <w:szCs w:val="20"/>
        </w:rPr>
        <w:t>fresh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mutton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sold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in six districts of N'Djamena (Chad). </w:t>
      </w:r>
      <w:proofErr w:type="spellStart"/>
      <w:r w:rsidRPr="0024464A">
        <w:rPr>
          <w:rFonts w:ascii="Arial" w:hAnsi="Arial" w:cs="Arial"/>
          <w:sz w:val="20"/>
          <w:szCs w:val="20"/>
        </w:rPr>
        <w:t>Thirty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samples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were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collected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aseptically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464A">
        <w:rPr>
          <w:rFonts w:ascii="Arial" w:hAnsi="Arial" w:cs="Arial"/>
          <w:sz w:val="20"/>
          <w:szCs w:val="20"/>
        </w:rPr>
        <w:t>transported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4464A">
        <w:rPr>
          <w:rFonts w:ascii="Arial" w:hAnsi="Arial" w:cs="Arial"/>
          <w:sz w:val="20"/>
          <w:szCs w:val="20"/>
        </w:rPr>
        <w:t>coolers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24464A">
        <w:rPr>
          <w:rFonts w:ascii="Arial" w:hAnsi="Arial" w:cs="Arial"/>
          <w:sz w:val="20"/>
          <w:szCs w:val="20"/>
        </w:rPr>
        <w:t>analyzed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at Labo-REDES </w:t>
      </w:r>
      <w:proofErr w:type="spellStart"/>
      <w:r w:rsidRPr="0024464A">
        <w:rPr>
          <w:rFonts w:ascii="Arial" w:hAnsi="Arial" w:cs="Arial"/>
          <w:sz w:val="20"/>
          <w:szCs w:val="20"/>
        </w:rPr>
        <w:t>according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to ISO standards and EC </w:t>
      </w:r>
      <w:proofErr w:type="spellStart"/>
      <w:r w:rsidRPr="0024464A">
        <w:rPr>
          <w:rFonts w:ascii="Arial" w:hAnsi="Arial" w:cs="Arial"/>
          <w:sz w:val="20"/>
          <w:szCs w:val="20"/>
        </w:rPr>
        <w:t>Regulation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2073/2005. </w:t>
      </w:r>
      <w:proofErr w:type="spellStart"/>
      <w:r w:rsidRPr="0024464A">
        <w:rPr>
          <w:rFonts w:ascii="Arial" w:hAnsi="Arial" w:cs="Arial"/>
          <w:sz w:val="20"/>
          <w:szCs w:val="20"/>
        </w:rPr>
        <w:t>Analysis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4464A">
        <w:rPr>
          <w:rFonts w:ascii="Arial" w:hAnsi="Arial" w:cs="Arial"/>
          <w:sz w:val="20"/>
          <w:szCs w:val="20"/>
        </w:rPr>
        <w:t>average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microbial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loads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revealed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high concentrations, </w:t>
      </w:r>
      <w:proofErr w:type="spellStart"/>
      <w:r w:rsidRPr="0024464A">
        <w:rPr>
          <w:rFonts w:ascii="Arial" w:hAnsi="Arial" w:cs="Arial"/>
          <w:sz w:val="20"/>
          <w:szCs w:val="20"/>
        </w:rPr>
        <w:t>particularly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for Total </w:t>
      </w:r>
      <w:proofErr w:type="spellStart"/>
      <w:r w:rsidRPr="0024464A">
        <w:rPr>
          <w:rFonts w:ascii="Arial" w:hAnsi="Arial" w:cs="Arial"/>
          <w:sz w:val="20"/>
          <w:szCs w:val="20"/>
        </w:rPr>
        <w:t>Mesophilic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Aerobic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Flora (TMAF) (1.98 × 10⁶ CFU/g), </w:t>
      </w:r>
      <w:proofErr w:type="spellStart"/>
      <w:r w:rsidRPr="0024464A">
        <w:rPr>
          <w:rFonts w:ascii="Arial" w:hAnsi="Arial" w:cs="Arial"/>
          <w:sz w:val="20"/>
          <w:szCs w:val="20"/>
        </w:rPr>
        <w:t>Fecal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Coliforms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(1.91 × 10⁵ CFU/g), and </w:t>
      </w:r>
      <w:r w:rsidRPr="0024464A">
        <w:rPr>
          <w:rFonts w:ascii="Arial" w:hAnsi="Arial" w:cs="Arial"/>
          <w:i/>
          <w:iCs/>
          <w:sz w:val="20"/>
          <w:szCs w:val="20"/>
        </w:rPr>
        <w:t>S. aureus</w:t>
      </w:r>
      <w:r w:rsidRPr="0024464A">
        <w:rPr>
          <w:rFonts w:ascii="Arial" w:hAnsi="Arial" w:cs="Arial"/>
          <w:sz w:val="20"/>
          <w:szCs w:val="20"/>
        </w:rPr>
        <w:t xml:space="preserve"> (2.09 × 10⁴ CFU/g). </w:t>
      </w:r>
      <w:proofErr w:type="spellStart"/>
      <w:r w:rsidRPr="0024464A">
        <w:rPr>
          <w:rFonts w:ascii="Arial" w:hAnsi="Arial" w:cs="Arial"/>
          <w:sz w:val="20"/>
          <w:szCs w:val="20"/>
        </w:rPr>
        <w:t>These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findings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led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24464A">
        <w:rPr>
          <w:rFonts w:ascii="Arial" w:hAnsi="Arial" w:cs="Arial"/>
          <w:sz w:val="20"/>
          <w:szCs w:val="20"/>
        </w:rPr>
        <w:t>alarming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noncompliance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rates, </w:t>
      </w:r>
      <w:proofErr w:type="spellStart"/>
      <w:r w:rsidRPr="0024464A">
        <w:rPr>
          <w:rFonts w:ascii="Arial" w:hAnsi="Arial" w:cs="Arial"/>
          <w:sz w:val="20"/>
          <w:szCs w:val="20"/>
        </w:rPr>
        <w:t>with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66.7% of </w:t>
      </w:r>
      <w:proofErr w:type="spellStart"/>
      <w:r w:rsidRPr="0024464A">
        <w:rPr>
          <w:rFonts w:ascii="Arial" w:hAnsi="Arial" w:cs="Arial"/>
          <w:sz w:val="20"/>
          <w:szCs w:val="20"/>
        </w:rPr>
        <w:t>samples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exceeding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4464A">
        <w:rPr>
          <w:rFonts w:ascii="Arial" w:hAnsi="Arial" w:cs="Arial"/>
          <w:sz w:val="20"/>
          <w:szCs w:val="20"/>
        </w:rPr>
        <w:t>acceptable</w:t>
      </w:r>
      <w:proofErr w:type="gram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levels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24464A">
        <w:rPr>
          <w:rFonts w:ascii="Arial" w:hAnsi="Arial" w:cs="Arial"/>
          <w:sz w:val="20"/>
          <w:szCs w:val="20"/>
        </w:rPr>
        <w:t>thermotolerant</w:t>
      </w:r>
      <w:proofErr w:type="spellEnd"/>
      <w:r w:rsidRPr="0024464A">
        <w:rPr>
          <w:rFonts w:ascii="Arial" w:hAnsi="Arial" w:cs="Arial"/>
          <w:sz w:val="20"/>
          <w:szCs w:val="20"/>
        </w:rPr>
        <w:t>/</w:t>
      </w:r>
      <w:proofErr w:type="spellStart"/>
      <w:r w:rsidRPr="0024464A">
        <w:rPr>
          <w:rFonts w:ascii="Arial" w:hAnsi="Arial" w:cs="Arial"/>
          <w:sz w:val="20"/>
          <w:szCs w:val="20"/>
        </w:rPr>
        <w:t>fecal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coliforms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and 50% for </w:t>
      </w:r>
      <w:r w:rsidRPr="0024464A">
        <w:rPr>
          <w:rFonts w:ascii="Arial" w:hAnsi="Arial" w:cs="Arial"/>
          <w:i/>
          <w:iCs/>
          <w:sz w:val="20"/>
          <w:szCs w:val="20"/>
        </w:rPr>
        <w:t>S. aureus</w:t>
      </w:r>
      <w:r w:rsidRPr="0024464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4464A">
        <w:rPr>
          <w:rFonts w:ascii="Arial" w:hAnsi="Arial" w:cs="Arial"/>
          <w:sz w:val="20"/>
          <w:szCs w:val="20"/>
        </w:rPr>
        <w:t>These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exceedances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indicate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significant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fecal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4464A">
        <w:rPr>
          <w:rFonts w:ascii="Arial" w:hAnsi="Arial" w:cs="Arial"/>
          <w:sz w:val="20"/>
          <w:szCs w:val="20"/>
        </w:rPr>
        <w:t>human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contamination, </w:t>
      </w:r>
      <w:proofErr w:type="spellStart"/>
      <w:r w:rsidRPr="0024464A">
        <w:rPr>
          <w:rFonts w:ascii="Arial" w:hAnsi="Arial" w:cs="Arial"/>
          <w:sz w:val="20"/>
          <w:szCs w:val="20"/>
        </w:rPr>
        <w:t>directly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attributable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24464A">
        <w:rPr>
          <w:rFonts w:ascii="Arial" w:hAnsi="Arial" w:cs="Arial"/>
          <w:sz w:val="20"/>
          <w:szCs w:val="20"/>
        </w:rPr>
        <w:t>inadequate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hygiene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practices </w:t>
      </w:r>
      <w:proofErr w:type="spellStart"/>
      <w:r w:rsidRPr="0024464A">
        <w:rPr>
          <w:rFonts w:ascii="Arial" w:hAnsi="Arial" w:cs="Arial"/>
          <w:sz w:val="20"/>
          <w:szCs w:val="20"/>
        </w:rPr>
        <w:t>throughout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the production </w:t>
      </w:r>
      <w:proofErr w:type="spellStart"/>
      <w:r w:rsidRPr="0024464A">
        <w:rPr>
          <w:rFonts w:ascii="Arial" w:hAnsi="Arial" w:cs="Arial"/>
          <w:sz w:val="20"/>
          <w:szCs w:val="20"/>
        </w:rPr>
        <w:t>chain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4464A">
        <w:rPr>
          <w:rFonts w:ascii="Arial" w:hAnsi="Arial" w:cs="Arial"/>
          <w:sz w:val="20"/>
          <w:szCs w:val="20"/>
        </w:rPr>
        <w:t>Although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the absence of Salmonella </w:t>
      </w:r>
      <w:proofErr w:type="spellStart"/>
      <w:r w:rsidRPr="0024464A">
        <w:rPr>
          <w:rFonts w:ascii="Arial" w:hAnsi="Arial" w:cs="Arial"/>
          <w:sz w:val="20"/>
          <w:szCs w:val="20"/>
        </w:rPr>
        <w:t>was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confirmed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464A">
        <w:rPr>
          <w:rFonts w:ascii="Arial" w:hAnsi="Arial" w:cs="Arial"/>
          <w:sz w:val="20"/>
          <w:szCs w:val="20"/>
        </w:rPr>
        <w:t>these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results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underscore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the urgent </w:t>
      </w:r>
      <w:proofErr w:type="spellStart"/>
      <w:r w:rsidRPr="0024464A">
        <w:rPr>
          <w:rFonts w:ascii="Arial" w:hAnsi="Arial" w:cs="Arial"/>
          <w:sz w:val="20"/>
          <w:szCs w:val="20"/>
        </w:rPr>
        <w:t>need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24464A">
        <w:rPr>
          <w:rFonts w:ascii="Arial" w:hAnsi="Arial" w:cs="Arial"/>
          <w:sz w:val="20"/>
          <w:szCs w:val="20"/>
        </w:rPr>
        <w:t>modernize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slaughtering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facilities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464A">
        <w:rPr>
          <w:rFonts w:ascii="Arial" w:hAnsi="Arial" w:cs="Arial"/>
          <w:sz w:val="20"/>
          <w:szCs w:val="20"/>
        </w:rPr>
        <w:t>ensure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better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cold </w:t>
      </w:r>
      <w:proofErr w:type="spellStart"/>
      <w:r w:rsidRPr="0024464A">
        <w:rPr>
          <w:rFonts w:ascii="Arial" w:hAnsi="Arial" w:cs="Arial"/>
          <w:sz w:val="20"/>
          <w:szCs w:val="20"/>
        </w:rPr>
        <w:t>chain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management (</w:t>
      </w:r>
      <w:proofErr w:type="spellStart"/>
      <w:r w:rsidRPr="0024464A">
        <w:rPr>
          <w:rFonts w:ascii="Arial" w:hAnsi="Arial" w:cs="Arial"/>
          <w:sz w:val="20"/>
          <w:szCs w:val="20"/>
        </w:rPr>
        <w:t>refrigeration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), and </w:t>
      </w:r>
      <w:proofErr w:type="spellStart"/>
      <w:r w:rsidRPr="0024464A">
        <w:rPr>
          <w:rFonts w:ascii="Arial" w:hAnsi="Arial" w:cs="Arial"/>
          <w:sz w:val="20"/>
          <w:szCs w:val="20"/>
        </w:rPr>
        <w:t>enhance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staff training to </w:t>
      </w:r>
      <w:proofErr w:type="spellStart"/>
      <w:r w:rsidRPr="0024464A">
        <w:rPr>
          <w:rFonts w:ascii="Arial" w:hAnsi="Arial" w:cs="Arial"/>
          <w:sz w:val="20"/>
          <w:szCs w:val="20"/>
        </w:rPr>
        <w:t>sustainably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improve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product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64A">
        <w:rPr>
          <w:rFonts w:ascii="Arial" w:hAnsi="Arial" w:cs="Arial"/>
          <w:sz w:val="20"/>
          <w:szCs w:val="20"/>
        </w:rPr>
        <w:t>safety</w:t>
      </w:r>
      <w:proofErr w:type="spellEnd"/>
      <w:r w:rsidRPr="0024464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4464A">
        <w:rPr>
          <w:rFonts w:ascii="Arial" w:hAnsi="Arial" w:cs="Arial"/>
          <w:sz w:val="20"/>
          <w:szCs w:val="20"/>
        </w:rPr>
        <w:t>hygiene</w:t>
      </w:r>
      <w:proofErr w:type="spellEnd"/>
      <w:r w:rsidRPr="0024464A">
        <w:rPr>
          <w:rFonts w:ascii="Arial" w:hAnsi="Arial" w:cs="Arial"/>
          <w:sz w:val="20"/>
          <w:szCs w:val="20"/>
        </w:rPr>
        <w:t>.</w:t>
      </w:r>
    </w:p>
    <w:p w14:paraId="5C99D7C6" w14:textId="77777777" w:rsidR="009A7303" w:rsidRDefault="009A7303" w:rsidP="009A73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24427F1B" w14:textId="1B7ACED8" w:rsidR="00AD776A" w:rsidRPr="00E75BEA" w:rsidRDefault="009A7303">
      <w:pPr>
        <w:rPr>
          <w:rFonts w:ascii="Arial" w:hAnsi="Arial" w:cs="Arial"/>
          <w:i/>
          <w:iCs/>
          <w:sz w:val="20"/>
          <w:szCs w:val="20"/>
        </w:rPr>
      </w:pPr>
      <w:proofErr w:type="gramStart"/>
      <w:r w:rsidRPr="00E75BEA">
        <w:rPr>
          <w:rFonts w:ascii="Arial" w:hAnsi="Arial" w:cs="Arial"/>
          <w:b/>
          <w:bCs/>
          <w:i/>
          <w:iCs/>
          <w:sz w:val="20"/>
          <w:szCs w:val="20"/>
        </w:rPr>
        <w:t>Keywords</w:t>
      </w:r>
      <w:r w:rsidRPr="00E75BEA">
        <w:rPr>
          <w:rFonts w:ascii="Arial" w:hAnsi="Arial" w:cs="Arial"/>
          <w:i/>
          <w:iCs/>
          <w:sz w:val="20"/>
          <w:szCs w:val="20"/>
        </w:rPr>
        <w:t>:</w:t>
      </w:r>
      <w:proofErr w:type="gramEnd"/>
      <w:r w:rsidRPr="00E75BE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75BEA">
        <w:rPr>
          <w:rFonts w:ascii="Arial" w:hAnsi="Arial" w:cs="Arial"/>
          <w:i/>
          <w:iCs/>
          <w:sz w:val="20"/>
          <w:szCs w:val="20"/>
        </w:rPr>
        <w:t>Sheep</w:t>
      </w:r>
      <w:proofErr w:type="spellEnd"/>
      <w:r w:rsidRPr="00E75BE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75BEA">
        <w:rPr>
          <w:rFonts w:ascii="Arial" w:hAnsi="Arial" w:cs="Arial"/>
          <w:i/>
          <w:iCs/>
          <w:sz w:val="20"/>
          <w:szCs w:val="20"/>
        </w:rPr>
        <w:t>meat</w:t>
      </w:r>
      <w:proofErr w:type="spellEnd"/>
      <w:r w:rsidRPr="00E75BEA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E75BEA">
        <w:rPr>
          <w:rFonts w:ascii="Arial" w:hAnsi="Arial" w:cs="Arial"/>
          <w:i/>
          <w:iCs/>
          <w:sz w:val="20"/>
          <w:szCs w:val="20"/>
        </w:rPr>
        <w:t>Microbiological</w:t>
      </w:r>
      <w:proofErr w:type="spellEnd"/>
      <w:r w:rsidRPr="00E75BE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75BEA">
        <w:rPr>
          <w:rFonts w:ascii="Arial" w:hAnsi="Arial" w:cs="Arial"/>
          <w:i/>
          <w:iCs/>
          <w:sz w:val="20"/>
          <w:szCs w:val="20"/>
        </w:rPr>
        <w:t>quality</w:t>
      </w:r>
      <w:proofErr w:type="spellEnd"/>
      <w:r w:rsidRPr="00E75BEA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E75BEA">
        <w:rPr>
          <w:rFonts w:ascii="Arial" w:hAnsi="Arial" w:cs="Arial"/>
          <w:i/>
          <w:iCs/>
          <w:sz w:val="20"/>
          <w:szCs w:val="20"/>
        </w:rPr>
        <w:t>Microbial</w:t>
      </w:r>
      <w:proofErr w:type="spellEnd"/>
      <w:r w:rsidRPr="00E75BEA">
        <w:rPr>
          <w:rFonts w:ascii="Arial" w:hAnsi="Arial" w:cs="Arial"/>
          <w:i/>
          <w:iCs/>
          <w:sz w:val="20"/>
          <w:szCs w:val="20"/>
        </w:rPr>
        <w:t xml:space="preserve"> contamination, N'Djamena.</w:t>
      </w:r>
    </w:p>
    <w:p w14:paraId="2612F7B7" w14:textId="77777777" w:rsidR="00AD776A" w:rsidRDefault="007D37A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40B5F734" w14:textId="77777777" w:rsidR="00AD776A" w:rsidRDefault="007D37A3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br w:type="page"/>
      </w:r>
    </w:p>
    <w:p w14:paraId="6BFDD265" w14:textId="77777777" w:rsidR="00A3238C" w:rsidRPr="00B16247" w:rsidRDefault="00A3238C" w:rsidP="00A3238C">
      <w:pPr>
        <w:spacing w:after="0" w:line="360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B1624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lastRenderedPageBreak/>
        <w:t>1. Introduction</w:t>
      </w:r>
    </w:p>
    <w:p w14:paraId="5190E48A" w14:textId="1F9CE3B5" w:rsidR="00403F8A" w:rsidRPr="00DC59C3" w:rsidRDefault="006869F3" w:rsidP="00A3238C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Red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meat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 essential source of nutrition,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providing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complete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proteins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crucial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micronutrients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including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heme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iron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zinc, and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vitamin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B12 (McNeil, 2021).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historical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role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human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development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dates back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approximately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2.5 million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years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(Henry, 2020), and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consumption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has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become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widespread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since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19th century (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Sabaté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et al., 2022). In Chad, a pastoral country in the Sahel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where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sheep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farming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thrives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major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socioeconomic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cultural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pillar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representing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approximately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20</w:t>
      </w:r>
      <w:r w:rsidR="00337E32"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% of GDP and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playing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central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role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diet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religious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practices (Baas, </w:t>
      </w:r>
      <w:proofErr w:type="gram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2020;</w:t>
      </w:r>
      <w:proofErr w:type="gram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Diouf et al., 2020; FAO, 2021;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Ardjoune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2021).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However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despite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importance, the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sanitary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quality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sheep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meat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sold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N'Djamena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cause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proofErr w:type="gram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concern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:</w:t>
      </w:r>
      <w:proofErr w:type="gram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sales channels in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urban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markets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characterized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informal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slaughter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the absence of a cold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chain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and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inadequate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means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transport, expose the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product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high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risks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microbial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contamination.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Faced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this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challenge, the main objective of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this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study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assess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microbiological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contamination of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fresh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sheep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meat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sold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N'Djamena to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quantify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microbial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loads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determine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safety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and propose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concrete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measures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controlling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ensuring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its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sanitary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quality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557EF251" w14:textId="77777777" w:rsidR="006869F3" w:rsidRPr="00A3238C" w:rsidRDefault="006869F3" w:rsidP="00A3238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1F1C785" w14:textId="77777777" w:rsidR="00403F8A" w:rsidRPr="00844ACF" w:rsidRDefault="007D37A3" w:rsidP="00403F8A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​</w:t>
      </w:r>
      <w:r w:rsidR="00403F8A" w:rsidRPr="00B1624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2. Materials and Methods</w:t>
      </w:r>
    </w:p>
    <w:p w14:paraId="67D2C126" w14:textId="77777777" w:rsidR="00403F8A" w:rsidRPr="00B16247" w:rsidRDefault="00403F8A" w:rsidP="00403F8A">
      <w:pPr>
        <w:spacing w:after="0" w:line="360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B1624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2.1. Setting and Sampling</w:t>
      </w:r>
    </w:p>
    <w:p w14:paraId="4610C1EF" w14:textId="7804BA0B" w:rsidR="00AD776A" w:rsidRDefault="006869F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C59C3">
        <w:rPr>
          <w:rFonts w:ascii="Arial" w:eastAsia="Calibri" w:hAnsi="Arial" w:cs="Arial"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40838381" wp14:editId="41E83B77">
            <wp:simplePos x="0" y="0"/>
            <wp:positionH relativeFrom="margin">
              <wp:posOffset>1173622</wp:posOffset>
            </wp:positionH>
            <wp:positionV relativeFrom="paragraph">
              <wp:posOffset>1281883</wp:posOffset>
            </wp:positionV>
            <wp:extent cx="3599358" cy="2247900"/>
            <wp:effectExtent l="0" t="0" r="127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207" cy="2260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This prospective and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analytical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study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conducted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fresh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sheep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meat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sold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six districts of N’Djamena, Chad (Figure 1). A total of 30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samples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fresh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sheep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meat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(5 per district)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were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collected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aseptically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For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convenience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nonprobability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sampling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used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The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samples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were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transported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rapidly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the REDES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Laboratory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at the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University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N’Djamena and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kept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a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cooler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dry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ice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maintain</w:t>
      </w:r>
      <w:proofErr w:type="spellEnd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cold </w:t>
      </w:r>
      <w:proofErr w:type="spellStart"/>
      <w:r w:rsidRPr="00DC59C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chain</w:t>
      </w:r>
      <w:proofErr w:type="spellEnd"/>
      <w:r w:rsidRPr="006869F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 </w:t>
      </w:r>
    </w:p>
    <w:p w14:paraId="0BECCFC2" w14:textId="6C08708F" w:rsidR="00AD776A" w:rsidRDefault="00AD77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6EB0877" w14:textId="750C48F9" w:rsidR="00AD776A" w:rsidRDefault="00AD77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1B07F8B" w14:textId="77777777" w:rsidR="00AD776A" w:rsidRDefault="00AD77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B19C7D1" w14:textId="77777777" w:rsidR="00AD776A" w:rsidRDefault="00AD77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7139257" w14:textId="77777777" w:rsidR="00AD776A" w:rsidRDefault="00AD77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605382A" w14:textId="77777777" w:rsidR="002145E9" w:rsidRDefault="002145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31D18838" w14:textId="77777777" w:rsidR="00860F37" w:rsidRDefault="00860F37" w:rsidP="002145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167F076B" w14:textId="77777777" w:rsidR="00AC6038" w:rsidRDefault="00AC6038" w:rsidP="002145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62F55787" w14:textId="77777777" w:rsidR="00AC6038" w:rsidRDefault="00AC6038" w:rsidP="002145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2A5086CB" w14:textId="05487A17" w:rsidR="006869F3" w:rsidRPr="002145E9" w:rsidRDefault="002145E9" w:rsidP="00517D6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039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Figure </w:t>
      </w:r>
      <w:proofErr w:type="gramStart"/>
      <w:r w:rsidRPr="008039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1:</w:t>
      </w:r>
      <w:proofErr w:type="gramEnd"/>
      <w:r w:rsidRPr="008039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80395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Administrative </w:t>
      </w:r>
      <w:proofErr w:type="spellStart"/>
      <w:r w:rsidRPr="0080395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map</w:t>
      </w:r>
      <w:proofErr w:type="spellEnd"/>
      <w:r w:rsidRPr="0080395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city of N'Djamena.</w:t>
      </w:r>
    </w:p>
    <w:p w14:paraId="58429866" w14:textId="5E9BD58C" w:rsidR="00AD776A" w:rsidRPr="00844ACF" w:rsidRDefault="007D37A3" w:rsidP="00844ACF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</w:pPr>
      <w:r w:rsidRPr="00B1624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2.2. </w:t>
      </w:r>
      <w:r w:rsidR="00860F37" w:rsidRPr="00B1624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Survey</w:t>
      </w:r>
    </w:p>
    <w:p w14:paraId="010308B6" w14:textId="0E5F3B5C" w:rsidR="00AD776A" w:rsidRPr="00634F70" w:rsidRDefault="006869F3" w:rsidP="00860F37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To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contextualize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hygiene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practices and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identify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risk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factors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 cross-sectional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study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conducted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sample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30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butchers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involved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meat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marketing. This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survey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based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a questionnaire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structured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two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main </w:t>
      </w:r>
      <w:proofErr w:type="gram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parts:</w:t>
      </w:r>
      <w:proofErr w:type="gram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first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aimed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establish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sociodemographic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profile of the participants (distribution by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sex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average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age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and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education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),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while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second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designed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assess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specific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hygiene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practices. This second part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covered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evaluation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education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the state of the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work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environment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the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personal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hygiene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meat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handlers, the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quality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equipment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lastRenderedPageBreak/>
        <w:t xml:space="preserve">and the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methods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transporting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meat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all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supplemented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direct observation of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critical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stages in the production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chain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63E19540" w14:textId="77777777" w:rsidR="00860F37" w:rsidRDefault="00860F37" w:rsidP="00860F3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165136D" w14:textId="77777777" w:rsidR="00F07FF6" w:rsidRPr="00B16247" w:rsidRDefault="00F07FF6" w:rsidP="00844ACF">
      <w:pPr>
        <w:spacing w:after="0" w:line="360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B1624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2.3. Identification and </w:t>
      </w:r>
      <w:proofErr w:type="spellStart"/>
      <w:r w:rsidRPr="00B1624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enumeration</w:t>
      </w:r>
      <w:proofErr w:type="spellEnd"/>
      <w:r w:rsidRPr="00B1624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of </w:t>
      </w:r>
      <w:proofErr w:type="spellStart"/>
      <w:r w:rsidRPr="00B1624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microorganisms</w:t>
      </w:r>
      <w:proofErr w:type="spellEnd"/>
    </w:p>
    <w:p w14:paraId="37CCC6E1" w14:textId="1F7489CC" w:rsidR="00AD776A" w:rsidRPr="00634F70" w:rsidRDefault="00DD1A83" w:rsidP="00F07FF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analysis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started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sample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preparation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serial dilutions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following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standard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microbiological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methods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A 25 g portion of the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sample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homogenized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a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Stomacher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bag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225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mL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sterile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buffered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peptone water</w:t>
      </w:r>
      <w:r w:rsidR="004801EF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(BPW)</w:t>
      </w:r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achieve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initial </w:t>
      </w:r>
      <w:proofErr w:type="gramStart"/>
      <w:r w:rsidR="008C2A11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1:</w:t>
      </w:r>
      <w:proofErr w:type="gramEnd"/>
      <w:r w:rsidR="008C2A11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10 </w:t>
      </w:r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stock suspension.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Subsequent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serial dilutions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were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prepared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from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this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stock.</w:t>
      </w:r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Enumeration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target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microorganisms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performed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surface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plating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(0.1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mL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) on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specific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selective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media. </w:t>
      </w:r>
      <w:r w:rsidR="00263497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Total </w:t>
      </w:r>
      <w:proofErr w:type="spellStart"/>
      <w:r w:rsidR="00263497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Mesophilic</w:t>
      </w:r>
      <w:proofErr w:type="spellEnd"/>
      <w:r w:rsidR="00263497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263497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Aerobic</w:t>
      </w:r>
      <w:proofErr w:type="spellEnd"/>
      <w:r w:rsidR="00263497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Flora (</w:t>
      </w:r>
      <w:r w:rsidR="0069400A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TMAF</w:t>
      </w:r>
      <w:r w:rsidR="00263497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)</w:t>
      </w:r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enumerated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PCA agar (30±1 °C/24-48 h), </w:t>
      </w:r>
      <w:r w:rsidR="00EA5FA3" w:rsidRPr="00634F7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S. aureus</w:t>
      </w:r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Chapman agar (37±1 °C/24-48 h),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thermotolerant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coliforms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EMB agar (44±1 °C/24 h), and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yeasts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molds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Sabouraud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chloramphenicol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agar (25±1 °C/5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days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). The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detection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thermotolerant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coliforms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required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 isolation and confirmation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step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subculturing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on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selective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broth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="00393F0B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and </w:t>
      </w:r>
      <w:proofErr w:type="spellStart"/>
      <w:r w:rsidR="00393F0B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incubating</w:t>
      </w:r>
      <w:proofErr w:type="spellEnd"/>
      <w:r w:rsidR="00393F0B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at 37±1</w:t>
      </w:r>
      <w:r w:rsidR="00393F0B" w:rsidRPr="00634F70">
        <w:rPr>
          <w:rFonts w:ascii="Cambria Math" w:eastAsia="Times New Roman" w:hAnsi="Cambria Math" w:cs="Cambria Math"/>
          <w:kern w:val="0"/>
          <w:sz w:val="20"/>
          <w:szCs w:val="20"/>
          <w:lang w:eastAsia="fr-FR"/>
          <w14:ligatures w14:val="none"/>
        </w:rPr>
        <w:t>∘</w:t>
      </w:r>
      <w:r w:rsidR="00393F0B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 for 24 h</w:t>
      </w:r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Finally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the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detection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r w:rsidR="00EA5FA3" w:rsidRPr="00634F7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Salmonella</w:t>
      </w:r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spp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The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analysis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conducted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accordance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ISO </w:t>
      </w:r>
      <w:proofErr w:type="gram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6579:</w:t>
      </w:r>
      <w:proofErr w:type="gram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2002,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including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pre-enrichment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selective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enrichment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="00731B97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Rappaport</w:t>
      </w:r>
      <w:proofErr w:type="spellEnd"/>
      <w:r w:rsidR="00731B97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731B97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Vassiliadis</w:t>
      </w:r>
      <w:proofErr w:type="spellEnd"/>
      <w:r w:rsidR="00731B97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Soya (</w:t>
      </w:r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RVS</w:t>
      </w:r>
      <w:r w:rsidR="00731B97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)</w:t>
      </w:r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broth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(42±1 °C/18–24 h), and isolation on </w:t>
      </w:r>
      <w:proofErr w:type="spellStart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selective</w:t>
      </w:r>
      <w:proofErr w:type="spellEnd"/>
      <w:r w:rsidR="00EA5FA3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media. </w:t>
      </w:r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quantitative </w:t>
      </w:r>
      <w:proofErr w:type="spellStart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results</w:t>
      </w:r>
      <w:proofErr w:type="spellEnd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were</w:t>
      </w:r>
      <w:proofErr w:type="spellEnd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reported</w:t>
      </w:r>
      <w:proofErr w:type="spellEnd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</w:t>
      </w:r>
      <w:proofErr w:type="spellStart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Colony</w:t>
      </w:r>
      <w:proofErr w:type="spellEnd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Forming </w:t>
      </w:r>
      <w:proofErr w:type="spellStart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Units</w:t>
      </w:r>
      <w:proofErr w:type="spellEnd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per gram (CFU/g) of the </w:t>
      </w:r>
      <w:proofErr w:type="spellStart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sample</w:t>
      </w:r>
      <w:proofErr w:type="spellEnd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The final </w:t>
      </w:r>
      <w:proofErr w:type="spellStart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interpretation</w:t>
      </w:r>
      <w:proofErr w:type="spellEnd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results</w:t>
      </w:r>
      <w:proofErr w:type="spellEnd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guided</w:t>
      </w:r>
      <w:proofErr w:type="spellEnd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the </w:t>
      </w:r>
      <w:proofErr w:type="spellStart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assessment</w:t>
      </w:r>
      <w:proofErr w:type="spellEnd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criteria</w:t>
      </w:r>
      <w:proofErr w:type="spellEnd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established</w:t>
      </w:r>
      <w:proofErr w:type="spellEnd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Regulation</w:t>
      </w:r>
      <w:proofErr w:type="spellEnd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(EC) No 2073/2005 on </w:t>
      </w:r>
      <w:proofErr w:type="spellStart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microbiological</w:t>
      </w:r>
      <w:proofErr w:type="spellEnd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criteria</w:t>
      </w:r>
      <w:proofErr w:type="spellEnd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foodstuffs</w:t>
      </w:r>
      <w:proofErr w:type="spellEnd"/>
      <w:r w:rsidR="00905634"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7EB87447" w14:textId="77777777" w:rsidR="00F07FF6" w:rsidRDefault="00F07F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D97F779" w14:textId="77777777" w:rsidR="002B1624" w:rsidRPr="00B16247" w:rsidRDefault="002B1624" w:rsidP="00844ACF">
      <w:pPr>
        <w:spacing w:after="0" w:line="360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B1624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3. </w:t>
      </w:r>
      <w:proofErr w:type="spellStart"/>
      <w:r w:rsidRPr="00B1624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Results</w:t>
      </w:r>
      <w:proofErr w:type="spellEnd"/>
    </w:p>
    <w:p w14:paraId="0A866E52" w14:textId="77777777" w:rsidR="002B1624" w:rsidRPr="00844ACF" w:rsidRDefault="002B1624" w:rsidP="00844ACF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</w:pPr>
      <w:r w:rsidRPr="00B1624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3.1. </w:t>
      </w:r>
      <w:proofErr w:type="spellStart"/>
      <w:r w:rsidRPr="00B1624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Socio-demographic</w:t>
      </w:r>
      <w:proofErr w:type="spellEnd"/>
      <w:r w:rsidRPr="00B1624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1624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surveys</w:t>
      </w:r>
      <w:proofErr w:type="spellEnd"/>
    </w:p>
    <w:p w14:paraId="2E6D1644" w14:textId="6F88C53D" w:rsidR="00AD776A" w:rsidRPr="00634F70" w:rsidRDefault="00122A87">
      <w:pPr>
        <w:spacing w:after="0" w:line="360" w:lineRule="auto"/>
        <w:jc w:val="both"/>
        <w:rPr>
          <w:rStyle w:val="citation-93"/>
          <w:rFonts w:ascii="Arial" w:hAnsi="Arial" w:cs="Arial"/>
          <w:sz w:val="20"/>
          <w:szCs w:val="20"/>
        </w:rPr>
      </w:pPr>
      <w:proofErr w:type="spellStart"/>
      <w:r w:rsidRPr="00634F70">
        <w:rPr>
          <w:rFonts w:ascii="Arial" w:hAnsi="Arial" w:cs="Arial"/>
          <w:sz w:val="20"/>
          <w:szCs w:val="20"/>
        </w:rPr>
        <w:t>R</w:t>
      </w:r>
      <w:r w:rsidR="006C0B27" w:rsidRPr="00634F70">
        <w:rPr>
          <w:rFonts w:ascii="Arial" w:hAnsi="Arial" w:cs="Arial"/>
          <w:sz w:val="20"/>
          <w:szCs w:val="20"/>
        </w:rPr>
        <w:t>esults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revealed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that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most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respondents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(87</w:t>
      </w:r>
      <w:r w:rsidR="007140C4" w:rsidRPr="00634F70">
        <w:rPr>
          <w:rFonts w:ascii="Arial" w:hAnsi="Arial" w:cs="Arial"/>
          <w:sz w:val="20"/>
          <w:szCs w:val="20"/>
        </w:rPr>
        <w:t xml:space="preserve"> </w:t>
      </w:r>
      <w:r w:rsidR="006C0B27" w:rsidRPr="00634F70">
        <w:rPr>
          <w:rFonts w:ascii="Arial" w:hAnsi="Arial" w:cs="Arial"/>
          <w:sz w:val="20"/>
          <w:szCs w:val="20"/>
        </w:rPr>
        <w:t xml:space="preserve">%)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were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male,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compared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to 13</w:t>
      </w:r>
      <w:r w:rsidR="007140C4" w:rsidRPr="00634F70">
        <w:rPr>
          <w:rFonts w:ascii="Arial" w:hAnsi="Arial" w:cs="Arial"/>
          <w:sz w:val="20"/>
          <w:szCs w:val="20"/>
        </w:rPr>
        <w:t xml:space="preserve"> </w:t>
      </w:r>
      <w:r w:rsidR="006C0B27" w:rsidRPr="00634F70">
        <w:rPr>
          <w:rFonts w:ascii="Arial" w:hAnsi="Arial" w:cs="Arial"/>
          <w:sz w:val="20"/>
          <w:szCs w:val="20"/>
        </w:rPr>
        <w:t xml:space="preserve">%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female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(Figure 2). The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predominant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age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group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was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31</w:t>
      </w:r>
      <w:r w:rsidR="00A14812" w:rsidRPr="00634F70">
        <w:rPr>
          <w:rFonts w:ascii="Arial" w:hAnsi="Arial" w:cs="Arial"/>
          <w:sz w:val="20"/>
          <w:szCs w:val="20"/>
        </w:rPr>
        <w:t>-</w:t>
      </w:r>
      <w:r w:rsidR="006C0B27" w:rsidRPr="00634F70">
        <w:rPr>
          <w:rFonts w:ascii="Arial" w:hAnsi="Arial" w:cs="Arial"/>
          <w:sz w:val="20"/>
          <w:szCs w:val="20"/>
        </w:rPr>
        <w:t xml:space="preserve">40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years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old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comprising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56.66</w:t>
      </w:r>
      <w:r w:rsidR="007140C4" w:rsidRPr="00634F70">
        <w:rPr>
          <w:rFonts w:ascii="Arial" w:hAnsi="Arial" w:cs="Arial"/>
          <w:sz w:val="20"/>
          <w:szCs w:val="20"/>
        </w:rPr>
        <w:t xml:space="preserve"> </w:t>
      </w:r>
      <w:r w:rsidR="006C0B27" w:rsidRPr="00634F70">
        <w:rPr>
          <w:rFonts w:ascii="Arial" w:hAnsi="Arial" w:cs="Arial"/>
          <w:sz w:val="20"/>
          <w:szCs w:val="20"/>
        </w:rPr>
        <w:t xml:space="preserve">% of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vendors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followed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by 20</w:t>
      </w:r>
      <w:r w:rsidR="00A14812" w:rsidRPr="00634F70">
        <w:rPr>
          <w:rFonts w:ascii="Arial" w:hAnsi="Arial" w:cs="Arial"/>
          <w:sz w:val="20"/>
          <w:szCs w:val="20"/>
        </w:rPr>
        <w:t>-</w:t>
      </w:r>
      <w:r w:rsidR="006C0B27" w:rsidRPr="00634F70">
        <w:rPr>
          <w:rFonts w:ascii="Arial" w:hAnsi="Arial" w:cs="Arial"/>
          <w:sz w:val="20"/>
          <w:szCs w:val="20"/>
        </w:rPr>
        <w:t xml:space="preserve">30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years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old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(36.66</w:t>
      </w:r>
      <w:r w:rsidR="007140C4" w:rsidRPr="00634F70">
        <w:rPr>
          <w:rFonts w:ascii="Arial" w:hAnsi="Arial" w:cs="Arial"/>
          <w:sz w:val="20"/>
          <w:szCs w:val="20"/>
        </w:rPr>
        <w:t xml:space="preserve"> </w:t>
      </w:r>
      <w:r w:rsidR="006C0B27" w:rsidRPr="00634F70">
        <w:rPr>
          <w:rFonts w:ascii="Arial" w:hAnsi="Arial" w:cs="Arial"/>
          <w:sz w:val="20"/>
          <w:szCs w:val="20"/>
        </w:rPr>
        <w:t xml:space="preserve">%) (Table 1).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Regarding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education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level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, more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than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half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vendors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(56.66</w:t>
      </w:r>
      <w:r w:rsidR="007140C4" w:rsidRPr="00634F70">
        <w:rPr>
          <w:rFonts w:ascii="Arial" w:hAnsi="Arial" w:cs="Arial"/>
          <w:sz w:val="20"/>
          <w:szCs w:val="20"/>
        </w:rPr>
        <w:t xml:space="preserve"> </w:t>
      </w:r>
      <w:r w:rsidR="006C0B27" w:rsidRPr="00634F70">
        <w:rPr>
          <w:rFonts w:ascii="Arial" w:hAnsi="Arial" w:cs="Arial"/>
          <w:sz w:val="20"/>
          <w:szCs w:val="20"/>
        </w:rPr>
        <w:t xml:space="preserve">%)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had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only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basic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education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including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Quranic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studies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, and a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significant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proportion (16.66</w:t>
      </w:r>
      <w:r w:rsidR="00A14812" w:rsidRPr="00634F70">
        <w:rPr>
          <w:rFonts w:ascii="Arial" w:hAnsi="Arial" w:cs="Arial"/>
          <w:sz w:val="20"/>
          <w:szCs w:val="20"/>
        </w:rPr>
        <w:t xml:space="preserve"> </w:t>
      </w:r>
      <w:r w:rsidR="006C0B27" w:rsidRPr="00634F70">
        <w:rPr>
          <w:rFonts w:ascii="Arial" w:hAnsi="Arial" w:cs="Arial"/>
          <w:sz w:val="20"/>
          <w:szCs w:val="20"/>
        </w:rPr>
        <w:t xml:space="preserve">%)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had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formal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schooling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at all.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Only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10</w:t>
      </w:r>
      <w:r w:rsidR="00A14812" w:rsidRPr="00634F70">
        <w:rPr>
          <w:rFonts w:ascii="Arial" w:hAnsi="Arial" w:cs="Arial"/>
          <w:sz w:val="20"/>
          <w:szCs w:val="20"/>
        </w:rPr>
        <w:t xml:space="preserve"> </w:t>
      </w:r>
      <w:r w:rsidR="006C0B27" w:rsidRPr="00634F70">
        <w:rPr>
          <w:rFonts w:ascii="Arial" w:hAnsi="Arial" w:cs="Arial"/>
          <w:sz w:val="20"/>
          <w:szCs w:val="20"/>
        </w:rPr>
        <w:t xml:space="preserve">%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had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completed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primary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school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>, 13.33</w:t>
      </w:r>
      <w:r w:rsidR="00A14812" w:rsidRPr="00634F70">
        <w:rPr>
          <w:rFonts w:ascii="Arial" w:hAnsi="Arial" w:cs="Arial"/>
          <w:sz w:val="20"/>
          <w:szCs w:val="20"/>
        </w:rPr>
        <w:t xml:space="preserve"> </w:t>
      </w:r>
      <w:r w:rsidR="006C0B27" w:rsidRPr="00634F70">
        <w:rPr>
          <w:rFonts w:ascii="Arial" w:hAnsi="Arial" w:cs="Arial"/>
          <w:sz w:val="20"/>
          <w:szCs w:val="20"/>
        </w:rPr>
        <w:t xml:space="preserve">%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had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completed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secondary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school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>, and 3.33</w:t>
      </w:r>
      <w:r w:rsidR="00A14812" w:rsidRPr="00634F70">
        <w:rPr>
          <w:rFonts w:ascii="Arial" w:hAnsi="Arial" w:cs="Arial"/>
          <w:sz w:val="20"/>
          <w:szCs w:val="20"/>
        </w:rPr>
        <w:t xml:space="preserve"> </w:t>
      </w:r>
      <w:r w:rsidR="006C0B27" w:rsidRPr="00634F70">
        <w:rPr>
          <w:rFonts w:ascii="Arial" w:hAnsi="Arial" w:cs="Arial"/>
          <w:sz w:val="20"/>
          <w:szCs w:val="20"/>
        </w:rPr>
        <w:t xml:space="preserve">%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had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completed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higher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education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(Figure 3). This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sociodemographic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information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is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crucial for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determining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risk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of contamination by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correlating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it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with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observed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B27" w:rsidRPr="00634F70">
        <w:rPr>
          <w:rFonts w:ascii="Arial" w:hAnsi="Arial" w:cs="Arial"/>
          <w:sz w:val="20"/>
          <w:szCs w:val="20"/>
        </w:rPr>
        <w:t>hygiene</w:t>
      </w:r>
      <w:proofErr w:type="spellEnd"/>
      <w:r w:rsidR="006C0B27" w:rsidRPr="00634F70">
        <w:rPr>
          <w:rFonts w:ascii="Arial" w:hAnsi="Arial" w:cs="Arial"/>
          <w:sz w:val="20"/>
          <w:szCs w:val="20"/>
        </w:rPr>
        <w:t xml:space="preserve"> practices.</w:t>
      </w:r>
    </w:p>
    <w:p w14:paraId="29FC02D9" w14:textId="77777777" w:rsidR="00AD776A" w:rsidRDefault="00AD776A">
      <w:pPr>
        <w:spacing w:after="0" w:line="360" w:lineRule="auto"/>
        <w:jc w:val="both"/>
        <w:rPr>
          <w:lang w:eastAsia="fr-FR"/>
        </w:rPr>
      </w:pPr>
    </w:p>
    <w:p w14:paraId="440617FF" w14:textId="77777777" w:rsidR="00AD776A" w:rsidRDefault="007D37A3">
      <w:pPr>
        <w:spacing w:after="0" w:line="360" w:lineRule="auto"/>
        <w:jc w:val="both"/>
        <w:rPr>
          <w:lang w:eastAsia="fr-FR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65536B4" wp14:editId="343275CD">
            <wp:simplePos x="0" y="0"/>
            <wp:positionH relativeFrom="margin">
              <wp:posOffset>935355</wp:posOffset>
            </wp:positionH>
            <wp:positionV relativeFrom="paragraph">
              <wp:posOffset>1270</wp:posOffset>
            </wp:positionV>
            <wp:extent cx="3000375" cy="1847850"/>
            <wp:effectExtent l="0" t="0" r="9525" b="0"/>
            <wp:wrapSquare wrapText="bothSides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38D37152" w14:textId="77777777" w:rsidR="00AD776A" w:rsidRDefault="00AD776A">
      <w:pPr>
        <w:spacing w:after="0" w:line="360" w:lineRule="auto"/>
        <w:jc w:val="both"/>
        <w:rPr>
          <w:lang w:eastAsia="fr-FR"/>
        </w:rPr>
      </w:pPr>
    </w:p>
    <w:p w14:paraId="22AF2EE8" w14:textId="77777777" w:rsidR="00AD776A" w:rsidRDefault="00AD776A">
      <w:pPr>
        <w:spacing w:after="0" w:line="360" w:lineRule="auto"/>
        <w:jc w:val="both"/>
        <w:rPr>
          <w:lang w:eastAsia="fr-FR"/>
        </w:rPr>
      </w:pPr>
    </w:p>
    <w:p w14:paraId="35A74523" w14:textId="77777777" w:rsidR="00AD776A" w:rsidRDefault="00AD776A">
      <w:pPr>
        <w:spacing w:after="0" w:line="360" w:lineRule="auto"/>
        <w:jc w:val="both"/>
        <w:rPr>
          <w:lang w:eastAsia="fr-FR"/>
        </w:rPr>
      </w:pPr>
    </w:p>
    <w:p w14:paraId="6D1414CC" w14:textId="77777777" w:rsidR="00AD776A" w:rsidRDefault="00AD77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66EC215" w14:textId="77777777" w:rsidR="00AD776A" w:rsidRDefault="00AD77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2186FBA" w14:textId="77777777" w:rsidR="00AD776A" w:rsidRDefault="00AD77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0E831315" w14:textId="77777777" w:rsidR="00AD776A" w:rsidRDefault="00AD77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0B4A096" w14:textId="51204F20" w:rsidR="00AD776A" w:rsidRPr="002B1624" w:rsidRDefault="002B1624" w:rsidP="002B1624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131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Figure </w:t>
      </w:r>
      <w:proofErr w:type="gramStart"/>
      <w:r w:rsidRPr="006131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2:</w:t>
      </w:r>
      <w:proofErr w:type="gramEnd"/>
      <w:r w:rsidRPr="006131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613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Gender</w:t>
      </w:r>
      <w:proofErr w:type="spellEnd"/>
      <w:r w:rsidRPr="00613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distribution of </w:t>
      </w:r>
      <w:proofErr w:type="spellStart"/>
      <w:r w:rsidRPr="00613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respondents</w:t>
      </w:r>
      <w:proofErr w:type="spellEnd"/>
      <w:r w:rsidRPr="006131B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0E040FE7" w14:textId="77777777" w:rsidR="002B1624" w:rsidRDefault="002B1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</w:pPr>
    </w:p>
    <w:p w14:paraId="4C8163B2" w14:textId="7624AD13" w:rsidR="00AD776A" w:rsidRPr="00634F70" w:rsidRDefault="002B1624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eastAsia="fr-FR"/>
          <w14:ligatures w14:val="none"/>
        </w:rPr>
      </w:pPr>
      <w:r w:rsidRPr="00634F70">
        <w:rPr>
          <w:rFonts w:ascii="Arial" w:eastAsia="Times New Roman" w:hAnsi="Arial" w:cs="Arial"/>
          <w:b/>
          <w:bCs/>
          <w:kern w:val="0"/>
          <w:sz w:val="20"/>
          <w:szCs w:val="20"/>
          <w:lang w:val="en-US" w:eastAsia="fr-FR"/>
          <w14:ligatures w14:val="none"/>
        </w:rPr>
        <w:t xml:space="preserve">Table I: </w:t>
      </w:r>
      <w:r w:rsidRPr="00634F70">
        <w:rPr>
          <w:rFonts w:ascii="Arial" w:eastAsia="Times New Roman" w:hAnsi="Arial" w:cs="Arial"/>
          <w:kern w:val="0"/>
          <w:sz w:val="20"/>
          <w:szCs w:val="20"/>
          <w:lang w:val="en-US" w:eastAsia="fr-FR"/>
          <w14:ligatures w14:val="none"/>
        </w:rPr>
        <w:t>Distribution of the age group of the surveyed populations.</w:t>
      </w:r>
    </w:p>
    <w:tbl>
      <w:tblPr>
        <w:tblStyle w:val="TableGrid"/>
        <w:tblW w:w="629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852"/>
        <w:gridCol w:w="2500"/>
      </w:tblGrid>
      <w:tr w:rsidR="00AD776A" w:rsidRPr="00634F70" w14:paraId="1977B72E" w14:textId="77777777" w:rsidTr="001C3D0C">
        <w:trPr>
          <w:trHeight w:val="355"/>
          <w:jc w:val="center"/>
        </w:trPr>
        <w:tc>
          <w:tcPr>
            <w:tcW w:w="1943" w:type="dxa"/>
            <w:tcBorders>
              <w:bottom w:val="single" w:sz="4" w:space="0" w:color="auto"/>
            </w:tcBorders>
          </w:tcPr>
          <w:p w14:paraId="1ADA8F44" w14:textId="1248F010" w:rsidR="00AD776A" w:rsidRPr="00634F70" w:rsidRDefault="007D37A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634F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2B1624" w:rsidRPr="00634F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Age (</w:t>
            </w:r>
            <w:proofErr w:type="spellStart"/>
            <w:r w:rsidR="002B1624" w:rsidRPr="00634F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years</w:t>
            </w:r>
            <w:proofErr w:type="spellEnd"/>
            <w:r w:rsidR="002B1624" w:rsidRPr="00634F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)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14:paraId="4DB6D0E2" w14:textId="139C7DA3" w:rsidR="00AD776A" w:rsidRPr="00634F70" w:rsidRDefault="002B1624" w:rsidP="0038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634F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Number</w:t>
            </w:r>
            <w:proofErr w:type="spellEnd"/>
            <w:r w:rsidRPr="00634F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79785C3E" w14:textId="6FA008D3" w:rsidR="00AD776A" w:rsidRPr="00634F70" w:rsidRDefault="002B1624" w:rsidP="0038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634F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Percentage (%)</w:t>
            </w:r>
          </w:p>
        </w:tc>
      </w:tr>
      <w:tr w:rsidR="00AD776A" w:rsidRPr="00634F70" w14:paraId="64E6AEF7" w14:textId="77777777" w:rsidTr="001C3D0C">
        <w:trPr>
          <w:trHeight w:val="422"/>
          <w:jc w:val="center"/>
        </w:trPr>
        <w:tc>
          <w:tcPr>
            <w:tcW w:w="1943" w:type="dxa"/>
          </w:tcPr>
          <w:p w14:paraId="20BB0E8B" w14:textId="01D0F02C" w:rsidR="00AD776A" w:rsidRPr="00634F70" w:rsidRDefault="007D37A3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20 </w:t>
            </w:r>
            <w:r w:rsidR="003251B8"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-</w:t>
            </w:r>
            <w:r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 30 </w:t>
            </w:r>
          </w:p>
        </w:tc>
        <w:tc>
          <w:tcPr>
            <w:tcW w:w="1852" w:type="dxa"/>
          </w:tcPr>
          <w:p w14:paraId="4329B221" w14:textId="77777777" w:rsidR="00AD776A" w:rsidRPr="00634F70" w:rsidRDefault="007D37A3" w:rsidP="003803E1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11</w:t>
            </w:r>
          </w:p>
        </w:tc>
        <w:tc>
          <w:tcPr>
            <w:tcW w:w="2500" w:type="dxa"/>
          </w:tcPr>
          <w:p w14:paraId="31A36857" w14:textId="3D03E45B" w:rsidR="00AD776A" w:rsidRPr="00634F70" w:rsidRDefault="007D37A3" w:rsidP="003803E1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36</w:t>
            </w:r>
            <w:r w:rsidR="003251B8"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66</w:t>
            </w:r>
          </w:p>
        </w:tc>
      </w:tr>
      <w:tr w:rsidR="00AD776A" w:rsidRPr="00634F70" w14:paraId="5E68BA93" w14:textId="77777777" w:rsidTr="001C3D0C">
        <w:trPr>
          <w:trHeight w:val="434"/>
          <w:jc w:val="center"/>
        </w:trPr>
        <w:tc>
          <w:tcPr>
            <w:tcW w:w="1943" w:type="dxa"/>
          </w:tcPr>
          <w:p w14:paraId="00D32003" w14:textId="09DE8DCF" w:rsidR="00AD776A" w:rsidRPr="00634F70" w:rsidRDefault="007D37A3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31 </w:t>
            </w:r>
            <w:r w:rsidR="003251B8"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-</w:t>
            </w:r>
            <w:r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 40</w:t>
            </w:r>
          </w:p>
        </w:tc>
        <w:tc>
          <w:tcPr>
            <w:tcW w:w="1852" w:type="dxa"/>
          </w:tcPr>
          <w:p w14:paraId="3E7FC43E" w14:textId="77777777" w:rsidR="00AD776A" w:rsidRPr="00634F70" w:rsidRDefault="007D37A3" w:rsidP="003803E1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17</w:t>
            </w:r>
          </w:p>
        </w:tc>
        <w:tc>
          <w:tcPr>
            <w:tcW w:w="2500" w:type="dxa"/>
          </w:tcPr>
          <w:p w14:paraId="46985E5C" w14:textId="4149EF64" w:rsidR="00AD776A" w:rsidRPr="00634F70" w:rsidRDefault="007D37A3" w:rsidP="003803E1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56</w:t>
            </w:r>
            <w:r w:rsidR="003251B8"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66</w:t>
            </w:r>
          </w:p>
        </w:tc>
      </w:tr>
      <w:tr w:rsidR="00AD776A" w:rsidRPr="00634F70" w14:paraId="5B988EF1" w14:textId="77777777" w:rsidTr="001C3D0C">
        <w:trPr>
          <w:trHeight w:val="422"/>
          <w:jc w:val="center"/>
        </w:trPr>
        <w:tc>
          <w:tcPr>
            <w:tcW w:w="1943" w:type="dxa"/>
          </w:tcPr>
          <w:p w14:paraId="72CA7A5B" w14:textId="3698FDC1" w:rsidR="00AD776A" w:rsidRPr="00634F70" w:rsidRDefault="007D37A3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41 </w:t>
            </w:r>
            <w:r w:rsidR="003251B8"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-</w:t>
            </w:r>
            <w:r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 xml:space="preserve"> 50 </w:t>
            </w:r>
          </w:p>
        </w:tc>
        <w:tc>
          <w:tcPr>
            <w:tcW w:w="1852" w:type="dxa"/>
          </w:tcPr>
          <w:p w14:paraId="5CC4F6E8" w14:textId="77777777" w:rsidR="00AD776A" w:rsidRPr="00634F70" w:rsidRDefault="007D37A3" w:rsidP="003803E1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02</w:t>
            </w:r>
          </w:p>
        </w:tc>
        <w:tc>
          <w:tcPr>
            <w:tcW w:w="2500" w:type="dxa"/>
          </w:tcPr>
          <w:p w14:paraId="0B411A3F" w14:textId="47502571" w:rsidR="00AD776A" w:rsidRPr="00634F70" w:rsidRDefault="007D37A3" w:rsidP="003803E1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6</w:t>
            </w:r>
            <w:r w:rsidR="003251B8"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r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66</w:t>
            </w:r>
          </w:p>
        </w:tc>
      </w:tr>
      <w:tr w:rsidR="00AD776A" w:rsidRPr="00634F70" w14:paraId="6E533217" w14:textId="77777777" w:rsidTr="001C3D0C">
        <w:trPr>
          <w:trHeight w:val="422"/>
          <w:jc w:val="center"/>
        </w:trPr>
        <w:tc>
          <w:tcPr>
            <w:tcW w:w="1943" w:type="dxa"/>
          </w:tcPr>
          <w:p w14:paraId="06B0AC44" w14:textId="77777777" w:rsidR="00AD776A" w:rsidRPr="00634F70" w:rsidRDefault="007D37A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634F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Total</w:t>
            </w:r>
          </w:p>
        </w:tc>
        <w:tc>
          <w:tcPr>
            <w:tcW w:w="1852" w:type="dxa"/>
          </w:tcPr>
          <w:p w14:paraId="42CD51B8" w14:textId="77777777" w:rsidR="00AD776A" w:rsidRPr="00634F70" w:rsidRDefault="007D37A3" w:rsidP="003803E1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30</w:t>
            </w:r>
          </w:p>
        </w:tc>
        <w:tc>
          <w:tcPr>
            <w:tcW w:w="2500" w:type="dxa"/>
          </w:tcPr>
          <w:p w14:paraId="59C4CF57" w14:textId="18F78D2C" w:rsidR="00AD776A" w:rsidRPr="00634F70" w:rsidRDefault="007D37A3" w:rsidP="003803E1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34F70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100</w:t>
            </w:r>
          </w:p>
        </w:tc>
      </w:tr>
    </w:tbl>
    <w:p w14:paraId="08B5955E" w14:textId="77777777" w:rsidR="00AD776A" w:rsidRDefault="00AD77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392FF81D" w14:textId="77777777" w:rsidR="00AD776A" w:rsidRDefault="00AD77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004E3686" w14:textId="57DDFF7F" w:rsidR="00AD776A" w:rsidRDefault="00DD63C9" w:rsidP="00DD63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noProof/>
          <w:lang w:val="en-US"/>
          <w14:ligatures w14:val="none"/>
        </w:rPr>
        <w:drawing>
          <wp:inline distT="0" distB="0" distL="0" distR="0" wp14:anchorId="7A9F8AE4" wp14:editId="55A05246">
            <wp:extent cx="4572000" cy="2743200"/>
            <wp:effectExtent l="0" t="0" r="0" b="0"/>
            <wp:docPr id="441521284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6F2353A" w14:textId="65809F56" w:rsidR="00AD776A" w:rsidRDefault="009F450B" w:rsidP="00DD63C9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D63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Figure </w:t>
      </w:r>
      <w:proofErr w:type="gramStart"/>
      <w:r w:rsidRPr="00DD63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3:</w:t>
      </w:r>
      <w:proofErr w:type="gramEnd"/>
      <w:r w:rsidRPr="00DD63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DD63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Distribution of </w:t>
      </w:r>
      <w:proofErr w:type="spellStart"/>
      <w:r w:rsidRPr="00DD63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educational</w:t>
      </w:r>
      <w:proofErr w:type="spellEnd"/>
      <w:r w:rsidRPr="00DD63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D63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levels</w:t>
      </w:r>
      <w:proofErr w:type="spellEnd"/>
      <w:r w:rsidRPr="00DD63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</w:t>
      </w:r>
      <w:proofErr w:type="spellStart"/>
      <w:r w:rsidRPr="00DD63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surveyed</w:t>
      </w:r>
      <w:proofErr w:type="spellEnd"/>
      <w:r w:rsidRPr="00DD63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population</w:t>
      </w:r>
    </w:p>
    <w:p w14:paraId="308529C4" w14:textId="77777777" w:rsidR="009F450B" w:rsidRPr="00844ACF" w:rsidRDefault="009F450B" w:rsidP="00844ACF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844ACF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3.2. </w:t>
      </w:r>
      <w:proofErr w:type="spellStart"/>
      <w:r w:rsidRPr="00844ACF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Microbiological</w:t>
      </w:r>
      <w:proofErr w:type="spellEnd"/>
      <w:r w:rsidRPr="00844ACF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844ACF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parameters</w:t>
      </w:r>
      <w:proofErr w:type="spellEnd"/>
      <w:r w:rsidRPr="00844ACF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844ACF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beef</w:t>
      </w:r>
      <w:proofErr w:type="spellEnd"/>
    </w:p>
    <w:p w14:paraId="32D65801" w14:textId="77777777" w:rsidR="0003771F" w:rsidRPr="0003771F" w:rsidRDefault="0003771F" w:rsidP="000377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microbiological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analysis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results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presented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Table II,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revealed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variation in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sample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quality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mean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counts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suggesting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potential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hygiene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issues in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several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categories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The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overall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mean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counts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were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highest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Total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Mesophilic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Aerobic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Flora (TMAF) at 1.98×106 CFU/g (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deemed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acceptable) but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showed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high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contamination for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other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proofErr w:type="gram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indicators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:</w:t>
      </w:r>
      <w:proofErr w:type="gram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Total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Coliforms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(TC) at 1.79×104 CFU/g,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Fecal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Coliforms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(FC) at 1.91×105 CFU/g, and </w:t>
      </w:r>
      <w:r w:rsidRPr="00634F7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Staphylococcus aureus</w:t>
      </w:r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at 2.09×104 CFU/g, all of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which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were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assessed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unsatisfactory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against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relevant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criteria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Conversely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Yeasts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Molds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were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low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at 1.50×102 CFU/g (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satisfactory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), and </w:t>
      </w:r>
      <w:r w:rsidRPr="00634F7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Salmonella</w:t>
      </w:r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spp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proofErr w:type="gram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was</w:t>
      </w:r>
      <w:proofErr w:type="spellEnd"/>
      <w:proofErr w:type="gram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confirmed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absent in all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samples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The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overall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quality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assessment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further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highlighted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failures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showing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high rates of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unsatisfactory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samples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Thermotolerant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Coliforms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(83.3%),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Coliforms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(66.7%), and </w:t>
      </w:r>
      <w:r w:rsidRPr="00634F70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S. aureus</w:t>
      </w:r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(50%),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while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only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33.3% of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samples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were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acceptable for TMAF,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indicating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widespread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contamination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among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tested</w:t>
      </w:r>
      <w:proofErr w:type="spellEnd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634F70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units</w:t>
      </w:r>
      <w:proofErr w:type="spellEnd"/>
      <w:r w:rsidRPr="0003771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430C5DBB" w14:textId="6DC8622C" w:rsidR="005D0941" w:rsidRDefault="005D09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 w:type="page"/>
      </w:r>
    </w:p>
    <w:p w14:paraId="54A978AE" w14:textId="37BF501F" w:rsidR="00AD776A" w:rsidRPr="008D7C84" w:rsidRDefault="009F450B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 w:eastAsia="fr-FR"/>
          <w14:ligatures w14:val="none"/>
        </w:rPr>
      </w:pPr>
      <w:r w:rsidRPr="008D7C8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lastRenderedPageBreak/>
        <w:t xml:space="preserve">Table </w:t>
      </w:r>
      <w:proofErr w:type="gramStart"/>
      <w:r w:rsidRPr="008D7C8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II:</w:t>
      </w:r>
      <w:proofErr w:type="gramEnd"/>
      <w:r w:rsidRPr="008D7C8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Average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loads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the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microorganisms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counted</w:t>
      </w:r>
      <w:proofErr w:type="spellEnd"/>
    </w:p>
    <w:tbl>
      <w:tblPr>
        <w:tblW w:w="8974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1026"/>
        <w:gridCol w:w="1701"/>
        <w:gridCol w:w="1221"/>
        <w:gridCol w:w="981"/>
        <w:gridCol w:w="1672"/>
        <w:gridCol w:w="1131"/>
      </w:tblGrid>
      <w:tr w:rsidR="00AD776A" w:rsidRPr="008D7C84" w14:paraId="233BBE34" w14:textId="77777777" w:rsidTr="00EC4110">
        <w:trPr>
          <w:trHeight w:val="282"/>
          <w:tblHeader/>
          <w:tblCellSpacing w:w="15" w:type="dxa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048789A0" w14:textId="77777777" w:rsidR="00AD776A" w:rsidRPr="008D7C84" w:rsidRDefault="007D3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5EB78482" w14:textId="390C0B8D" w:rsidR="00AD776A" w:rsidRPr="008D7C84" w:rsidRDefault="00A00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TMAF (</w:t>
            </w:r>
            <w:proofErr w:type="spellStart"/>
            <w:r w:rsidR="00E23342" w:rsidRPr="008D7C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average</w:t>
            </w:r>
            <w:proofErr w:type="spellEnd"/>
            <w:r w:rsidR="00E23342" w:rsidRPr="008D7C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, CFU/g</w:t>
            </w:r>
            <w:r w:rsidRPr="008D7C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416350B5" w14:textId="2CE7B5EF" w:rsidR="00AD776A" w:rsidRPr="008D7C84" w:rsidRDefault="007D3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T</w:t>
            </w:r>
            <w:r w:rsidR="00E23342" w:rsidRPr="008D7C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h. C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1A1C15A9" w14:textId="3CEB75EC" w:rsidR="00AD776A" w:rsidRPr="008D7C84" w:rsidRDefault="007D3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F</w:t>
            </w:r>
            <w:r w:rsidR="00E23342" w:rsidRPr="008D7C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4277A912" w14:textId="77777777" w:rsidR="00AD776A" w:rsidRPr="008D7C84" w:rsidRDefault="007D3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S. aureus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39DE59E" w14:textId="5EC678DB" w:rsidR="00AD776A" w:rsidRPr="008D7C84" w:rsidRDefault="00E233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proofErr w:type="gramStart"/>
            <w:r w:rsidRPr="008D7C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yeasts</w:t>
            </w:r>
            <w:proofErr w:type="spellEnd"/>
            <w:proofErr w:type="gramEnd"/>
            <w:r w:rsidRPr="008D7C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 and </w:t>
            </w:r>
            <w:proofErr w:type="spellStart"/>
            <w:r w:rsidRPr="008D7C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molds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7E9C37" w14:textId="77777777" w:rsidR="00AD776A" w:rsidRPr="008D7C84" w:rsidRDefault="007D3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Salmonella</w:t>
            </w:r>
          </w:p>
        </w:tc>
      </w:tr>
      <w:tr w:rsidR="00FA7ECB" w:rsidRPr="008D7C84" w14:paraId="62A4C8A8" w14:textId="77777777" w:rsidTr="00EC4110">
        <w:trPr>
          <w:trHeight w:val="272"/>
          <w:tblCellSpacing w:w="15" w:type="dxa"/>
        </w:trPr>
        <w:tc>
          <w:tcPr>
            <w:tcW w:w="1197" w:type="dxa"/>
          </w:tcPr>
          <w:p w14:paraId="45FC8AA9" w14:textId="795B7A4C" w:rsidR="00FA7ECB" w:rsidRPr="008D7C84" w:rsidRDefault="00FA7ECB" w:rsidP="00FA7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hAnsi="Arial" w:cs="Arial"/>
                <w:sz w:val="20"/>
                <w:szCs w:val="20"/>
              </w:rPr>
              <w:t>1st</w:t>
            </w:r>
          </w:p>
        </w:tc>
        <w:tc>
          <w:tcPr>
            <w:tcW w:w="996" w:type="dxa"/>
            <w:vAlign w:val="center"/>
          </w:tcPr>
          <w:p w14:paraId="046050F6" w14:textId="7844A1C0" w:rsidR="00FA7ECB" w:rsidRPr="008D7C84" w:rsidRDefault="00FA7ECB" w:rsidP="00FA7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3.65×10⁶</w:t>
            </w:r>
          </w:p>
        </w:tc>
        <w:tc>
          <w:tcPr>
            <w:tcW w:w="1671" w:type="dxa"/>
            <w:vAlign w:val="center"/>
          </w:tcPr>
          <w:p w14:paraId="7E0E9F7E" w14:textId="10EDA48C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4.27×10⁵</w:t>
            </w:r>
          </w:p>
        </w:tc>
        <w:tc>
          <w:tcPr>
            <w:tcW w:w="1191" w:type="dxa"/>
            <w:vAlign w:val="center"/>
          </w:tcPr>
          <w:p w14:paraId="12099279" w14:textId="0F8E8683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4.90×10⁵</w:t>
            </w:r>
          </w:p>
        </w:tc>
        <w:tc>
          <w:tcPr>
            <w:tcW w:w="951" w:type="dxa"/>
            <w:vAlign w:val="center"/>
          </w:tcPr>
          <w:p w14:paraId="1444DC70" w14:textId="29462BC3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2.99×10⁵</w:t>
            </w:r>
          </w:p>
        </w:tc>
        <w:tc>
          <w:tcPr>
            <w:tcW w:w="0" w:type="auto"/>
            <w:vAlign w:val="center"/>
          </w:tcPr>
          <w:p w14:paraId="30C97C2C" w14:textId="77777777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</w:tcPr>
          <w:p w14:paraId="3CAD6266" w14:textId="77777777" w:rsidR="00FA7ECB" w:rsidRPr="008D7C84" w:rsidRDefault="00FA7ECB" w:rsidP="00FA7E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Absence ​</w:t>
            </w:r>
          </w:p>
        </w:tc>
      </w:tr>
      <w:tr w:rsidR="00FA7ECB" w:rsidRPr="008D7C84" w14:paraId="553D8E12" w14:textId="77777777" w:rsidTr="00EC4110">
        <w:trPr>
          <w:trHeight w:val="272"/>
          <w:tblCellSpacing w:w="15" w:type="dxa"/>
        </w:trPr>
        <w:tc>
          <w:tcPr>
            <w:tcW w:w="1197" w:type="dxa"/>
          </w:tcPr>
          <w:p w14:paraId="66B2BA8F" w14:textId="65D8E9C3" w:rsidR="00FA7ECB" w:rsidRPr="008D7C84" w:rsidRDefault="00FA7ECB" w:rsidP="00FA7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hAnsi="Arial" w:cs="Arial"/>
                <w:sz w:val="20"/>
                <w:szCs w:val="20"/>
              </w:rPr>
              <w:t>3rd</w:t>
            </w:r>
          </w:p>
        </w:tc>
        <w:tc>
          <w:tcPr>
            <w:tcW w:w="996" w:type="dxa"/>
            <w:vAlign w:val="center"/>
          </w:tcPr>
          <w:p w14:paraId="71ABDE82" w14:textId="60E8E404" w:rsidR="00FA7ECB" w:rsidRPr="008D7C84" w:rsidRDefault="00FA7ECB" w:rsidP="00FA7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2.45×10⁵</w:t>
            </w:r>
          </w:p>
        </w:tc>
        <w:tc>
          <w:tcPr>
            <w:tcW w:w="1671" w:type="dxa"/>
            <w:vAlign w:val="center"/>
          </w:tcPr>
          <w:p w14:paraId="698403E8" w14:textId="5A99656E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4.94×10⁴</w:t>
            </w:r>
          </w:p>
        </w:tc>
        <w:tc>
          <w:tcPr>
            <w:tcW w:w="1191" w:type="dxa"/>
            <w:vAlign w:val="center"/>
          </w:tcPr>
          <w:p w14:paraId="0896BDAA" w14:textId="2C4A1476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4.48×10⁴</w:t>
            </w:r>
          </w:p>
        </w:tc>
        <w:tc>
          <w:tcPr>
            <w:tcW w:w="951" w:type="dxa"/>
            <w:vAlign w:val="center"/>
          </w:tcPr>
          <w:p w14:paraId="19F6E931" w14:textId="0325EF8F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4.55×10⁴</w:t>
            </w:r>
          </w:p>
        </w:tc>
        <w:tc>
          <w:tcPr>
            <w:tcW w:w="0" w:type="auto"/>
            <w:vAlign w:val="center"/>
          </w:tcPr>
          <w:p w14:paraId="305CCCC0" w14:textId="77777777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</w:tcPr>
          <w:p w14:paraId="7327B451" w14:textId="77777777" w:rsidR="00FA7ECB" w:rsidRPr="008D7C84" w:rsidRDefault="00FA7ECB" w:rsidP="00FA7E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Absence ​</w:t>
            </w:r>
          </w:p>
        </w:tc>
      </w:tr>
      <w:tr w:rsidR="00FA7ECB" w:rsidRPr="008D7C84" w14:paraId="1B03689F" w14:textId="77777777" w:rsidTr="00EC4110">
        <w:trPr>
          <w:trHeight w:val="272"/>
          <w:tblCellSpacing w:w="15" w:type="dxa"/>
        </w:trPr>
        <w:tc>
          <w:tcPr>
            <w:tcW w:w="1197" w:type="dxa"/>
          </w:tcPr>
          <w:p w14:paraId="3580321D" w14:textId="2BF36E6D" w:rsidR="00FA7ECB" w:rsidRPr="008D7C84" w:rsidRDefault="00FA7ECB" w:rsidP="00FA7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hAnsi="Arial" w:cs="Arial"/>
                <w:sz w:val="20"/>
                <w:szCs w:val="20"/>
              </w:rPr>
              <w:t>4th</w:t>
            </w:r>
          </w:p>
        </w:tc>
        <w:tc>
          <w:tcPr>
            <w:tcW w:w="996" w:type="dxa"/>
            <w:vAlign w:val="center"/>
          </w:tcPr>
          <w:p w14:paraId="120F59C1" w14:textId="110DDBFE" w:rsidR="00FA7ECB" w:rsidRPr="008D7C84" w:rsidRDefault="00FA7ECB" w:rsidP="00FA7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7.15×10⁶</w:t>
            </w:r>
          </w:p>
        </w:tc>
        <w:tc>
          <w:tcPr>
            <w:tcW w:w="1671" w:type="dxa"/>
            <w:vAlign w:val="center"/>
          </w:tcPr>
          <w:p w14:paraId="71F30512" w14:textId="608964FC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4.86×10⁵</w:t>
            </w:r>
          </w:p>
        </w:tc>
        <w:tc>
          <w:tcPr>
            <w:tcW w:w="1191" w:type="dxa"/>
            <w:vAlign w:val="center"/>
          </w:tcPr>
          <w:p w14:paraId="13167A14" w14:textId="5E71838A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2.71×10⁵</w:t>
            </w:r>
          </w:p>
        </w:tc>
        <w:tc>
          <w:tcPr>
            <w:tcW w:w="951" w:type="dxa"/>
            <w:vAlign w:val="center"/>
          </w:tcPr>
          <w:p w14:paraId="60561287" w14:textId="52F547A6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5.43×10⁵</w:t>
            </w:r>
          </w:p>
        </w:tc>
        <w:tc>
          <w:tcPr>
            <w:tcW w:w="0" w:type="auto"/>
            <w:vAlign w:val="center"/>
          </w:tcPr>
          <w:p w14:paraId="6111A6E6" w14:textId="1C53229B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9.1×10²</w:t>
            </w:r>
          </w:p>
        </w:tc>
        <w:tc>
          <w:tcPr>
            <w:tcW w:w="0" w:type="auto"/>
            <w:vAlign w:val="center"/>
          </w:tcPr>
          <w:p w14:paraId="7D3CA7EF" w14:textId="3C6352B9" w:rsidR="00FA7ECB" w:rsidRPr="008D7C84" w:rsidRDefault="00FA7ECB" w:rsidP="00FA7E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Absence</w:t>
            </w:r>
          </w:p>
        </w:tc>
      </w:tr>
      <w:tr w:rsidR="00FA7ECB" w:rsidRPr="008D7C84" w14:paraId="3E20B501" w14:textId="77777777" w:rsidTr="00EC4110">
        <w:trPr>
          <w:trHeight w:val="272"/>
          <w:tblCellSpacing w:w="15" w:type="dxa"/>
        </w:trPr>
        <w:tc>
          <w:tcPr>
            <w:tcW w:w="1197" w:type="dxa"/>
          </w:tcPr>
          <w:p w14:paraId="6CD16BB5" w14:textId="13150D60" w:rsidR="00FA7ECB" w:rsidRPr="008D7C84" w:rsidRDefault="00FA7ECB" w:rsidP="00FA7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hAnsi="Arial" w:cs="Arial"/>
                <w:sz w:val="20"/>
                <w:szCs w:val="20"/>
              </w:rPr>
              <w:t>8th</w:t>
            </w:r>
          </w:p>
        </w:tc>
        <w:tc>
          <w:tcPr>
            <w:tcW w:w="996" w:type="dxa"/>
            <w:vAlign w:val="center"/>
          </w:tcPr>
          <w:p w14:paraId="391DF7B0" w14:textId="076D34D3" w:rsidR="00FA7ECB" w:rsidRPr="008D7C84" w:rsidRDefault="00FA7ECB" w:rsidP="00FA7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5.13×10⁵</w:t>
            </w:r>
          </w:p>
        </w:tc>
        <w:tc>
          <w:tcPr>
            <w:tcW w:w="1671" w:type="dxa"/>
            <w:vAlign w:val="center"/>
          </w:tcPr>
          <w:p w14:paraId="4DB3FB5F" w14:textId="07C34D68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1.29×10⁵</w:t>
            </w:r>
          </w:p>
        </w:tc>
        <w:tc>
          <w:tcPr>
            <w:tcW w:w="1191" w:type="dxa"/>
            <w:vAlign w:val="center"/>
          </w:tcPr>
          <w:p w14:paraId="0CBF3C96" w14:textId="244F1077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1.32×10⁵</w:t>
            </w:r>
          </w:p>
        </w:tc>
        <w:tc>
          <w:tcPr>
            <w:tcW w:w="951" w:type="dxa"/>
            <w:vAlign w:val="center"/>
          </w:tcPr>
          <w:p w14:paraId="1F840E80" w14:textId="45B867B4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2.04×10⁴</w:t>
            </w:r>
          </w:p>
        </w:tc>
        <w:tc>
          <w:tcPr>
            <w:tcW w:w="0" w:type="auto"/>
            <w:vAlign w:val="center"/>
          </w:tcPr>
          <w:p w14:paraId="282D0D55" w14:textId="77777777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</w:tcPr>
          <w:p w14:paraId="63653EA2" w14:textId="77777777" w:rsidR="00FA7ECB" w:rsidRPr="008D7C84" w:rsidRDefault="00FA7ECB" w:rsidP="00FA7E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Absence ​</w:t>
            </w:r>
          </w:p>
        </w:tc>
      </w:tr>
      <w:tr w:rsidR="00FA7ECB" w:rsidRPr="008D7C84" w14:paraId="1D116521" w14:textId="77777777" w:rsidTr="00EC4110">
        <w:trPr>
          <w:trHeight w:val="272"/>
          <w:tblCellSpacing w:w="15" w:type="dxa"/>
        </w:trPr>
        <w:tc>
          <w:tcPr>
            <w:tcW w:w="1197" w:type="dxa"/>
          </w:tcPr>
          <w:p w14:paraId="07CCAD46" w14:textId="33B71176" w:rsidR="00FA7ECB" w:rsidRPr="008D7C84" w:rsidRDefault="00FA7ECB" w:rsidP="00FA7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hAnsi="Arial" w:cs="Arial"/>
                <w:sz w:val="20"/>
                <w:szCs w:val="20"/>
              </w:rPr>
              <w:t>9th</w:t>
            </w:r>
          </w:p>
        </w:tc>
        <w:tc>
          <w:tcPr>
            <w:tcW w:w="996" w:type="dxa"/>
            <w:vAlign w:val="center"/>
          </w:tcPr>
          <w:p w14:paraId="52201BF6" w14:textId="4F0EDAEF" w:rsidR="00FA7ECB" w:rsidRPr="008D7C84" w:rsidRDefault="00FA7ECB" w:rsidP="00FA7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5.41×10⁵</w:t>
            </w:r>
          </w:p>
        </w:tc>
        <w:tc>
          <w:tcPr>
            <w:tcW w:w="1671" w:type="dxa"/>
            <w:vAlign w:val="center"/>
          </w:tcPr>
          <w:p w14:paraId="34DD9BC9" w14:textId="3E27ED31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1.68×10⁵</w:t>
            </w:r>
          </w:p>
        </w:tc>
        <w:tc>
          <w:tcPr>
            <w:tcW w:w="1191" w:type="dxa"/>
            <w:vAlign w:val="center"/>
          </w:tcPr>
          <w:p w14:paraId="34AE4BAE" w14:textId="5038B392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8.93×10⁴</w:t>
            </w:r>
          </w:p>
        </w:tc>
        <w:tc>
          <w:tcPr>
            <w:tcW w:w="951" w:type="dxa"/>
            <w:vAlign w:val="center"/>
          </w:tcPr>
          <w:p w14:paraId="1D9A2E00" w14:textId="1D2EC98C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1.74×10⁵</w:t>
            </w:r>
          </w:p>
        </w:tc>
        <w:tc>
          <w:tcPr>
            <w:tcW w:w="0" w:type="auto"/>
            <w:vAlign w:val="center"/>
          </w:tcPr>
          <w:p w14:paraId="3EE37D08" w14:textId="77777777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</w:tcPr>
          <w:p w14:paraId="38407D3D" w14:textId="77777777" w:rsidR="00FA7ECB" w:rsidRPr="008D7C84" w:rsidRDefault="00FA7ECB" w:rsidP="00FA7E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Absence ​</w:t>
            </w:r>
          </w:p>
        </w:tc>
      </w:tr>
      <w:tr w:rsidR="00FA7ECB" w:rsidRPr="008D7C84" w14:paraId="52D21A7A" w14:textId="77777777" w:rsidTr="00EC4110">
        <w:trPr>
          <w:trHeight w:val="282"/>
          <w:tblCellSpacing w:w="15" w:type="dxa"/>
        </w:trPr>
        <w:tc>
          <w:tcPr>
            <w:tcW w:w="1197" w:type="dxa"/>
          </w:tcPr>
          <w:p w14:paraId="3F615FE8" w14:textId="6D6E214C" w:rsidR="00FA7ECB" w:rsidRPr="008D7C84" w:rsidRDefault="00FA7ECB" w:rsidP="00FA7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hAnsi="Arial" w:cs="Arial"/>
                <w:sz w:val="20"/>
                <w:szCs w:val="20"/>
              </w:rPr>
              <w:t>10th</w:t>
            </w:r>
          </w:p>
        </w:tc>
        <w:tc>
          <w:tcPr>
            <w:tcW w:w="996" w:type="dxa"/>
            <w:vAlign w:val="center"/>
          </w:tcPr>
          <w:p w14:paraId="15A9149C" w14:textId="66FB5CC9" w:rsidR="00FA7ECB" w:rsidRPr="008D7C84" w:rsidRDefault="00FA7ECB" w:rsidP="00FA7E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5.51×10⁵</w:t>
            </w:r>
          </w:p>
        </w:tc>
        <w:tc>
          <w:tcPr>
            <w:tcW w:w="1671" w:type="dxa"/>
            <w:vAlign w:val="center"/>
          </w:tcPr>
          <w:p w14:paraId="12886989" w14:textId="71D1E4B0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2.38×10⁵</w:t>
            </w:r>
          </w:p>
        </w:tc>
        <w:tc>
          <w:tcPr>
            <w:tcW w:w="1191" w:type="dxa"/>
            <w:vAlign w:val="center"/>
          </w:tcPr>
          <w:p w14:paraId="16455D7A" w14:textId="031F5168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6.04×10⁴</w:t>
            </w:r>
          </w:p>
        </w:tc>
        <w:tc>
          <w:tcPr>
            <w:tcW w:w="951" w:type="dxa"/>
            <w:vAlign w:val="center"/>
          </w:tcPr>
          <w:p w14:paraId="7E1FC757" w14:textId="636A0378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1.68×10⁴</w:t>
            </w:r>
          </w:p>
        </w:tc>
        <w:tc>
          <w:tcPr>
            <w:tcW w:w="0" w:type="auto"/>
            <w:vAlign w:val="center"/>
          </w:tcPr>
          <w:p w14:paraId="242F5363" w14:textId="77777777" w:rsidR="00FA7ECB" w:rsidRPr="008D7C84" w:rsidRDefault="00FA7ECB" w:rsidP="00EC41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</w:tcPr>
          <w:p w14:paraId="469EBD54" w14:textId="77777777" w:rsidR="00FA7ECB" w:rsidRPr="008D7C84" w:rsidRDefault="00FA7ECB" w:rsidP="00FA7E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D7C84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Absence ​</w:t>
            </w:r>
          </w:p>
        </w:tc>
      </w:tr>
    </w:tbl>
    <w:p w14:paraId="614EA7CA" w14:textId="77777777" w:rsidR="00AD776A" w:rsidRDefault="00AD776A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2187D8AF" w14:textId="77777777" w:rsidR="00AD776A" w:rsidRPr="00B16247" w:rsidRDefault="007D37A3">
      <w:pPr>
        <w:spacing w:after="0" w:line="360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B1624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4. Discussion</w:t>
      </w:r>
    </w:p>
    <w:p w14:paraId="0A5B3D88" w14:textId="0B714120" w:rsidR="00AD776A" w:rsidRPr="008D7C84" w:rsidRDefault="00882697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The high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total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coliforms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thermotolerant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coliforms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and </w:t>
      </w:r>
      <w:r w:rsidRPr="008D7C84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Staphylococcus aureus</w:t>
      </w:r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observed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sheep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meat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sold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N'Djamena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indicate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fecal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human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contamination.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microorganisms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are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classic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indicators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fecal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contamination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linked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impure water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used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during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slaughtering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operations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as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well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to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substandard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slaughtering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conditions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where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carcasses come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into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contact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contaminated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surfaces or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equipment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significant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presence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r w:rsidRPr="008D7C84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S. aureus</w:t>
      </w:r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also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signals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contamination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related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human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handling,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particularly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handling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without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gloves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or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failure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comply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hygiene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rules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during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sale and transport.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findings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are consistent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several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studies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conducted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Africa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particularly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Ghana and Burkina Faso (Johansen et al., </w:t>
      </w:r>
      <w:proofErr w:type="gram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2019;</w:t>
      </w:r>
      <w:proofErr w:type="gram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Diéni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et al., 2019) and Morocco (Mokhtar et al., 2021),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which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also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reported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high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levels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coliforms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r w:rsidRPr="008D7C84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S. aureus</w:t>
      </w:r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sheep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beef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sold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traditional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markets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attributable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inadequate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hygiene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practices. The total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aerobic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mesophilic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flora (TAMF),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which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serves as an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overall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indicator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hygiene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quality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showed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generally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acceptable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load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this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study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  <w:r w:rsidR="002824F7"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This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suggests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average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hygiene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likely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aided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by N'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Djamena's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dry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climate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which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limits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proliferation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molds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yeasts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which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are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traditionally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more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abundant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more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humid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conditions. The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controlled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presence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yeasts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molds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also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observed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here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consistent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this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type of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climatic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environment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However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this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natural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limitation of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molds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does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not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compensate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the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risks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associated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fecal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or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human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bacterial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contamination. The absence of </w:t>
      </w:r>
      <w:r w:rsidRPr="008D7C84">
        <w:rPr>
          <w:rFonts w:ascii="Arial" w:eastAsia="Times New Roman" w:hAnsi="Arial" w:cs="Arial"/>
          <w:i/>
          <w:iCs/>
          <w:kern w:val="0"/>
          <w:sz w:val="20"/>
          <w:szCs w:val="20"/>
          <w:lang w:eastAsia="fr-FR"/>
          <w14:ligatures w14:val="none"/>
        </w:rPr>
        <w:t>Salmonella</w:t>
      </w:r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spp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gram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</w:t>
      </w:r>
      <w:proofErr w:type="gram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all the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samples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analyzed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encouraging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result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as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pathogenic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bacteria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can cause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serious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foodborne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illnesses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Nikiema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2022).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Their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absence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suggests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that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despite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deficiencies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observed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elsewhere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gram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certain production</w:t>
      </w:r>
      <w:proofErr w:type="gram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or handling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steps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limit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proliferation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specific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pathogens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However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the absence of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bacteria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insufficient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guarantee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safety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sheep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meat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Boye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2016). Indeed,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inadequate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storage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particularly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lack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a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sustained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cold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chain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contributes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the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proliferation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other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pathogenic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or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spoilage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microorganisms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. This observation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underscores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importance of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continuous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refrigeration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meat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from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slaughter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sale,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which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often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lacking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the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urban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markets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N'Djamena (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Mayoré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2019).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Furthermore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the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insufficient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training of stakeholders in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food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hygiene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exacerbates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situation,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necessitating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awareness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campaigns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rigorous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training (Sawadogo et al., 2023).</w:t>
      </w:r>
      <w:r w:rsidR="002824F7"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This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study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highlighted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urgent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need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to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improve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hygiene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conditions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throughout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sheep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meat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production and marketing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chain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 N’Djamena.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Priority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actions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include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modernizing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slaughterhouse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infrastructure,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establishing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dynamic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cold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chain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and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mandatory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training for all personnel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involved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in accordance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lastRenderedPageBreak/>
        <w:t xml:space="preserve">international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food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safety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recommendations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(FAO, 2021</w:t>
      </w:r>
      <w:r w:rsidR="00CB5E54"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; Mokhtar et al., 2021).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These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measures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are essential to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limit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the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risk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of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foodborne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illnesses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and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ensure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safe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products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for the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Chadian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ppopulation</w:t>
      </w:r>
      <w:proofErr w:type="spellEnd"/>
      <w:r w:rsidRPr="008D7C8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</w:p>
    <w:p w14:paraId="69542DFF" w14:textId="77777777" w:rsidR="00AD776A" w:rsidRPr="008D7C84" w:rsidRDefault="00AD776A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133E9608" w14:textId="77777777" w:rsidR="00AD776A" w:rsidRDefault="00AD77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30E67FA" w14:textId="77777777" w:rsidR="00AD776A" w:rsidRPr="00B16247" w:rsidRDefault="007D37A3" w:rsidP="00B16247">
      <w:pPr>
        <w:spacing w:after="0" w:line="360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B1624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5. Conclusion</w:t>
      </w:r>
    </w:p>
    <w:p w14:paraId="388F9292" w14:textId="4BAD2D13" w:rsidR="00AD776A" w:rsidRPr="00993C1E" w:rsidRDefault="0055211E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This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study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revealed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an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overall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unsatisfactory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microbiological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quality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fresh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mutton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sold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in the six districts of N’Djamena. The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measured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microbial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loads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particularly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coliforms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and </w:t>
      </w:r>
      <w:r w:rsidRPr="00993C1E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>Staphylococcus aureus</w:t>
      </w:r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were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found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noncompliant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criteria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established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by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Regulation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(EC) No. 2073/2005. This contamination,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primarily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fecal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human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origin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results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a combination of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deficient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practices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identified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through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sociodemographic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observational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surveys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factors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include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informal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slaughter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, the absence of a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dynamic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cold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chain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poor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hygiene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among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meat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handlers. The profile of the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butchers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highlighted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critical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lack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knowledge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regarding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hygiene</w:t>
      </w:r>
      <w:proofErr w:type="spellEnd"/>
      <w:r w:rsidRPr="00993C1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standards.</w:t>
      </w:r>
    </w:p>
    <w:p w14:paraId="02DDD85E" w14:textId="77777777" w:rsidR="00F1519E" w:rsidRDefault="00F1519E" w:rsidP="002824F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3FF240B" w14:textId="77777777" w:rsidR="002824F7" w:rsidRDefault="002824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br w:type="page"/>
      </w:r>
    </w:p>
    <w:p w14:paraId="77AB4799" w14:textId="05863A94" w:rsidR="00AD776A" w:rsidRPr="00B16247" w:rsidRDefault="00B37E92" w:rsidP="00B16247">
      <w:pPr>
        <w:spacing w:after="0" w:line="360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B1624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lastRenderedPageBreak/>
        <w:t>REFERENCES</w:t>
      </w:r>
    </w:p>
    <w:p w14:paraId="65185CF5" w14:textId="58F4ADCF" w:rsidR="002A5357" w:rsidRPr="008D53E7" w:rsidRDefault="008D53E7" w:rsidP="008D53E7">
      <w:pPr>
        <w:pStyle w:val="ListParagraph"/>
        <w:numPr>
          <w:ilvl w:val="0"/>
          <w:numId w:val="2"/>
        </w:numPr>
        <w:spacing w:after="200" w:line="360" w:lineRule="auto"/>
        <w:ind w:right="1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proofErr w:type="spellStart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McNeill</w:t>
      </w:r>
      <w:proofErr w:type="spellEnd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, S. H. (2014). Inclusion of </w:t>
      </w:r>
      <w:proofErr w:type="spellStart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red</w:t>
      </w:r>
      <w:proofErr w:type="spellEnd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meat</w:t>
      </w:r>
      <w:proofErr w:type="spellEnd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in </w:t>
      </w:r>
      <w:proofErr w:type="spellStart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healthful</w:t>
      </w:r>
      <w:proofErr w:type="spellEnd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dietary</w:t>
      </w:r>
      <w:proofErr w:type="spellEnd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patterns. </w:t>
      </w:r>
      <w:proofErr w:type="spellStart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Meat</w:t>
      </w:r>
      <w:proofErr w:type="spellEnd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Science, 98(3), 452–460. </w:t>
      </w:r>
      <w:hyperlink r:id="rId11" w:history="1">
        <w:r w:rsidRPr="00166024">
          <w:rPr>
            <w:rStyle w:val="Hyperlink"/>
            <w:rFonts w:ascii="Arial" w:eastAsia="Calibri" w:hAnsi="Arial" w:cs="Arial"/>
            <w:b/>
            <w:bCs/>
            <w:kern w:val="0"/>
            <w:sz w:val="20"/>
            <w:szCs w:val="20"/>
            <w14:ligatures w14:val="none"/>
          </w:rPr>
          <w:t>https://doi.org/10.1016/j.meatsci.2014.06.028</w:t>
        </w:r>
      </w:hyperlink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5991C582" w14:textId="0A85F330" w:rsidR="002A5357" w:rsidRPr="008D53E7" w:rsidRDefault="002A5357" w:rsidP="002A5357">
      <w:pPr>
        <w:pStyle w:val="ListParagraph"/>
        <w:numPr>
          <w:ilvl w:val="0"/>
          <w:numId w:val="2"/>
        </w:numPr>
        <w:spacing w:after="200" w:line="360" w:lineRule="auto"/>
        <w:ind w:right="1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Henry, A. G., &amp; </w:t>
      </w:r>
      <w:proofErr w:type="spellStart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Piperno</w:t>
      </w:r>
      <w:proofErr w:type="spellEnd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, D. R (2020).</w:t>
      </w:r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Using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plant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microfossils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and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starch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grains to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investigate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early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homini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diets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Current</w:t>
      </w:r>
      <w:proofErr w:type="spellEnd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Anthropology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, 61(S22), S287- S301.</w:t>
      </w:r>
    </w:p>
    <w:p w14:paraId="306A9F2D" w14:textId="31F17772" w:rsidR="002A5357" w:rsidRPr="008D53E7" w:rsidRDefault="002A5357" w:rsidP="002A5357">
      <w:pPr>
        <w:pStyle w:val="ListParagraph"/>
        <w:numPr>
          <w:ilvl w:val="0"/>
          <w:numId w:val="2"/>
        </w:numPr>
        <w:spacing w:after="200" w:line="360" w:lineRule="auto"/>
        <w:ind w:right="1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proofErr w:type="spellStart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Sabaté</w:t>
      </w:r>
      <w:proofErr w:type="spellEnd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, J., </w:t>
      </w:r>
      <w:proofErr w:type="spellStart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Soret</w:t>
      </w:r>
      <w:proofErr w:type="spellEnd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, S., &amp; </w:t>
      </w:r>
      <w:proofErr w:type="spellStart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Harwatt</w:t>
      </w:r>
      <w:proofErr w:type="spellEnd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, H. (2022).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Meat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consumption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and cultural perceptions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trough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history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proofErr w:type="gram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From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luxury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to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necessity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and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sustainability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challenge. Journal of Food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History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and Culture, 18(3), 145-160.</w:t>
      </w:r>
    </w:p>
    <w:p w14:paraId="32C2B5CE" w14:textId="640F063B" w:rsidR="002A5357" w:rsidRPr="008D53E7" w:rsidRDefault="002A5357" w:rsidP="002A5357">
      <w:pPr>
        <w:pStyle w:val="ListParagraph"/>
        <w:numPr>
          <w:ilvl w:val="0"/>
          <w:numId w:val="2"/>
        </w:numPr>
        <w:spacing w:after="200" w:line="360" w:lineRule="auto"/>
        <w:ind w:right="1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Baas, S., Koffi, A., &amp; Mensah, P. (2020). </w:t>
      </w:r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Cultural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significance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and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consumption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patterns of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sheep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meat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in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African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pastoral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societies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Journal of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Ethnobiology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and Food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Studies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, 15(1), 45-60.</w:t>
      </w:r>
    </w:p>
    <w:p w14:paraId="1AC30B94" w14:textId="7281B907" w:rsidR="002A5357" w:rsidRPr="008D53E7" w:rsidRDefault="002A5357" w:rsidP="002A5357">
      <w:pPr>
        <w:pStyle w:val="ListParagraph"/>
        <w:numPr>
          <w:ilvl w:val="0"/>
          <w:numId w:val="2"/>
        </w:numPr>
        <w:spacing w:after="200" w:line="360" w:lineRule="auto"/>
        <w:ind w:right="1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Diouf, M., Traoré, A., &amp; Kouyaté, I. (2020).</w:t>
      </w:r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Patterns and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determinants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of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sheep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meat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consumption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in </w:t>
      </w:r>
      <w:proofErr w:type="spellStart"/>
      <w:proofErr w:type="gram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Africa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proofErr w:type="gram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Cultural,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economic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and social perspectives.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African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Journal Pf Food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Studies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, 12(2), 85-98.</w:t>
      </w:r>
    </w:p>
    <w:p w14:paraId="5B3C7E43" w14:textId="00578AC4" w:rsidR="002A5357" w:rsidRPr="008D53E7" w:rsidRDefault="002A5357" w:rsidP="008D53E7">
      <w:pPr>
        <w:pStyle w:val="ListParagraph"/>
        <w:numPr>
          <w:ilvl w:val="0"/>
          <w:numId w:val="2"/>
        </w:numPr>
        <w:spacing w:after="200" w:line="360" w:lineRule="auto"/>
        <w:ind w:right="1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FAO. (2021).</w:t>
      </w:r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Sheep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production and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consumption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in </w:t>
      </w:r>
      <w:proofErr w:type="gram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Chad:</w:t>
      </w:r>
      <w:proofErr w:type="gram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Economic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and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nutritional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perspectives.Rome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: Food and culture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Organization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of the United Nations. </w:t>
      </w:r>
      <w:hyperlink r:id="rId12" w:history="1">
        <w:r w:rsidRPr="008D53E7">
          <w:rPr>
            <w:rFonts w:ascii="Arial" w:eastAsia="Calibri" w:hAnsi="Arial" w:cs="Arial"/>
            <w:color w:val="0563C1"/>
            <w:kern w:val="0"/>
            <w:sz w:val="20"/>
            <w:szCs w:val="20"/>
            <w:u w:val="single"/>
            <w14:ligatures w14:val="none"/>
          </w:rPr>
          <w:t>https://www.fao.org/publications</w:t>
        </w:r>
      </w:hyperlink>
    </w:p>
    <w:p w14:paraId="79C5DD68" w14:textId="588C9225" w:rsidR="002A5357" w:rsidRPr="008D53E7" w:rsidRDefault="002A5357" w:rsidP="002A5357">
      <w:pPr>
        <w:pStyle w:val="ListParagraph"/>
        <w:numPr>
          <w:ilvl w:val="0"/>
          <w:numId w:val="2"/>
        </w:numPr>
        <w:tabs>
          <w:tab w:val="left" w:pos="425"/>
        </w:tabs>
        <w:spacing w:after="200" w:line="360" w:lineRule="auto"/>
        <w:ind w:right="1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proofErr w:type="spellStart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Ardjoune</w:t>
      </w:r>
      <w:proofErr w:type="spellEnd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, T. (2021).</w:t>
      </w:r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La Consommation de la viande ovine et ses dimensions culturelles au Tchad.</w:t>
      </w:r>
    </w:p>
    <w:p w14:paraId="478C4BFB" w14:textId="7750B83F" w:rsidR="002A5357" w:rsidRPr="008D53E7" w:rsidRDefault="009D0E3A" w:rsidP="009D0E3A">
      <w:pPr>
        <w:pStyle w:val="ListParagraph"/>
        <w:numPr>
          <w:ilvl w:val="0"/>
          <w:numId w:val="2"/>
        </w:numPr>
        <w:spacing w:after="200" w:line="360" w:lineRule="auto"/>
        <w:ind w:right="1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proofErr w:type="spellStart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Dieni</w:t>
      </w:r>
      <w:proofErr w:type="spellEnd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, I., Bagré, T. S., Traoré, K. A., Zongo, O., </w:t>
      </w:r>
      <w:proofErr w:type="spellStart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Tapsoba</w:t>
      </w:r>
      <w:proofErr w:type="spellEnd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, F., </w:t>
      </w:r>
      <w:proofErr w:type="spellStart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Bazie</w:t>
      </w:r>
      <w:proofErr w:type="spellEnd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, B. S. R., </w:t>
      </w:r>
      <w:proofErr w:type="spellStart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Nikiema</w:t>
      </w:r>
      <w:proofErr w:type="spellEnd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, M. E. M., Sawadogo, A., &amp; Barro, N. (2022). Heavy </w:t>
      </w:r>
      <w:proofErr w:type="spellStart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metals</w:t>
      </w:r>
      <w:proofErr w:type="spellEnd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and </w:t>
      </w:r>
      <w:proofErr w:type="spellStart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pathogenic</w:t>
      </w:r>
      <w:proofErr w:type="spellEnd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bacteria</w:t>
      </w:r>
      <w:proofErr w:type="spellEnd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detected</w:t>
      </w:r>
      <w:proofErr w:type="spellEnd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in </w:t>
      </w:r>
      <w:proofErr w:type="spellStart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fermented</w:t>
      </w:r>
      <w:proofErr w:type="spellEnd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cassava</w:t>
      </w:r>
      <w:proofErr w:type="spellEnd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dough</w:t>
      </w:r>
      <w:proofErr w:type="spellEnd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and attiéké </w:t>
      </w:r>
      <w:proofErr w:type="spellStart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sold</w:t>
      </w:r>
      <w:proofErr w:type="spellEnd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in Ouagadougou, Burkina Faso. International Journal of </w:t>
      </w:r>
      <w:proofErr w:type="spellStart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Biological</w:t>
      </w:r>
      <w:proofErr w:type="spellEnd"/>
      <w:r w:rsidRPr="009D0E3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and Chemical Sciences, 16(5), 2212-2218. </w:t>
      </w:r>
      <w:hyperlink r:id="rId13" w:history="1">
        <w:r w:rsidRPr="00166024">
          <w:rPr>
            <w:rStyle w:val="Hyperlink"/>
            <w:rFonts w:ascii="Arial" w:eastAsia="Calibri" w:hAnsi="Arial" w:cs="Arial"/>
            <w:b/>
            <w:bCs/>
            <w:kern w:val="0"/>
            <w:sz w:val="20"/>
            <w:szCs w:val="20"/>
            <w14:ligatures w14:val="none"/>
          </w:rPr>
          <w:t>https://doi.org/10.4314/ijbcs.v16i5.30</w:t>
        </w:r>
      </w:hyperlink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2D17926F" w14:textId="394352D0" w:rsidR="002A5357" w:rsidRPr="008D53E7" w:rsidRDefault="00B01076" w:rsidP="00B01076">
      <w:pPr>
        <w:pStyle w:val="ListParagraph"/>
        <w:numPr>
          <w:ilvl w:val="0"/>
          <w:numId w:val="2"/>
        </w:numPr>
        <w:spacing w:after="200" w:line="360" w:lineRule="auto"/>
        <w:ind w:right="1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Johansen, P. G., Owusu-</w:t>
      </w:r>
      <w:proofErr w:type="spellStart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Kwarteng</w:t>
      </w:r>
      <w:proofErr w:type="spellEnd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, J., </w:t>
      </w:r>
      <w:proofErr w:type="spellStart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Parkouda</w:t>
      </w:r>
      <w:proofErr w:type="spellEnd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, C., </w:t>
      </w:r>
      <w:proofErr w:type="spellStart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Padonou</w:t>
      </w:r>
      <w:proofErr w:type="spellEnd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, S. W., &amp; Jespersen, L. (2019). Occurrence and importance of </w:t>
      </w:r>
      <w:proofErr w:type="spellStart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yeasts</w:t>
      </w:r>
      <w:proofErr w:type="spellEnd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in </w:t>
      </w:r>
      <w:proofErr w:type="spellStart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indigenous</w:t>
      </w:r>
      <w:proofErr w:type="spellEnd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fermented</w:t>
      </w:r>
      <w:proofErr w:type="spellEnd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food</w:t>
      </w:r>
      <w:proofErr w:type="spellEnd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and </w:t>
      </w:r>
      <w:proofErr w:type="spellStart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beverages</w:t>
      </w:r>
      <w:proofErr w:type="spellEnd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produced</w:t>
      </w:r>
      <w:proofErr w:type="spellEnd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in </w:t>
      </w:r>
      <w:proofErr w:type="spellStart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sub-Saharan</w:t>
      </w:r>
      <w:proofErr w:type="spellEnd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Africa</w:t>
      </w:r>
      <w:proofErr w:type="spellEnd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. </w:t>
      </w:r>
      <w:proofErr w:type="spellStart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Frontiers</w:t>
      </w:r>
      <w:proofErr w:type="spellEnd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in </w:t>
      </w:r>
      <w:proofErr w:type="spellStart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microbiology</w:t>
      </w:r>
      <w:proofErr w:type="spellEnd"/>
      <w:r w:rsidRPr="00B010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, 10, 1789. </w:t>
      </w:r>
      <w:hyperlink r:id="rId14" w:history="1">
        <w:r w:rsidRPr="00166024">
          <w:rPr>
            <w:rStyle w:val="Hyperlink"/>
            <w:rFonts w:ascii="Arial" w:eastAsia="Calibri" w:hAnsi="Arial" w:cs="Arial"/>
            <w:b/>
            <w:bCs/>
            <w:kern w:val="0"/>
            <w:sz w:val="20"/>
            <w:szCs w:val="20"/>
            <w14:ligatures w14:val="none"/>
          </w:rPr>
          <w:t>https://doi.org/10.3389/fmicb.2019.01789</w:t>
        </w:r>
      </w:hyperlink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0FF01CC8" w14:textId="163FFF5C" w:rsidR="002A5357" w:rsidRPr="008D53E7" w:rsidRDefault="002A5357" w:rsidP="002A5357">
      <w:pPr>
        <w:pStyle w:val="ListParagraph"/>
        <w:numPr>
          <w:ilvl w:val="0"/>
          <w:numId w:val="2"/>
        </w:numPr>
        <w:spacing w:after="200" w:line="360" w:lineRule="auto"/>
        <w:ind w:right="1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proofErr w:type="spellStart"/>
      <w:proofErr w:type="gramStart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Mokhtari,W</w:t>
      </w:r>
      <w:proofErr w:type="spellEnd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</w:t>
      </w:r>
      <w:proofErr w:type="gramEnd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Ezzouhouri</w:t>
      </w:r>
      <w:proofErr w:type="spellEnd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, L., &amp; El Ouali </w:t>
      </w:r>
      <w:proofErr w:type="spellStart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Lalami</w:t>
      </w:r>
      <w:proofErr w:type="spellEnd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, A. (2021).</w:t>
      </w:r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Microbiological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quality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of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red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meat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sold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in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traditional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markets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in Morocco. Journal of Food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Quality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, 2021, 1-7.</w:t>
      </w:r>
    </w:p>
    <w:p w14:paraId="0480F1EE" w14:textId="60D20F73" w:rsidR="007C4974" w:rsidRPr="008D53E7" w:rsidRDefault="002A5357" w:rsidP="008D53E7">
      <w:pPr>
        <w:pStyle w:val="ListParagraph"/>
        <w:numPr>
          <w:ilvl w:val="0"/>
          <w:numId w:val="2"/>
        </w:numPr>
        <w:spacing w:after="200" w:line="360" w:lineRule="auto"/>
        <w:ind w:right="1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proofErr w:type="spellStart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Nikiema</w:t>
      </w:r>
      <w:proofErr w:type="spellEnd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, M.E.M. 2022</w:t>
      </w:r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 Caractérisations phénotypique et génotypique des souches de salmonella non typhi et non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paratyphi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d’origines alimentaire et humaine au Burkina Faso. Thèse de Doctorat Unique, Université Joseph KI-ZERBO, 195p.</w:t>
      </w:r>
    </w:p>
    <w:p w14:paraId="61F1A410" w14:textId="2F35B067" w:rsidR="002A5357" w:rsidRPr="008D53E7" w:rsidRDefault="005520D9" w:rsidP="005520D9">
      <w:pPr>
        <w:pStyle w:val="ListParagraph"/>
        <w:numPr>
          <w:ilvl w:val="0"/>
          <w:numId w:val="2"/>
        </w:numPr>
        <w:tabs>
          <w:tab w:val="left" w:pos="425"/>
        </w:tabs>
        <w:spacing w:after="200" w:line="360" w:lineRule="auto"/>
        <w:ind w:right="1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520D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Diawara, A. (2016). *Evaluation de la qualité bactériologique des viandes bovine et ovine produites aux abattoirs de Dakar (Sénégal)* (Doctoral dissertation, UNIVERSITE CHEIKH ANTA DIOP DE DAKAR). </w:t>
      </w:r>
      <w:hyperlink r:id="rId15" w:history="1">
        <w:r w:rsidRPr="00166024">
          <w:rPr>
            <w:rStyle w:val="Hyperlink"/>
            <w:rFonts w:ascii="Arial" w:eastAsia="Calibri" w:hAnsi="Arial" w:cs="Arial"/>
            <w:b/>
            <w:bCs/>
            <w:kern w:val="0"/>
            <w:sz w:val="20"/>
            <w:szCs w:val="20"/>
            <w14:ligatures w14:val="none"/>
          </w:rPr>
          <w:t>https://www.sid-eismv.org/index.php?lvl=notice_display&amp;id=1960</w:t>
        </w:r>
      </w:hyperlink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60388CE7" w14:textId="6D798D1E" w:rsidR="002A5357" w:rsidRPr="008D53E7" w:rsidRDefault="002A5357" w:rsidP="008D53E7">
      <w:pPr>
        <w:pStyle w:val="ListParagraph"/>
        <w:numPr>
          <w:ilvl w:val="0"/>
          <w:numId w:val="2"/>
        </w:numPr>
        <w:tabs>
          <w:tab w:val="left" w:pos="425"/>
        </w:tabs>
        <w:spacing w:after="200" w:line="360" w:lineRule="auto"/>
        <w:ind w:right="1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proofErr w:type="spellStart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Mayoré</w:t>
      </w:r>
      <w:proofErr w:type="spellEnd"/>
      <w:r w:rsidRPr="008D53E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, A.D., 2019</w:t>
      </w:r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Caractéristiques sanitaires et antibiorésistance des souches pathogènes isolées des aliments de rue dans la ville de N’Djaména (TCHAD). Thèse de Doctorat unique, Université </w:t>
      </w:r>
      <w:proofErr w:type="spellStart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>Josepk</w:t>
      </w:r>
      <w:proofErr w:type="spellEnd"/>
      <w:r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KI-ZERBO, Burkina Faso, 191p.</w:t>
      </w:r>
    </w:p>
    <w:p w14:paraId="7482575A" w14:textId="2FD8C391" w:rsidR="002A5357" w:rsidRPr="008D53E7" w:rsidRDefault="009A6271" w:rsidP="009A6271">
      <w:pPr>
        <w:pStyle w:val="ListParagraph"/>
        <w:numPr>
          <w:ilvl w:val="0"/>
          <w:numId w:val="2"/>
        </w:numPr>
        <w:tabs>
          <w:tab w:val="left" w:pos="425"/>
        </w:tabs>
        <w:spacing w:after="200" w:line="360" w:lineRule="auto"/>
        <w:ind w:right="1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lastRenderedPageBreak/>
        <w:t xml:space="preserve">Sawadogo, A., </w:t>
      </w:r>
      <w:proofErr w:type="spellStart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Kagambèga</w:t>
      </w:r>
      <w:proofErr w:type="spellEnd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, A., Soro, D., </w:t>
      </w:r>
      <w:proofErr w:type="spellStart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Bognini</w:t>
      </w:r>
      <w:proofErr w:type="spellEnd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, H., </w:t>
      </w:r>
      <w:proofErr w:type="spellStart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Dione</w:t>
      </w:r>
      <w:proofErr w:type="spellEnd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, M., Cissé, H., </w:t>
      </w:r>
      <w:proofErr w:type="spellStart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Dieni</w:t>
      </w:r>
      <w:proofErr w:type="spellEnd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, I., &amp; Barro, N. (2023). </w:t>
      </w:r>
      <w:proofErr w:type="spellStart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Prevalence</w:t>
      </w:r>
      <w:proofErr w:type="spellEnd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antibiotic</w:t>
      </w:r>
      <w:proofErr w:type="spellEnd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resistance</w:t>
      </w:r>
      <w:proofErr w:type="spellEnd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of Staphylococcus aureus </w:t>
      </w:r>
      <w:proofErr w:type="spellStart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isolated</w:t>
      </w:r>
      <w:proofErr w:type="spellEnd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from</w:t>
      </w:r>
      <w:proofErr w:type="spellEnd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layer </w:t>
      </w:r>
      <w:proofErr w:type="spellStart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farms</w:t>
      </w:r>
      <w:proofErr w:type="spellEnd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(</w:t>
      </w:r>
      <w:proofErr w:type="spellStart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eggs</w:t>
      </w:r>
      <w:proofErr w:type="spellEnd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droppings</w:t>
      </w:r>
      <w:proofErr w:type="spellEnd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/</w:t>
      </w:r>
      <w:proofErr w:type="spellStart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litter</w:t>
      </w:r>
      <w:proofErr w:type="spellEnd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) in the </w:t>
      </w:r>
      <w:proofErr w:type="spellStart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outskirts</w:t>
      </w:r>
      <w:proofErr w:type="spellEnd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of the city of Ouagadougou, Burkina Faso. </w:t>
      </w:r>
      <w:proofErr w:type="spellStart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African</w:t>
      </w:r>
      <w:proofErr w:type="spellEnd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Journal of </w:t>
      </w:r>
      <w:proofErr w:type="spellStart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Microbiology</w:t>
      </w:r>
      <w:proofErr w:type="spellEnd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Research</w:t>
      </w:r>
      <w:proofErr w:type="spellEnd"/>
      <w:r w:rsidRPr="009A62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. </w:t>
      </w:r>
      <w:hyperlink r:id="rId16" w:history="1">
        <w:r w:rsidRPr="00166024">
          <w:rPr>
            <w:rStyle w:val="Hyperlink"/>
            <w:rFonts w:ascii="Arial" w:eastAsia="Calibri" w:hAnsi="Arial" w:cs="Arial"/>
            <w:b/>
            <w:bCs/>
            <w:kern w:val="0"/>
            <w:sz w:val="20"/>
            <w:szCs w:val="20"/>
            <w14:ligatures w14:val="none"/>
          </w:rPr>
          <w:t>https://doi.org/10.5897/AJMR2023.9728</w:t>
        </w:r>
      </w:hyperlink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2A5357" w:rsidRPr="008D53E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</w:t>
      </w:r>
    </w:p>
    <w:sectPr w:rsidR="002A5357" w:rsidRPr="008D53E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F68F8" w14:textId="77777777" w:rsidR="009E0665" w:rsidRDefault="009E0665">
      <w:pPr>
        <w:spacing w:line="240" w:lineRule="auto"/>
      </w:pPr>
      <w:r>
        <w:separator/>
      </w:r>
    </w:p>
  </w:endnote>
  <w:endnote w:type="continuationSeparator" w:id="0">
    <w:p w14:paraId="017D89DA" w14:textId="77777777" w:rsidR="009E0665" w:rsidRDefault="009E0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B8740" w14:textId="77777777" w:rsidR="008921A1" w:rsidRDefault="008921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37978" w14:textId="77777777" w:rsidR="008921A1" w:rsidRDefault="00892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4C203" w14:textId="77777777" w:rsidR="008921A1" w:rsidRDefault="00892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D8641" w14:textId="77777777" w:rsidR="009E0665" w:rsidRDefault="009E0665">
      <w:pPr>
        <w:spacing w:after="0"/>
      </w:pPr>
      <w:r>
        <w:separator/>
      </w:r>
    </w:p>
  </w:footnote>
  <w:footnote w:type="continuationSeparator" w:id="0">
    <w:p w14:paraId="0CA34AE9" w14:textId="77777777" w:rsidR="009E0665" w:rsidRDefault="009E06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629C0" w14:textId="3C2CECC7" w:rsidR="008921A1" w:rsidRDefault="008921A1">
    <w:pPr>
      <w:pStyle w:val="Header"/>
    </w:pPr>
    <w:r>
      <w:rPr>
        <w:noProof/>
      </w:rPr>
      <w:pict w14:anchorId="0E966E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726657" o:spid="_x0000_s2050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0273F" w14:textId="140B4C64" w:rsidR="008921A1" w:rsidRDefault="008921A1">
    <w:pPr>
      <w:pStyle w:val="Header"/>
    </w:pPr>
    <w:r>
      <w:rPr>
        <w:noProof/>
      </w:rPr>
      <w:pict w14:anchorId="63A38A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726658" o:spid="_x0000_s2051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3CF09" w14:textId="3423F913" w:rsidR="008921A1" w:rsidRDefault="008921A1">
    <w:pPr>
      <w:pStyle w:val="Header"/>
    </w:pPr>
    <w:r>
      <w:rPr>
        <w:noProof/>
      </w:rPr>
      <w:pict w14:anchorId="5E4C67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726656" o:spid="_x0000_s2049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1F0FCA"/>
    <w:multiLevelType w:val="singleLevel"/>
    <w:tmpl w:val="BD1F0F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A523CB1"/>
    <w:multiLevelType w:val="hybridMultilevel"/>
    <w:tmpl w:val="23D4C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CDE"/>
    <w:rsid w:val="00010547"/>
    <w:rsid w:val="0003771F"/>
    <w:rsid w:val="0006706E"/>
    <w:rsid w:val="0009699D"/>
    <w:rsid w:val="001037AD"/>
    <w:rsid w:val="00111FE1"/>
    <w:rsid w:val="00122A87"/>
    <w:rsid w:val="00174D6E"/>
    <w:rsid w:val="00193EE6"/>
    <w:rsid w:val="001C3D0C"/>
    <w:rsid w:val="002145E9"/>
    <w:rsid w:val="0022357D"/>
    <w:rsid w:val="0023344B"/>
    <w:rsid w:val="002368C3"/>
    <w:rsid w:val="0024464A"/>
    <w:rsid w:val="0025118C"/>
    <w:rsid w:val="00263497"/>
    <w:rsid w:val="002720B3"/>
    <w:rsid w:val="002824F7"/>
    <w:rsid w:val="002835F8"/>
    <w:rsid w:val="002A26D1"/>
    <w:rsid w:val="002A5357"/>
    <w:rsid w:val="002B1624"/>
    <w:rsid w:val="002D2C4C"/>
    <w:rsid w:val="002D2F3E"/>
    <w:rsid w:val="002D6E9A"/>
    <w:rsid w:val="003251B8"/>
    <w:rsid w:val="003253C3"/>
    <w:rsid w:val="00337E32"/>
    <w:rsid w:val="00371649"/>
    <w:rsid w:val="003803E1"/>
    <w:rsid w:val="00384089"/>
    <w:rsid w:val="0039113F"/>
    <w:rsid w:val="00393F0B"/>
    <w:rsid w:val="003A28A1"/>
    <w:rsid w:val="003D0674"/>
    <w:rsid w:val="003D1FC0"/>
    <w:rsid w:val="00403F8A"/>
    <w:rsid w:val="00412757"/>
    <w:rsid w:val="00431EAF"/>
    <w:rsid w:val="004529B7"/>
    <w:rsid w:val="00467214"/>
    <w:rsid w:val="00471304"/>
    <w:rsid w:val="004801EF"/>
    <w:rsid w:val="004818C2"/>
    <w:rsid w:val="004A6A42"/>
    <w:rsid w:val="004B11A2"/>
    <w:rsid w:val="004B1966"/>
    <w:rsid w:val="004E610D"/>
    <w:rsid w:val="004E6B78"/>
    <w:rsid w:val="00507ED6"/>
    <w:rsid w:val="00513302"/>
    <w:rsid w:val="00517D65"/>
    <w:rsid w:val="005274D3"/>
    <w:rsid w:val="0053051E"/>
    <w:rsid w:val="005520D9"/>
    <w:rsid w:val="0055211E"/>
    <w:rsid w:val="00577600"/>
    <w:rsid w:val="005855B4"/>
    <w:rsid w:val="005858ED"/>
    <w:rsid w:val="0059196C"/>
    <w:rsid w:val="00591EE2"/>
    <w:rsid w:val="0059675E"/>
    <w:rsid w:val="005B2699"/>
    <w:rsid w:val="005C28CB"/>
    <w:rsid w:val="005C4FF3"/>
    <w:rsid w:val="005C5338"/>
    <w:rsid w:val="005C5E60"/>
    <w:rsid w:val="005D0941"/>
    <w:rsid w:val="005E1F83"/>
    <w:rsid w:val="005E3F1A"/>
    <w:rsid w:val="006131B4"/>
    <w:rsid w:val="00622281"/>
    <w:rsid w:val="00625528"/>
    <w:rsid w:val="00627194"/>
    <w:rsid w:val="0063424A"/>
    <w:rsid w:val="00634F70"/>
    <w:rsid w:val="00640591"/>
    <w:rsid w:val="00667612"/>
    <w:rsid w:val="006763D7"/>
    <w:rsid w:val="0067780A"/>
    <w:rsid w:val="00686605"/>
    <w:rsid w:val="006869F3"/>
    <w:rsid w:val="00691729"/>
    <w:rsid w:val="0069400A"/>
    <w:rsid w:val="006963BD"/>
    <w:rsid w:val="006A64A1"/>
    <w:rsid w:val="006B097F"/>
    <w:rsid w:val="006B7AB5"/>
    <w:rsid w:val="006C0B27"/>
    <w:rsid w:val="006D33F6"/>
    <w:rsid w:val="006E2264"/>
    <w:rsid w:val="0070131C"/>
    <w:rsid w:val="0070781B"/>
    <w:rsid w:val="007140C4"/>
    <w:rsid w:val="007222A8"/>
    <w:rsid w:val="00731B97"/>
    <w:rsid w:val="00733428"/>
    <w:rsid w:val="007337B1"/>
    <w:rsid w:val="00744C86"/>
    <w:rsid w:val="00761283"/>
    <w:rsid w:val="00773C84"/>
    <w:rsid w:val="00781323"/>
    <w:rsid w:val="00785867"/>
    <w:rsid w:val="0078779B"/>
    <w:rsid w:val="007A3BC6"/>
    <w:rsid w:val="007A6BA7"/>
    <w:rsid w:val="007C1ECD"/>
    <w:rsid w:val="007C4974"/>
    <w:rsid w:val="007D2051"/>
    <w:rsid w:val="007D2F79"/>
    <w:rsid w:val="007D37A3"/>
    <w:rsid w:val="00803955"/>
    <w:rsid w:val="00804EAF"/>
    <w:rsid w:val="008076FD"/>
    <w:rsid w:val="00823BFE"/>
    <w:rsid w:val="00835634"/>
    <w:rsid w:val="00843FED"/>
    <w:rsid w:val="00844ACF"/>
    <w:rsid w:val="00860B42"/>
    <w:rsid w:val="00860F37"/>
    <w:rsid w:val="00882697"/>
    <w:rsid w:val="0089118D"/>
    <w:rsid w:val="008921A1"/>
    <w:rsid w:val="00897035"/>
    <w:rsid w:val="008A3649"/>
    <w:rsid w:val="008C2A11"/>
    <w:rsid w:val="008D53E7"/>
    <w:rsid w:val="008D7C84"/>
    <w:rsid w:val="008E3CDE"/>
    <w:rsid w:val="00900168"/>
    <w:rsid w:val="00901FAB"/>
    <w:rsid w:val="00902A83"/>
    <w:rsid w:val="00905577"/>
    <w:rsid w:val="00905634"/>
    <w:rsid w:val="009332FA"/>
    <w:rsid w:val="00977FCE"/>
    <w:rsid w:val="00993C1E"/>
    <w:rsid w:val="009A6271"/>
    <w:rsid w:val="009A66F7"/>
    <w:rsid w:val="009A7303"/>
    <w:rsid w:val="009C0D4D"/>
    <w:rsid w:val="009C7278"/>
    <w:rsid w:val="009D0E3A"/>
    <w:rsid w:val="009D4A83"/>
    <w:rsid w:val="009E0665"/>
    <w:rsid w:val="009F450B"/>
    <w:rsid w:val="00A00956"/>
    <w:rsid w:val="00A01441"/>
    <w:rsid w:val="00A14812"/>
    <w:rsid w:val="00A3238C"/>
    <w:rsid w:val="00A333DB"/>
    <w:rsid w:val="00A374B4"/>
    <w:rsid w:val="00A42256"/>
    <w:rsid w:val="00A720B0"/>
    <w:rsid w:val="00A8343D"/>
    <w:rsid w:val="00A97845"/>
    <w:rsid w:val="00AB2669"/>
    <w:rsid w:val="00AC21BD"/>
    <w:rsid w:val="00AC6038"/>
    <w:rsid w:val="00AC6B1B"/>
    <w:rsid w:val="00AD07F2"/>
    <w:rsid w:val="00AD776A"/>
    <w:rsid w:val="00AE4FFB"/>
    <w:rsid w:val="00B01076"/>
    <w:rsid w:val="00B051C7"/>
    <w:rsid w:val="00B11977"/>
    <w:rsid w:val="00B16247"/>
    <w:rsid w:val="00B21ABA"/>
    <w:rsid w:val="00B301F2"/>
    <w:rsid w:val="00B37E92"/>
    <w:rsid w:val="00B613D0"/>
    <w:rsid w:val="00B779DC"/>
    <w:rsid w:val="00B95559"/>
    <w:rsid w:val="00B96A31"/>
    <w:rsid w:val="00B971AA"/>
    <w:rsid w:val="00BB2DDC"/>
    <w:rsid w:val="00BC6C03"/>
    <w:rsid w:val="00BD1212"/>
    <w:rsid w:val="00BF4664"/>
    <w:rsid w:val="00C06BDF"/>
    <w:rsid w:val="00C23AFC"/>
    <w:rsid w:val="00C54D54"/>
    <w:rsid w:val="00C619DB"/>
    <w:rsid w:val="00C64FA8"/>
    <w:rsid w:val="00C64FD1"/>
    <w:rsid w:val="00CB5E54"/>
    <w:rsid w:val="00CF1FB3"/>
    <w:rsid w:val="00D14471"/>
    <w:rsid w:val="00D57811"/>
    <w:rsid w:val="00D61262"/>
    <w:rsid w:val="00D74F59"/>
    <w:rsid w:val="00D76AD9"/>
    <w:rsid w:val="00DC59C3"/>
    <w:rsid w:val="00DD09AE"/>
    <w:rsid w:val="00DD1A83"/>
    <w:rsid w:val="00DD63C9"/>
    <w:rsid w:val="00DE4885"/>
    <w:rsid w:val="00DF7AB1"/>
    <w:rsid w:val="00DF7CA7"/>
    <w:rsid w:val="00E23342"/>
    <w:rsid w:val="00E4742C"/>
    <w:rsid w:val="00E75BEA"/>
    <w:rsid w:val="00E803A9"/>
    <w:rsid w:val="00E85459"/>
    <w:rsid w:val="00EA0FEC"/>
    <w:rsid w:val="00EA5FA3"/>
    <w:rsid w:val="00EB1CED"/>
    <w:rsid w:val="00EB765D"/>
    <w:rsid w:val="00EC4110"/>
    <w:rsid w:val="00F03FAD"/>
    <w:rsid w:val="00F066A9"/>
    <w:rsid w:val="00F07FF6"/>
    <w:rsid w:val="00F110AA"/>
    <w:rsid w:val="00F150BA"/>
    <w:rsid w:val="00F1519E"/>
    <w:rsid w:val="00F17EDF"/>
    <w:rsid w:val="00F30CB5"/>
    <w:rsid w:val="00F53FD1"/>
    <w:rsid w:val="00F642E2"/>
    <w:rsid w:val="00F87BE0"/>
    <w:rsid w:val="00FA7ECB"/>
    <w:rsid w:val="00FB36AA"/>
    <w:rsid w:val="00FB51E3"/>
    <w:rsid w:val="00FB554A"/>
    <w:rsid w:val="00FD3331"/>
    <w:rsid w:val="5C6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48E84B94"/>
  <w15:docId w15:val="{E0450209-DD02-4754-81AD-6B489CB0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100">
    <w:name w:val="citation-100"/>
    <w:basedOn w:val="DefaultParagraphFont"/>
  </w:style>
  <w:style w:type="character" w:customStyle="1" w:styleId="citation-99">
    <w:name w:val="citation-99"/>
    <w:basedOn w:val="DefaultParagraphFont"/>
  </w:style>
  <w:style w:type="character" w:customStyle="1" w:styleId="citation-98">
    <w:name w:val="citation-98"/>
    <w:basedOn w:val="DefaultParagraphFont"/>
  </w:style>
  <w:style w:type="character" w:customStyle="1" w:styleId="citation-97">
    <w:name w:val="citation-97"/>
    <w:basedOn w:val="DefaultParagraphFont"/>
  </w:style>
  <w:style w:type="character" w:customStyle="1" w:styleId="citation-96">
    <w:name w:val="citation-96"/>
    <w:basedOn w:val="DefaultParagraphFont"/>
  </w:style>
  <w:style w:type="character" w:customStyle="1" w:styleId="citation-95">
    <w:name w:val="citation-95"/>
    <w:basedOn w:val="DefaultParagraphFont"/>
  </w:style>
  <w:style w:type="character" w:customStyle="1" w:styleId="citation-94">
    <w:name w:val="citation-94"/>
    <w:basedOn w:val="DefaultParagraphFont"/>
  </w:style>
  <w:style w:type="character" w:customStyle="1" w:styleId="citation-93">
    <w:name w:val="citation-93"/>
    <w:basedOn w:val="DefaultParagraphFont"/>
  </w:style>
  <w:style w:type="paragraph" w:styleId="Revision">
    <w:name w:val="Revision"/>
    <w:hidden/>
    <w:uiPriority w:val="99"/>
    <w:semiHidden/>
    <w:rsid w:val="00C06BDF"/>
    <w:rPr>
      <w:kern w:val="2"/>
      <w:sz w:val="22"/>
      <w:szCs w:val="22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38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3E1"/>
    <w:rPr>
      <w:kern w:val="2"/>
      <w:sz w:val="22"/>
      <w:szCs w:val="22"/>
      <w:lang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8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3E1"/>
    <w:rPr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74D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4D6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5C4FF3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  <w:style w:type="paragraph" w:styleId="ListParagraph">
    <w:name w:val="List Paragraph"/>
    <w:basedOn w:val="Normal"/>
    <w:uiPriority w:val="99"/>
    <w:rsid w:val="008D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4314/ijbcs.v16i5.3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fao.org/publication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5897/AJMR2023.9728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meatsci.2014.06.02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id-eismv.org/index.php?lvl=notice_display&amp;id=1960" TargetMode="Externa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doi.org/10.3389/fmicb.2019.01789" TargetMode="Externa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2EB9-446A-96B6-99E383C9C02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2EB9-446A-96B6-99E383C9C02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Male
</a:t>
                    </a:r>
                    <a:fld id="{78946FDB-4D27-43D5-B5EB-CEB8255B861D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EB9-446A-96B6-99E383C9C02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Female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EB9-446A-96B6-99E383C9C0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Feuil1!$N$10:$N$11</c:f>
              <c:strCache>
                <c:ptCount val="2"/>
                <c:pt idx="0">
                  <c:v>Masculin</c:v>
                </c:pt>
                <c:pt idx="1">
                  <c:v>Feminin</c:v>
                </c:pt>
              </c:strCache>
            </c:strRef>
          </c:cat>
          <c:val>
            <c:numRef>
              <c:f>Feuil1!$O$10:$O$11</c:f>
              <c:numCache>
                <c:formatCode>0.00%</c:formatCode>
                <c:ptCount val="2"/>
                <c:pt idx="0">
                  <c:v>0.86660000000000004</c:v>
                </c:pt>
                <c:pt idx="1">
                  <c:v>0.1333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EB9-446A-96B6-99E383C9C023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010375e-6f85-41a1-9c21-9e42c1f28de7}"/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1111111111111086E-2"/>
                  <c:y val="-0.14814814814814822"/>
                </c:manualLayout>
              </c:layout>
              <c:tx>
                <c:rich>
                  <a:bodyPr/>
                  <a:lstStyle/>
                  <a:p>
                    <a:fld id="{33B2A81A-E8F3-43E6-B5FB-9DE4D0743D0E}" type="VALUE">
                      <a:rPr lang="en-US" sz="1050" b="1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6145-4C2F-A14D-B2A199E3BD55}"/>
                </c:ext>
              </c:extLst>
            </c:dLbl>
            <c:dLbl>
              <c:idx val="1"/>
              <c:layout>
                <c:manualLayout>
                  <c:x val="1.3888888888888838E-2"/>
                  <c:y val="-0.11574074074074082"/>
                </c:manualLayout>
              </c:layout>
              <c:tx>
                <c:rich>
                  <a:bodyPr/>
                  <a:lstStyle/>
                  <a:p>
                    <a:fld id="{CC01D9B8-9C82-4FE5-8DE9-AC6C7181F6F9}" type="VALUE">
                      <a:rPr lang="en-US" sz="1050" b="1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145-4C2F-A14D-B2A199E3BD55}"/>
                </c:ext>
              </c:extLst>
            </c:dLbl>
            <c:dLbl>
              <c:idx val="2"/>
              <c:layout>
                <c:manualLayout>
                  <c:x val="1.6666666666666666E-2"/>
                  <c:y val="-0.12962962962962962"/>
                </c:manualLayout>
              </c:layout>
              <c:tx>
                <c:rich>
                  <a:bodyPr/>
                  <a:lstStyle/>
                  <a:p>
                    <a:fld id="{A5710448-D16C-4DBB-9F05-4E8C05447413}" type="VALUE">
                      <a:rPr lang="en-US" sz="1050" b="1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6145-4C2F-A14D-B2A199E3BD55}"/>
                </c:ext>
              </c:extLst>
            </c:dLbl>
            <c:dLbl>
              <c:idx val="3"/>
              <c:layout>
                <c:manualLayout>
                  <c:x val="1.6666666666666666E-2"/>
                  <c:y val="-8.3333333333333329E-2"/>
                </c:manualLayout>
              </c:layout>
              <c:tx>
                <c:rich>
                  <a:bodyPr/>
                  <a:lstStyle/>
                  <a:p>
                    <a:fld id="{8B239367-8D8A-474D-B499-49349149ABB3}" type="VALUE">
                      <a:rPr lang="en-US" sz="1050" b="1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145-4C2F-A14D-B2A199E3BD55}"/>
                </c:ext>
              </c:extLst>
            </c:dLbl>
            <c:dLbl>
              <c:idx val="4"/>
              <c:layout>
                <c:manualLayout>
                  <c:x val="1.6666666666666666E-2"/>
                  <c:y val="-0.3611111111111111"/>
                </c:manualLayout>
              </c:layout>
              <c:tx>
                <c:rich>
                  <a:bodyPr/>
                  <a:lstStyle/>
                  <a:p>
                    <a:fld id="{3D246FFB-C231-4735-97BC-F4032FF1EB23}" type="VALUE">
                      <a:rPr lang="en-US" sz="1050" b="1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6145-4C2F-A14D-B2A199E3BD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Feuil1!$F$9:$F$13</c:f>
              <c:strCache>
                <c:ptCount val="5"/>
                <c:pt idx="0">
                  <c:v>None</c:v>
                </c:pt>
                <c:pt idx="1">
                  <c:v>Primary</c:v>
                </c:pt>
                <c:pt idx="2">
                  <c:v>Secondary</c:v>
                </c:pt>
                <c:pt idx="3">
                  <c:v>superior</c:v>
                </c:pt>
                <c:pt idx="4">
                  <c:v>Koranic</c:v>
                </c:pt>
              </c:strCache>
            </c:strRef>
          </c:cat>
          <c:val>
            <c:numRef>
              <c:f>Feuil1!$G$9:$G$13</c:f>
              <c:numCache>
                <c:formatCode>0%</c:formatCode>
                <c:ptCount val="5"/>
                <c:pt idx="0" formatCode="0.00%">
                  <c:v>0.1666</c:v>
                </c:pt>
                <c:pt idx="1">
                  <c:v>0.1</c:v>
                </c:pt>
                <c:pt idx="2" formatCode="0.00%">
                  <c:v>0.1333</c:v>
                </c:pt>
                <c:pt idx="3" formatCode="0.00%">
                  <c:v>3.3300000000000003E-2</c:v>
                </c:pt>
                <c:pt idx="4" formatCode="0.00%">
                  <c:v>0.56659999999999999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145-4C2F-A14D-B2A199E3BD5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55633344"/>
        <c:axId val="1055634176"/>
        <c:axId val="0"/>
      </c:bar3DChart>
      <c:catAx>
        <c:axId val="105563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5634176"/>
        <c:crosses val="autoZero"/>
        <c:auto val="1"/>
        <c:lblAlgn val="ctr"/>
        <c:lblOffset val="100"/>
        <c:noMultiLvlLbl val="0"/>
      </c:catAx>
      <c:valAx>
        <c:axId val="1055634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5633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7BF5D57D-1ADB-4FF6-831C-60FF65D7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SDI 1084</cp:lastModifiedBy>
  <cp:revision>49</cp:revision>
  <dcterms:created xsi:type="dcterms:W3CDTF">2025-12-10T09:41:00Z</dcterms:created>
  <dcterms:modified xsi:type="dcterms:W3CDTF">2025-12-12T12:46:00Z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ABA1E55F0C2B75863C3833697D459C3D_42</vt:lpwstr>
  </property>
</Properties>
</file>