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EFE1E" w14:textId="77777777" w:rsidR="006B509A" w:rsidRPr="006B509A" w:rsidRDefault="006B509A" w:rsidP="006B509A">
      <w:pPr>
        <w:contextualSpacing/>
        <w:jc w:val="right"/>
        <w:rPr>
          <w:rFonts w:ascii="Arial" w:hAnsi="Arial" w:cs="Arial"/>
          <w:b/>
          <w:bCs/>
          <w:i/>
          <w:iCs/>
          <w:sz w:val="36"/>
          <w:szCs w:val="20"/>
          <w:u w:val="single"/>
          <w:lang w:val="en-US"/>
        </w:rPr>
      </w:pPr>
      <w:r w:rsidRPr="006B509A">
        <w:rPr>
          <w:rFonts w:ascii="Arial" w:hAnsi="Arial" w:cs="Arial"/>
          <w:b/>
          <w:bCs/>
          <w:i/>
          <w:iCs/>
          <w:sz w:val="36"/>
          <w:szCs w:val="20"/>
          <w:u w:val="single"/>
          <w:lang w:val="en-US"/>
        </w:rPr>
        <w:t>Review Article</w:t>
      </w:r>
    </w:p>
    <w:p w14:paraId="6DD6EF4D" w14:textId="531033E8" w:rsidR="00120722" w:rsidRDefault="00120722" w:rsidP="00120722">
      <w:pPr>
        <w:contextualSpacing/>
        <w:jc w:val="right"/>
        <w:rPr>
          <w:rFonts w:ascii="Arial" w:hAnsi="Arial" w:cs="Arial"/>
          <w:b/>
          <w:bCs/>
          <w:sz w:val="36"/>
          <w:szCs w:val="20"/>
        </w:rPr>
      </w:pPr>
      <w:r w:rsidRPr="00120722">
        <w:rPr>
          <w:rFonts w:ascii="Arial" w:hAnsi="Arial" w:cs="Arial"/>
          <w:b/>
          <w:bCs/>
          <w:sz w:val="36"/>
          <w:szCs w:val="20"/>
        </w:rPr>
        <w:t xml:space="preserve">The Neuroprotective Potential of </w:t>
      </w:r>
      <w:r w:rsidRPr="00120722">
        <w:rPr>
          <w:rFonts w:ascii="Arial" w:hAnsi="Arial" w:cs="Arial"/>
          <w:b/>
          <w:bCs/>
          <w:i/>
          <w:sz w:val="36"/>
          <w:szCs w:val="20"/>
        </w:rPr>
        <w:t>Spirulina</w:t>
      </w:r>
      <w:r w:rsidRPr="00120722">
        <w:rPr>
          <w:rFonts w:ascii="Arial" w:hAnsi="Arial" w:cs="Arial"/>
          <w:b/>
          <w:bCs/>
          <w:sz w:val="36"/>
          <w:szCs w:val="20"/>
        </w:rPr>
        <w:t xml:space="preserve"> and </w:t>
      </w:r>
      <w:r w:rsidRPr="00120722">
        <w:rPr>
          <w:rFonts w:ascii="Arial" w:hAnsi="Arial" w:cs="Arial"/>
          <w:b/>
          <w:bCs/>
          <w:i/>
          <w:sz w:val="36"/>
          <w:szCs w:val="20"/>
        </w:rPr>
        <w:t>Chlorella</w:t>
      </w:r>
      <w:r w:rsidRPr="00120722">
        <w:rPr>
          <w:rFonts w:ascii="Arial" w:hAnsi="Arial" w:cs="Arial"/>
          <w:b/>
          <w:bCs/>
          <w:sz w:val="36"/>
          <w:szCs w:val="20"/>
        </w:rPr>
        <w:t xml:space="preserve"> Prebiotics in Neurodegenerative Diseases: A Review of the Gut-Brain Axis</w:t>
      </w:r>
    </w:p>
    <w:p w14:paraId="2FA425F2" w14:textId="77777777" w:rsidR="00533FC5" w:rsidRDefault="00533FC5" w:rsidP="00120722">
      <w:pPr>
        <w:contextualSpacing/>
        <w:jc w:val="right"/>
        <w:rPr>
          <w:rFonts w:ascii="Arial" w:hAnsi="Arial" w:cs="Arial"/>
          <w:b/>
          <w:bCs/>
          <w:sz w:val="36"/>
          <w:szCs w:val="20"/>
        </w:rPr>
      </w:pPr>
      <w:bookmarkStart w:id="0" w:name="_GoBack"/>
      <w:bookmarkEnd w:id="0"/>
    </w:p>
    <w:p w14:paraId="6C20CA22" w14:textId="77777777" w:rsidR="00944293" w:rsidRPr="00120722" w:rsidRDefault="00944293" w:rsidP="00120722">
      <w:pPr>
        <w:contextualSpacing/>
        <w:jc w:val="right"/>
        <w:rPr>
          <w:rFonts w:ascii="Arial" w:hAnsi="Arial" w:cs="Arial"/>
          <w:b/>
          <w:bCs/>
          <w:sz w:val="36"/>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120722" w:rsidRPr="00BD060A" w14:paraId="06D695B1" w14:textId="77777777" w:rsidTr="00DA5D14">
        <w:trPr>
          <w:jc w:val="center"/>
        </w:trPr>
        <w:tc>
          <w:tcPr>
            <w:tcW w:w="9040" w:type="dxa"/>
          </w:tcPr>
          <w:p w14:paraId="083F391E" w14:textId="1A92C63C" w:rsidR="00944293" w:rsidRDefault="00120722" w:rsidP="000D5B9A">
            <w:pPr>
              <w:jc w:val="both"/>
              <w:rPr>
                <w:rFonts w:ascii="Arial" w:eastAsia="Calibri" w:hAnsi="Arial" w:cs="Arial"/>
                <w:sz w:val="20"/>
                <w:szCs w:val="20"/>
              </w:rPr>
            </w:pPr>
            <w:r w:rsidRPr="00120722">
              <w:rPr>
                <w:rFonts w:ascii="Arial" w:eastAsia="Calibri" w:hAnsi="Arial" w:cs="Arial"/>
                <w:sz w:val="20"/>
                <w:szCs w:val="20"/>
              </w:rPr>
              <w:t xml:space="preserve"> </w:t>
            </w:r>
            <w:proofErr w:type="gramStart"/>
            <w:r w:rsidR="00944293">
              <w:rPr>
                <w:rFonts w:ascii="Arial" w:eastAsia="Calibri" w:hAnsi="Arial" w:cs="Arial"/>
                <w:sz w:val="20"/>
                <w:szCs w:val="20"/>
              </w:rPr>
              <w:t>Abstract :</w:t>
            </w:r>
            <w:proofErr w:type="gramEnd"/>
            <w:r w:rsidR="00944293">
              <w:rPr>
                <w:rFonts w:ascii="Arial" w:eastAsia="Calibri" w:hAnsi="Arial" w:cs="Arial"/>
                <w:sz w:val="20"/>
                <w:szCs w:val="20"/>
              </w:rPr>
              <w:t xml:space="preserve"> </w:t>
            </w:r>
          </w:p>
          <w:p w14:paraId="328ADB47" w14:textId="7C84A873" w:rsidR="000D5B9A" w:rsidRPr="000D5B9A" w:rsidRDefault="000D5B9A" w:rsidP="000D5B9A">
            <w:pPr>
              <w:jc w:val="both"/>
              <w:rPr>
                <w:rFonts w:asciiTheme="minorHAnsi" w:eastAsiaTheme="minorHAnsi" w:hAnsiTheme="minorHAnsi" w:cstheme="minorBidi"/>
                <w:sz w:val="28"/>
                <w:szCs w:val="28"/>
                <w:lang w:eastAsia="en-US"/>
              </w:rPr>
            </w:pPr>
            <w:r w:rsidRPr="000D5B9A">
              <w:rPr>
                <w:rFonts w:asciiTheme="minorHAnsi" w:eastAsiaTheme="minorHAnsi" w:hAnsiTheme="minorHAnsi" w:cstheme="minorBidi"/>
                <w:sz w:val="28"/>
                <w:szCs w:val="28"/>
                <w:lang w:eastAsia="en-US"/>
              </w:rPr>
              <w:t xml:space="preserve">This </w:t>
            </w:r>
            <w:proofErr w:type="gramStart"/>
            <w:r w:rsidRPr="000D5B9A">
              <w:rPr>
                <w:rFonts w:asciiTheme="minorHAnsi" w:eastAsiaTheme="minorHAnsi" w:hAnsiTheme="minorHAnsi" w:cstheme="minorBidi"/>
                <w:sz w:val="28"/>
                <w:szCs w:val="28"/>
                <w:lang w:eastAsia="en-US"/>
              </w:rPr>
              <w:t>article  consolidates</w:t>
            </w:r>
            <w:proofErr w:type="gramEnd"/>
            <w:r w:rsidRPr="000D5B9A">
              <w:rPr>
                <w:rFonts w:asciiTheme="minorHAnsi" w:eastAsiaTheme="minorHAnsi" w:hAnsiTheme="minorHAnsi" w:cstheme="minorBidi"/>
                <w:sz w:val="28"/>
                <w:szCs w:val="28"/>
                <w:lang w:eastAsia="en-US"/>
              </w:rPr>
              <w:t xml:space="preserve"> the current knowledge of the neuroprotective effects of </w:t>
            </w:r>
            <w:r w:rsidRPr="000D5B9A">
              <w:rPr>
                <w:rFonts w:asciiTheme="minorHAnsi" w:eastAsiaTheme="minorHAnsi" w:hAnsiTheme="minorHAnsi" w:cstheme="minorBidi"/>
                <w:i/>
                <w:sz w:val="28"/>
                <w:szCs w:val="28"/>
                <w:lang w:eastAsia="en-US"/>
              </w:rPr>
              <w:t xml:space="preserve">Spirulina </w:t>
            </w:r>
            <w:r w:rsidRPr="000D5B9A">
              <w:rPr>
                <w:rFonts w:asciiTheme="minorHAnsi" w:eastAsiaTheme="minorHAnsi" w:hAnsiTheme="minorHAnsi" w:cstheme="minorBidi"/>
                <w:sz w:val="28"/>
                <w:szCs w:val="28"/>
                <w:lang w:eastAsia="en-US"/>
              </w:rPr>
              <w:t xml:space="preserve">and </w:t>
            </w:r>
            <w:r w:rsidRPr="000D5B9A">
              <w:rPr>
                <w:rFonts w:asciiTheme="minorHAnsi" w:eastAsiaTheme="minorHAnsi" w:hAnsiTheme="minorHAnsi" w:cstheme="minorBidi"/>
                <w:i/>
                <w:sz w:val="28"/>
                <w:szCs w:val="28"/>
                <w:lang w:eastAsia="en-US"/>
              </w:rPr>
              <w:t>Chlorella´s</w:t>
            </w:r>
            <w:r w:rsidRPr="000D5B9A">
              <w:rPr>
                <w:rFonts w:asciiTheme="minorHAnsi" w:eastAsiaTheme="minorHAnsi" w:hAnsiTheme="minorHAnsi" w:cstheme="minorBidi"/>
                <w:sz w:val="28"/>
                <w:szCs w:val="28"/>
                <w:lang w:eastAsia="en-US"/>
              </w:rPr>
              <w:t xml:space="preserve"> prebiotic activities as related to the gut-brain axis, with regard to neurodegenerative diseases, such as: Alzheimer´s disease (AD), Parkinson´s disease (PD) and Amyotrophic Lateral Sclerosis (ALS). The rising incidence of these diseases has drawn attention to developing alternative therapeutic approaches and the gut microbiota, as an important controller of brain health. This review systematically examines current preclinical and clinical research on the modulatory effects of microalgae-derived prebiotics towards gut microbiota composition, neuroinflammation reduction, as well as oxidative stress combating properties. The results demonstrated that </w:t>
            </w:r>
            <w:r w:rsidRPr="000D5B9A">
              <w:rPr>
                <w:rFonts w:asciiTheme="minorHAnsi" w:eastAsiaTheme="minorHAnsi" w:hAnsiTheme="minorHAnsi" w:cstheme="minorBidi"/>
                <w:i/>
                <w:sz w:val="28"/>
                <w:szCs w:val="28"/>
                <w:lang w:eastAsia="en-US"/>
              </w:rPr>
              <w:t xml:space="preserve">Spirulina </w:t>
            </w:r>
            <w:r w:rsidRPr="000D5B9A">
              <w:rPr>
                <w:rFonts w:asciiTheme="minorHAnsi" w:eastAsiaTheme="minorHAnsi" w:hAnsiTheme="minorHAnsi" w:cstheme="minorBidi"/>
                <w:sz w:val="28"/>
                <w:szCs w:val="28"/>
                <w:lang w:eastAsia="en-US"/>
              </w:rPr>
              <w:t xml:space="preserve">and </w:t>
            </w:r>
            <w:r w:rsidRPr="000D5B9A">
              <w:rPr>
                <w:rFonts w:asciiTheme="minorHAnsi" w:eastAsiaTheme="minorHAnsi" w:hAnsiTheme="minorHAnsi" w:cstheme="minorBidi"/>
                <w:i/>
                <w:sz w:val="28"/>
                <w:szCs w:val="28"/>
                <w:lang w:eastAsia="en-US"/>
              </w:rPr>
              <w:t>Chlorella</w:t>
            </w:r>
            <w:r w:rsidRPr="000D5B9A">
              <w:rPr>
                <w:rFonts w:asciiTheme="minorHAnsi" w:eastAsiaTheme="minorHAnsi" w:hAnsiTheme="minorHAnsi" w:cstheme="minorBidi"/>
                <w:sz w:val="28"/>
                <w:szCs w:val="28"/>
                <w:lang w:eastAsia="en-US"/>
              </w:rPr>
              <w:t xml:space="preserve"> might participate in the modulation of the gut microbiota, especially for enrichment of some beneficial bacteria and short-chain fatty acids (SCFAs) production. These alterations are accompanied with an improved gut barrier permeability, decreased systemic inflammation and the down-regulation of neuroinflammatory pathways. Moreover, those prebiotics activate antioxidant defence systems that protect neurons against oxidative stress. However, the clinical evidence has not been fully developed and warrants further evaluation in large-scale controlled trials. Based on this analysis it is concluded that prebiotics in </w:t>
            </w:r>
            <w:r w:rsidRPr="000D5B9A">
              <w:rPr>
                <w:rFonts w:asciiTheme="minorHAnsi" w:eastAsiaTheme="minorHAnsi" w:hAnsiTheme="minorHAnsi" w:cstheme="minorBidi"/>
                <w:i/>
                <w:sz w:val="28"/>
                <w:szCs w:val="28"/>
                <w:lang w:eastAsia="en-US"/>
              </w:rPr>
              <w:t>Spirulina</w:t>
            </w:r>
            <w:r w:rsidRPr="000D5B9A">
              <w:rPr>
                <w:rFonts w:asciiTheme="minorHAnsi" w:eastAsiaTheme="minorHAnsi" w:hAnsiTheme="minorHAnsi" w:cstheme="minorBidi"/>
                <w:sz w:val="28"/>
                <w:szCs w:val="28"/>
                <w:lang w:eastAsia="en-US"/>
              </w:rPr>
              <w:t xml:space="preserve"> and </w:t>
            </w:r>
            <w:r w:rsidRPr="000D5B9A">
              <w:rPr>
                <w:rFonts w:asciiTheme="minorHAnsi" w:eastAsiaTheme="minorHAnsi" w:hAnsiTheme="minorHAnsi" w:cstheme="minorBidi"/>
                <w:i/>
                <w:sz w:val="28"/>
                <w:szCs w:val="28"/>
                <w:lang w:eastAsia="en-US"/>
              </w:rPr>
              <w:t>Chlorella</w:t>
            </w:r>
            <w:r w:rsidRPr="000D5B9A">
              <w:rPr>
                <w:rFonts w:asciiTheme="minorHAnsi" w:eastAsiaTheme="minorHAnsi" w:hAnsiTheme="minorHAnsi" w:cstheme="minorBidi"/>
                <w:sz w:val="28"/>
                <w:szCs w:val="28"/>
                <w:lang w:eastAsia="en-US"/>
              </w:rPr>
              <w:t xml:space="preserve"> are an option for the adjunctive treatment of neurodegenerative diseases, which should be investigated more specifically in future studies regarding its effects and potential to therapy.</w:t>
            </w:r>
          </w:p>
          <w:p w14:paraId="140B0BF6" w14:textId="77777777" w:rsidR="00120722" w:rsidRPr="002B778A" w:rsidRDefault="00120722" w:rsidP="000D5B9A">
            <w:pPr>
              <w:contextualSpacing/>
              <w:jc w:val="both"/>
              <w:rPr>
                <w:rFonts w:ascii="Arial" w:eastAsia="Calibri" w:hAnsi="Arial" w:cs="Arial"/>
                <w:i/>
              </w:rPr>
            </w:pPr>
          </w:p>
        </w:tc>
      </w:tr>
    </w:tbl>
    <w:p w14:paraId="7139590D" w14:textId="77777777" w:rsidR="00AB4C8F" w:rsidRPr="00A32E19" w:rsidRDefault="00F25E6C" w:rsidP="00A05E09">
      <w:pPr>
        <w:pStyle w:val="MdParagraph"/>
        <w:spacing w:line="360" w:lineRule="auto"/>
        <w:rPr>
          <w:i/>
        </w:rPr>
      </w:pPr>
      <w:r w:rsidRPr="00A05E09">
        <w:rPr>
          <w:rStyle w:val="MdStrong"/>
        </w:rPr>
        <w:t>Keywords</w:t>
      </w:r>
      <w:r w:rsidRPr="000D5B9A">
        <w:rPr>
          <w:rStyle w:val="MdStrong"/>
          <w:rFonts w:ascii="Arial" w:hAnsi="Arial" w:cs="Arial"/>
        </w:rPr>
        <w:t>:</w:t>
      </w:r>
      <w:r w:rsidR="000516CF" w:rsidRPr="000D5B9A">
        <w:rPr>
          <w:rFonts w:ascii="Arial" w:hAnsi="Arial" w:cs="Arial"/>
        </w:rPr>
        <w:t xml:space="preserve"> </w:t>
      </w:r>
      <w:r w:rsidR="000516CF" w:rsidRPr="000D5B9A">
        <w:rPr>
          <w:rStyle w:val="MdStrong"/>
          <w:rFonts w:ascii="Arial" w:hAnsi="Arial" w:cs="Arial"/>
          <w:b w:val="0"/>
        </w:rPr>
        <w:t>Alzheimer's disease,</w:t>
      </w:r>
      <w:r w:rsidR="000516CF" w:rsidRPr="000D5B9A">
        <w:rPr>
          <w:rFonts w:ascii="Arial" w:hAnsi="Arial" w:cs="Arial"/>
          <w:b/>
        </w:rPr>
        <w:t xml:space="preserve"> </w:t>
      </w:r>
      <w:r w:rsidR="000516CF" w:rsidRPr="000D5B9A">
        <w:rPr>
          <w:rStyle w:val="MdStrong"/>
          <w:rFonts w:ascii="Arial" w:hAnsi="Arial" w:cs="Arial"/>
          <w:b w:val="0"/>
        </w:rPr>
        <w:t>ALS,</w:t>
      </w:r>
      <w:r w:rsidR="000516CF" w:rsidRPr="000D5B9A">
        <w:rPr>
          <w:rFonts w:ascii="Arial" w:hAnsi="Arial" w:cs="Arial"/>
          <w:b/>
        </w:rPr>
        <w:t xml:space="preserve"> </w:t>
      </w:r>
      <w:r w:rsidR="000516CF" w:rsidRPr="000D5B9A">
        <w:rPr>
          <w:rStyle w:val="MdStrong"/>
          <w:rFonts w:ascii="Arial" w:hAnsi="Arial" w:cs="Arial"/>
          <w:b w:val="0"/>
          <w:i/>
        </w:rPr>
        <w:t>Chlorella</w:t>
      </w:r>
      <w:r w:rsidR="000516CF" w:rsidRPr="000D5B9A">
        <w:rPr>
          <w:rStyle w:val="MdStrong"/>
          <w:rFonts w:ascii="Arial" w:hAnsi="Arial" w:cs="Arial"/>
          <w:b w:val="0"/>
        </w:rPr>
        <w:t>,</w:t>
      </w:r>
      <w:r w:rsidRPr="000D5B9A">
        <w:rPr>
          <w:rFonts w:ascii="Arial" w:hAnsi="Arial" w:cs="Arial"/>
        </w:rPr>
        <w:t xml:space="preserve"> Gut-brain axis, neurodegenerative diseases, </w:t>
      </w:r>
      <w:r w:rsidR="000516CF" w:rsidRPr="000D5B9A">
        <w:rPr>
          <w:rFonts w:ascii="Arial" w:hAnsi="Arial" w:cs="Arial"/>
        </w:rPr>
        <w:t xml:space="preserve">neuroinflammation, oxidative stress, Parkinson's disease prebiotics, </w:t>
      </w:r>
      <w:r w:rsidRPr="000D5B9A">
        <w:rPr>
          <w:rFonts w:ascii="Arial" w:hAnsi="Arial" w:cs="Arial"/>
          <w:i/>
        </w:rPr>
        <w:t>Spirulina,</w:t>
      </w:r>
      <w:r w:rsidRPr="00A32E19">
        <w:rPr>
          <w:i/>
        </w:rPr>
        <w:t xml:space="preserve"> </w:t>
      </w:r>
    </w:p>
    <w:p w14:paraId="401A38F1" w14:textId="77777777" w:rsidR="00F32A00" w:rsidRDefault="000D5B9A" w:rsidP="000D5B9A">
      <w:pPr>
        <w:pStyle w:val="MdSpace"/>
        <w:spacing w:after="60" w:line="360" w:lineRule="auto"/>
        <w:jc w:val="both"/>
        <w:rPr>
          <w:rFonts w:ascii="Arial" w:hAnsi="Arial" w:cs="Arial"/>
          <w:b/>
          <w:sz w:val="24"/>
          <w:szCs w:val="24"/>
        </w:rPr>
      </w:pPr>
      <w:r>
        <w:rPr>
          <w:rFonts w:ascii="Arial" w:hAnsi="Arial" w:cs="Arial"/>
          <w:b/>
          <w:sz w:val="24"/>
          <w:szCs w:val="24"/>
        </w:rPr>
        <w:t>1.</w:t>
      </w:r>
      <w:r w:rsidR="004A1CBC" w:rsidRPr="00120722">
        <w:rPr>
          <w:rFonts w:ascii="Arial" w:hAnsi="Arial" w:cs="Arial"/>
          <w:b/>
          <w:sz w:val="24"/>
          <w:szCs w:val="24"/>
        </w:rPr>
        <w:t>INTRODUCTION</w:t>
      </w:r>
    </w:p>
    <w:p w14:paraId="49073AB6" w14:textId="77777777"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 xml:space="preserve">Neurodegenerative disorders such as Alzheimer’s disease (AD), Parkinson’s disease (PD) and amyotrophic lateral sclerosis (ALS) are emerging as a major global health issue and have become a tremendous socioeconomic burden for societies all </w:t>
      </w:r>
      <w:r w:rsidRPr="007C5FD0">
        <w:rPr>
          <w:rFonts w:ascii="Arial" w:hAnsi="Arial" w:cs="Arial"/>
          <w:sz w:val="24"/>
          <w:szCs w:val="24"/>
        </w:rPr>
        <w:lastRenderedPageBreak/>
        <w:t>around the world. In the context of this growing burden associated with age-related diseases, there is an urgent requirement for new and innovative approaches that aim to act as preventatives or therapeutics able to arrest or reverse neurodegeneration (Dong et al., 2024; Cuervo-Zanatta et al., 2021). For decades, the research efforts have predominantly </w:t>
      </w:r>
      <w:proofErr w:type="spellStart"/>
      <w:r w:rsidRPr="007C5FD0">
        <w:rPr>
          <w:rFonts w:ascii="Arial" w:hAnsi="Arial" w:cs="Arial"/>
          <w:sz w:val="24"/>
          <w:szCs w:val="24"/>
        </w:rPr>
        <w:t>centered</w:t>
      </w:r>
      <w:proofErr w:type="spellEnd"/>
      <w:r w:rsidRPr="007C5FD0">
        <w:rPr>
          <w:rFonts w:ascii="Arial" w:hAnsi="Arial" w:cs="Arial"/>
          <w:sz w:val="24"/>
          <w:szCs w:val="24"/>
        </w:rPr>
        <w:t xml:space="preserve"> on the CNS and exploring hallmark pathological aspects including protein misfolding, amyloid plaques and neurofibrillary tangles. However, the unsatisfactory effectiveness of current CNS-targeted therapies has driven a major shift in how we conceptualize these multigenic diseases (Sharma et al., 2024; Silva et al., 2022).</w:t>
      </w:r>
    </w:p>
    <w:p w14:paraId="356424B2" w14:textId="77777777"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 xml:space="preserve">A recent </w:t>
      </w:r>
      <w:r>
        <w:rPr>
          <w:rFonts w:ascii="Arial" w:hAnsi="Arial" w:cs="Arial"/>
          <w:sz w:val="24"/>
          <w:szCs w:val="24"/>
        </w:rPr>
        <w:t>body of literature suggests</w:t>
      </w:r>
      <w:r w:rsidRPr="007C5FD0">
        <w:rPr>
          <w:rFonts w:ascii="Arial" w:hAnsi="Arial" w:cs="Arial"/>
          <w:sz w:val="24"/>
          <w:szCs w:val="24"/>
        </w:rPr>
        <w:t xml:space="preserve"> that peripheral systems are instrumental for healthy brain, with gut microbiota as a pivotal actor. The complex and bidirectional communication arc referred to as GBA that connects the CNS, including the GIT with each other, is now considered quintessential in keeping up neuronal homeostasis (Samanta &amp; Mondal, 2024; Rathor &amp; Ch, 2024). Imbalance in this fine equilibrium, termed gut dysbiosis, has more recently been associated with the process of neurodegeneration (</w:t>
      </w:r>
      <w:proofErr w:type="spellStart"/>
      <w:r w:rsidRPr="007C5FD0">
        <w:rPr>
          <w:rFonts w:ascii="Arial" w:hAnsi="Arial" w:cs="Arial"/>
          <w:sz w:val="24"/>
          <w:szCs w:val="24"/>
        </w:rPr>
        <w:t>Ağagündüz</w:t>
      </w:r>
      <w:proofErr w:type="spellEnd"/>
      <w:r w:rsidRPr="007C5FD0">
        <w:rPr>
          <w:rFonts w:ascii="Arial" w:hAnsi="Arial" w:cs="Arial"/>
          <w:sz w:val="24"/>
          <w:szCs w:val="24"/>
        </w:rPr>
        <w:t xml:space="preserve"> et al., 2022; Vaidya &amp; </w:t>
      </w:r>
      <w:proofErr w:type="spellStart"/>
      <w:r w:rsidRPr="007C5FD0">
        <w:rPr>
          <w:rFonts w:ascii="Arial" w:hAnsi="Arial" w:cs="Arial"/>
          <w:sz w:val="24"/>
          <w:szCs w:val="24"/>
        </w:rPr>
        <w:t>Mandalika</w:t>
      </w:r>
      <w:proofErr w:type="spellEnd"/>
      <w:r w:rsidRPr="007C5FD0">
        <w:rPr>
          <w:rFonts w:ascii="Arial" w:hAnsi="Arial" w:cs="Arial"/>
          <w:sz w:val="24"/>
          <w:szCs w:val="24"/>
        </w:rPr>
        <w:t>, 2015). This has driven the exploration of therapeutic strategies such as gut microbiome modulation in order to restore homeostasis and function.</w:t>
      </w:r>
    </w:p>
    <w:p w14:paraId="5DE08C91" w14:textId="77777777"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Dietary modification has been identified as a very promising option for the regulation of gut</w:t>
      </w:r>
      <w:r w:rsidRPr="007C5FD0">
        <w:rPr>
          <w:rFonts w:ascii="Cambria Math" w:hAnsi="Cambria Math" w:cs="Cambria Math"/>
          <w:sz w:val="24"/>
          <w:szCs w:val="24"/>
        </w:rPr>
        <w:t>‐</w:t>
      </w:r>
      <w:r w:rsidRPr="007C5FD0">
        <w:rPr>
          <w:rFonts w:ascii="Arial" w:hAnsi="Arial" w:cs="Arial"/>
          <w:sz w:val="24"/>
          <w:szCs w:val="24"/>
        </w:rPr>
        <w:t xml:space="preserve">brain axis (Adhikari et al., 2024; Ngah et al., 2024; </w:t>
      </w:r>
      <w:proofErr w:type="spellStart"/>
      <w:r w:rsidRPr="007C5FD0">
        <w:rPr>
          <w:rFonts w:ascii="Arial" w:hAnsi="Arial" w:cs="Arial"/>
          <w:sz w:val="24"/>
          <w:szCs w:val="24"/>
        </w:rPr>
        <w:t>Rapelly</w:t>
      </w:r>
      <w:proofErr w:type="spellEnd"/>
      <w:r w:rsidRPr="007C5FD0">
        <w:rPr>
          <w:rFonts w:ascii="Arial" w:hAnsi="Arial" w:cs="Arial"/>
          <w:sz w:val="24"/>
          <w:szCs w:val="24"/>
        </w:rPr>
        <w:t xml:space="preserve"> et al., 2024). Of all dietary strategies explored so far, prebiotic supplementation has emerged to be an important strategy. In addition to classic prebiotics, other dietary ingredients such as probiotics and polyphenols may be promising appeared in preclinical and clinical models (</w:t>
      </w:r>
      <w:proofErr w:type="spellStart"/>
      <w:r w:rsidRPr="007C5FD0">
        <w:rPr>
          <w:rFonts w:ascii="Arial" w:hAnsi="Arial" w:cs="Arial"/>
          <w:sz w:val="24"/>
          <w:szCs w:val="24"/>
        </w:rPr>
        <w:t>Cuciniello</w:t>
      </w:r>
      <w:proofErr w:type="spellEnd"/>
      <w:r w:rsidRPr="007C5FD0">
        <w:rPr>
          <w:rFonts w:ascii="Arial" w:hAnsi="Arial" w:cs="Arial"/>
          <w:sz w:val="24"/>
          <w:szCs w:val="24"/>
        </w:rPr>
        <w:t xml:space="preserve"> et al., 2024; Domínguez</w:t>
      </w:r>
      <w:r w:rsidRPr="007C5FD0">
        <w:rPr>
          <w:rFonts w:ascii="Cambria Math" w:hAnsi="Cambria Math" w:cs="Cambria Math"/>
          <w:sz w:val="24"/>
          <w:szCs w:val="24"/>
        </w:rPr>
        <w:t>‐</w:t>
      </w:r>
      <w:r w:rsidRPr="007C5FD0">
        <w:rPr>
          <w:rFonts w:ascii="Arial" w:hAnsi="Arial" w:cs="Arial"/>
          <w:sz w:val="24"/>
          <w:szCs w:val="24"/>
        </w:rPr>
        <w:t>López et al., 2024; Hunt et al., 2024). They may also affect two major contributors to neurodegenerative pathology, neuroinflammation and oxidative stress (</w:t>
      </w:r>
      <w:proofErr w:type="spellStart"/>
      <w:r w:rsidRPr="007C5FD0">
        <w:rPr>
          <w:rFonts w:ascii="Arial" w:hAnsi="Arial" w:cs="Arial"/>
          <w:sz w:val="24"/>
          <w:szCs w:val="24"/>
        </w:rPr>
        <w:t>Koumpouli</w:t>
      </w:r>
      <w:proofErr w:type="spellEnd"/>
      <w:r w:rsidRPr="007C5FD0">
        <w:rPr>
          <w:rFonts w:ascii="Arial" w:hAnsi="Arial" w:cs="Arial"/>
          <w:sz w:val="24"/>
          <w:szCs w:val="24"/>
        </w:rPr>
        <w:t xml:space="preserve"> </w:t>
      </w:r>
      <w:proofErr w:type="spellStart"/>
      <w:r w:rsidRPr="007C5FD0">
        <w:rPr>
          <w:rFonts w:ascii="Arial" w:hAnsi="Arial" w:cs="Arial"/>
          <w:sz w:val="24"/>
          <w:szCs w:val="24"/>
        </w:rPr>
        <w:t>et’al</w:t>
      </w:r>
      <w:proofErr w:type="spellEnd"/>
      <w:r w:rsidRPr="007C5FD0">
        <w:rPr>
          <w:rFonts w:ascii="Arial" w:hAnsi="Arial" w:cs="Arial"/>
          <w:sz w:val="24"/>
          <w:szCs w:val="24"/>
        </w:rPr>
        <w:t>., 2025; Li et al., 2022; Shabbir et al., 2021).</w:t>
      </w:r>
    </w:p>
    <w:p w14:paraId="0A7D7098" w14:textId="77777777"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 xml:space="preserve">In this framework, the microalgae </w:t>
      </w:r>
      <w:r w:rsidRPr="007C5FD0">
        <w:rPr>
          <w:rFonts w:ascii="Arial" w:hAnsi="Arial" w:cs="Arial"/>
          <w:i/>
          <w:sz w:val="24"/>
          <w:szCs w:val="24"/>
        </w:rPr>
        <w:t>Spirulina</w:t>
      </w:r>
      <w:r w:rsidRPr="007C5FD0">
        <w:rPr>
          <w:rFonts w:ascii="Arial" w:hAnsi="Arial" w:cs="Arial"/>
          <w:sz w:val="24"/>
          <w:szCs w:val="24"/>
        </w:rPr>
        <w:t xml:space="preserve"> and </w:t>
      </w:r>
      <w:r w:rsidRPr="007C5FD0">
        <w:rPr>
          <w:rFonts w:ascii="Arial" w:hAnsi="Arial" w:cs="Arial"/>
          <w:i/>
          <w:sz w:val="24"/>
          <w:szCs w:val="24"/>
        </w:rPr>
        <w:t>Chlorella</w:t>
      </w:r>
      <w:r w:rsidRPr="007C5FD0">
        <w:rPr>
          <w:rFonts w:ascii="Arial" w:hAnsi="Arial" w:cs="Arial"/>
          <w:sz w:val="24"/>
          <w:szCs w:val="24"/>
        </w:rPr>
        <w:t xml:space="preserve"> have been recently described as new very promising prebiotic candidates to be considered. Their high nutritional value, characterised by proteins, vitamins, minerals and exclusive bioactive compounds due to the composition of their nutrients sets them from other food sources (Pabon et al., 2012; Casani-Cubel et al., 2021). These microalgae are rich source of anti-inflammatory and antioxidative molecules like phycocyanin, </w:t>
      </w:r>
      <w:r w:rsidRPr="007C5FD0">
        <w:rPr>
          <w:rFonts w:ascii="Arial" w:hAnsi="Arial" w:cs="Arial"/>
          <w:sz w:val="24"/>
          <w:szCs w:val="24"/>
        </w:rPr>
        <w:lastRenderedPageBreak/>
        <w:t xml:space="preserve">chlorophyll, and complex polysaccharides that can be fermented by the gut microbiota (Zhang et al., 2023; </w:t>
      </w:r>
      <w:proofErr w:type="spellStart"/>
      <w:r w:rsidRPr="007C5FD0">
        <w:rPr>
          <w:rFonts w:ascii="Arial" w:hAnsi="Arial" w:cs="Arial"/>
          <w:sz w:val="24"/>
          <w:szCs w:val="24"/>
        </w:rPr>
        <w:t>Laadraoui</w:t>
      </w:r>
      <w:proofErr w:type="spellEnd"/>
      <w:r w:rsidRPr="007C5FD0">
        <w:rPr>
          <w:rFonts w:ascii="Arial" w:hAnsi="Arial" w:cs="Arial"/>
          <w:sz w:val="24"/>
          <w:szCs w:val="24"/>
        </w:rPr>
        <w:t xml:space="preserve"> et al., 2025).</w:t>
      </w:r>
    </w:p>
    <w:p w14:paraId="09552980" w14:textId="77777777"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 xml:space="preserve">This review will critically </w:t>
      </w:r>
      <w:proofErr w:type="spellStart"/>
      <w:r w:rsidRPr="007C5FD0">
        <w:rPr>
          <w:rFonts w:ascii="Arial" w:hAnsi="Arial" w:cs="Arial"/>
          <w:sz w:val="24"/>
          <w:szCs w:val="24"/>
        </w:rPr>
        <w:t>analyze</w:t>
      </w:r>
      <w:proofErr w:type="spellEnd"/>
      <w:r w:rsidRPr="007C5FD0">
        <w:rPr>
          <w:rFonts w:ascii="Arial" w:hAnsi="Arial" w:cs="Arial"/>
          <w:sz w:val="24"/>
          <w:szCs w:val="24"/>
        </w:rPr>
        <w:t xml:space="preserve"> the current available evidences on the neuroprotective role of prebiotics from </w:t>
      </w:r>
      <w:r w:rsidRPr="007C5FD0">
        <w:rPr>
          <w:rFonts w:ascii="Arial" w:hAnsi="Arial" w:cs="Arial"/>
          <w:i/>
          <w:sz w:val="24"/>
          <w:szCs w:val="24"/>
        </w:rPr>
        <w:t xml:space="preserve">Spirulina </w:t>
      </w:r>
      <w:r w:rsidRPr="007C5FD0">
        <w:rPr>
          <w:rFonts w:ascii="Arial" w:hAnsi="Arial" w:cs="Arial"/>
          <w:sz w:val="24"/>
          <w:szCs w:val="24"/>
        </w:rPr>
        <w:t xml:space="preserve">and </w:t>
      </w:r>
      <w:r w:rsidRPr="007C5FD0">
        <w:rPr>
          <w:rFonts w:ascii="Arial" w:hAnsi="Arial" w:cs="Arial"/>
          <w:i/>
          <w:sz w:val="24"/>
          <w:szCs w:val="24"/>
        </w:rPr>
        <w:t>Chlorella</w:t>
      </w:r>
      <w:r w:rsidRPr="007C5FD0">
        <w:rPr>
          <w:rFonts w:ascii="Arial" w:hAnsi="Arial" w:cs="Arial"/>
          <w:sz w:val="24"/>
          <w:szCs w:val="24"/>
        </w:rPr>
        <w:t>, in relation to AD, PD and ALS. The study will investigate their effects on gut microbiota composition; mechanisms underlying the mitigation of neuroinflammatory pathways and oxidative stress; association with cognitive and motor outcomes, using evidence from both preclinical and clinical studies. This review aims to pool the currently available knowledge on this new era of prebiotics reminisced with microalgae and, most importantly, demystify both their potential as therapeutics along with key unanswered questions for guiding future investigations in this fascinating area.</w:t>
      </w:r>
    </w:p>
    <w:p w14:paraId="2325C268" w14:textId="77777777" w:rsidR="007C5FD0" w:rsidRPr="007C5FD0" w:rsidRDefault="007C5FD0" w:rsidP="00120722">
      <w:pPr>
        <w:pStyle w:val="MdSpace"/>
        <w:spacing w:after="60" w:line="360" w:lineRule="auto"/>
        <w:jc w:val="both"/>
        <w:rPr>
          <w:rFonts w:ascii="Arial" w:hAnsi="Arial" w:cs="Arial"/>
          <w:sz w:val="24"/>
          <w:szCs w:val="24"/>
        </w:rPr>
      </w:pPr>
    </w:p>
    <w:p w14:paraId="7A9FDE61" w14:textId="77777777" w:rsidR="00DD7BCD" w:rsidRDefault="00E93AB3" w:rsidP="009A0F0F">
      <w:pPr>
        <w:pStyle w:val="MdSpace"/>
        <w:spacing w:after="60" w:line="360" w:lineRule="auto"/>
        <w:jc w:val="both"/>
        <w:rPr>
          <w:rFonts w:ascii="Arial" w:hAnsi="Arial" w:cs="Arial"/>
          <w:b/>
          <w:sz w:val="24"/>
          <w:szCs w:val="24"/>
        </w:rPr>
      </w:pPr>
      <w:r>
        <w:rPr>
          <w:rFonts w:ascii="Arial" w:hAnsi="Arial" w:cs="Arial"/>
          <w:b/>
          <w:sz w:val="24"/>
          <w:szCs w:val="24"/>
        </w:rPr>
        <w:t>2.</w:t>
      </w:r>
      <w:r w:rsidRPr="00120722">
        <w:rPr>
          <w:rFonts w:ascii="Arial" w:hAnsi="Arial" w:cs="Arial"/>
          <w:b/>
          <w:sz w:val="24"/>
          <w:szCs w:val="24"/>
        </w:rPr>
        <w:t xml:space="preserve"> METHODOLOGY</w:t>
      </w:r>
    </w:p>
    <w:p w14:paraId="62231DD5" w14:textId="77777777" w:rsidR="006800E0" w:rsidRPr="009A0F0F" w:rsidRDefault="006800E0" w:rsidP="009A0F0F">
      <w:pPr>
        <w:pStyle w:val="MdSpace"/>
        <w:spacing w:after="60" w:line="360" w:lineRule="auto"/>
        <w:ind w:firstLine="360"/>
        <w:jc w:val="both"/>
        <w:rPr>
          <w:rFonts w:ascii="Arial" w:hAnsi="Arial" w:cs="Arial"/>
          <w:sz w:val="24"/>
          <w:szCs w:val="24"/>
        </w:rPr>
      </w:pPr>
      <w:r w:rsidRPr="006800E0">
        <w:rPr>
          <w:rFonts w:ascii="Arial" w:hAnsi="Arial" w:cs="Arial"/>
          <w:sz w:val="24"/>
          <w:szCs w:val="24"/>
        </w:rPr>
        <w:t xml:space="preserve">The aim of this systematic review is to assess the neuroprotective role exhibited by prebiotics from </w:t>
      </w:r>
      <w:r w:rsidRPr="006800E0">
        <w:rPr>
          <w:rFonts w:ascii="Arial" w:hAnsi="Arial" w:cs="Arial"/>
          <w:i/>
          <w:sz w:val="24"/>
          <w:szCs w:val="24"/>
        </w:rPr>
        <w:t xml:space="preserve">Spirulina </w:t>
      </w:r>
      <w:r w:rsidRPr="006800E0">
        <w:rPr>
          <w:rFonts w:ascii="Arial" w:hAnsi="Arial" w:cs="Arial"/>
          <w:sz w:val="24"/>
          <w:szCs w:val="24"/>
        </w:rPr>
        <w:t xml:space="preserve">and </w:t>
      </w:r>
      <w:r w:rsidRPr="006800E0">
        <w:rPr>
          <w:rFonts w:ascii="Arial" w:hAnsi="Arial" w:cs="Arial"/>
          <w:i/>
          <w:sz w:val="24"/>
          <w:szCs w:val="24"/>
        </w:rPr>
        <w:t xml:space="preserve">Chlorella </w:t>
      </w:r>
      <w:r w:rsidRPr="006800E0">
        <w:rPr>
          <w:rFonts w:ascii="Arial" w:hAnsi="Arial" w:cs="Arial"/>
          <w:sz w:val="24"/>
          <w:szCs w:val="24"/>
        </w:rPr>
        <w:t>on Alzheimer's, ALS, and Parkinson disease through its relation with therapeutic targets as gut-brain axis.</w:t>
      </w:r>
      <w:r w:rsidRPr="006800E0">
        <w:t xml:space="preserve"> </w:t>
      </w:r>
      <w:r w:rsidRPr="006800E0">
        <w:rPr>
          <w:rFonts w:ascii="Arial" w:hAnsi="Arial" w:cs="Arial"/>
          <w:sz w:val="24"/>
          <w:szCs w:val="24"/>
        </w:rPr>
        <w:t>A broad literature search (2010–2025) was conducted in PubMed, Scopus, and Web of Science to identify relevant preclinical and clinical studies. The search strategy was constituted of the following combined keywords: (“</w:t>
      </w:r>
      <w:r w:rsidRPr="006800E0">
        <w:rPr>
          <w:rFonts w:ascii="Arial" w:hAnsi="Arial" w:cs="Arial"/>
          <w:i/>
          <w:sz w:val="24"/>
          <w:szCs w:val="24"/>
        </w:rPr>
        <w:t>Spirulina”</w:t>
      </w:r>
      <w:r w:rsidRPr="006800E0">
        <w:rPr>
          <w:rFonts w:ascii="Arial" w:hAnsi="Arial" w:cs="Arial"/>
          <w:sz w:val="24"/>
          <w:szCs w:val="24"/>
        </w:rPr>
        <w:t xml:space="preserve"> or “</w:t>
      </w:r>
      <w:r w:rsidRPr="006800E0">
        <w:rPr>
          <w:rFonts w:ascii="Arial" w:hAnsi="Arial" w:cs="Arial"/>
          <w:i/>
          <w:sz w:val="24"/>
          <w:szCs w:val="24"/>
        </w:rPr>
        <w:t>Chlorella</w:t>
      </w:r>
      <w:r w:rsidRPr="006800E0">
        <w:rPr>
          <w:rFonts w:ascii="Arial" w:hAnsi="Arial" w:cs="Arial"/>
          <w:sz w:val="24"/>
          <w:szCs w:val="24"/>
        </w:rPr>
        <w:t xml:space="preserve">”) and (“prebiotic” or “gut microbiota” or “gut brain axis”) and (neuroprotection” or “neurodegenerative disease”, “Alzheimer’s disease, Parkinson’s disease, ALS”). English-language original research articles that reported on the effects of </w:t>
      </w:r>
      <w:r w:rsidRPr="006800E0">
        <w:rPr>
          <w:rFonts w:ascii="Arial" w:hAnsi="Arial" w:cs="Arial"/>
          <w:i/>
          <w:sz w:val="24"/>
          <w:szCs w:val="24"/>
        </w:rPr>
        <w:t xml:space="preserve">Spirulina </w:t>
      </w:r>
      <w:r w:rsidRPr="006800E0">
        <w:rPr>
          <w:rFonts w:ascii="Arial" w:hAnsi="Arial" w:cs="Arial"/>
          <w:sz w:val="24"/>
          <w:szCs w:val="24"/>
        </w:rPr>
        <w:t xml:space="preserve">and </w:t>
      </w:r>
      <w:r w:rsidRPr="006800E0">
        <w:rPr>
          <w:rFonts w:ascii="Arial" w:hAnsi="Arial" w:cs="Arial"/>
          <w:i/>
          <w:sz w:val="24"/>
          <w:szCs w:val="24"/>
        </w:rPr>
        <w:t>Chlorella,</w:t>
      </w:r>
      <w:r w:rsidRPr="006800E0">
        <w:rPr>
          <w:rFonts w:ascii="Arial" w:hAnsi="Arial" w:cs="Arial"/>
          <w:sz w:val="24"/>
          <w:szCs w:val="24"/>
        </w:rPr>
        <w:t xml:space="preserve"> either as stand-alone supplementation or in adjunct to other therapies, as well as studies evaluating neuroprotection, modulation of gut microbiota, neuroinflammation or oxidative stress were included if they were conducted in the context of AD, PD or ALS. Case reports and non-English publications were excluded from the analysis.</w:t>
      </w:r>
    </w:p>
    <w:p w14:paraId="783C521C" w14:textId="77777777" w:rsidR="00AB4C8F" w:rsidRDefault="00E93AB3" w:rsidP="009A0F0F">
      <w:pPr>
        <w:pStyle w:val="MdParagraph"/>
        <w:spacing w:line="360" w:lineRule="auto"/>
        <w:rPr>
          <w:rStyle w:val="MdStrong"/>
          <w:rFonts w:ascii="Arial" w:hAnsi="Arial" w:cs="Arial"/>
        </w:rPr>
      </w:pPr>
      <w:r>
        <w:rPr>
          <w:rStyle w:val="MdStrong"/>
          <w:rFonts w:ascii="Arial" w:hAnsi="Arial" w:cs="Arial"/>
        </w:rPr>
        <w:t>3.</w:t>
      </w:r>
      <w:r w:rsidRPr="00120722">
        <w:rPr>
          <w:rStyle w:val="MdStrong"/>
          <w:rFonts w:ascii="Arial" w:hAnsi="Arial" w:cs="Arial"/>
        </w:rPr>
        <w:t xml:space="preserve"> THE</w:t>
      </w:r>
      <w:r w:rsidR="004A1CBC" w:rsidRPr="00120722">
        <w:rPr>
          <w:rStyle w:val="MdStrong"/>
          <w:rFonts w:ascii="Arial" w:hAnsi="Arial" w:cs="Arial"/>
        </w:rPr>
        <w:t xml:space="preserve"> GUT-BRAIN AXIS AND NEURODEGENERATION</w:t>
      </w:r>
    </w:p>
    <w:p w14:paraId="3D27054B" w14:textId="77777777" w:rsidR="009A0F0F" w:rsidRPr="009A0F0F" w:rsidRDefault="009A0F0F" w:rsidP="009A0F0F">
      <w:pPr>
        <w:pStyle w:val="MdParagraph"/>
        <w:spacing w:line="360" w:lineRule="auto"/>
        <w:ind w:firstLine="720"/>
        <w:jc w:val="both"/>
        <w:rPr>
          <w:rFonts w:ascii="Arial" w:hAnsi="Arial" w:cs="Arial"/>
        </w:rPr>
      </w:pPr>
      <w:r w:rsidRPr="009A0F0F">
        <w:rPr>
          <w:rFonts w:ascii="Arial" w:hAnsi="Arial" w:cs="Arial"/>
        </w:rPr>
        <w:t xml:space="preserve">Definition and description of gut-brain axis </w:t>
      </w:r>
      <w:proofErr w:type="gramStart"/>
      <w:r w:rsidRPr="009A0F0F">
        <w:rPr>
          <w:rFonts w:ascii="Arial" w:hAnsi="Arial" w:cs="Arial"/>
        </w:rPr>
        <w:t>The</w:t>
      </w:r>
      <w:proofErr w:type="gramEnd"/>
      <w:r w:rsidRPr="009A0F0F">
        <w:rPr>
          <w:rFonts w:ascii="Arial" w:hAnsi="Arial" w:cs="Arial"/>
        </w:rPr>
        <w:t xml:space="preserve"> concept of the brain-gut axis is characterized by a complex system of bidirectional communication, where the CNS communic</w:t>
      </w:r>
      <w:r w:rsidR="002F133B">
        <w:rPr>
          <w:rFonts w:ascii="Arial" w:hAnsi="Arial" w:cs="Arial"/>
        </w:rPr>
        <w:t>ates with the enteric part (</w:t>
      </w:r>
      <w:r w:rsidRPr="009A0F0F">
        <w:rPr>
          <w:rFonts w:ascii="Arial" w:hAnsi="Arial" w:cs="Arial"/>
        </w:rPr>
        <w:t>Figure-1)</w:t>
      </w:r>
      <w:r w:rsidR="002F133B">
        <w:rPr>
          <w:rFonts w:ascii="Arial" w:hAnsi="Arial" w:cs="Arial"/>
        </w:rPr>
        <w:t>.</w:t>
      </w:r>
      <w:r w:rsidRPr="009A0F0F">
        <w:rPr>
          <w:rFonts w:ascii="Arial" w:hAnsi="Arial" w:cs="Arial"/>
        </w:rPr>
        <w:t xml:space="preserve"> and this relationship involves diverse mediator pathways such as neural (e.g., </w:t>
      </w:r>
      <w:proofErr w:type="spellStart"/>
      <w:r w:rsidRPr="009A0F0F">
        <w:rPr>
          <w:rFonts w:ascii="Arial" w:hAnsi="Arial" w:cs="Arial"/>
        </w:rPr>
        <w:t>vagus</w:t>
      </w:r>
      <w:proofErr w:type="spellEnd"/>
      <w:r w:rsidRPr="009A0F0F">
        <w:rPr>
          <w:rFonts w:ascii="Arial" w:hAnsi="Arial" w:cs="Arial"/>
        </w:rPr>
        <w:t xml:space="preserve"> nerve), endocrine (e.g., cortisol) and </w:t>
      </w:r>
      <w:r w:rsidRPr="009A0F0F">
        <w:rPr>
          <w:rFonts w:ascii="Arial" w:hAnsi="Arial" w:cs="Arial"/>
        </w:rPr>
        <w:lastRenderedPageBreak/>
        <w:t>immune (e.g., cytokines) signalling pathways (Samanta &amp; Mondal, 2024; Sun et al., 2023; Rathor &amp; Ch, 2024). In recent years, the gut microbiota has emerged as an essential companion axis of this one and effectively contributes to retaining homeostasis and modulating brain function and behaviour (</w:t>
      </w:r>
      <w:proofErr w:type="spellStart"/>
      <w:r w:rsidRPr="009A0F0F">
        <w:rPr>
          <w:rFonts w:ascii="Arial" w:hAnsi="Arial" w:cs="Arial"/>
        </w:rPr>
        <w:t>Jamerlan</w:t>
      </w:r>
      <w:proofErr w:type="spellEnd"/>
      <w:r w:rsidRPr="009A0F0F">
        <w:rPr>
          <w:rFonts w:ascii="Arial" w:hAnsi="Arial" w:cs="Arial"/>
        </w:rPr>
        <w:t xml:space="preserve"> etal.,2025; John et al., 2021; </w:t>
      </w:r>
      <w:proofErr w:type="spellStart"/>
      <w:r w:rsidRPr="009A0F0F">
        <w:rPr>
          <w:rFonts w:ascii="Arial" w:hAnsi="Arial" w:cs="Arial"/>
        </w:rPr>
        <w:t>Ticinesi</w:t>
      </w:r>
      <w:proofErr w:type="spellEnd"/>
      <w:r w:rsidRPr="009A0F0F">
        <w:rPr>
          <w:rFonts w:ascii="Arial" w:hAnsi="Arial" w:cs="Arial"/>
        </w:rPr>
        <w:t>, 2022).</w:t>
      </w:r>
    </w:p>
    <w:p w14:paraId="1D02D14F" w14:textId="77777777" w:rsidR="009A0F0F" w:rsidRPr="009A0F0F" w:rsidRDefault="009A0F0F" w:rsidP="00E93AB3">
      <w:pPr>
        <w:pStyle w:val="MdParagraph"/>
        <w:spacing w:line="360" w:lineRule="auto"/>
        <w:ind w:firstLine="720"/>
        <w:jc w:val="both"/>
        <w:rPr>
          <w:rFonts w:ascii="Arial" w:hAnsi="Arial" w:cs="Arial"/>
        </w:rPr>
      </w:pPr>
      <w:r w:rsidRPr="009A0F0F">
        <w:rPr>
          <w:rFonts w:ascii="Arial" w:hAnsi="Arial" w:cs="Arial"/>
        </w:rPr>
        <w:t xml:space="preserve">Growing evidence support that alterations in the gut-brain axis including changes in both composition and function of the gut microbiota (termed dysbiosis) are involved in different neurodegenerative diseases. Gut dysbiosis may promote gut barrier dysfunction or increased permeability ("leaky" gut), allowing bacterial endotoxin like LPS into the systemic circulation. This may result in a chronic, systemic, low-grade inflammation that successively induces neuroinflammation which is one of the major characteristics of NDs (Silva et al., 2022; Zhang et al., 2022; Decandia et al., 2023; </w:t>
      </w:r>
      <w:proofErr w:type="spellStart"/>
      <w:r w:rsidRPr="009A0F0F">
        <w:rPr>
          <w:rFonts w:ascii="Arial" w:hAnsi="Arial" w:cs="Arial"/>
        </w:rPr>
        <w:t>Sarubbo</w:t>
      </w:r>
      <w:proofErr w:type="spellEnd"/>
      <w:r w:rsidRPr="009A0F0F">
        <w:rPr>
          <w:rFonts w:ascii="Arial" w:hAnsi="Arial" w:cs="Arial"/>
        </w:rPr>
        <w:t xml:space="preserve"> et al., 2023).</w:t>
      </w:r>
    </w:p>
    <w:p w14:paraId="10248CFB" w14:textId="77777777" w:rsidR="009A0F0F" w:rsidRPr="00120722" w:rsidRDefault="009A0F0F" w:rsidP="009A0F0F">
      <w:pPr>
        <w:pStyle w:val="MdParagraph"/>
        <w:spacing w:line="360" w:lineRule="auto"/>
        <w:ind w:firstLine="720"/>
        <w:jc w:val="both"/>
        <w:rPr>
          <w:rFonts w:ascii="Arial" w:hAnsi="Arial" w:cs="Arial"/>
        </w:rPr>
      </w:pPr>
      <w:r w:rsidRPr="009A0F0F">
        <w:rPr>
          <w:rFonts w:ascii="Arial" w:hAnsi="Arial" w:cs="Arial"/>
        </w:rPr>
        <w:t xml:space="preserve">Specific to AD, patients have been reported to possess a unique gut ecological signature relative to healthy controls which is broadly characterized by a reduction in levels of health–promoting, anti-inflammatory microbiota and an increase in pro-inflammatory taxa (Kim et al., 2024; </w:t>
      </w:r>
      <w:proofErr w:type="spellStart"/>
      <w:r w:rsidRPr="009A0F0F">
        <w:rPr>
          <w:rFonts w:ascii="Arial" w:hAnsi="Arial" w:cs="Arial"/>
        </w:rPr>
        <w:t>Ticinesi</w:t>
      </w:r>
      <w:proofErr w:type="spellEnd"/>
      <w:r w:rsidRPr="009A0F0F">
        <w:rPr>
          <w:rFonts w:ascii="Arial" w:hAnsi="Arial" w:cs="Arial"/>
        </w:rPr>
        <w:t xml:space="preserve"> et al., 2022). Conversely, in PD, gut dysbiosis has been associated with both motor and non-motor symptoms and it is even speculated that the pathology might be initiated in the gut to travel to the brain through the </w:t>
      </w:r>
      <w:proofErr w:type="spellStart"/>
      <w:r w:rsidRPr="009A0F0F">
        <w:rPr>
          <w:rFonts w:ascii="Arial" w:hAnsi="Arial" w:cs="Arial"/>
        </w:rPr>
        <w:t>vagus</w:t>
      </w:r>
      <w:proofErr w:type="spellEnd"/>
      <w:r w:rsidRPr="009A0F0F">
        <w:rPr>
          <w:rFonts w:ascii="Arial" w:hAnsi="Arial" w:cs="Arial"/>
        </w:rPr>
        <w:t xml:space="preserve"> nerve (Kwon et al., 2024; </w:t>
      </w:r>
      <w:proofErr w:type="spellStart"/>
      <w:r w:rsidRPr="009A0F0F">
        <w:rPr>
          <w:rFonts w:ascii="Arial" w:hAnsi="Arial" w:cs="Arial"/>
        </w:rPr>
        <w:t>Valvaikar</w:t>
      </w:r>
      <w:proofErr w:type="spellEnd"/>
      <w:r w:rsidRPr="009A0F0F">
        <w:rPr>
          <w:rFonts w:ascii="Arial" w:hAnsi="Arial" w:cs="Arial"/>
        </w:rPr>
        <w:t xml:space="preserve"> et al., 2024). In ALS gut dysbiosis has been linked with disease progression and severity, possibly through the modulation of systemic inflammation and immune responses (Cuffaro et al., 2024). Thus, the manipulation of gut bacteria to reshape their structure and functionality is considered an encouraging strategy for the treatment of these chronical disorders</w:t>
      </w:r>
      <w:r>
        <w:rPr>
          <w:rFonts w:ascii="Arial" w:hAnsi="Arial" w:cs="Arial"/>
        </w:rPr>
        <w:t>.</w:t>
      </w:r>
    </w:p>
    <w:p w14:paraId="65414562" w14:textId="77777777" w:rsidR="00AC5126" w:rsidRDefault="002F06D4" w:rsidP="00A05E09">
      <w:pPr>
        <w:pStyle w:val="MdParagraph"/>
        <w:spacing w:line="360" w:lineRule="auto"/>
        <w:rPr>
          <w:rStyle w:val="MdStrong"/>
        </w:rPr>
      </w:pPr>
      <w:r>
        <w:rPr>
          <w:noProof/>
        </w:rPr>
        <w:lastRenderedPageBreak/>
        <mc:AlternateContent>
          <mc:Choice Requires="wps">
            <w:drawing>
              <wp:inline distT="0" distB="0" distL="0" distR="0" wp14:anchorId="65C4E2C8" wp14:editId="4D3CF14A">
                <wp:extent cx="304800" cy="304800"/>
                <wp:effectExtent l="0" t="0" r="0" b="0"/>
                <wp:docPr id="3" name="AutoShape 3" descr="https://lh3.googleusercontent.com/gg-dl/ABS2GSlsDzlmFFhqOFQ3rpp7G8ZExe1YqXmtNw2Gmz4YcZJb9QAkzrMGqBqtmK5iEaUuBdr05Te7pquReg4pCQGQnLZscT0moqRyMnpQPKVhCbyCjmP2rIpkazMKkbnbV0a2hqBBod2bJlqvoc-AHr3Z9_SNJxcY4kQenKNmX9bX6Cn2EIIfEA=s1024-r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E7163" id="AutoShape 3" o:spid="_x0000_s1026" alt="https://lh3.googleusercontent.com/gg-dl/ABS2GSlsDzlmFFhqOFQ3rpp7G8ZExe1YqXmtNw2Gmz4YcZJb9QAkzrMGqBqtmK5iEaUuBdr05Te7pquReg4pCQGQnLZscT0moqRyMnpQPKVhCbyCjmP2rIpkazMKkbnbV0a2hqBBod2bJlqvoc-AHr3Z9_SNJxcY4kQenKNmX9bX6Cn2EIIfEA=s1024-rj"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KbaDx9AwAApwYAAA4AAAAAAAAAAAAAAAAALgIAAGRycy9lMm9Eb2MueG1s&#10;UEsBAi0AFAAGAAgAAAAhAEyg6SzYAAAAAwEAAA8AAAAAAAAAAAAAAAAA1wUAAGRycy9kb3ducmV2&#10;LnhtbFBLBQYAAAAABAAEAPMAAADcBgAAAAA=&#10;" filled="f" stroked="f">
                <o:lock v:ext="edit" aspectratio="t"/>
                <w10:anchorlock/>
              </v:rect>
            </w:pict>
          </mc:Fallback>
        </mc:AlternateContent>
      </w:r>
      <w:r w:rsidRPr="002F06D4">
        <w:rPr>
          <w:rStyle w:val="MdStrong"/>
          <w:noProof/>
        </w:rPr>
        <w:drawing>
          <wp:inline distT="0" distB="0" distL="0" distR="0" wp14:anchorId="36018D88" wp14:editId="749F7897">
            <wp:extent cx="5731510" cy="31290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129062"/>
                    </a:xfrm>
                    <a:prstGeom prst="rect">
                      <a:avLst/>
                    </a:prstGeom>
                  </pic:spPr>
                </pic:pic>
              </a:graphicData>
            </a:graphic>
          </wp:inline>
        </w:drawing>
      </w:r>
    </w:p>
    <w:p w14:paraId="140FB664" w14:textId="77777777" w:rsidR="00AC5126" w:rsidRDefault="00AC5126" w:rsidP="00A05E09">
      <w:pPr>
        <w:pStyle w:val="MdParagraph"/>
        <w:spacing w:line="360" w:lineRule="auto"/>
        <w:rPr>
          <w:rStyle w:val="MdStrong"/>
        </w:rPr>
      </w:pPr>
    </w:p>
    <w:p w14:paraId="39D4E27C" w14:textId="77777777" w:rsidR="0046147E" w:rsidRPr="00494320" w:rsidRDefault="00AC5126" w:rsidP="00494320">
      <w:pPr>
        <w:pStyle w:val="MdParagraph"/>
        <w:spacing w:line="360" w:lineRule="auto"/>
        <w:jc w:val="center"/>
        <w:rPr>
          <w:rStyle w:val="MdStrong"/>
          <w:b w:val="0"/>
          <w:sz w:val="18"/>
          <w:szCs w:val="18"/>
        </w:rPr>
      </w:pPr>
      <w:r w:rsidRPr="00494320">
        <w:rPr>
          <w:rStyle w:val="MdStrong"/>
          <w:b w:val="0"/>
          <w:sz w:val="18"/>
          <w:szCs w:val="18"/>
        </w:rPr>
        <w:t>Figure 1: The Gut-Brain Axis and Its Role in Neurodegenerative Diseases</w:t>
      </w:r>
    </w:p>
    <w:p w14:paraId="370185D1" w14:textId="77777777" w:rsidR="0046147E" w:rsidRPr="00150952" w:rsidRDefault="00494320" w:rsidP="00494320">
      <w:pPr>
        <w:pStyle w:val="MdParagraph"/>
        <w:spacing w:line="360" w:lineRule="auto"/>
        <w:jc w:val="both"/>
        <w:rPr>
          <w:rStyle w:val="MdStrong"/>
          <w:rFonts w:ascii="Arial" w:hAnsi="Arial" w:cs="Arial"/>
          <w:b w:val="0"/>
          <w:sz w:val="18"/>
          <w:szCs w:val="18"/>
        </w:rPr>
      </w:pPr>
      <w:r w:rsidRPr="00150952">
        <w:rPr>
          <w:rStyle w:val="MdStrong"/>
          <w:rFonts w:ascii="Arial" w:hAnsi="Arial" w:cs="Arial"/>
          <w:b w:val="0"/>
          <w:sz w:val="18"/>
          <w:szCs w:val="18"/>
        </w:rPr>
        <w:t xml:space="preserve">This schematic diagram illustrates the complex, bidirectional communication network between the gut and the brain, and its dysregulation in neurodegenerative diseases such as Alzheimer’s disease (AD), Parkinson’s disease (PD), and amyotrophic lateral sclerosis (ALS). The gut-brain axis involves four primary communication pathways: (1) Neural, via the </w:t>
      </w:r>
      <w:proofErr w:type="spellStart"/>
      <w:r w:rsidRPr="00150952">
        <w:rPr>
          <w:rStyle w:val="MdStrong"/>
          <w:rFonts w:ascii="Arial" w:hAnsi="Arial" w:cs="Arial"/>
          <w:b w:val="0"/>
          <w:sz w:val="18"/>
          <w:szCs w:val="18"/>
        </w:rPr>
        <w:t>vagus</w:t>
      </w:r>
      <w:proofErr w:type="spellEnd"/>
      <w:r w:rsidRPr="00150952">
        <w:rPr>
          <w:rStyle w:val="MdStrong"/>
          <w:rFonts w:ascii="Arial" w:hAnsi="Arial" w:cs="Arial"/>
          <w:b w:val="0"/>
          <w:sz w:val="18"/>
          <w:szCs w:val="18"/>
        </w:rPr>
        <w:t xml:space="preserve"> nerve; (2) Endocrine, through the hypothalamic-pituitary-adrenal (HPA) axis; (3) Immune, involving the systemic circulation of cytokines (e.g., TNF-α, IL-1β, IL-6); and (4) Metabolic, through the production of microbial metabolites like short-chain fatty acids (SCFAs). Gut dysbiosis, characterized by an imbalance between beneficial and pathogenic bacteria, can compromise intestinal barrier integrity, leading to systemic inflammation and neuroinflammation, thereby contributing to neurodegeneration. The intervention point for prebiotics such as </w:t>
      </w:r>
      <w:r w:rsidRPr="009352C5">
        <w:rPr>
          <w:rStyle w:val="MdStrong"/>
          <w:rFonts w:ascii="Arial" w:hAnsi="Arial" w:cs="Arial"/>
          <w:b w:val="0"/>
          <w:i/>
          <w:sz w:val="18"/>
          <w:szCs w:val="18"/>
        </w:rPr>
        <w:t>Spirulina</w:t>
      </w:r>
      <w:r w:rsidRPr="00150952">
        <w:rPr>
          <w:rStyle w:val="MdStrong"/>
          <w:rFonts w:ascii="Arial" w:hAnsi="Arial" w:cs="Arial"/>
          <w:b w:val="0"/>
          <w:sz w:val="18"/>
          <w:szCs w:val="18"/>
        </w:rPr>
        <w:t xml:space="preserve"> and </w:t>
      </w:r>
      <w:r w:rsidRPr="00661306">
        <w:rPr>
          <w:rStyle w:val="MdStrong"/>
          <w:rFonts w:ascii="Arial" w:hAnsi="Arial" w:cs="Arial"/>
          <w:b w:val="0"/>
          <w:i/>
          <w:sz w:val="18"/>
          <w:szCs w:val="18"/>
        </w:rPr>
        <w:t xml:space="preserve">Chlorella </w:t>
      </w:r>
      <w:r w:rsidRPr="00150952">
        <w:rPr>
          <w:rStyle w:val="MdStrong"/>
          <w:rFonts w:ascii="Arial" w:hAnsi="Arial" w:cs="Arial"/>
          <w:b w:val="0"/>
          <w:sz w:val="18"/>
          <w:szCs w:val="18"/>
        </w:rPr>
        <w:t>is shown, highlighting their potential to modulate the gut microbiota, restore balance, and promote therapeutic outcomes, including reduced neuroinflammation and oxidative stress, and improved cognitive and motor function.</w:t>
      </w:r>
    </w:p>
    <w:p w14:paraId="50776370" w14:textId="77777777" w:rsidR="009A0F0F" w:rsidRDefault="009A0F0F" w:rsidP="00A05E09">
      <w:pPr>
        <w:pStyle w:val="MdParagraph"/>
        <w:spacing w:line="360" w:lineRule="auto"/>
        <w:rPr>
          <w:rStyle w:val="MdStrong"/>
          <w:rFonts w:ascii="Arial" w:hAnsi="Arial" w:cs="Arial"/>
        </w:rPr>
      </w:pPr>
    </w:p>
    <w:p w14:paraId="0F2EA897" w14:textId="77777777" w:rsidR="00AB4C8F" w:rsidRDefault="004A1CBC" w:rsidP="00A05E09">
      <w:pPr>
        <w:pStyle w:val="MdParagraph"/>
        <w:spacing w:line="360" w:lineRule="auto"/>
        <w:rPr>
          <w:rStyle w:val="MdStrong"/>
          <w:rFonts w:ascii="Arial" w:hAnsi="Arial" w:cs="Arial"/>
        </w:rPr>
      </w:pPr>
      <w:r w:rsidRPr="00120722">
        <w:rPr>
          <w:rStyle w:val="MdStrong"/>
          <w:rFonts w:ascii="Arial" w:hAnsi="Arial" w:cs="Arial"/>
        </w:rPr>
        <w:t>4. SPIRULINA AND CHLORELLA AS PREBIOTICS</w:t>
      </w:r>
    </w:p>
    <w:p w14:paraId="0C0667B9" w14:textId="77777777" w:rsidR="002F133B" w:rsidRPr="002F133B" w:rsidRDefault="002F133B" w:rsidP="002F133B">
      <w:pPr>
        <w:pStyle w:val="MdParagraph"/>
        <w:spacing w:line="360" w:lineRule="auto"/>
        <w:ind w:firstLine="720"/>
        <w:jc w:val="both"/>
        <w:rPr>
          <w:rFonts w:ascii="Arial" w:hAnsi="Arial" w:cs="Arial"/>
          <w:bCs/>
        </w:rPr>
      </w:pPr>
      <w:r w:rsidRPr="002F133B">
        <w:rPr>
          <w:rStyle w:val="MdStrong"/>
          <w:rFonts w:ascii="Arial" w:hAnsi="Arial" w:cs="Arial"/>
          <w:b w:val="0"/>
          <w:i/>
        </w:rPr>
        <w:t>Spirulina</w:t>
      </w:r>
      <w:r w:rsidRPr="002F133B">
        <w:rPr>
          <w:rStyle w:val="MdStrong"/>
          <w:rFonts w:ascii="Arial" w:hAnsi="Arial" w:cs="Arial"/>
          <w:b w:val="0"/>
        </w:rPr>
        <w:t xml:space="preserve"> and </w:t>
      </w:r>
      <w:r w:rsidRPr="002F133B">
        <w:rPr>
          <w:rStyle w:val="MdStrong"/>
          <w:rFonts w:ascii="Arial" w:hAnsi="Arial" w:cs="Arial"/>
          <w:b w:val="0"/>
          <w:i/>
        </w:rPr>
        <w:t xml:space="preserve">Chlorella </w:t>
      </w:r>
      <w:r w:rsidRPr="002F133B">
        <w:rPr>
          <w:rStyle w:val="MdStrong"/>
          <w:rFonts w:ascii="Arial" w:hAnsi="Arial" w:cs="Arial"/>
          <w:b w:val="0"/>
        </w:rPr>
        <w:t xml:space="preserve">have attracted substantial academic interest due to their diverse health-promoting properties, including their emerging role as prebiotic agents. These microalgae possess a dense array of nutrients and distinctive bioactive constituents that allow them to interact meaningfully with the gut microbial community. Through these interactions, they hold potential to modulate gut </w:t>
      </w:r>
      <w:r w:rsidRPr="002F133B">
        <w:rPr>
          <w:rStyle w:val="MdStrong"/>
          <w:rFonts w:ascii="Arial" w:hAnsi="Arial" w:cs="Arial"/>
          <w:b w:val="0"/>
        </w:rPr>
        <w:lastRenderedPageBreak/>
        <w:t>microbiota composition and contribute to improved physiological and metabolic health.</w:t>
      </w:r>
    </w:p>
    <w:p w14:paraId="6CC5E6E4" w14:textId="77777777" w:rsidR="00AB4C8F" w:rsidRDefault="00F25E6C" w:rsidP="00A05E09">
      <w:pPr>
        <w:pStyle w:val="MdParagraph"/>
        <w:spacing w:line="360" w:lineRule="auto"/>
        <w:rPr>
          <w:rStyle w:val="MdStrong"/>
          <w:rFonts w:ascii="Arial" w:hAnsi="Arial" w:cs="Arial"/>
        </w:rPr>
      </w:pPr>
      <w:r w:rsidRPr="004A1CBC">
        <w:rPr>
          <w:rStyle w:val="MdStrong"/>
          <w:rFonts w:ascii="Arial" w:hAnsi="Arial" w:cs="Arial"/>
        </w:rPr>
        <w:t>4.1. Composition and Prebiotic Properties</w:t>
      </w:r>
    </w:p>
    <w:p w14:paraId="7F37ABFD" w14:textId="77777777" w:rsidR="002F133B" w:rsidRPr="002F133B" w:rsidRDefault="002F133B" w:rsidP="00E93AB3">
      <w:pPr>
        <w:pStyle w:val="MdParagraph"/>
        <w:spacing w:line="360" w:lineRule="auto"/>
        <w:ind w:firstLine="720"/>
        <w:jc w:val="both"/>
        <w:rPr>
          <w:rStyle w:val="MdStrong"/>
          <w:rFonts w:ascii="Arial" w:hAnsi="Arial" w:cs="Arial"/>
          <w:b w:val="0"/>
        </w:rPr>
      </w:pPr>
      <w:r w:rsidRPr="002F133B">
        <w:rPr>
          <w:rStyle w:val="MdStrong"/>
          <w:rFonts w:ascii="Arial" w:hAnsi="Arial" w:cs="Arial"/>
          <w:b w:val="0"/>
          <w:i/>
        </w:rPr>
        <w:t>Spirulina</w:t>
      </w:r>
      <w:r w:rsidRPr="002F133B">
        <w:rPr>
          <w:rStyle w:val="MdStrong"/>
          <w:rFonts w:ascii="Arial" w:hAnsi="Arial" w:cs="Arial"/>
          <w:b w:val="0"/>
        </w:rPr>
        <w:t xml:space="preserve"> is blue - green algae that contain protein, vitamins, minerals and fatty acids. It is rich in bioactive compounds such as phycocyanin, which has powerful antioxidant and anti-inflammatory effects. </w:t>
      </w:r>
      <w:r w:rsidRPr="002F133B">
        <w:rPr>
          <w:rStyle w:val="MdStrong"/>
          <w:rFonts w:ascii="Arial" w:hAnsi="Arial" w:cs="Arial"/>
          <w:b w:val="0"/>
          <w:i/>
        </w:rPr>
        <w:t>Chlorella,</w:t>
      </w:r>
      <w:r w:rsidRPr="002F133B">
        <w:rPr>
          <w:rStyle w:val="MdStrong"/>
          <w:rFonts w:ascii="Arial" w:hAnsi="Arial" w:cs="Arial"/>
          <w:b w:val="0"/>
        </w:rPr>
        <w:t xml:space="preserve"> </w:t>
      </w:r>
      <w:r w:rsidR="00E90537" w:rsidRPr="002F133B">
        <w:rPr>
          <w:rStyle w:val="MdStrong"/>
          <w:rFonts w:ascii="Arial" w:hAnsi="Arial" w:cs="Arial"/>
          <w:b w:val="0"/>
        </w:rPr>
        <w:t>green</w:t>
      </w:r>
      <w:r w:rsidRPr="002F133B">
        <w:rPr>
          <w:rStyle w:val="MdStrong"/>
          <w:rFonts w:ascii="Arial" w:hAnsi="Arial" w:cs="Arial"/>
          <w:b w:val="0"/>
        </w:rPr>
        <w:t xml:space="preserve"> algae, is even more nutrient-dense and especially rich in chlorophyll, which some studies have sh</w:t>
      </w:r>
      <w:r>
        <w:rPr>
          <w:rStyle w:val="MdStrong"/>
          <w:rFonts w:ascii="Arial" w:hAnsi="Arial" w:cs="Arial"/>
          <w:b w:val="0"/>
        </w:rPr>
        <w:t>own to have detoxifying effects (Table-1).</w:t>
      </w:r>
      <w:r w:rsidRPr="002F133B">
        <w:rPr>
          <w:rStyle w:val="MdStrong"/>
          <w:rFonts w:ascii="Arial" w:hAnsi="Arial" w:cs="Arial"/>
          <w:b w:val="0"/>
        </w:rPr>
        <w:t xml:space="preserve"> Both of the microalgae contain dietary </w:t>
      </w:r>
      <w:proofErr w:type="spellStart"/>
      <w:r w:rsidRPr="002F133B">
        <w:rPr>
          <w:rStyle w:val="MdStrong"/>
          <w:rFonts w:ascii="Arial" w:hAnsi="Arial" w:cs="Arial"/>
          <w:b w:val="0"/>
        </w:rPr>
        <w:t>fibers</w:t>
      </w:r>
      <w:proofErr w:type="spellEnd"/>
      <w:r w:rsidRPr="002F133B">
        <w:rPr>
          <w:rStyle w:val="MdStrong"/>
          <w:rFonts w:ascii="Arial" w:hAnsi="Arial" w:cs="Arial"/>
          <w:b w:val="0"/>
        </w:rPr>
        <w:t xml:space="preserve"> and polysaccharides which are resistant to enzymatic hydrolysis in humans, thus reaching the colon, as substrate for beneficial bacteria in the gut (Pabon et al., 2012).</w:t>
      </w:r>
    </w:p>
    <w:p w14:paraId="15CE1029" w14:textId="77777777" w:rsidR="002F133B" w:rsidRPr="002F133B" w:rsidRDefault="002F133B" w:rsidP="002F133B">
      <w:pPr>
        <w:pStyle w:val="MdParagraph"/>
        <w:spacing w:line="360" w:lineRule="auto"/>
        <w:ind w:firstLine="720"/>
        <w:jc w:val="both"/>
        <w:rPr>
          <w:rFonts w:ascii="Arial" w:hAnsi="Arial" w:cs="Arial"/>
          <w:bCs/>
        </w:rPr>
      </w:pPr>
      <w:r w:rsidRPr="002F133B">
        <w:rPr>
          <w:rStyle w:val="MdStrong"/>
          <w:rFonts w:ascii="Arial" w:hAnsi="Arial" w:cs="Arial"/>
          <w:b w:val="0"/>
        </w:rPr>
        <w:t xml:space="preserve">As prebiotics, </w:t>
      </w:r>
      <w:r w:rsidRPr="002F133B">
        <w:rPr>
          <w:rStyle w:val="MdStrong"/>
          <w:rFonts w:ascii="Arial" w:hAnsi="Arial" w:cs="Arial"/>
          <w:b w:val="0"/>
          <w:i/>
        </w:rPr>
        <w:t>Spirulina</w:t>
      </w:r>
      <w:r w:rsidRPr="002F133B">
        <w:rPr>
          <w:rStyle w:val="MdStrong"/>
          <w:rFonts w:ascii="Arial" w:hAnsi="Arial" w:cs="Arial"/>
          <w:b w:val="0"/>
        </w:rPr>
        <w:t xml:space="preserve"> and </w:t>
      </w:r>
      <w:r w:rsidRPr="002F133B">
        <w:rPr>
          <w:rStyle w:val="MdStrong"/>
          <w:rFonts w:ascii="Arial" w:hAnsi="Arial" w:cs="Arial"/>
          <w:b w:val="0"/>
          <w:i/>
        </w:rPr>
        <w:t>Chlorella</w:t>
      </w:r>
      <w:r w:rsidRPr="002F133B">
        <w:rPr>
          <w:rStyle w:val="MdStrong"/>
          <w:rFonts w:ascii="Arial" w:hAnsi="Arial" w:cs="Arial"/>
          <w:b w:val="0"/>
        </w:rPr>
        <w:t xml:space="preserve"> can selectively promote the growth of beneficial bacteria in the gut </w:t>
      </w:r>
      <w:r w:rsidRPr="002F133B">
        <w:rPr>
          <w:rStyle w:val="MdStrong"/>
          <w:rFonts w:ascii="MS Gothic" w:eastAsia="MS Gothic" w:hAnsi="MS Gothic" w:cs="MS Gothic" w:hint="eastAsia"/>
          <w:b w:val="0"/>
        </w:rPr>
        <w:t>（</w:t>
      </w:r>
      <w:r w:rsidRPr="002F133B">
        <w:rPr>
          <w:rStyle w:val="MdStrong"/>
          <w:rFonts w:ascii="Arial" w:hAnsi="Arial" w:cs="Arial"/>
          <w:b w:val="0"/>
        </w:rPr>
        <w:t>such as Lactobacillus and Bifidobacterium) (Wan get al., 2025). This gut microbiota modulation may produce short-chain fatty acids (SCFAs) such as butyrate, propionate and acetate. These SCFAs are pivotal for the gut health, promoting a robust gut barrier, and anti-inflammatory effects to the whole body including CNS (Tsao et al., 2021; Pan e</w:t>
      </w:r>
      <w:r>
        <w:rPr>
          <w:rStyle w:val="MdStrong"/>
          <w:rFonts w:ascii="Arial" w:hAnsi="Arial" w:cs="Arial"/>
          <w:b w:val="0"/>
        </w:rPr>
        <w:t>t al., 2022; Tsao et al., 2024)</w:t>
      </w:r>
      <w:r w:rsidR="00E90537">
        <w:rPr>
          <w:rStyle w:val="MdStrong"/>
          <w:rFonts w:ascii="Arial" w:hAnsi="Arial" w:cs="Arial"/>
          <w:b w:val="0"/>
        </w:rPr>
        <w:t>.</w:t>
      </w:r>
    </w:p>
    <w:p w14:paraId="1D4EA321" w14:textId="77777777" w:rsidR="0088017C" w:rsidRPr="00E90537" w:rsidRDefault="0088017C" w:rsidP="0029509B">
      <w:pPr>
        <w:pStyle w:val="MdParagraph"/>
        <w:spacing w:line="360" w:lineRule="auto"/>
        <w:ind w:firstLine="720"/>
        <w:jc w:val="both"/>
        <w:rPr>
          <w:rFonts w:ascii="Arial" w:hAnsi="Arial" w:cs="Arial"/>
          <w:b/>
          <w:i/>
          <w:sz w:val="20"/>
          <w:szCs w:val="20"/>
        </w:rPr>
      </w:pPr>
      <w:r w:rsidRPr="00E90537">
        <w:rPr>
          <w:rFonts w:ascii="Arial" w:hAnsi="Arial" w:cs="Arial"/>
          <w:b/>
          <w:sz w:val="20"/>
          <w:szCs w:val="20"/>
        </w:rPr>
        <w:t xml:space="preserve">Table-1 Comparative Nutritional and Bioactive Composition of </w:t>
      </w:r>
      <w:r w:rsidRPr="00E90537">
        <w:rPr>
          <w:rFonts w:ascii="Arial" w:hAnsi="Arial" w:cs="Arial"/>
          <w:b/>
          <w:i/>
          <w:sz w:val="20"/>
          <w:szCs w:val="20"/>
        </w:rPr>
        <w:t>Spirulina</w:t>
      </w:r>
      <w:r w:rsidRPr="00E90537">
        <w:rPr>
          <w:rFonts w:ascii="Arial" w:hAnsi="Arial" w:cs="Arial"/>
          <w:b/>
          <w:sz w:val="20"/>
          <w:szCs w:val="20"/>
        </w:rPr>
        <w:t xml:space="preserve"> and </w:t>
      </w:r>
      <w:r w:rsidRPr="00E90537">
        <w:rPr>
          <w:rFonts w:ascii="Arial" w:hAnsi="Arial" w:cs="Arial"/>
          <w:b/>
          <w:i/>
          <w:sz w:val="20"/>
          <w:szCs w:val="20"/>
        </w:rPr>
        <w:t>Chlorella.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49"/>
        <w:gridCol w:w="1583"/>
        <w:gridCol w:w="1518"/>
        <w:gridCol w:w="3566"/>
      </w:tblGrid>
      <w:tr w:rsidR="009B100A" w:rsidRPr="00E90537" w14:paraId="74B5B764" w14:textId="77777777" w:rsidTr="0079658C">
        <w:trPr>
          <w:tblHeader/>
          <w:tblCellSpacing w:w="15" w:type="dxa"/>
        </w:trPr>
        <w:tc>
          <w:tcPr>
            <w:tcW w:w="0" w:type="auto"/>
            <w:tcBorders>
              <w:top w:val="nil"/>
              <w:bottom w:val="nil"/>
            </w:tcBorders>
            <w:vAlign w:val="center"/>
            <w:hideMark/>
          </w:tcPr>
          <w:p w14:paraId="6CD4DF3C" w14:textId="77777777" w:rsidR="009B100A" w:rsidRPr="00E90537" w:rsidRDefault="009B100A" w:rsidP="009B100A">
            <w:pPr>
              <w:jc w:val="center"/>
              <w:rPr>
                <w:rFonts w:ascii="Arial" w:hAnsi="Arial" w:cs="Arial"/>
                <w:b/>
                <w:bCs/>
                <w:sz w:val="20"/>
                <w:szCs w:val="20"/>
              </w:rPr>
            </w:pPr>
            <w:r w:rsidRPr="00E90537">
              <w:rPr>
                <w:rFonts w:ascii="Arial" w:hAnsi="Arial" w:cs="Arial"/>
                <w:b/>
                <w:bCs/>
                <w:sz w:val="20"/>
                <w:szCs w:val="20"/>
              </w:rPr>
              <w:t>Component</w:t>
            </w:r>
          </w:p>
        </w:tc>
        <w:tc>
          <w:tcPr>
            <w:tcW w:w="0" w:type="auto"/>
            <w:tcBorders>
              <w:top w:val="nil"/>
              <w:bottom w:val="nil"/>
            </w:tcBorders>
            <w:vAlign w:val="center"/>
            <w:hideMark/>
          </w:tcPr>
          <w:p w14:paraId="3D84EE1E" w14:textId="77777777" w:rsidR="009B100A" w:rsidRPr="00661306" w:rsidRDefault="009B100A" w:rsidP="009B100A">
            <w:pPr>
              <w:rPr>
                <w:rFonts w:ascii="Arial" w:hAnsi="Arial" w:cs="Arial"/>
                <w:b/>
                <w:bCs/>
                <w:i/>
                <w:sz w:val="20"/>
                <w:szCs w:val="20"/>
              </w:rPr>
            </w:pPr>
            <w:r w:rsidRPr="00661306">
              <w:rPr>
                <w:rFonts w:ascii="Arial" w:hAnsi="Arial" w:cs="Arial"/>
                <w:b/>
                <w:bCs/>
                <w:i/>
                <w:sz w:val="20"/>
                <w:szCs w:val="20"/>
              </w:rPr>
              <w:t>Spirulina</w:t>
            </w:r>
          </w:p>
        </w:tc>
        <w:tc>
          <w:tcPr>
            <w:tcW w:w="0" w:type="auto"/>
            <w:tcBorders>
              <w:top w:val="nil"/>
              <w:bottom w:val="nil"/>
            </w:tcBorders>
            <w:vAlign w:val="center"/>
            <w:hideMark/>
          </w:tcPr>
          <w:p w14:paraId="2FAFCF57" w14:textId="77777777" w:rsidR="009B100A" w:rsidRPr="00661306" w:rsidRDefault="009B100A" w:rsidP="009B100A">
            <w:pPr>
              <w:rPr>
                <w:rFonts w:ascii="Arial" w:hAnsi="Arial" w:cs="Arial"/>
                <w:b/>
                <w:bCs/>
                <w:i/>
                <w:sz w:val="20"/>
                <w:szCs w:val="20"/>
              </w:rPr>
            </w:pPr>
            <w:r w:rsidRPr="00661306">
              <w:rPr>
                <w:rFonts w:ascii="Arial" w:hAnsi="Arial" w:cs="Arial"/>
                <w:b/>
                <w:bCs/>
                <w:i/>
                <w:sz w:val="20"/>
                <w:szCs w:val="20"/>
              </w:rPr>
              <w:t>Chlorella</w:t>
            </w:r>
          </w:p>
        </w:tc>
        <w:tc>
          <w:tcPr>
            <w:tcW w:w="0" w:type="auto"/>
            <w:tcBorders>
              <w:top w:val="nil"/>
              <w:bottom w:val="nil"/>
            </w:tcBorders>
            <w:vAlign w:val="center"/>
            <w:hideMark/>
          </w:tcPr>
          <w:p w14:paraId="06B1F94D" w14:textId="77777777" w:rsidR="009B100A" w:rsidRPr="00E90537" w:rsidRDefault="009B100A" w:rsidP="009B100A">
            <w:pPr>
              <w:jc w:val="center"/>
              <w:rPr>
                <w:rFonts w:ascii="Arial" w:hAnsi="Arial" w:cs="Arial"/>
                <w:b/>
                <w:bCs/>
                <w:sz w:val="20"/>
                <w:szCs w:val="20"/>
              </w:rPr>
            </w:pPr>
            <w:r w:rsidRPr="00E90537">
              <w:rPr>
                <w:rFonts w:ascii="Arial" w:hAnsi="Arial" w:cs="Arial"/>
                <w:b/>
                <w:bCs/>
                <w:sz w:val="20"/>
                <w:szCs w:val="20"/>
              </w:rPr>
              <w:t>Citations</w:t>
            </w:r>
          </w:p>
        </w:tc>
      </w:tr>
      <w:tr w:rsidR="009B100A" w:rsidRPr="00E90537" w14:paraId="6E6F270E" w14:textId="77777777" w:rsidTr="0079658C">
        <w:trPr>
          <w:tblCellSpacing w:w="15" w:type="dxa"/>
        </w:trPr>
        <w:tc>
          <w:tcPr>
            <w:tcW w:w="0" w:type="auto"/>
            <w:tcBorders>
              <w:top w:val="nil"/>
              <w:bottom w:val="nil"/>
            </w:tcBorders>
            <w:vAlign w:val="center"/>
            <w:hideMark/>
          </w:tcPr>
          <w:p w14:paraId="7A496EE9" w14:textId="77777777" w:rsidR="009B100A" w:rsidRPr="00E90537" w:rsidRDefault="009B100A" w:rsidP="009B100A">
            <w:pPr>
              <w:rPr>
                <w:rFonts w:ascii="Arial" w:hAnsi="Arial" w:cs="Arial"/>
                <w:sz w:val="20"/>
                <w:szCs w:val="20"/>
              </w:rPr>
            </w:pPr>
            <w:r w:rsidRPr="00E90537">
              <w:rPr>
                <w:rFonts w:ascii="Arial" w:hAnsi="Arial" w:cs="Arial"/>
                <w:sz w:val="20"/>
                <w:szCs w:val="20"/>
              </w:rPr>
              <w:t>Protein (%)</w:t>
            </w:r>
          </w:p>
        </w:tc>
        <w:tc>
          <w:tcPr>
            <w:tcW w:w="0" w:type="auto"/>
            <w:tcBorders>
              <w:top w:val="nil"/>
              <w:bottom w:val="nil"/>
            </w:tcBorders>
            <w:vAlign w:val="center"/>
            <w:hideMark/>
          </w:tcPr>
          <w:p w14:paraId="6E30DCF3" w14:textId="77777777" w:rsidR="009B100A" w:rsidRPr="00E90537" w:rsidRDefault="009B100A" w:rsidP="009B100A">
            <w:pPr>
              <w:rPr>
                <w:rFonts w:ascii="Arial" w:hAnsi="Arial" w:cs="Arial"/>
                <w:sz w:val="20"/>
                <w:szCs w:val="20"/>
              </w:rPr>
            </w:pPr>
            <w:r w:rsidRPr="00E90537">
              <w:rPr>
                <w:rFonts w:ascii="Arial" w:hAnsi="Arial" w:cs="Arial"/>
                <w:sz w:val="20"/>
                <w:szCs w:val="20"/>
              </w:rPr>
              <w:t>58.2</w:t>
            </w:r>
          </w:p>
        </w:tc>
        <w:tc>
          <w:tcPr>
            <w:tcW w:w="0" w:type="auto"/>
            <w:tcBorders>
              <w:top w:val="nil"/>
              <w:bottom w:val="nil"/>
            </w:tcBorders>
            <w:vAlign w:val="center"/>
            <w:hideMark/>
          </w:tcPr>
          <w:p w14:paraId="63993D4D" w14:textId="77777777" w:rsidR="009B100A" w:rsidRPr="00E90537" w:rsidRDefault="009B100A" w:rsidP="009B100A">
            <w:pPr>
              <w:rPr>
                <w:rFonts w:ascii="Arial" w:hAnsi="Arial" w:cs="Arial"/>
                <w:sz w:val="20"/>
                <w:szCs w:val="20"/>
              </w:rPr>
            </w:pPr>
            <w:r w:rsidRPr="00E90537">
              <w:rPr>
                <w:rFonts w:ascii="Arial" w:hAnsi="Arial" w:cs="Arial"/>
                <w:sz w:val="20"/>
                <w:szCs w:val="20"/>
              </w:rPr>
              <w:t>64.6</w:t>
            </w:r>
          </w:p>
        </w:tc>
        <w:tc>
          <w:tcPr>
            <w:tcW w:w="0" w:type="auto"/>
            <w:tcBorders>
              <w:top w:val="nil"/>
              <w:bottom w:val="nil"/>
            </w:tcBorders>
            <w:vAlign w:val="center"/>
            <w:hideMark/>
          </w:tcPr>
          <w:p w14:paraId="08D1A9E3"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 Muys et al., 2019; Thangaraj et al., 2022)</w:t>
            </w:r>
          </w:p>
        </w:tc>
      </w:tr>
      <w:tr w:rsidR="009B100A" w:rsidRPr="00E90537" w14:paraId="418254B1" w14:textId="77777777" w:rsidTr="0079658C">
        <w:trPr>
          <w:tblCellSpacing w:w="15" w:type="dxa"/>
        </w:trPr>
        <w:tc>
          <w:tcPr>
            <w:tcW w:w="0" w:type="auto"/>
            <w:tcBorders>
              <w:top w:val="single" w:sz="4" w:space="0" w:color="auto"/>
              <w:bottom w:val="single" w:sz="4" w:space="0" w:color="auto"/>
            </w:tcBorders>
            <w:vAlign w:val="center"/>
            <w:hideMark/>
          </w:tcPr>
          <w:p w14:paraId="393A29C4" w14:textId="77777777" w:rsidR="009B100A" w:rsidRPr="00E90537" w:rsidRDefault="00D671F3" w:rsidP="009B100A">
            <w:pPr>
              <w:rPr>
                <w:rFonts w:ascii="Arial" w:hAnsi="Arial" w:cs="Arial"/>
                <w:sz w:val="20"/>
                <w:szCs w:val="20"/>
              </w:rPr>
            </w:pPr>
            <w:r w:rsidRPr="00E90537">
              <w:rPr>
                <w:rFonts w:ascii="Arial" w:hAnsi="Arial" w:cs="Arial"/>
                <w:sz w:val="20"/>
                <w:szCs w:val="20"/>
              </w:rPr>
              <w:t xml:space="preserve"> </w:t>
            </w:r>
            <w:r w:rsidR="009B100A" w:rsidRPr="00E90537">
              <w:rPr>
                <w:rFonts w:ascii="Arial" w:hAnsi="Arial" w:cs="Arial"/>
                <w:sz w:val="20"/>
                <w:szCs w:val="20"/>
              </w:rPr>
              <w:t>Lipid (%)</w:t>
            </w:r>
          </w:p>
        </w:tc>
        <w:tc>
          <w:tcPr>
            <w:tcW w:w="0" w:type="auto"/>
            <w:tcBorders>
              <w:top w:val="single" w:sz="4" w:space="0" w:color="auto"/>
              <w:bottom w:val="single" w:sz="4" w:space="0" w:color="auto"/>
            </w:tcBorders>
            <w:vAlign w:val="center"/>
            <w:hideMark/>
          </w:tcPr>
          <w:p w14:paraId="07610A6A" w14:textId="77777777" w:rsidR="009B100A" w:rsidRPr="00E90537" w:rsidRDefault="009B100A" w:rsidP="009B100A">
            <w:pPr>
              <w:rPr>
                <w:rFonts w:ascii="Arial" w:hAnsi="Arial" w:cs="Arial"/>
                <w:sz w:val="20"/>
                <w:szCs w:val="20"/>
              </w:rPr>
            </w:pPr>
            <w:r w:rsidRPr="00E90537">
              <w:rPr>
                <w:rFonts w:ascii="Arial" w:hAnsi="Arial" w:cs="Arial"/>
                <w:sz w:val="20"/>
                <w:szCs w:val="20"/>
              </w:rPr>
              <w:t>1.5–3.8</w:t>
            </w:r>
          </w:p>
        </w:tc>
        <w:tc>
          <w:tcPr>
            <w:tcW w:w="0" w:type="auto"/>
            <w:tcBorders>
              <w:top w:val="single" w:sz="4" w:space="0" w:color="auto"/>
              <w:bottom w:val="single" w:sz="4" w:space="0" w:color="auto"/>
            </w:tcBorders>
            <w:vAlign w:val="center"/>
            <w:hideMark/>
          </w:tcPr>
          <w:p w14:paraId="30D93F8D" w14:textId="77777777" w:rsidR="009B100A" w:rsidRPr="00E90537" w:rsidRDefault="009B100A" w:rsidP="009B100A">
            <w:pPr>
              <w:rPr>
                <w:rFonts w:ascii="Arial" w:hAnsi="Arial" w:cs="Arial"/>
                <w:sz w:val="20"/>
                <w:szCs w:val="20"/>
              </w:rPr>
            </w:pPr>
            <w:r w:rsidRPr="00E90537">
              <w:rPr>
                <w:rFonts w:ascii="Arial" w:hAnsi="Arial" w:cs="Arial"/>
                <w:sz w:val="20"/>
                <w:szCs w:val="20"/>
              </w:rPr>
              <w:t>5.1–5.7</w:t>
            </w:r>
          </w:p>
        </w:tc>
        <w:tc>
          <w:tcPr>
            <w:tcW w:w="0" w:type="auto"/>
            <w:tcBorders>
              <w:top w:val="single" w:sz="4" w:space="0" w:color="auto"/>
              <w:bottom w:val="single" w:sz="4" w:space="0" w:color="auto"/>
            </w:tcBorders>
            <w:vAlign w:val="center"/>
            <w:hideMark/>
          </w:tcPr>
          <w:p w14:paraId="1967E329" w14:textId="77777777" w:rsidR="009B100A" w:rsidRPr="00E90537" w:rsidRDefault="009B100A" w:rsidP="009B100A">
            <w:pPr>
              <w:rPr>
                <w:rFonts w:ascii="Arial" w:hAnsi="Arial" w:cs="Arial"/>
                <w:sz w:val="20"/>
                <w:szCs w:val="20"/>
              </w:rPr>
            </w:pPr>
            <w:r w:rsidRPr="00E90537">
              <w:rPr>
                <w:rFonts w:ascii="Arial" w:hAnsi="Arial" w:cs="Arial"/>
                <w:sz w:val="20"/>
                <w:szCs w:val="20"/>
              </w:rPr>
              <w:t xml:space="preserve">(Thangaraj et al., 2022; </w:t>
            </w:r>
            <w:proofErr w:type="spellStart"/>
            <w:r w:rsidRPr="00E90537">
              <w:rPr>
                <w:rFonts w:ascii="Arial" w:hAnsi="Arial" w:cs="Arial"/>
                <w:sz w:val="20"/>
                <w:szCs w:val="20"/>
              </w:rPr>
              <w:t>Panayotova</w:t>
            </w:r>
            <w:proofErr w:type="spellEnd"/>
            <w:r w:rsidRPr="00E90537">
              <w:rPr>
                <w:rFonts w:ascii="Arial" w:hAnsi="Arial" w:cs="Arial"/>
                <w:sz w:val="20"/>
                <w:szCs w:val="20"/>
              </w:rPr>
              <w:t xml:space="preserve"> et al., 2024; </w:t>
            </w:r>
            <w:proofErr w:type="spellStart"/>
            <w:r w:rsidRPr="00E90537">
              <w:rPr>
                <w:rFonts w:ascii="Arial" w:hAnsi="Arial" w:cs="Arial"/>
                <w:sz w:val="20"/>
                <w:szCs w:val="20"/>
              </w:rPr>
              <w:t>Senila</w:t>
            </w:r>
            <w:proofErr w:type="spellEnd"/>
            <w:r w:rsidRPr="00E90537">
              <w:rPr>
                <w:rFonts w:ascii="Arial" w:hAnsi="Arial" w:cs="Arial"/>
                <w:sz w:val="20"/>
                <w:szCs w:val="20"/>
              </w:rPr>
              <w:t xml:space="preserve"> et al., 2025)</w:t>
            </w:r>
          </w:p>
        </w:tc>
      </w:tr>
      <w:tr w:rsidR="009B100A" w:rsidRPr="00E90537" w14:paraId="5B37C24F" w14:textId="77777777" w:rsidTr="0079658C">
        <w:trPr>
          <w:tblCellSpacing w:w="15" w:type="dxa"/>
        </w:trPr>
        <w:tc>
          <w:tcPr>
            <w:tcW w:w="0" w:type="auto"/>
            <w:tcBorders>
              <w:top w:val="nil"/>
              <w:bottom w:val="nil"/>
            </w:tcBorders>
            <w:vAlign w:val="center"/>
            <w:hideMark/>
          </w:tcPr>
          <w:p w14:paraId="3FF7D800" w14:textId="77777777" w:rsidR="009B100A" w:rsidRPr="00E90537" w:rsidRDefault="009B100A" w:rsidP="009B100A">
            <w:pPr>
              <w:rPr>
                <w:rFonts w:ascii="Arial" w:hAnsi="Arial" w:cs="Arial"/>
                <w:sz w:val="20"/>
                <w:szCs w:val="20"/>
              </w:rPr>
            </w:pPr>
            <w:r w:rsidRPr="00E90537">
              <w:rPr>
                <w:rFonts w:ascii="Arial" w:hAnsi="Arial" w:cs="Arial"/>
                <w:sz w:val="20"/>
                <w:szCs w:val="20"/>
              </w:rPr>
              <w:t>Carotenoids (mg/g)</w:t>
            </w:r>
          </w:p>
        </w:tc>
        <w:tc>
          <w:tcPr>
            <w:tcW w:w="0" w:type="auto"/>
            <w:tcBorders>
              <w:top w:val="nil"/>
              <w:bottom w:val="nil"/>
            </w:tcBorders>
            <w:vAlign w:val="center"/>
            <w:hideMark/>
          </w:tcPr>
          <w:p w14:paraId="22265FB4" w14:textId="77777777" w:rsidR="009B100A" w:rsidRPr="00E90537" w:rsidRDefault="009B100A" w:rsidP="009B100A">
            <w:pPr>
              <w:rPr>
                <w:rFonts w:ascii="Arial" w:hAnsi="Arial" w:cs="Arial"/>
                <w:sz w:val="20"/>
                <w:szCs w:val="20"/>
              </w:rPr>
            </w:pPr>
            <w:r w:rsidRPr="00E90537">
              <w:rPr>
                <w:rFonts w:ascii="Arial" w:hAnsi="Arial" w:cs="Arial"/>
                <w:sz w:val="20"/>
                <w:szCs w:val="20"/>
              </w:rPr>
              <w:t>0.51</w:t>
            </w:r>
          </w:p>
        </w:tc>
        <w:tc>
          <w:tcPr>
            <w:tcW w:w="0" w:type="auto"/>
            <w:tcBorders>
              <w:top w:val="nil"/>
              <w:bottom w:val="nil"/>
            </w:tcBorders>
            <w:vAlign w:val="center"/>
            <w:hideMark/>
          </w:tcPr>
          <w:p w14:paraId="35323EDA" w14:textId="77777777" w:rsidR="009B100A" w:rsidRPr="00E90537" w:rsidRDefault="009B100A" w:rsidP="009B100A">
            <w:pPr>
              <w:rPr>
                <w:rFonts w:ascii="Arial" w:hAnsi="Arial" w:cs="Arial"/>
                <w:sz w:val="20"/>
                <w:szCs w:val="20"/>
              </w:rPr>
            </w:pPr>
            <w:r w:rsidRPr="00E90537">
              <w:rPr>
                <w:rFonts w:ascii="Arial" w:hAnsi="Arial" w:cs="Arial"/>
                <w:sz w:val="20"/>
                <w:szCs w:val="20"/>
              </w:rPr>
              <w:t>0.65</w:t>
            </w:r>
          </w:p>
        </w:tc>
        <w:tc>
          <w:tcPr>
            <w:tcW w:w="0" w:type="auto"/>
            <w:tcBorders>
              <w:top w:val="nil"/>
              <w:bottom w:val="nil"/>
            </w:tcBorders>
            <w:vAlign w:val="center"/>
            <w:hideMark/>
          </w:tcPr>
          <w:p w14:paraId="63A20F74"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w:t>
            </w:r>
          </w:p>
        </w:tc>
      </w:tr>
      <w:tr w:rsidR="009B100A" w:rsidRPr="00E90537" w14:paraId="5512B550" w14:textId="77777777" w:rsidTr="0079658C">
        <w:trPr>
          <w:tblCellSpacing w:w="15" w:type="dxa"/>
        </w:trPr>
        <w:tc>
          <w:tcPr>
            <w:tcW w:w="0" w:type="auto"/>
            <w:tcBorders>
              <w:top w:val="nil"/>
              <w:bottom w:val="nil"/>
            </w:tcBorders>
            <w:vAlign w:val="center"/>
            <w:hideMark/>
          </w:tcPr>
          <w:p w14:paraId="0526437E" w14:textId="77777777" w:rsidR="009B100A" w:rsidRPr="00E90537" w:rsidRDefault="009B100A" w:rsidP="009B100A">
            <w:pPr>
              <w:rPr>
                <w:rFonts w:ascii="Arial" w:hAnsi="Arial" w:cs="Arial"/>
                <w:sz w:val="20"/>
                <w:szCs w:val="20"/>
              </w:rPr>
            </w:pPr>
            <w:r w:rsidRPr="00E90537">
              <w:rPr>
                <w:rFonts w:ascii="Arial" w:hAnsi="Arial" w:cs="Arial"/>
                <w:sz w:val="20"/>
                <w:szCs w:val="20"/>
              </w:rPr>
              <w:t>Chlorophyll (mg/g)</w:t>
            </w:r>
          </w:p>
        </w:tc>
        <w:tc>
          <w:tcPr>
            <w:tcW w:w="0" w:type="auto"/>
            <w:tcBorders>
              <w:top w:val="nil"/>
              <w:bottom w:val="nil"/>
            </w:tcBorders>
            <w:vAlign w:val="center"/>
            <w:hideMark/>
          </w:tcPr>
          <w:p w14:paraId="27F7F6BE" w14:textId="77777777" w:rsidR="009B100A" w:rsidRPr="00E90537" w:rsidRDefault="009B100A" w:rsidP="009B100A">
            <w:pPr>
              <w:rPr>
                <w:rFonts w:ascii="Arial" w:hAnsi="Arial" w:cs="Arial"/>
                <w:sz w:val="20"/>
                <w:szCs w:val="20"/>
              </w:rPr>
            </w:pPr>
            <w:r w:rsidRPr="00E90537">
              <w:rPr>
                <w:rFonts w:ascii="Arial" w:hAnsi="Arial" w:cs="Arial"/>
                <w:sz w:val="20"/>
                <w:szCs w:val="20"/>
              </w:rPr>
              <w:t>Lower</w:t>
            </w:r>
          </w:p>
        </w:tc>
        <w:tc>
          <w:tcPr>
            <w:tcW w:w="0" w:type="auto"/>
            <w:tcBorders>
              <w:top w:val="nil"/>
              <w:bottom w:val="nil"/>
            </w:tcBorders>
            <w:vAlign w:val="center"/>
            <w:hideMark/>
          </w:tcPr>
          <w:p w14:paraId="6EC192D0" w14:textId="77777777" w:rsidR="009B100A" w:rsidRPr="00E90537" w:rsidRDefault="009B100A" w:rsidP="009B100A">
            <w:pPr>
              <w:rPr>
                <w:rFonts w:ascii="Arial" w:hAnsi="Arial" w:cs="Arial"/>
                <w:sz w:val="20"/>
                <w:szCs w:val="20"/>
              </w:rPr>
            </w:pPr>
            <w:r w:rsidRPr="00E90537">
              <w:rPr>
                <w:rFonts w:ascii="Arial" w:hAnsi="Arial" w:cs="Arial"/>
                <w:sz w:val="20"/>
                <w:szCs w:val="20"/>
              </w:rPr>
              <w:t>Higher</w:t>
            </w:r>
          </w:p>
        </w:tc>
        <w:tc>
          <w:tcPr>
            <w:tcW w:w="0" w:type="auto"/>
            <w:tcBorders>
              <w:top w:val="nil"/>
              <w:bottom w:val="nil"/>
            </w:tcBorders>
            <w:vAlign w:val="center"/>
            <w:hideMark/>
          </w:tcPr>
          <w:p w14:paraId="132A33D2"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Hynstova</w:t>
            </w:r>
            <w:proofErr w:type="spellEnd"/>
            <w:r w:rsidRPr="00E90537">
              <w:rPr>
                <w:rFonts w:ascii="Arial" w:hAnsi="Arial" w:cs="Arial"/>
                <w:sz w:val="20"/>
                <w:szCs w:val="20"/>
              </w:rPr>
              <w:t xml:space="preserve"> et al., 2018; Hegazi et al., 2024)</w:t>
            </w:r>
          </w:p>
        </w:tc>
      </w:tr>
      <w:tr w:rsidR="009B100A" w:rsidRPr="00E90537" w14:paraId="3DC04747" w14:textId="77777777" w:rsidTr="0079658C">
        <w:trPr>
          <w:tblCellSpacing w:w="15" w:type="dxa"/>
        </w:trPr>
        <w:tc>
          <w:tcPr>
            <w:tcW w:w="0" w:type="auto"/>
            <w:tcBorders>
              <w:top w:val="single" w:sz="4" w:space="0" w:color="auto"/>
              <w:bottom w:val="single" w:sz="4" w:space="0" w:color="auto"/>
            </w:tcBorders>
            <w:vAlign w:val="center"/>
            <w:hideMark/>
          </w:tcPr>
          <w:p w14:paraId="49C2967A" w14:textId="77777777" w:rsidR="009B100A" w:rsidRPr="00E90537" w:rsidRDefault="009B100A" w:rsidP="009B100A">
            <w:pPr>
              <w:rPr>
                <w:rFonts w:ascii="Arial" w:hAnsi="Arial" w:cs="Arial"/>
                <w:sz w:val="20"/>
                <w:szCs w:val="20"/>
              </w:rPr>
            </w:pPr>
            <w:r w:rsidRPr="00E90537">
              <w:rPr>
                <w:rFonts w:ascii="Arial" w:hAnsi="Arial" w:cs="Arial"/>
                <w:sz w:val="20"/>
                <w:szCs w:val="20"/>
              </w:rPr>
              <w:t>B Vitamins (e.g., B12)</w:t>
            </w:r>
          </w:p>
        </w:tc>
        <w:tc>
          <w:tcPr>
            <w:tcW w:w="0" w:type="auto"/>
            <w:tcBorders>
              <w:top w:val="single" w:sz="4" w:space="0" w:color="auto"/>
              <w:bottom w:val="single" w:sz="4" w:space="0" w:color="auto"/>
            </w:tcBorders>
            <w:vAlign w:val="center"/>
            <w:hideMark/>
          </w:tcPr>
          <w:p w14:paraId="4913AD0C" w14:textId="77777777" w:rsidR="009B100A" w:rsidRPr="00E90537" w:rsidRDefault="009B100A" w:rsidP="009B100A">
            <w:pPr>
              <w:rPr>
                <w:rFonts w:ascii="Arial" w:hAnsi="Arial" w:cs="Arial"/>
                <w:sz w:val="20"/>
                <w:szCs w:val="20"/>
              </w:rPr>
            </w:pPr>
            <w:r w:rsidRPr="00E90537">
              <w:rPr>
                <w:rFonts w:ascii="Arial" w:hAnsi="Arial" w:cs="Arial"/>
                <w:sz w:val="20"/>
                <w:szCs w:val="20"/>
              </w:rPr>
              <w:t>Present</w:t>
            </w:r>
          </w:p>
        </w:tc>
        <w:tc>
          <w:tcPr>
            <w:tcW w:w="0" w:type="auto"/>
            <w:tcBorders>
              <w:top w:val="single" w:sz="4" w:space="0" w:color="auto"/>
              <w:bottom w:val="single" w:sz="4" w:space="0" w:color="auto"/>
            </w:tcBorders>
            <w:vAlign w:val="center"/>
            <w:hideMark/>
          </w:tcPr>
          <w:p w14:paraId="12E28053" w14:textId="77777777" w:rsidR="009B100A" w:rsidRPr="00E90537" w:rsidRDefault="009B100A" w:rsidP="009B100A">
            <w:pPr>
              <w:rPr>
                <w:rFonts w:ascii="Arial" w:hAnsi="Arial" w:cs="Arial"/>
                <w:sz w:val="20"/>
                <w:szCs w:val="20"/>
              </w:rPr>
            </w:pPr>
            <w:r w:rsidRPr="00E90537">
              <w:rPr>
                <w:rFonts w:ascii="Arial" w:hAnsi="Arial" w:cs="Arial"/>
                <w:sz w:val="20"/>
                <w:szCs w:val="20"/>
              </w:rPr>
              <w:t>Higher niacin, riboflavin</w:t>
            </w:r>
          </w:p>
        </w:tc>
        <w:tc>
          <w:tcPr>
            <w:tcW w:w="0" w:type="auto"/>
            <w:tcBorders>
              <w:top w:val="single" w:sz="4" w:space="0" w:color="auto"/>
              <w:bottom w:val="single" w:sz="4" w:space="0" w:color="auto"/>
            </w:tcBorders>
            <w:vAlign w:val="center"/>
            <w:hideMark/>
          </w:tcPr>
          <w:p w14:paraId="1661B743"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 Hegazi et al., 2024)</w:t>
            </w:r>
          </w:p>
        </w:tc>
      </w:tr>
      <w:tr w:rsidR="009B100A" w:rsidRPr="00E90537" w14:paraId="76307B6F" w14:textId="77777777" w:rsidTr="0079658C">
        <w:trPr>
          <w:tblCellSpacing w:w="15" w:type="dxa"/>
        </w:trPr>
        <w:tc>
          <w:tcPr>
            <w:tcW w:w="0" w:type="auto"/>
            <w:tcBorders>
              <w:top w:val="nil"/>
              <w:bottom w:val="nil"/>
            </w:tcBorders>
            <w:vAlign w:val="center"/>
            <w:hideMark/>
          </w:tcPr>
          <w:p w14:paraId="147B42A4" w14:textId="77777777" w:rsidR="009B100A" w:rsidRPr="00E90537" w:rsidRDefault="009B100A" w:rsidP="009B100A">
            <w:pPr>
              <w:rPr>
                <w:rFonts w:ascii="Arial" w:hAnsi="Arial" w:cs="Arial"/>
                <w:sz w:val="20"/>
                <w:szCs w:val="20"/>
              </w:rPr>
            </w:pPr>
            <w:r w:rsidRPr="00E90537">
              <w:rPr>
                <w:rFonts w:ascii="Arial" w:hAnsi="Arial" w:cs="Arial"/>
                <w:sz w:val="20"/>
                <w:szCs w:val="20"/>
              </w:rPr>
              <w:t>Antioxidant Activity (IC50, DPPH, mg/mL)</w:t>
            </w:r>
          </w:p>
        </w:tc>
        <w:tc>
          <w:tcPr>
            <w:tcW w:w="0" w:type="auto"/>
            <w:tcBorders>
              <w:top w:val="nil"/>
              <w:bottom w:val="nil"/>
            </w:tcBorders>
            <w:vAlign w:val="center"/>
            <w:hideMark/>
          </w:tcPr>
          <w:p w14:paraId="57B84ADE" w14:textId="77777777" w:rsidR="009B100A" w:rsidRPr="00E90537" w:rsidRDefault="009B100A" w:rsidP="009B100A">
            <w:pPr>
              <w:rPr>
                <w:rFonts w:ascii="Arial" w:hAnsi="Arial" w:cs="Arial"/>
                <w:sz w:val="20"/>
                <w:szCs w:val="20"/>
              </w:rPr>
            </w:pPr>
            <w:r w:rsidRPr="00E90537">
              <w:rPr>
                <w:rFonts w:ascii="Arial" w:hAnsi="Arial" w:cs="Arial"/>
                <w:sz w:val="20"/>
                <w:szCs w:val="20"/>
              </w:rPr>
              <w:t>1.10 (lower is better)</w:t>
            </w:r>
          </w:p>
        </w:tc>
        <w:tc>
          <w:tcPr>
            <w:tcW w:w="0" w:type="auto"/>
            <w:tcBorders>
              <w:top w:val="nil"/>
              <w:bottom w:val="nil"/>
            </w:tcBorders>
            <w:vAlign w:val="center"/>
            <w:hideMark/>
          </w:tcPr>
          <w:p w14:paraId="541D16D1" w14:textId="77777777" w:rsidR="009B100A" w:rsidRPr="00E90537" w:rsidRDefault="009B100A" w:rsidP="009B100A">
            <w:pPr>
              <w:rPr>
                <w:rFonts w:ascii="Arial" w:hAnsi="Arial" w:cs="Arial"/>
                <w:sz w:val="20"/>
                <w:szCs w:val="20"/>
              </w:rPr>
            </w:pPr>
            <w:r w:rsidRPr="00E90537">
              <w:rPr>
                <w:rFonts w:ascii="Arial" w:hAnsi="Arial" w:cs="Arial"/>
                <w:sz w:val="20"/>
                <w:szCs w:val="20"/>
              </w:rPr>
              <w:t>2.18</w:t>
            </w:r>
          </w:p>
        </w:tc>
        <w:tc>
          <w:tcPr>
            <w:tcW w:w="0" w:type="auto"/>
            <w:tcBorders>
              <w:top w:val="nil"/>
              <w:bottom w:val="nil"/>
            </w:tcBorders>
            <w:vAlign w:val="center"/>
            <w:hideMark/>
          </w:tcPr>
          <w:p w14:paraId="7B01268A"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w:t>
            </w:r>
          </w:p>
        </w:tc>
      </w:tr>
      <w:tr w:rsidR="009B100A" w:rsidRPr="00E90537" w14:paraId="61243D51" w14:textId="77777777" w:rsidTr="0079658C">
        <w:trPr>
          <w:tblCellSpacing w:w="15" w:type="dxa"/>
        </w:trPr>
        <w:tc>
          <w:tcPr>
            <w:tcW w:w="0" w:type="auto"/>
            <w:tcBorders>
              <w:top w:val="single" w:sz="4" w:space="0" w:color="auto"/>
              <w:bottom w:val="single" w:sz="4" w:space="0" w:color="auto"/>
            </w:tcBorders>
            <w:vAlign w:val="center"/>
            <w:hideMark/>
          </w:tcPr>
          <w:p w14:paraId="3CFC428B" w14:textId="77777777" w:rsidR="009B100A" w:rsidRPr="00E90537" w:rsidRDefault="009B100A" w:rsidP="009B100A">
            <w:pPr>
              <w:rPr>
                <w:rFonts w:ascii="Arial" w:hAnsi="Arial" w:cs="Arial"/>
                <w:sz w:val="20"/>
                <w:szCs w:val="20"/>
              </w:rPr>
            </w:pPr>
            <w:r w:rsidRPr="00E90537">
              <w:rPr>
                <w:rFonts w:ascii="Arial" w:hAnsi="Arial" w:cs="Arial"/>
                <w:sz w:val="20"/>
                <w:szCs w:val="20"/>
              </w:rPr>
              <w:t>Main Fatty Acids</w:t>
            </w:r>
          </w:p>
        </w:tc>
        <w:tc>
          <w:tcPr>
            <w:tcW w:w="0" w:type="auto"/>
            <w:tcBorders>
              <w:top w:val="single" w:sz="4" w:space="0" w:color="auto"/>
              <w:bottom w:val="single" w:sz="4" w:space="0" w:color="auto"/>
            </w:tcBorders>
            <w:vAlign w:val="center"/>
            <w:hideMark/>
          </w:tcPr>
          <w:p w14:paraId="349193A8" w14:textId="77777777" w:rsidR="009B100A" w:rsidRPr="00E90537" w:rsidRDefault="009B100A" w:rsidP="009B100A">
            <w:pPr>
              <w:rPr>
                <w:rFonts w:ascii="Arial" w:hAnsi="Arial" w:cs="Arial"/>
                <w:sz w:val="20"/>
                <w:szCs w:val="20"/>
              </w:rPr>
            </w:pPr>
            <w:r w:rsidRPr="00E90537">
              <w:rPr>
                <w:rFonts w:ascii="Arial" w:hAnsi="Arial" w:cs="Arial"/>
                <w:sz w:val="20"/>
                <w:szCs w:val="20"/>
              </w:rPr>
              <w:t>γ-linolenic acid, omega-6</w:t>
            </w:r>
          </w:p>
        </w:tc>
        <w:tc>
          <w:tcPr>
            <w:tcW w:w="0" w:type="auto"/>
            <w:tcBorders>
              <w:top w:val="single" w:sz="4" w:space="0" w:color="auto"/>
              <w:bottom w:val="single" w:sz="4" w:space="0" w:color="auto"/>
            </w:tcBorders>
            <w:vAlign w:val="center"/>
            <w:hideMark/>
          </w:tcPr>
          <w:p w14:paraId="4FDA609B" w14:textId="77777777" w:rsidR="009B100A" w:rsidRPr="00E90537" w:rsidRDefault="009B100A" w:rsidP="009B100A">
            <w:pPr>
              <w:rPr>
                <w:rFonts w:ascii="Arial" w:hAnsi="Arial" w:cs="Arial"/>
                <w:sz w:val="20"/>
                <w:szCs w:val="20"/>
              </w:rPr>
            </w:pPr>
            <w:r w:rsidRPr="00E90537">
              <w:rPr>
                <w:rFonts w:ascii="Arial" w:hAnsi="Arial" w:cs="Arial"/>
                <w:sz w:val="20"/>
                <w:szCs w:val="20"/>
              </w:rPr>
              <w:t>Omega-3, oleic, linoleic</w:t>
            </w:r>
          </w:p>
        </w:tc>
        <w:tc>
          <w:tcPr>
            <w:tcW w:w="0" w:type="auto"/>
            <w:tcBorders>
              <w:top w:val="single" w:sz="4" w:space="0" w:color="auto"/>
              <w:bottom w:val="single" w:sz="4" w:space="0" w:color="auto"/>
            </w:tcBorders>
            <w:vAlign w:val="center"/>
            <w:hideMark/>
          </w:tcPr>
          <w:p w14:paraId="07B90C94"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Tokusoglu</w:t>
            </w:r>
            <w:proofErr w:type="spellEnd"/>
            <w:r w:rsidRPr="00E90537">
              <w:rPr>
                <w:rFonts w:ascii="Arial" w:hAnsi="Arial" w:cs="Arial"/>
                <w:sz w:val="20"/>
                <w:szCs w:val="20"/>
              </w:rPr>
              <w:t xml:space="preserve"> &amp; </w:t>
            </w:r>
            <w:proofErr w:type="spellStart"/>
            <w:r w:rsidRPr="00E90537">
              <w:rPr>
                <w:rFonts w:ascii="Arial" w:hAnsi="Arial" w:cs="Arial"/>
                <w:sz w:val="20"/>
                <w:szCs w:val="20"/>
              </w:rPr>
              <w:t>üUnal</w:t>
            </w:r>
            <w:proofErr w:type="spellEnd"/>
            <w:r w:rsidRPr="00E90537">
              <w:rPr>
                <w:rFonts w:ascii="Arial" w:hAnsi="Arial" w:cs="Arial"/>
                <w:sz w:val="20"/>
                <w:szCs w:val="20"/>
              </w:rPr>
              <w:t xml:space="preserve">, 2003; </w:t>
            </w:r>
            <w:proofErr w:type="spellStart"/>
            <w:r w:rsidRPr="00E90537">
              <w:rPr>
                <w:rFonts w:ascii="Arial" w:hAnsi="Arial" w:cs="Arial"/>
                <w:sz w:val="20"/>
                <w:szCs w:val="20"/>
              </w:rPr>
              <w:t>Senila</w:t>
            </w:r>
            <w:proofErr w:type="spellEnd"/>
            <w:r w:rsidRPr="00E90537">
              <w:rPr>
                <w:rFonts w:ascii="Arial" w:hAnsi="Arial" w:cs="Arial"/>
                <w:sz w:val="20"/>
                <w:szCs w:val="20"/>
              </w:rPr>
              <w:t xml:space="preserve"> et al., 2025)</w:t>
            </w:r>
          </w:p>
        </w:tc>
      </w:tr>
      <w:tr w:rsidR="009B100A" w:rsidRPr="00E90537" w14:paraId="0F6C7250" w14:textId="77777777" w:rsidTr="0079658C">
        <w:trPr>
          <w:tblCellSpacing w:w="15" w:type="dxa"/>
        </w:trPr>
        <w:tc>
          <w:tcPr>
            <w:tcW w:w="0" w:type="auto"/>
            <w:vAlign w:val="center"/>
            <w:hideMark/>
          </w:tcPr>
          <w:p w14:paraId="46512511" w14:textId="77777777" w:rsidR="009B100A" w:rsidRPr="00E90537" w:rsidRDefault="009B100A" w:rsidP="009B100A">
            <w:pPr>
              <w:rPr>
                <w:rFonts w:ascii="Arial" w:hAnsi="Arial" w:cs="Arial"/>
                <w:sz w:val="20"/>
                <w:szCs w:val="20"/>
              </w:rPr>
            </w:pPr>
            <w:r w:rsidRPr="00E90537">
              <w:rPr>
                <w:rFonts w:ascii="Arial" w:hAnsi="Arial" w:cs="Arial"/>
                <w:sz w:val="20"/>
                <w:szCs w:val="20"/>
              </w:rPr>
              <w:t>Mineral Highlights</w:t>
            </w:r>
          </w:p>
        </w:tc>
        <w:tc>
          <w:tcPr>
            <w:tcW w:w="0" w:type="auto"/>
            <w:vAlign w:val="center"/>
            <w:hideMark/>
          </w:tcPr>
          <w:p w14:paraId="3207D272" w14:textId="77777777" w:rsidR="009B100A" w:rsidRPr="00E90537" w:rsidRDefault="009B100A" w:rsidP="009B100A">
            <w:pPr>
              <w:rPr>
                <w:rFonts w:ascii="Arial" w:hAnsi="Arial" w:cs="Arial"/>
                <w:sz w:val="20"/>
                <w:szCs w:val="20"/>
              </w:rPr>
            </w:pPr>
            <w:r w:rsidRPr="00E90537">
              <w:rPr>
                <w:rFonts w:ascii="Arial" w:hAnsi="Arial" w:cs="Arial"/>
                <w:sz w:val="20"/>
                <w:szCs w:val="20"/>
              </w:rPr>
              <w:t>Ca, K, Na, Fe, Mn, Zn</w:t>
            </w:r>
          </w:p>
        </w:tc>
        <w:tc>
          <w:tcPr>
            <w:tcW w:w="0" w:type="auto"/>
            <w:vAlign w:val="center"/>
            <w:hideMark/>
          </w:tcPr>
          <w:p w14:paraId="71212E03" w14:textId="77777777" w:rsidR="009B100A" w:rsidRPr="00E90537" w:rsidRDefault="009B100A" w:rsidP="009B100A">
            <w:pPr>
              <w:rPr>
                <w:rFonts w:ascii="Arial" w:hAnsi="Arial" w:cs="Arial"/>
                <w:sz w:val="20"/>
                <w:szCs w:val="20"/>
              </w:rPr>
            </w:pPr>
            <w:r w:rsidRPr="00E90537">
              <w:rPr>
                <w:rFonts w:ascii="Arial" w:hAnsi="Arial" w:cs="Arial"/>
                <w:sz w:val="20"/>
                <w:szCs w:val="20"/>
              </w:rPr>
              <w:t>Cu, P, Pb</w:t>
            </w:r>
          </w:p>
        </w:tc>
        <w:tc>
          <w:tcPr>
            <w:tcW w:w="0" w:type="auto"/>
            <w:vAlign w:val="center"/>
            <w:hideMark/>
          </w:tcPr>
          <w:p w14:paraId="20EF17B0"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 </w:t>
            </w:r>
            <w:proofErr w:type="spellStart"/>
            <w:r w:rsidRPr="00E90537">
              <w:rPr>
                <w:rFonts w:ascii="Arial" w:hAnsi="Arial" w:cs="Arial"/>
                <w:sz w:val="20"/>
                <w:szCs w:val="20"/>
              </w:rPr>
              <w:t>Tokusoglu</w:t>
            </w:r>
            <w:proofErr w:type="spellEnd"/>
            <w:r w:rsidRPr="00E90537">
              <w:rPr>
                <w:rFonts w:ascii="Arial" w:hAnsi="Arial" w:cs="Arial"/>
                <w:sz w:val="20"/>
                <w:szCs w:val="20"/>
              </w:rPr>
              <w:t xml:space="preserve"> &amp; </w:t>
            </w:r>
            <w:proofErr w:type="spellStart"/>
            <w:r w:rsidRPr="00E90537">
              <w:rPr>
                <w:rFonts w:ascii="Arial" w:hAnsi="Arial" w:cs="Arial"/>
                <w:sz w:val="20"/>
                <w:szCs w:val="20"/>
              </w:rPr>
              <w:t>üUnal</w:t>
            </w:r>
            <w:proofErr w:type="spellEnd"/>
            <w:r w:rsidRPr="00E90537">
              <w:rPr>
                <w:rFonts w:ascii="Arial" w:hAnsi="Arial" w:cs="Arial"/>
                <w:sz w:val="20"/>
                <w:szCs w:val="20"/>
              </w:rPr>
              <w:t>, 2003)</w:t>
            </w:r>
          </w:p>
        </w:tc>
      </w:tr>
    </w:tbl>
    <w:p w14:paraId="4E6A2374" w14:textId="77777777" w:rsidR="009B100A" w:rsidRDefault="009B100A" w:rsidP="00A05E09">
      <w:pPr>
        <w:pStyle w:val="MdParagraph"/>
        <w:spacing w:line="360" w:lineRule="auto"/>
        <w:rPr>
          <w:rStyle w:val="MdStrong"/>
        </w:rPr>
      </w:pPr>
    </w:p>
    <w:p w14:paraId="58DF026A" w14:textId="77777777" w:rsidR="00E93AB3" w:rsidRDefault="00E93AB3" w:rsidP="00A05E09">
      <w:pPr>
        <w:pStyle w:val="MdParagraph"/>
        <w:spacing w:line="360" w:lineRule="auto"/>
        <w:rPr>
          <w:rStyle w:val="MdStrong"/>
          <w:rFonts w:ascii="Arial" w:hAnsi="Arial" w:cs="Arial"/>
        </w:rPr>
      </w:pPr>
    </w:p>
    <w:p w14:paraId="7E6C7E36" w14:textId="77777777" w:rsidR="00E93AB3" w:rsidRDefault="00E93AB3" w:rsidP="00A05E09">
      <w:pPr>
        <w:pStyle w:val="MdParagraph"/>
        <w:spacing w:line="360" w:lineRule="auto"/>
        <w:rPr>
          <w:rStyle w:val="MdStrong"/>
          <w:rFonts w:ascii="Arial" w:hAnsi="Arial" w:cs="Arial"/>
        </w:rPr>
      </w:pPr>
    </w:p>
    <w:p w14:paraId="2332D86D" w14:textId="77777777" w:rsidR="00AB4C8F" w:rsidRPr="00120722" w:rsidRDefault="00F25E6C" w:rsidP="00A05E09">
      <w:pPr>
        <w:pStyle w:val="MdParagraph"/>
        <w:spacing w:line="360" w:lineRule="auto"/>
        <w:rPr>
          <w:rFonts w:ascii="Arial" w:hAnsi="Arial" w:cs="Arial"/>
        </w:rPr>
      </w:pPr>
      <w:r w:rsidRPr="00120722">
        <w:rPr>
          <w:rStyle w:val="MdStrong"/>
          <w:rFonts w:ascii="Arial" w:hAnsi="Arial" w:cs="Arial"/>
        </w:rPr>
        <w:lastRenderedPageBreak/>
        <w:t>5</w:t>
      </w:r>
      <w:r w:rsidR="004A1CBC" w:rsidRPr="00120722">
        <w:rPr>
          <w:rStyle w:val="MdStrong"/>
          <w:rFonts w:ascii="Arial" w:hAnsi="Arial" w:cs="Arial"/>
        </w:rPr>
        <w:t>. NEUROPROTECTIVE MECHANISMS OF SPIRULINA AND CHLORELLA</w:t>
      </w:r>
    </w:p>
    <w:p w14:paraId="70A59C58" w14:textId="77777777" w:rsidR="00E90537" w:rsidRDefault="00E90537" w:rsidP="00E90537">
      <w:pPr>
        <w:pStyle w:val="MdParagraph"/>
        <w:spacing w:line="360" w:lineRule="auto"/>
        <w:ind w:firstLine="720"/>
        <w:jc w:val="both"/>
        <w:rPr>
          <w:rStyle w:val="MdStrong"/>
          <w:rFonts w:ascii="Arial" w:hAnsi="Arial" w:cs="Arial"/>
        </w:rPr>
      </w:pPr>
      <w:r w:rsidRPr="00E90537">
        <w:rPr>
          <w:rStyle w:val="MdStrong"/>
          <w:rFonts w:ascii="Arial" w:hAnsi="Arial" w:cs="Arial"/>
          <w:b w:val="0"/>
        </w:rPr>
        <w:t xml:space="preserve">The neuroprotection conferred by </w:t>
      </w:r>
      <w:r w:rsidRPr="00E90537">
        <w:rPr>
          <w:rStyle w:val="MdStrong"/>
          <w:rFonts w:ascii="Arial" w:hAnsi="Arial" w:cs="Arial"/>
          <w:b w:val="0"/>
          <w:i/>
        </w:rPr>
        <w:t xml:space="preserve">Spirulina </w:t>
      </w:r>
      <w:r w:rsidRPr="00E90537">
        <w:rPr>
          <w:rStyle w:val="MdStrong"/>
          <w:rFonts w:ascii="Arial" w:hAnsi="Arial" w:cs="Arial"/>
          <w:b w:val="0"/>
        </w:rPr>
        <w:t xml:space="preserve">and </w:t>
      </w:r>
      <w:r w:rsidRPr="00E90537">
        <w:rPr>
          <w:rStyle w:val="MdStrong"/>
          <w:rFonts w:ascii="Arial" w:hAnsi="Arial" w:cs="Arial"/>
          <w:b w:val="0"/>
          <w:i/>
        </w:rPr>
        <w:t>Chlorella</w:t>
      </w:r>
      <w:r w:rsidRPr="00E90537">
        <w:rPr>
          <w:rStyle w:val="MdStrong"/>
          <w:rFonts w:ascii="Arial" w:hAnsi="Arial" w:cs="Arial"/>
          <w:b w:val="0"/>
        </w:rPr>
        <w:t xml:space="preserve"> occurs via multiple interlinked mechanisms, most of which are functionally attributed to their gut–brain axis modulation. Such </w:t>
      </w:r>
      <w:proofErr w:type="spellStart"/>
      <w:r w:rsidRPr="00E90537">
        <w:rPr>
          <w:rStyle w:val="MdStrong"/>
          <w:rFonts w:ascii="Arial" w:hAnsi="Arial" w:cs="Arial"/>
          <w:b w:val="0"/>
        </w:rPr>
        <w:t>microlgae</w:t>
      </w:r>
      <w:proofErr w:type="spellEnd"/>
      <w:r w:rsidRPr="00E90537">
        <w:rPr>
          <w:rStyle w:val="MdStrong"/>
          <w:rFonts w:ascii="Arial" w:hAnsi="Arial" w:cs="Arial"/>
          <w:b w:val="0"/>
        </w:rPr>
        <w:t xml:space="preserve"> may be able to modify the composition of gut microbiota, attenuate </w:t>
      </w:r>
      <w:proofErr w:type="spellStart"/>
      <w:r w:rsidRPr="00E90537">
        <w:rPr>
          <w:rStyle w:val="MdStrong"/>
          <w:rFonts w:ascii="Arial" w:hAnsi="Arial" w:cs="Arial"/>
          <w:b w:val="0"/>
        </w:rPr>
        <w:t>neuroimmulation</w:t>
      </w:r>
      <w:proofErr w:type="spellEnd"/>
      <w:r w:rsidRPr="00E90537">
        <w:rPr>
          <w:rStyle w:val="MdStrong"/>
          <w:rFonts w:ascii="Arial" w:hAnsi="Arial" w:cs="Arial"/>
          <w:b w:val="0"/>
        </w:rPr>
        <w:t xml:space="preserve"> responses and diminish oxidation stress. Combined, these mechanisms are likely to contribute to potential support for neural function and resilience</w:t>
      </w:r>
      <w:r>
        <w:rPr>
          <w:rStyle w:val="MdStrong"/>
          <w:rFonts w:ascii="Arial" w:hAnsi="Arial" w:cs="Arial"/>
        </w:rPr>
        <w:t xml:space="preserve"> </w:t>
      </w:r>
      <w:r w:rsidRPr="00E90537">
        <w:rPr>
          <w:rStyle w:val="MdStrong"/>
          <w:rFonts w:ascii="Arial" w:hAnsi="Arial" w:cs="Arial"/>
          <w:b w:val="0"/>
        </w:rPr>
        <w:t>(Figure-2).</w:t>
      </w:r>
    </w:p>
    <w:p w14:paraId="1C6BD881" w14:textId="77777777" w:rsidR="00AB4C8F" w:rsidRPr="004A1CBC" w:rsidRDefault="00F25E6C" w:rsidP="00D24ECE">
      <w:pPr>
        <w:pStyle w:val="MdParagraph"/>
        <w:spacing w:line="360" w:lineRule="auto"/>
        <w:rPr>
          <w:rFonts w:ascii="Arial" w:hAnsi="Arial" w:cs="Arial"/>
        </w:rPr>
      </w:pPr>
      <w:r w:rsidRPr="004A1CBC">
        <w:rPr>
          <w:rStyle w:val="MdStrong"/>
          <w:rFonts w:ascii="Arial" w:hAnsi="Arial" w:cs="Arial"/>
        </w:rPr>
        <w:t>5.1. Modulation of Gut Microbiota and SCFA Production</w:t>
      </w:r>
    </w:p>
    <w:p w14:paraId="705D7C24" w14:textId="77777777" w:rsidR="00B4551A" w:rsidRPr="00E90537" w:rsidRDefault="00E90537" w:rsidP="0029509B">
      <w:pPr>
        <w:pStyle w:val="MdParagraph"/>
        <w:spacing w:line="360" w:lineRule="auto"/>
        <w:ind w:firstLine="720"/>
        <w:jc w:val="both"/>
        <w:rPr>
          <w:rFonts w:ascii="Arial" w:hAnsi="Arial" w:cs="Arial"/>
        </w:rPr>
      </w:pPr>
      <w:r w:rsidRPr="00E90537">
        <w:rPr>
          <w:rFonts w:ascii="Arial" w:hAnsi="Arial" w:cs="Arial"/>
        </w:rPr>
        <w:t xml:space="preserve">As prebiotics, the </w:t>
      </w:r>
      <w:r w:rsidRPr="00E90537">
        <w:rPr>
          <w:rFonts w:ascii="Arial" w:hAnsi="Arial" w:cs="Arial"/>
          <w:i/>
        </w:rPr>
        <w:t xml:space="preserve">Spirulina </w:t>
      </w:r>
      <w:r w:rsidRPr="00E90537">
        <w:rPr>
          <w:rFonts w:ascii="Arial" w:hAnsi="Arial" w:cs="Arial"/>
        </w:rPr>
        <w:t xml:space="preserve">and </w:t>
      </w:r>
      <w:r w:rsidRPr="00E90537">
        <w:rPr>
          <w:rFonts w:ascii="Arial" w:hAnsi="Arial" w:cs="Arial"/>
          <w:i/>
        </w:rPr>
        <w:t>Chlorella</w:t>
      </w:r>
      <w:r w:rsidRPr="00E90537">
        <w:rPr>
          <w:rFonts w:ascii="Arial" w:hAnsi="Arial" w:cs="Arial"/>
        </w:rPr>
        <w:t xml:space="preserve"> stimulates the beneficial bacteria to grow in the gut which results in higher production of SCFAs. Butyrate in particular has been shown to be neuroprotective. It is an energy substrate for colonocytes, it upregulates the gut barrier system, and has been reported to provide anti-inflammatory and neuroprotective effects to the CNS. These prebiotics can influence the composition of the gut microbiota, restoring a healthful intestinal environment, reducing translocation of pro-inflammatory molecules such as LPS and therefore lowering systemic inflammation that could enter the brain (Tsao et al., 2021; Kwon et al., 2024; Luo, 2025; Novikov et al., 2023).</w:t>
      </w:r>
    </w:p>
    <w:p w14:paraId="4D706285" w14:textId="77777777" w:rsidR="00970A81" w:rsidRDefault="002A0306" w:rsidP="002A0306">
      <w:pPr>
        <w:pStyle w:val="MdParagraph"/>
        <w:spacing w:line="360" w:lineRule="auto"/>
        <w:rPr>
          <w:rStyle w:val="MdStrong"/>
        </w:rPr>
      </w:pPr>
      <w:r>
        <w:rPr>
          <w:rStyle w:val="MdStrong"/>
        </w:rPr>
        <w:t xml:space="preserve">         </w:t>
      </w:r>
      <w:r w:rsidR="00DF6087" w:rsidRPr="00DF6087">
        <w:rPr>
          <w:rStyle w:val="MdStrong"/>
          <w:noProof/>
        </w:rPr>
        <w:drawing>
          <wp:inline distT="0" distB="0" distL="0" distR="0" wp14:anchorId="24E21F0F" wp14:editId="11CE5300">
            <wp:extent cx="48768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84389" cy="3129062"/>
                    </a:xfrm>
                    <a:prstGeom prst="rect">
                      <a:avLst/>
                    </a:prstGeom>
                  </pic:spPr>
                </pic:pic>
              </a:graphicData>
            </a:graphic>
          </wp:inline>
        </w:drawing>
      </w:r>
    </w:p>
    <w:p w14:paraId="6B806274" w14:textId="77777777" w:rsidR="00970A81" w:rsidRPr="00E90537" w:rsidRDefault="00741D74" w:rsidP="0046147E">
      <w:pPr>
        <w:pStyle w:val="MdParagraph"/>
        <w:spacing w:line="360" w:lineRule="auto"/>
        <w:jc w:val="center"/>
        <w:rPr>
          <w:rStyle w:val="MdStrong"/>
          <w:rFonts w:ascii="Arial" w:hAnsi="Arial" w:cs="Arial"/>
          <w:b w:val="0"/>
          <w:sz w:val="20"/>
          <w:szCs w:val="20"/>
        </w:rPr>
      </w:pPr>
      <w:r w:rsidRPr="00E90537">
        <w:rPr>
          <w:rFonts w:ascii="Arial" w:hAnsi="Arial" w:cs="Arial"/>
          <w:b/>
          <w:color w:val="34322D"/>
          <w:sz w:val="20"/>
          <w:szCs w:val="20"/>
          <w:shd w:val="clear" w:color="auto" w:fill="F8F8F7"/>
        </w:rPr>
        <w:t>Figure-2 Neuroprotective mechanisms of </w:t>
      </w:r>
      <w:r w:rsidRPr="00E90537">
        <w:rPr>
          <w:rStyle w:val="Emphasis"/>
          <w:rFonts w:ascii="Arial" w:hAnsi="Arial" w:cs="Arial"/>
          <w:b/>
          <w:color w:val="34322D"/>
          <w:sz w:val="20"/>
          <w:szCs w:val="20"/>
          <w:bdr w:val="single" w:sz="2" w:space="0" w:color="E5E7EB" w:frame="1"/>
          <w:shd w:val="clear" w:color="auto" w:fill="F8F8F7"/>
        </w:rPr>
        <w:t>Spirulina</w:t>
      </w:r>
      <w:r w:rsidRPr="00E90537">
        <w:rPr>
          <w:rFonts w:ascii="Arial" w:hAnsi="Arial" w:cs="Arial"/>
          <w:b/>
          <w:color w:val="34322D"/>
          <w:sz w:val="20"/>
          <w:szCs w:val="20"/>
          <w:shd w:val="clear" w:color="auto" w:fill="F8F8F7"/>
        </w:rPr>
        <w:t> and </w:t>
      </w:r>
      <w:r w:rsidRPr="00E90537">
        <w:rPr>
          <w:rStyle w:val="Emphasis"/>
          <w:rFonts w:ascii="Arial" w:hAnsi="Arial" w:cs="Arial"/>
          <w:b/>
          <w:color w:val="34322D"/>
          <w:sz w:val="20"/>
          <w:szCs w:val="20"/>
          <w:bdr w:val="single" w:sz="2" w:space="0" w:color="E5E7EB" w:frame="1"/>
          <w:shd w:val="clear" w:color="auto" w:fill="F8F8F7"/>
        </w:rPr>
        <w:t>Chlorella</w:t>
      </w:r>
    </w:p>
    <w:p w14:paraId="374DE9B0" w14:textId="77777777" w:rsidR="00494320" w:rsidRPr="00E90537" w:rsidRDefault="00494320" w:rsidP="00E90537">
      <w:pPr>
        <w:pStyle w:val="MdParagraph"/>
        <w:spacing w:line="360" w:lineRule="auto"/>
        <w:jc w:val="both"/>
        <w:rPr>
          <w:rStyle w:val="MdStrong"/>
          <w:b w:val="0"/>
          <w:sz w:val="16"/>
          <w:szCs w:val="16"/>
        </w:rPr>
      </w:pPr>
      <w:r w:rsidRPr="00E90537">
        <w:rPr>
          <w:rStyle w:val="MdStrong"/>
          <w:rFonts w:ascii="Arial" w:hAnsi="Arial" w:cs="Arial"/>
          <w:b w:val="0"/>
          <w:sz w:val="16"/>
          <w:szCs w:val="16"/>
        </w:rPr>
        <w:t xml:space="preserve">This multi-panel diagram illustrates the three primary mechanisms through which </w:t>
      </w:r>
      <w:r w:rsidRPr="009352C5">
        <w:rPr>
          <w:rStyle w:val="MdStrong"/>
          <w:rFonts w:ascii="Arial" w:hAnsi="Arial" w:cs="Arial"/>
          <w:b w:val="0"/>
          <w:i/>
          <w:sz w:val="16"/>
          <w:szCs w:val="16"/>
        </w:rPr>
        <w:t>Spirulina</w:t>
      </w:r>
      <w:r w:rsidRPr="00E90537">
        <w:rPr>
          <w:rStyle w:val="MdStrong"/>
          <w:rFonts w:ascii="Arial" w:hAnsi="Arial" w:cs="Arial"/>
          <w:b w:val="0"/>
          <w:sz w:val="16"/>
          <w:szCs w:val="16"/>
        </w:rPr>
        <w:t xml:space="preserve"> and </w:t>
      </w:r>
      <w:r w:rsidRPr="00661306">
        <w:rPr>
          <w:rStyle w:val="MdStrong"/>
          <w:rFonts w:ascii="Arial" w:hAnsi="Arial" w:cs="Arial"/>
          <w:b w:val="0"/>
          <w:i/>
          <w:sz w:val="16"/>
          <w:szCs w:val="16"/>
        </w:rPr>
        <w:t xml:space="preserve">Chlorella </w:t>
      </w:r>
      <w:r w:rsidRPr="00E90537">
        <w:rPr>
          <w:rStyle w:val="MdStrong"/>
          <w:rFonts w:ascii="Arial" w:hAnsi="Arial" w:cs="Arial"/>
          <w:b w:val="0"/>
          <w:sz w:val="16"/>
          <w:szCs w:val="16"/>
        </w:rPr>
        <w:t xml:space="preserve">are proposed to exert their neuroprotective effects. (A) Gut Microbiota Modulation: As prebiotics, these microalgae promote the growth of beneficial bacteria (e.g., Lactobacillus, Bifidobacterium) while inhibiting pathogenic species. This shift leads to increased production of </w:t>
      </w:r>
      <w:r w:rsidRPr="00E90537">
        <w:rPr>
          <w:rStyle w:val="MdStrong"/>
          <w:rFonts w:ascii="Arial" w:hAnsi="Arial" w:cs="Arial"/>
          <w:b w:val="0"/>
          <w:sz w:val="16"/>
          <w:szCs w:val="16"/>
        </w:rPr>
        <w:lastRenderedPageBreak/>
        <w:t xml:space="preserve">short-chain fatty acids (SCFAs) like butyrate, which enhance gut barrier integrity and exert systemic anti-inflammatory effects. (B) Anti-inflammatory Effects: Bioactive compounds from </w:t>
      </w:r>
      <w:r w:rsidRPr="009352C5">
        <w:rPr>
          <w:rStyle w:val="MdStrong"/>
          <w:rFonts w:ascii="Arial" w:hAnsi="Arial" w:cs="Arial"/>
          <w:b w:val="0"/>
          <w:i/>
          <w:sz w:val="16"/>
          <w:szCs w:val="16"/>
        </w:rPr>
        <w:t xml:space="preserve">Spirulina </w:t>
      </w:r>
      <w:r w:rsidRPr="00E90537">
        <w:rPr>
          <w:rStyle w:val="MdStrong"/>
          <w:rFonts w:ascii="Arial" w:hAnsi="Arial" w:cs="Arial"/>
          <w:b w:val="0"/>
          <w:sz w:val="16"/>
          <w:szCs w:val="16"/>
        </w:rPr>
        <w:t xml:space="preserve">and </w:t>
      </w:r>
      <w:r w:rsidRPr="00661306">
        <w:rPr>
          <w:rStyle w:val="MdStrong"/>
          <w:rFonts w:ascii="Arial" w:hAnsi="Arial" w:cs="Arial"/>
          <w:b w:val="0"/>
          <w:i/>
          <w:sz w:val="16"/>
          <w:szCs w:val="16"/>
        </w:rPr>
        <w:t>Chlorella</w:t>
      </w:r>
      <w:r w:rsidRPr="00E90537">
        <w:rPr>
          <w:rStyle w:val="MdStrong"/>
          <w:rFonts w:ascii="Arial" w:hAnsi="Arial" w:cs="Arial"/>
          <w:b w:val="0"/>
          <w:sz w:val="16"/>
          <w:szCs w:val="16"/>
        </w:rPr>
        <w:t xml:space="preserve"> can directly inhibit key inflammatory </w:t>
      </w:r>
      <w:proofErr w:type="spellStart"/>
      <w:r w:rsidRPr="00E90537">
        <w:rPr>
          <w:rStyle w:val="MdStrong"/>
          <w:rFonts w:ascii="Arial" w:hAnsi="Arial" w:cs="Arial"/>
          <w:b w:val="0"/>
          <w:sz w:val="16"/>
          <w:szCs w:val="16"/>
        </w:rPr>
        <w:t>signaling</w:t>
      </w:r>
      <w:proofErr w:type="spellEnd"/>
      <w:r w:rsidRPr="00E90537">
        <w:rPr>
          <w:rStyle w:val="MdStrong"/>
          <w:rFonts w:ascii="Arial" w:hAnsi="Arial" w:cs="Arial"/>
          <w:b w:val="0"/>
          <w:sz w:val="16"/>
          <w:szCs w:val="16"/>
        </w:rPr>
        <w:t xml:space="preserve"> pathways, including the NF-</w:t>
      </w:r>
      <w:proofErr w:type="spellStart"/>
      <w:r w:rsidRPr="00E90537">
        <w:rPr>
          <w:rStyle w:val="MdStrong"/>
          <w:rFonts w:ascii="Arial" w:hAnsi="Arial" w:cs="Arial"/>
          <w:b w:val="0"/>
          <w:sz w:val="16"/>
          <w:szCs w:val="16"/>
        </w:rPr>
        <w:t>κB</w:t>
      </w:r>
      <w:proofErr w:type="spellEnd"/>
      <w:r w:rsidRPr="00E90537">
        <w:rPr>
          <w:rStyle w:val="MdStrong"/>
          <w:rFonts w:ascii="Arial" w:hAnsi="Arial" w:cs="Arial"/>
          <w:b w:val="0"/>
          <w:sz w:val="16"/>
          <w:szCs w:val="16"/>
        </w:rPr>
        <w:t xml:space="preserve"> and NLRP3 inflammasome pathways. This leads to a reduction in the production of pro-inflammatory cytokines (e.g., TNF-α, IL-1β, IL-6) and a decrease in microglial activation, thereby attenuating neuroinflammation. (C) Antioxidant </w:t>
      </w:r>
      <w:proofErr w:type="spellStart"/>
      <w:r w:rsidRPr="00E90537">
        <w:rPr>
          <w:rStyle w:val="MdStrong"/>
          <w:rFonts w:ascii="Arial" w:hAnsi="Arial" w:cs="Arial"/>
          <w:b w:val="0"/>
          <w:sz w:val="16"/>
          <w:szCs w:val="16"/>
        </w:rPr>
        <w:t>Defense</w:t>
      </w:r>
      <w:proofErr w:type="spellEnd"/>
      <w:r w:rsidRPr="00E90537">
        <w:rPr>
          <w:rStyle w:val="MdStrong"/>
          <w:rFonts w:ascii="Arial" w:hAnsi="Arial" w:cs="Arial"/>
          <w:b w:val="0"/>
          <w:sz w:val="16"/>
          <w:szCs w:val="16"/>
        </w:rPr>
        <w:t xml:space="preserve">: The microalgae provide neuroprotection through a dual antioxidant mechanism. Their pigments, such as phycocyanin and chlorophyll, can directly scavenge reactive oxygen species (ROS). Additionally, their bioactive compounds can activate endogenous antioxidant pathways, including the Nrf2 and SIRT1 </w:t>
      </w:r>
      <w:proofErr w:type="spellStart"/>
      <w:r w:rsidRPr="00E90537">
        <w:rPr>
          <w:rStyle w:val="MdStrong"/>
          <w:rFonts w:ascii="Arial" w:hAnsi="Arial" w:cs="Arial"/>
          <w:b w:val="0"/>
          <w:sz w:val="16"/>
          <w:szCs w:val="16"/>
        </w:rPr>
        <w:t>signaling</w:t>
      </w:r>
      <w:proofErr w:type="spellEnd"/>
      <w:r w:rsidRPr="00E90537">
        <w:rPr>
          <w:rStyle w:val="MdStrong"/>
          <w:rFonts w:ascii="Arial" w:hAnsi="Arial" w:cs="Arial"/>
          <w:b w:val="0"/>
          <w:sz w:val="16"/>
          <w:szCs w:val="16"/>
        </w:rPr>
        <w:t xml:space="preserve"> cascades, leading to the upregulation of protective enzymes like superoxide dismutase (SOD) and catalase, and a reduction in overall oxidative stress.</w:t>
      </w:r>
      <w:r w:rsidRPr="00494320">
        <w:rPr>
          <w:rStyle w:val="MdStrong"/>
          <w:b w:val="0"/>
          <w:sz w:val="16"/>
          <w:szCs w:val="16"/>
        </w:rPr>
        <w:t xml:space="preserve"> '''</w:t>
      </w:r>
    </w:p>
    <w:p w14:paraId="430ACDFE" w14:textId="77777777" w:rsidR="00AB4C8F" w:rsidRDefault="00F25E6C" w:rsidP="00970A81">
      <w:pPr>
        <w:pStyle w:val="MdParagraph"/>
        <w:spacing w:line="360" w:lineRule="auto"/>
        <w:rPr>
          <w:rStyle w:val="MdStrong"/>
          <w:rFonts w:ascii="Arial" w:hAnsi="Arial" w:cs="Arial"/>
        </w:rPr>
      </w:pPr>
      <w:r w:rsidRPr="004A1CBC">
        <w:rPr>
          <w:rStyle w:val="MdStrong"/>
          <w:rFonts w:ascii="Arial" w:hAnsi="Arial" w:cs="Arial"/>
        </w:rPr>
        <w:t>5.2. Attenuation of Neuroinflammation</w:t>
      </w:r>
    </w:p>
    <w:p w14:paraId="108D66F0" w14:textId="77777777" w:rsidR="00D83517" w:rsidRPr="00D83517" w:rsidRDefault="00D83517" w:rsidP="00D83517">
      <w:pPr>
        <w:pStyle w:val="MdParagraph"/>
        <w:spacing w:line="360" w:lineRule="auto"/>
        <w:ind w:firstLine="720"/>
        <w:jc w:val="both"/>
        <w:rPr>
          <w:rFonts w:ascii="Arial" w:hAnsi="Arial" w:cs="Arial"/>
          <w:bCs/>
        </w:rPr>
      </w:pPr>
      <w:r w:rsidRPr="00D83517">
        <w:rPr>
          <w:rStyle w:val="MdStrong"/>
          <w:rFonts w:ascii="Arial" w:hAnsi="Arial" w:cs="Arial"/>
          <w:b w:val="0"/>
        </w:rPr>
        <w:t xml:space="preserve">Chronic neuroinflammation is a common pathological hallmark in AD, PD and ALS. Both </w:t>
      </w:r>
      <w:r w:rsidRPr="009352C5">
        <w:rPr>
          <w:rStyle w:val="MdStrong"/>
          <w:rFonts w:ascii="Arial" w:hAnsi="Arial" w:cs="Arial"/>
          <w:b w:val="0"/>
          <w:i/>
        </w:rPr>
        <w:t>spirulina</w:t>
      </w:r>
      <w:r w:rsidRPr="00D83517">
        <w:rPr>
          <w:rStyle w:val="MdStrong"/>
          <w:rFonts w:ascii="Arial" w:hAnsi="Arial" w:cs="Arial"/>
          <w:b w:val="0"/>
        </w:rPr>
        <w:t xml:space="preserve"> and </w:t>
      </w:r>
      <w:r w:rsidRPr="00661306">
        <w:rPr>
          <w:rStyle w:val="MdStrong"/>
          <w:rFonts w:ascii="Arial" w:hAnsi="Arial" w:cs="Arial"/>
          <w:b w:val="0"/>
          <w:i/>
        </w:rPr>
        <w:t>chlorella</w:t>
      </w:r>
      <w:r w:rsidRPr="00D83517">
        <w:rPr>
          <w:rStyle w:val="MdStrong"/>
          <w:rFonts w:ascii="Arial" w:hAnsi="Arial" w:cs="Arial"/>
          <w:b w:val="0"/>
        </w:rPr>
        <w:t xml:space="preserve"> possess strong anti-inflammatory capabilities that can help to offset this activity. It was reported that these microalgae could suppress the expression of pro-inflammatory cytokines including TNF-α and IL-1β, and suppress inflammatory </w:t>
      </w:r>
      <w:proofErr w:type="spellStart"/>
      <w:r w:rsidRPr="00D83517">
        <w:rPr>
          <w:rStyle w:val="MdStrong"/>
          <w:rFonts w:ascii="Arial" w:hAnsi="Arial" w:cs="Arial"/>
          <w:b w:val="0"/>
        </w:rPr>
        <w:t>signaling</w:t>
      </w:r>
      <w:proofErr w:type="spellEnd"/>
      <w:r w:rsidRPr="00D83517">
        <w:rPr>
          <w:rStyle w:val="MdStrong"/>
          <w:rFonts w:ascii="Arial" w:hAnsi="Arial" w:cs="Arial"/>
          <w:b w:val="0"/>
        </w:rPr>
        <w:t xml:space="preserve"> pathway activation such as NLRP3 inflammasome (Zhou et al., 2025). For example, a study in a PD animal model found that consumption of </w:t>
      </w:r>
      <w:r w:rsidRPr="009352C5">
        <w:rPr>
          <w:rStyle w:val="MdStrong"/>
          <w:rFonts w:ascii="Arial" w:hAnsi="Arial" w:cs="Arial"/>
          <w:b w:val="0"/>
          <w:i/>
        </w:rPr>
        <w:t>Spirulina-</w:t>
      </w:r>
      <w:r w:rsidRPr="00D83517">
        <w:rPr>
          <w:rStyle w:val="MdStrong"/>
          <w:rFonts w:ascii="Arial" w:hAnsi="Arial" w:cs="Arial"/>
          <w:b w:val="0"/>
        </w:rPr>
        <w:t>supplemented diet decreased the level of microglial activation which is known to contribute to neuroinflammation. By suppressing the inflammatory cascade, they can act as a neuroprotective agent against inflammation (</w:t>
      </w:r>
      <w:proofErr w:type="spellStart"/>
      <w:r w:rsidRPr="00D83517">
        <w:rPr>
          <w:rStyle w:val="MdStrong"/>
          <w:rFonts w:ascii="Arial" w:hAnsi="Arial" w:cs="Arial"/>
          <w:b w:val="0"/>
        </w:rPr>
        <w:t>Renukadevi</w:t>
      </w:r>
      <w:proofErr w:type="spellEnd"/>
      <w:r w:rsidRPr="00D83517">
        <w:rPr>
          <w:rStyle w:val="MdStrong"/>
          <w:rFonts w:ascii="Arial" w:hAnsi="Arial" w:cs="Arial"/>
          <w:b w:val="0"/>
        </w:rPr>
        <w:t xml:space="preserve"> et al., 2024; </w:t>
      </w:r>
      <w:proofErr w:type="spellStart"/>
      <w:r w:rsidRPr="00D83517">
        <w:rPr>
          <w:rStyle w:val="MdStrong"/>
          <w:rFonts w:ascii="Arial" w:hAnsi="Arial" w:cs="Arial"/>
          <w:b w:val="0"/>
        </w:rPr>
        <w:t>Scuto</w:t>
      </w:r>
      <w:proofErr w:type="spellEnd"/>
      <w:r w:rsidRPr="00D83517">
        <w:rPr>
          <w:rStyle w:val="MdStrong"/>
          <w:rFonts w:ascii="Arial" w:hAnsi="Arial" w:cs="Arial"/>
          <w:b w:val="0"/>
        </w:rPr>
        <w:t xml:space="preserve"> et al., 2024).</w:t>
      </w:r>
    </w:p>
    <w:p w14:paraId="1BB2BA9D" w14:textId="77777777" w:rsidR="00AB4C8F" w:rsidRDefault="00F25E6C" w:rsidP="00D24ECE">
      <w:pPr>
        <w:pStyle w:val="MdParagraph"/>
        <w:spacing w:line="360" w:lineRule="auto"/>
        <w:rPr>
          <w:rStyle w:val="MdStrong"/>
          <w:rFonts w:ascii="Arial" w:hAnsi="Arial" w:cs="Arial"/>
        </w:rPr>
      </w:pPr>
      <w:r w:rsidRPr="004A1CBC">
        <w:rPr>
          <w:rStyle w:val="MdStrong"/>
          <w:rFonts w:ascii="Arial" w:hAnsi="Arial" w:cs="Arial"/>
        </w:rPr>
        <w:t>5.3. Mitigation of Oxidative Stress</w:t>
      </w:r>
    </w:p>
    <w:p w14:paraId="32ADE011" w14:textId="77777777" w:rsidR="00777B01" w:rsidRPr="004A1CBC" w:rsidRDefault="00777B01" w:rsidP="00777B01">
      <w:pPr>
        <w:pStyle w:val="MdParagraph"/>
        <w:spacing w:line="360" w:lineRule="auto"/>
        <w:ind w:firstLine="720"/>
        <w:jc w:val="both"/>
        <w:rPr>
          <w:rFonts w:ascii="Arial" w:hAnsi="Arial" w:cs="Arial"/>
        </w:rPr>
      </w:pPr>
      <w:r w:rsidRPr="00777B01">
        <w:rPr>
          <w:rFonts w:ascii="Arial" w:hAnsi="Arial" w:cs="Arial"/>
        </w:rPr>
        <w:t xml:space="preserve">Generation of ROS is no doubt considered as main cause for damage in neurons in neurodegenerative diseases due to the phenomenon of oxidative stress which means the up regulation in the generation of ROS and down regulation of scavenging capacity. </w:t>
      </w:r>
      <w:r w:rsidRPr="009352C5">
        <w:rPr>
          <w:rFonts w:ascii="Arial" w:hAnsi="Arial" w:cs="Arial"/>
          <w:i/>
        </w:rPr>
        <w:t>Spirulina</w:t>
      </w:r>
      <w:r w:rsidR="00661306">
        <w:rPr>
          <w:rFonts w:ascii="Arial" w:hAnsi="Arial" w:cs="Arial"/>
        </w:rPr>
        <w:t xml:space="preserve"> and </w:t>
      </w:r>
      <w:r w:rsidR="00661306" w:rsidRPr="00661306">
        <w:rPr>
          <w:rFonts w:ascii="Arial" w:hAnsi="Arial" w:cs="Arial"/>
          <w:i/>
        </w:rPr>
        <w:t>C</w:t>
      </w:r>
      <w:r w:rsidRPr="00661306">
        <w:rPr>
          <w:rFonts w:ascii="Arial" w:hAnsi="Arial" w:cs="Arial"/>
          <w:i/>
        </w:rPr>
        <w:t xml:space="preserve">hlorella </w:t>
      </w:r>
      <w:r w:rsidRPr="00777B01">
        <w:rPr>
          <w:rFonts w:ascii="Arial" w:hAnsi="Arial" w:cs="Arial"/>
        </w:rPr>
        <w:t xml:space="preserve">contain numerous antioxidants, including phycocyanin and chlorophyll, which have the ability to scavenge free radicals. In addition, they can ameliorate the body's own antioxidant </w:t>
      </w:r>
      <w:proofErr w:type="spellStart"/>
      <w:r w:rsidRPr="00777B01">
        <w:rPr>
          <w:rFonts w:ascii="Arial" w:hAnsi="Arial" w:cs="Arial"/>
        </w:rPr>
        <w:t>defenses</w:t>
      </w:r>
      <w:proofErr w:type="spellEnd"/>
      <w:r w:rsidRPr="00777B01">
        <w:rPr>
          <w:rFonts w:ascii="Arial" w:hAnsi="Arial" w:cs="Arial"/>
        </w:rPr>
        <w:t> by inducing up regulation of pathways like Sirtuin 1 (SIRT1) and Nuclear factor erythroid 2-related factor 2 (Nrf2) (</w:t>
      </w:r>
      <w:proofErr w:type="spellStart"/>
      <w:r w:rsidRPr="00777B01">
        <w:rPr>
          <w:rFonts w:ascii="Arial" w:hAnsi="Arial" w:cs="Arial"/>
        </w:rPr>
        <w:t>Bonfili</w:t>
      </w:r>
      <w:proofErr w:type="spellEnd"/>
      <w:r w:rsidRPr="00777B01">
        <w:rPr>
          <w:rFonts w:ascii="Arial" w:hAnsi="Arial" w:cs="Arial"/>
        </w:rPr>
        <w:t xml:space="preserve"> et al., 2018). It abrogates the oxidative damage of lipids, proteins and DNA in neurons to improve their survival and functional activity by this double mechanism (Wang et al., 2023).</w:t>
      </w:r>
    </w:p>
    <w:p w14:paraId="5379CD82" w14:textId="77777777" w:rsidR="00AB4C8F" w:rsidRPr="00120722" w:rsidRDefault="00F25E6C" w:rsidP="00D24ECE">
      <w:pPr>
        <w:pStyle w:val="MdParagraph"/>
        <w:spacing w:line="360" w:lineRule="auto"/>
        <w:rPr>
          <w:rFonts w:ascii="Arial" w:hAnsi="Arial" w:cs="Arial"/>
        </w:rPr>
      </w:pPr>
      <w:r w:rsidRPr="00120722">
        <w:rPr>
          <w:rStyle w:val="MdStrong"/>
          <w:rFonts w:ascii="Arial" w:hAnsi="Arial" w:cs="Arial"/>
        </w:rPr>
        <w:t xml:space="preserve">6. </w:t>
      </w:r>
      <w:r w:rsidR="004A1CBC" w:rsidRPr="00120722">
        <w:rPr>
          <w:rStyle w:val="MdStrong"/>
          <w:rFonts w:ascii="Arial" w:hAnsi="Arial" w:cs="Arial"/>
        </w:rPr>
        <w:t>CLINICAL AND PRECLINICAL EVIDENCE</w:t>
      </w:r>
    </w:p>
    <w:p w14:paraId="02CDCC32" w14:textId="77777777" w:rsidR="00AB4C8F" w:rsidRPr="00777B01" w:rsidRDefault="00F25E6C" w:rsidP="002B5467">
      <w:pPr>
        <w:pStyle w:val="MdParagraph"/>
        <w:spacing w:line="360" w:lineRule="auto"/>
        <w:ind w:firstLine="720"/>
        <w:jc w:val="both"/>
        <w:rPr>
          <w:rFonts w:ascii="Arial" w:hAnsi="Arial" w:cs="Arial"/>
        </w:rPr>
      </w:pPr>
      <w:r w:rsidRPr="00777B01">
        <w:rPr>
          <w:rFonts w:ascii="Arial" w:hAnsi="Arial" w:cs="Arial"/>
        </w:rPr>
        <w:t xml:space="preserve">The therapeutic potential of </w:t>
      </w:r>
      <w:r w:rsidRPr="00777B01">
        <w:rPr>
          <w:rFonts w:ascii="Arial" w:hAnsi="Arial" w:cs="Arial"/>
          <w:i/>
        </w:rPr>
        <w:t>Spirulina</w:t>
      </w:r>
      <w:r w:rsidRPr="00777B01">
        <w:rPr>
          <w:rFonts w:ascii="Arial" w:hAnsi="Arial" w:cs="Arial"/>
        </w:rPr>
        <w:t xml:space="preserve">, </w:t>
      </w:r>
      <w:r w:rsidRPr="00661306">
        <w:rPr>
          <w:rFonts w:ascii="Arial" w:hAnsi="Arial" w:cs="Arial"/>
          <w:i/>
        </w:rPr>
        <w:t>Chlorella</w:t>
      </w:r>
      <w:r w:rsidRPr="00777B01">
        <w:rPr>
          <w:rFonts w:ascii="Arial" w:hAnsi="Arial" w:cs="Arial"/>
        </w:rPr>
        <w:t xml:space="preserve">, and other gut-modulating interventions has been investigated in a range of preclinical and clinical studies. This </w:t>
      </w:r>
      <w:r w:rsidRPr="00777B01">
        <w:rPr>
          <w:rFonts w:ascii="Arial" w:hAnsi="Arial" w:cs="Arial"/>
        </w:rPr>
        <w:lastRenderedPageBreak/>
        <w:t>section summarizes the key findings from this body of research, highlighting the evidence for their neuroprotective effects in models of AD, PD, and ALS.</w:t>
      </w:r>
    </w:p>
    <w:p w14:paraId="2C1F5715" w14:textId="77777777" w:rsidR="00AB4C8F" w:rsidRDefault="00F25E6C" w:rsidP="00D24ECE">
      <w:pPr>
        <w:pStyle w:val="MdParagraph"/>
        <w:spacing w:line="360" w:lineRule="auto"/>
        <w:rPr>
          <w:rStyle w:val="MdStrong"/>
          <w:rFonts w:ascii="Arial" w:hAnsi="Arial" w:cs="Arial"/>
        </w:rPr>
      </w:pPr>
      <w:r w:rsidRPr="004A1CBC">
        <w:rPr>
          <w:rStyle w:val="MdStrong"/>
          <w:rFonts w:ascii="Arial" w:hAnsi="Arial" w:cs="Arial"/>
        </w:rPr>
        <w:t>6.1. Preclinical Evidence</w:t>
      </w:r>
    </w:p>
    <w:p w14:paraId="495C8DF5" w14:textId="77777777" w:rsidR="00F01A22" w:rsidRDefault="00F01A22" w:rsidP="00F01A22">
      <w:pPr>
        <w:pStyle w:val="MdParagraph"/>
        <w:spacing w:line="360" w:lineRule="auto"/>
        <w:ind w:firstLine="720"/>
        <w:jc w:val="both"/>
        <w:rPr>
          <w:rStyle w:val="MdStrong"/>
          <w:rFonts w:ascii="Arial" w:hAnsi="Arial" w:cs="Arial"/>
          <w:b w:val="0"/>
        </w:rPr>
      </w:pPr>
      <w:r>
        <w:rPr>
          <w:rStyle w:val="MdStrong"/>
          <w:rFonts w:ascii="Arial" w:hAnsi="Arial" w:cs="Arial"/>
          <w:b w:val="0"/>
        </w:rPr>
        <w:t xml:space="preserve">A </w:t>
      </w:r>
      <w:r w:rsidRPr="00F01A22">
        <w:rPr>
          <w:rStyle w:val="MdStrong"/>
          <w:rFonts w:ascii="Arial" w:hAnsi="Arial" w:cs="Arial"/>
          <w:b w:val="0"/>
        </w:rPr>
        <w:t xml:space="preserve">substantial body of evidence from animal studies reinforces the neuroprotective effects of </w:t>
      </w:r>
      <w:r w:rsidRPr="009352C5">
        <w:rPr>
          <w:rStyle w:val="MdStrong"/>
          <w:rFonts w:ascii="Arial" w:hAnsi="Arial" w:cs="Arial"/>
          <w:b w:val="0"/>
          <w:i/>
        </w:rPr>
        <w:t>Spirulina</w:t>
      </w:r>
      <w:r w:rsidRPr="00F01A22">
        <w:rPr>
          <w:rStyle w:val="MdStrong"/>
          <w:rFonts w:ascii="Arial" w:hAnsi="Arial" w:cs="Arial"/>
          <w:b w:val="0"/>
        </w:rPr>
        <w:t xml:space="preserve"> and </w:t>
      </w:r>
      <w:r w:rsidRPr="00661306">
        <w:rPr>
          <w:rStyle w:val="MdStrong"/>
          <w:rFonts w:ascii="Arial" w:hAnsi="Arial" w:cs="Arial"/>
          <w:b w:val="0"/>
          <w:i/>
        </w:rPr>
        <w:t>Chlorella</w:t>
      </w:r>
      <w:r w:rsidRPr="00F01A22">
        <w:rPr>
          <w:rStyle w:val="MdStrong"/>
          <w:rFonts w:ascii="Arial" w:hAnsi="Arial" w:cs="Arial"/>
          <w:b w:val="0"/>
        </w:rPr>
        <w:t xml:space="preserve"> (Table-2). In several PD models, such as 6-OHDA, MPTP α-synuclein-induced PD models, </w:t>
      </w:r>
      <w:r w:rsidRPr="009352C5">
        <w:rPr>
          <w:rStyle w:val="MdStrong"/>
          <w:rFonts w:ascii="Arial" w:hAnsi="Arial" w:cs="Arial"/>
          <w:b w:val="0"/>
          <w:i/>
        </w:rPr>
        <w:t xml:space="preserve">Spirulina </w:t>
      </w:r>
      <w:r w:rsidRPr="00F01A22">
        <w:rPr>
          <w:rStyle w:val="MdStrong"/>
          <w:rFonts w:ascii="Arial" w:hAnsi="Arial" w:cs="Arial"/>
          <w:b w:val="0"/>
        </w:rPr>
        <w:t xml:space="preserve">has been found to ameliorate motor abnormalities and save the dopamine-producing neurons while reducing oxidative stress and inflammation (Lima et al., 2017; Pabón et al., 2012; Lopes et al., 2022; Zhang et al., 2015; Lucena et al., 2024). </w:t>
      </w:r>
      <w:r w:rsidRPr="00B44676">
        <w:rPr>
          <w:rStyle w:val="MdStrong"/>
          <w:rFonts w:ascii="Arial" w:hAnsi="Arial" w:cs="Arial"/>
          <w:b w:val="0"/>
          <w:i/>
        </w:rPr>
        <w:t>Spirulina</w:t>
      </w:r>
      <w:r w:rsidRPr="00F01A22">
        <w:rPr>
          <w:rStyle w:val="MdStrong"/>
          <w:rFonts w:ascii="Arial" w:hAnsi="Arial" w:cs="Arial"/>
          <w:b w:val="0"/>
        </w:rPr>
        <w:t xml:space="preserve"> also alleviated cognitive impairment, neuroinflammation and acetylcholinesterase (</w:t>
      </w:r>
      <w:proofErr w:type="spellStart"/>
      <w:r w:rsidRPr="00F01A22">
        <w:rPr>
          <w:rStyle w:val="MdStrong"/>
          <w:rFonts w:ascii="Arial" w:hAnsi="Arial" w:cs="Arial"/>
          <w:b w:val="0"/>
        </w:rPr>
        <w:t>AChE</w:t>
      </w:r>
      <w:proofErr w:type="spellEnd"/>
      <w:r w:rsidRPr="00F01A22">
        <w:rPr>
          <w:rStyle w:val="MdStrong"/>
          <w:rFonts w:ascii="Arial" w:hAnsi="Arial" w:cs="Arial"/>
          <w:b w:val="0"/>
        </w:rPr>
        <w:t xml:space="preserve">) activity in streptozotocin-induced model of AD (Tavares et al., 2024). The neuroprotective effects of </w:t>
      </w:r>
      <w:r w:rsidRPr="009352C5">
        <w:rPr>
          <w:rStyle w:val="MdStrong"/>
          <w:rFonts w:ascii="Arial" w:hAnsi="Arial" w:cs="Arial"/>
          <w:b w:val="0"/>
          <w:i/>
        </w:rPr>
        <w:t xml:space="preserve">Spirulina </w:t>
      </w:r>
      <w:r w:rsidRPr="00F01A22">
        <w:rPr>
          <w:rStyle w:val="MdStrong"/>
          <w:rFonts w:ascii="Arial" w:hAnsi="Arial" w:cs="Arial"/>
          <w:b w:val="0"/>
        </w:rPr>
        <w:t xml:space="preserve">also cover other neurological disorders such as </w:t>
      </w:r>
      <w:proofErr w:type="spellStart"/>
      <w:r w:rsidRPr="00F01A22">
        <w:rPr>
          <w:rStyle w:val="MdStrong"/>
          <w:rFonts w:ascii="Arial" w:hAnsi="Arial" w:cs="Arial"/>
          <w:b w:val="0"/>
        </w:rPr>
        <w:t>hemorrhagic</w:t>
      </w:r>
      <w:proofErr w:type="spellEnd"/>
      <w:r w:rsidRPr="00F01A22">
        <w:rPr>
          <w:rStyle w:val="MdStrong"/>
          <w:rFonts w:ascii="Arial" w:hAnsi="Arial" w:cs="Arial"/>
          <w:b w:val="0"/>
        </w:rPr>
        <w:t xml:space="preserve"> brain injury, schizophrenia, spinal cord injury, and autism via amelioration of </w:t>
      </w:r>
      <w:proofErr w:type="spellStart"/>
      <w:r w:rsidRPr="00F01A22">
        <w:rPr>
          <w:rStyle w:val="MdStrong"/>
          <w:rFonts w:ascii="Arial" w:hAnsi="Arial" w:cs="Arial"/>
          <w:b w:val="0"/>
        </w:rPr>
        <w:t>behavioral</w:t>
      </w:r>
      <w:proofErr w:type="spellEnd"/>
      <w:r w:rsidRPr="00F01A22">
        <w:rPr>
          <w:rStyle w:val="MdStrong"/>
          <w:rFonts w:ascii="Arial" w:hAnsi="Arial" w:cs="Arial"/>
          <w:b w:val="0"/>
        </w:rPr>
        <w:t xml:space="preserve"> deficits and modulation of neurotransmission and expression of assessors for inflammation (Almeida et al., 2023; Haider et al., 2021; Abdullahi et al., 2020; Ismail et al., 2024).</w:t>
      </w:r>
    </w:p>
    <w:p w14:paraId="7EBECBDD" w14:textId="77777777" w:rsidR="00F01A22" w:rsidRPr="00F01A22" w:rsidRDefault="00F01A22" w:rsidP="00F01A22">
      <w:pPr>
        <w:pStyle w:val="MdParagraph"/>
        <w:spacing w:line="360" w:lineRule="auto"/>
        <w:ind w:firstLine="720"/>
        <w:jc w:val="both"/>
        <w:rPr>
          <w:rStyle w:val="MdStrong"/>
          <w:rFonts w:ascii="Arial" w:hAnsi="Arial" w:cs="Arial"/>
          <w:b w:val="0"/>
        </w:rPr>
      </w:pPr>
      <w:r w:rsidRPr="009352C5">
        <w:rPr>
          <w:rStyle w:val="MdStrong"/>
          <w:rFonts w:ascii="Arial" w:hAnsi="Arial" w:cs="Arial"/>
          <w:b w:val="0"/>
          <w:i/>
        </w:rPr>
        <w:t xml:space="preserve">Chlorella </w:t>
      </w:r>
      <w:r w:rsidRPr="00F01A22">
        <w:rPr>
          <w:rStyle w:val="MdStrong"/>
          <w:rFonts w:ascii="Arial" w:hAnsi="Arial" w:cs="Arial"/>
          <w:b w:val="0"/>
        </w:rPr>
        <w:t xml:space="preserve">has also shown remarkable neuroprotective effect in preclinical research. Chlorella peptides improved memory and decreased amyloid, tau pathology, and neuroinflammation in AD models (Wang et al., 2023; Lucena et al., 2024). In addition, </w:t>
      </w:r>
      <w:r w:rsidRPr="009352C5">
        <w:rPr>
          <w:rStyle w:val="MdStrong"/>
          <w:rFonts w:ascii="Arial" w:hAnsi="Arial" w:cs="Arial"/>
          <w:b w:val="0"/>
          <w:i/>
        </w:rPr>
        <w:t>Chlorella</w:t>
      </w:r>
      <w:r w:rsidRPr="00F01A22">
        <w:rPr>
          <w:rStyle w:val="MdStrong"/>
          <w:rFonts w:ascii="Arial" w:hAnsi="Arial" w:cs="Arial"/>
          <w:b w:val="0"/>
        </w:rPr>
        <w:t xml:space="preserve"> has demonstrated protective effects against lead-induced neurotoxicity as it helped to restore memory and reduced the level of oxidative stress (Díaz et al., 2025). Combination of </w:t>
      </w:r>
      <w:r w:rsidRPr="00661306">
        <w:rPr>
          <w:rStyle w:val="MdStrong"/>
          <w:rFonts w:ascii="Arial" w:hAnsi="Arial" w:cs="Arial"/>
          <w:b w:val="0"/>
          <w:i/>
        </w:rPr>
        <w:t>Chlorella</w:t>
      </w:r>
      <w:r w:rsidRPr="00F01A22">
        <w:rPr>
          <w:rStyle w:val="MdStrong"/>
          <w:rFonts w:ascii="Arial" w:hAnsi="Arial" w:cs="Arial"/>
          <w:b w:val="0"/>
        </w:rPr>
        <w:t xml:space="preserve"> and lion’s mane mushroom ameliorated depressive </w:t>
      </w:r>
      <w:proofErr w:type="spellStart"/>
      <w:r w:rsidRPr="00F01A22">
        <w:rPr>
          <w:rStyle w:val="MdStrong"/>
          <w:rFonts w:ascii="Arial" w:hAnsi="Arial" w:cs="Arial"/>
          <w:b w:val="0"/>
        </w:rPr>
        <w:t>behaviors</w:t>
      </w:r>
      <w:proofErr w:type="spellEnd"/>
      <w:r w:rsidRPr="00F01A22">
        <w:rPr>
          <w:rStyle w:val="MdStrong"/>
          <w:rFonts w:ascii="Arial" w:hAnsi="Arial" w:cs="Arial"/>
          <w:b w:val="0"/>
        </w:rPr>
        <w:t xml:space="preserve">, and increased brain-derived neurotrophic factor (BDNF) in a depression model (Chou et al., 2022). At the cellular level, </w:t>
      </w:r>
      <w:r w:rsidRPr="009352C5">
        <w:rPr>
          <w:rStyle w:val="MdStrong"/>
          <w:rFonts w:ascii="Arial" w:hAnsi="Arial" w:cs="Arial"/>
          <w:b w:val="0"/>
          <w:i/>
        </w:rPr>
        <w:t>Chlorella</w:t>
      </w:r>
      <w:r w:rsidRPr="00F01A22">
        <w:rPr>
          <w:rStyle w:val="MdStrong"/>
          <w:rFonts w:ascii="Arial" w:hAnsi="Arial" w:cs="Arial"/>
          <w:b w:val="0"/>
        </w:rPr>
        <w:t xml:space="preserve"> extracts have been observed to preserve PC12 cells against oxidative stress-induced apoptosis through ROS suppression and elevation of antioxidant enzyme (</w:t>
      </w:r>
      <w:proofErr w:type="spellStart"/>
      <w:r w:rsidRPr="00F01A22">
        <w:rPr>
          <w:rStyle w:val="MdStrong"/>
          <w:rFonts w:ascii="Arial" w:hAnsi="Arial" w:cs="Arial"/>
          <w:b w:val="0"/>
        </w:rPr>
        <w:t>Vahdati</w:t>
      </w:r>
      <w:proofErr w:type="spellEnd"/>
      <w:r w:rsidRPr="00F01A22">
        <w:rPr>
          <w:rStyle w:val="MdStrong"/>
          <w:rFonts w:ascii="Arial" w:hAnsi="Arial" w:cs="Arial"/>
          <w:b w:val="0"/>
        </w:rPr>
        <w:t xml:space="preserve"> et al., 2021; Inan et al., 2024). In conclusion, these preclinical studies demonstrate strong neuroprotective properties for both Spirulina and </w:t>
      </w:r>
      <w:r w:rsidRPr="00661306">
        <w:rPr>
          <w:rStyle w:val="MdStrong"/>
          <w:rFonts w:ascii="Arial" w:hAnsi="Arial" w:cs="Arial"/>
          <w:b w:val="0"/>
          <w:i/>
        </w:rPr>
        <w:t>Chlorell</w:t>
      </w:r>
      <w:r w:rsidRPr="00F01A22">
        <w:rPr>
          <w:rStyle w:val="MdStrong"/>
          <w:rFonts w:ascii="Arial" w:hAnsi="Arial" w:cs="Arial"/>
          <w:b w:val="0"/>
        </w:rPr>
        <w:t>a in a variety of neurologic diseases mainly attributed to their antioxidant and anti-inflammatory effects.</w:t>
      </w:r>
    </w:p>
    <w:p w14:paraId="789FD1A5" w14:textId="77777777" w:rsidR="00E93AB3" w:rsidRDefault="00E93AB3" w:rsidP="00D36841">
      <w:pPr>
        <w:pStyle w:val="MdParagraph"/>
        <w:spacing w:line="360" w:lineRule="auto"/>
        <w:ind w:firstLine="720"/>
        <w:rPr>
          <w:b/>
          <w:sz w:val="20"/>
          <w:szCs w:val="20"/>
        </w:rPr>
      </w:pPr>
    </w:p>
    <w:p w14:paraId="263AAA98" w14:textId="77777777" w:rsidR="00E93AB3" w:rsidRDefault="00E93AB3" w:rsidP="00D36841">
      <w:pPr>
        <w:pStyle w:val="MdParagraph"/>
        <w:spacing w:line="360" w:lineRule="auto"/>
        <w:ind w:firstLine="720"/>
        <w:rPr>
          <w:b/>
          <w:sz w:val="20"/>
          <w:szCs w:val="20"/>
        </w:rPr>
      </w:pPr>
    </w:p>
    <w:p w14:paraId="33AF423E" w14:textId="77777777" w:rsidR="002A1161" w:rsidRPr="001444E6" w:rsidRDefault="009B100A" w:rsidP="00D36841">
      <w:pPr>
        <w:pStyle w:val="MdParagraph"/>
        <w:spacing w:line="360" w:lineRule="auto"/>
        <w:ind w:firstLine="720"/>
        <w:rPr>
          <w:b/>
          <w:sz w:val="20"/>
          <w:szCs w:val="20"/>
        </w:rPr>
      </w:pPr>
      <w:r w:rsidRPr="001444E6">
        <w:rPr>
          <w:b/>
          <w:sz w:val="20"/>
          <w:szCs w:val="20"/>
        </w:rPr>
        <w:lastRenderedPageBreak/>
        <w:t>Table</w:t>
      </w:r>
      <w:r w:rsidR="00D36841" w:rsidRPr="001444E6">
        <w:rPr>
          <w:b/>
          <w:sz w:val="20"/>
          <w:szCs w:val="20"/>
        </w:rPr>
        <w:t>-</w:t>
      </w:r>
      <w:r w:rsidRPr="001444E6">
        <w:rPr>
          <w:b/>
          <w:sz w:val="20"/>
          <w:szCs w:val="20"/>
        </w:rPr>
        <w:t xml:space="preserve"> 2</w:t>
      </w:r>
      <w:r w:rsidR="00A32E19" w:rsidRPr="001444E6">
        <w:rPr>
          <w:b/>
          <w:sz w:val="20"/>
          <w:szCs w:val="20"/>
        </w:rPr>
        <w:t xml:space="preserve"> </w:t>
      </w:r>
      <w:r w:rsidR="00D36841" w:rsidRPr="001444E6">
        <w:rPr>
          <w:b/>
          <w:sz w:val="20"/>
          <w:szCs w:val="20"/>
        </w:rPr>
        <w:t xml:space="preserve">Table comparing animal model neuroprotection by </w:t>
      </w:r>
      <w:r w:rsidR="00D36841" w:rsidRPr="001444E6">
        <w:rPr>
          <w:b/>
          <w:i/>
          <w:sz w:val="20"/>
          <w:szCs w:val="20"/>
        </w:rPr>
        <w:t xml:space="preserve">Spirulina </w:t>
      </w:r>
      <w:r w:rsidR="00D36841" w:rsidRPr="001444E6">
        <w:rPr>
          <w:b/>
          <w:sz w:val="20"/>
          <w:szCs w:val="20"/>
        </w:rPr>
        <w:t xml:space="preserve">and </w:t>
      </w:r>
      <w:r w:rsidR="00D36841" w:rsidRPr="001444E6">
        <w:rPr>
          <w:b/>
          <w:i/>
          <w:sz w:val="20"/>
          <w:szCs w:val="20"/>
        </w:rPr>
        <w:t>Chlorella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2221"/>
        <w:gridCol w:w="3251"/>
        <w:gridCol w:w="2515"/>
      </w:tblGrid>
      <w:tr w:rsidR="002A1161" w:rsidRPr="00E93AB3" w14:paraId="47BAF49D" w14:textId="77777777" w:rsidTr="0079658C">
        <w:trPr>
          <w:tblHeader/>
          <w:tblCellSpacing w:w="15" w:type="dxa"/>
        </w:trPr>
        <w:tc>
          <w:tcPr>
            <w:tcW w:w="1083" w:type="dxa"/>
            <w:tcBorders>
              <w:top w:val="nil"/>
              <w:bottom w:val="nil"/>
            </w:tcBorders>
            <w:vAlign w:val="center"/>
            <w:hideMark/>
          </w:tcPr>
          <w:p w14:paraId="658D00C4"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Microalga</w:t>
            </w:r>
          </w:p>
        </w:tc>
        <w:tc>
          <w:tcPr>
            <w:tcW w:w="0" w:type="auto"/>
            <w:tcBorders>
              <w:top w:val="nil"/>
              <w:bottom w:val="nil"/>
            </w:tcBorders>
            <w:vAlign w:val="center"/>
            <w:hideMark/>
          </w:tcPr>
          <w:p w14:paraId="6D633A8A"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Animal Model/Condition</w:t>
            </w:r>
          </w:p>
        </w:tc>
        <w:tc>
          <w:tcPr>
            <w:tcW w:w="0" w:type="auto"/>
            <w:tcBorders>
              <w:top w:val="nil"/>
              <w:bottom w:val="nil"/>
            </w:tcBorders>
            <w:vAlign w:val="center"/>
            <w:hideMark/>
          </w:tcPr>
          <w:p w14:paraId="12C9AA16"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Key Neuroprotective Findings</w:t>
            </w:r>
          </w:p>
        </w:tc>
        <w:tc>
          <w:tcPr>
            <w:tcW w:w="0" w:type="auto"/>
            <w:tcBorders>
              <w:top w:val="nil"/>
              <w:bottom w:val="nil"/>
            </w:tcBorders>
            <w:vAlign w:val="center"/>
            <w:hideMark/>
          </w:tcPr>
          <w:p w14:paraId="5D8EBB79"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Citations</w:t>
            </w:r>
          </w:p>
        </w:tc>
      </w:tr>
      <w:tr w:rsidR="002A1161" w:rsidRPr="00E93AB3" w14:paraId="78D1609B" w14:textId="77777777" w:rsidTr="0079658C">
        <w:trPr>
          <w:tblCellSpacing w:w="15" w:type="dxa"/>
        </w:trPr>
        <w:tc>
          <w:tcPr>
            <w:tcW w:w="1083" w:type="dxa"/>
            <w:tcBorders>
              <w:top w:val="single" w:sz="4" w:space="0" w:color="auto"/>
              <w:bottom w:val="single" w:sz="4" w:space="0" w:color="auto"/>
            </w:tcBorders>
            <w:vAlign w:val="center"/>
            <w:hideMark/>
          </w:tcPr>
          <w:p w14:paraId="6A46F4D6"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single" w:sz="4" w:space="0" w:color="auto"/>
              <w:bottom w:val="single" w:sz="4" w:space="0" w:color="auto"/>
            </w:tcBorders>
            <w:vAlign w:val="center"/>
            <w:hideMark/>
          </w:tcPr>
          <w:p w14:paraId="3F2BB2B9" w14:textId="77777777" w:rsidR="002A1161" w:rsidRPr="00E93AB3" w:rsidRDefault="002A1161" w:rsidP="002A1161">
            <w:pPr>
              <w:rPr>
                <w:rFonts w:ascii="Arial" w:hAnsi="Arial" w:cs="Arial"/>
                <w:sz w:val="20"/>
                <w:szCs w:val="20"/>
              </w:rPr>
            </w:pPr>
            <w:r w:rsidRPr="00E93AB3">
              <w:rPr>
                <w:rFonts w:ascii="Arial" w:hAnsi="Arial" w:cs="Arial"/>
                <w:sz w:val="20"/>
                <w:szCs w:val="20"/>
              </w:rPr>
              <w:t>Parkinson’s disease (6-OHDA, MPTP, α-synuclein)</w:t>
            </w:r>
          </w:p>
        </w:tc>
        <w:tc>
          <w:tcPr>
            <w:tcW w:w="0" w:type="auto"/>
            <w:tcBorders>
              <w:top w:val="single" w:sz="4" w:space="0" w:color="auto"/>
              <w:bottom w:val="single" w:sz="4" w:space="0" w:color="auto"/>
            </w:tcBorders>
            <w:vAlign w:val="center"/>
            <w:hideMark/>
          </w:tcPr>
          <w:p w14:paraId="0A743C27" w14:textId="77777777" w:rsidR="002A1161" w:rsidRPr="00E93AB3" w:rsidRDefault="002A1161" w:rsidP="002A1161">
            <w:pPr>
              <w:rPr>
                <w:rFonts w:ascii="Arial" w:hAnsi="Arial" w:cs="Arial"/>
                <w:sz w:val="20"/>
                <w:szCs w:val="20"/>
              </w:rPr>
            </w:pPr>
            <w:r w:rsidRPr="00E93AB3">
              <w:rPr>
                <w:rFonts w:ascii="Arial" w:hAnsi="Arial" w:cs="Arial"/>
                <w:sz w:val="20"/>
                <w:szCs w:val="20"/>
              </w:rPr>
              <w:t>Reduced motor deficits, preserved dopaminergic neurons, decreased oxidative stress and inflammation</w:t>
            </w:r>
          </w:p>
        </w:tc>
        <w:tc>
          <w:tcPr>
            <w:tcW w:w="0" w:type="auto"/>
            <w:tcBorders>
              <w:top w:val="single" w:sz="4" w:space="0" w:color="auto"/>
              <w:bottom w:val="single" w:sz="4" w:space="0" w:color="auto"/>
            </w:tcBorders>
            <w:vAlign w:val="center"/>
            <w:hideMark/>
          </w:tcPr>
          <w:p w14:paraId="28344896" w14:textId="77777777" w:rsidR="002A1161" w:rsidRPr="00E93AB3" w:rsidRDefault="002A1161" w:rsidP="002A1161">
            <w:pPr>
              <w:rPr>
                <w:rFonts w:ascii="Arial" w:hAnsi="Arial" w:cs="Arial"/>
                <w:sz w:val="20"/>
                <w:szCs w:val="20"/>
              </w:rPr>
            </w:pPr>
            <w:r w:rsidRPr="00E93AB3">
              <w:rPr>
                <w:rFonts w:ascii="Arial" w:hAnsi="Arial" w:cs="Arial"/>
                <w:sz w:val="20"/>
                <w:szCs w:val="20"/>
              </w:rPr>
              <w:t>(Lima et al., 2017; Pabón et al., 2012; Lopes et al., 2022; Zhang et al., 2015; Lucena et al., 2024)</w:t>
            </w:r>
          </w:p>
        </w:tc>
      </w:tr>
      <w:tr w:rsidR="002A1161" w:rsidRPr="00E93AB3" w14:paraId="0193C851" w14:textId="77777777" w:rsidTr="0079658C">
        <w:trPr>
          <w:tblCellSpacing w:w="15" w:type="dxa"/>
        </w:trPr>
        <w:tc>
          <w:tcPr>
            <w:tcW w:w="1083" w:type="dxa"/>
            <w:tcBorders>
              <w:top w:val="nil"/>
              <w:bottom w:val="nil"/>
            </w:tcBorders>
            <w:vAlign w:val="center"/>
            <w:hideMark/>
          </w:tcPr>
          <w:p w14:paraId="13740A68"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nil"/>
              <w:bottom w:val="nil"/>
            </w:tcBorders>
            <w:vAlign w:val="center"/>
            <w:hideMark/>
          </w:tcPr>
          <w:p w14:paraId="65BFE111" w14:textId="77777777" w:rsidR="002A1161" w:rsidRPr="00E93AB3" w:rsidRDefault="002A1161" w:rsidP="002A1161">
            <w:pPr>
              <w:rPr>
                <w:rFonts w:ascii="Arial" w:hAnsi="Arial" w:cs="Arial"/>
                <w:sz w:val="20"/>
                <w:szCs w:val="20"/>
              </w:rPr>
            </w:pPr>
            <w:r w:rsidRPr="00E93AB3">
              <w:rPr>
                <w:rFonts w:ascii="Arial" w:hAnsi="Arial" w:cs="Arial"/>
                <w:sz w:val="20"/>
                <w:szCs w:val="20"/>
              </w:rPr>
              <w:t>Alzheimer’s disease (STZ-induced)</w:t>
            </w:r>
          </w:p>
        </w:tc>
        <w:tc>
          <w:tcPr>
            <w:tcW w:w="0" w:type="auto"/>
            <w:tcBorders>
              <w:top w:val="nil"/>
              <w:bottom w:val="nil"/>
            </w:tcBorders>
            <w:vAlign w:val="center"/>
            <w:hideMark/>
          </w:tcPr>
          <w:p w14:paraId="0D2A263D"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Prevented memory deficits, reduced oxidative stress, inhibited neuroinflammation and </w:t>
            </w:r>
            <w:proofErr w:type="spellStart"/>
            <w:r w:rsidRPr="00E93AB3">
              <w:rPr>
                <w:rFonts w:ascii="Arial" w:hAnsi="Arial" w:cs="Arial"/>
                <w:sz w:val="20"/>
                <w:szCs w:val="20"/>
              </w:rPr>
              <w:t>AChE</w:t>
            </w:r>
            <w:proofErr w:type="spellEnd"/>
            <w:r w:rsidRPr="00E93AB3">
              <w:rPr>
                <w:rFonts w:ascii="Arial" w:hAnsi="Arial" w:cs="Arial"/>
                <w:sz w:val="20"/>
                <w:szCs w:val="20"/>
              </w:rPr>
              <w:t xml:space="preserve"> activity</w:t>
            </w:r>
          </w:p>
        </w:tc>
        <w:tc>
          <w:tcPr>
            <w:tcW w:w="0" w:type="auto"/>
            <w:tcBorders>
              <w:top w:val="nil"/>
              <w:bottom w:val="nil"/>
            </w:tcBorders>
            <w:vAlign w:val="center"/>
            <w:hideMark/>
          </w:tcPr>
          <w:p w14:paraId="2509BC91" w14:textId="77777777" w:rsidR="002A1161" w:rsidRPr="00E93AB3" w:rsidRDefault="002A1161" w:rsidP="002A1161">
            <w:pPr>
              <w:rPr>
                <w:rFonts w:ascii="Arial" w:hAnsi="Arial" w:cs="Arial"/>
                <w:sz w:val="20"/>
                <w:szCs w:val="20"/>
              </w:rPr>
            </w:pPr>
            <w:r w:rsidRPr="00E93AB3">
              <w:rPr>
                <w:rFonts w:ascii="Arial" w:hAnsi="Arial" w:cs="Arial"/>
                <w:sz w:val="20"/>
                <w:szCs w:val="20"/>
              </w:rPr>
              <w:t>(Tavares et al., 2024)</w:t>
            </w:r>
          </w:p>
        </w:tc>
      </w:tr>
      <w:tr w:rsidR="006428DB" w:rsidRPr="00E93AB3" w14:paraId="500DD2AE" w14:textId="77777777" w:rsidTr="006428DB">
        <w:trPr>
          <w:tblCellSpacing w:w="15" w:type="dxa"/>
        </w:trPr>
        <w:tc>
          <w:tcPr>
            <w:tcW w:w="1083" w:type="dxa"/>
            <w:tcBorders>
              <w:top w:val="single" w:sz="4" w:space="0" w:color="auto"/>
              <w:bottom w:val="single" w:sz="4" w:space="0" w:color="auto"/>
            </w:tcBorders>
            <w:vAlign w:val="center"/>
            <w:hideMark/>
          </w:tcPr>
          <w:p w14:paraId="1D788366"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single" w:sz="4" w:space="0" w:color="auto"/>
              <w:bottom w:val="single" w:sz="4" w:space="0" w:color="auto"/>
            </w:tcBorders>
            <w:vAlign w:val="center"/>
            <w:hideMark/>
          </w:tcPr>
          <w:p w14:paraId="3355ADD5" w14:textId="77777777" w:rsidR="002A1161" w:rsidRPr="00E93AB3" w:rsidRDefault="002A1161" w:rsidP="002A1161">
            <w:pPr>
              <w:rPr>
                <w:rFonts w:ascii="Arial" w:hAnsi="Arial" w:cs="Arial"/>
                <w:sz w:val="20"/>
                <w:szCs w:val="20"/>
              </w:rPr>
            </w:pPr>
            <w:proofErr w:type="spellStart"/>
            <w:r w:rsidRPr="00E93AB3">
              <w:rPr>
                <w:rFonts w:ascii="Arial" w:hAnsi="Arial" w:cs="Arial"/>
                <w:sz w:val="20"/>
                <w:szCs w:val="20"/>
              </w:rPr>
              <w:t>Hemorrhagic</w:t>
            </w:r>
            <w:proofErr w:type="spellEnd"/>
            <w:r w:rsidRPr="00E93AB3">
              <w:rPr>
                <w:rFonts w:ascii="Arial" w:hAnsi="Arial" w:cs="Arial"/>
                <w:sz w:val="20"/>
                <w:szCs w:val="20"/>
              </w:rPr>
              <w:t xml:space="preserve"> brain injury</w:t>
            </w:r>
          </w:p>
        </w:tc>
        <w:tc>
          <w:tcPr>
            <w:tcW w:w="0" w:type="auto"/>
            <w:tcBorders>
              <w:top w:val="single" w:sz="4" w:space="0" w:color="auto"/>
              <w:bottom w:val="single" w:sz="4" w:space="0" w:color="auto"/>
            </w:tcBorders>
            <w:vAlign w:val="center"/>
            <w:hideMark/>
          </w:tcPr>
          <w:p w14:paraId="78FA982F" w14:textId="77777777" w:rsidR="002A1161" w:rsidRPr="00E93AB3" w:rsidRDefault="002A1161" w:rsidP="002A1161">
            <w:pPr>
              <w:rPr>
                <w:rFonts w:ascii="Arial" w:hAnsi="Arial" w:cs="Arial"/>
                <w:sz w:val="20"/>
                <w:szCs w:val="20"/>
              </w:rPr>
            </w:pPr>
            <w:r w:rsidRPr="00E93AB3">
              <w:rPr>
                <w:rFonts w:ascii="Arial" w:hAnsi="Arial" w:cs="Arial"/>
                <w:sz w:val="20"/>
                <w:szCs w:val="20"/>
              </w:rPr>
              <w:t>Increased viable neurons, improved motor performance post-injury</w:t>
            </w:r>
          </w:p>
        </w:tc>
        <w:tc>
          <w:tcPr>
            <w:tcW w:w="0" w:type="auto"/>
            <w:tcBorders>
              <w:top w:val="single" w:sz="4" w:space="0" w:color="auto"/>
              <w:bottom w:val="single" w:sz="4" w:space="0" w:color="auto"/>
            </w:tcBorders>
            <w:vAlign w:val="center"/>
            <w:hideMark/>
          </w:tcPr>
          <w:p w14:paraId="40AD366D" w14:textId="77777777" w:rsidR="002A1161" w:rsidRPr="00E93AB3" w:rsidRDefault="002A1161" w:rsidP="002A1161">
            <w:pPr>
              <w:rPr>
                <w:rFonts w:ascii="Arial" w:hAnsi="Arial" w:cs="Arial"/>
                <w:sz w:val="20"/>
                <w:szCs w:val="20"/>
              </w:rPr>
            </w:pPr>
            <w:r w:rsidRPr="00E93AB3">
              <w:rPr>
                <w:rFonts w:ascii="Arial" w:hAnsi="Arial" w:cs="Arial"/>
                <w:sz w:val="20"/>
                <w:szCs w:val="20"/>
              </w:rPr>
              <w:t>(Almeida et al., 2023)</w:t>
            </w:r>
          </w:p>
        </w:tc>
      </w:tr>
      <w:tr w:rsidR="006428DB" w:rsidRPr="00E93AB3" w14:paraId="7B1D70E2" w14:textId="77777777" w:rsidTr="006428DB">
        <w:trPr>
          <w:tblCellSpacing w:w="15" w:type="dxa"/>
        </w:trPr>
        <w:tc>
          <w:tcPr>
            <w:tcW w:w="1083" w:type="dxa"/>
            <w:tcBorders>
              <w:top w:val="nil"/>
              <w:bottom w:val="nil"/>
            </w:tcBorders>
            <w:vAlign w:val="center"/>
            <w:hideMark/>
          </w:tcPr>
          <w:p w14:paraId="3D584A4F"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nil"/>
              <w:bottom w:val="nil"/>
            </w:tcBorders>
            <w:vAlign w:val="center"/>
            <w:hideMark/>
          </w:tcPr>
          <w:p w14:paraId="7F277E27" w14:textId="77777777" w:rsidR="002A1161" w:rsidRPr="00E93AB3" w:rsidRDefault="002A1161" w:rsidP="002A1161">
            <w:pPr>
              <w:rPr>
                <w:rFonts w:ascii="Arial" w:hAnsi="Arial" w:cs="Arial"/>
                <w:sz w:val="20"/>
                <w:szCs w:val="20"/>
              </w:rPr>
            </w:pPr>
            <w:r w:rsidRPr="00E93AB3">
              <w:rPr>
                <w:rFonts w:ascii="Arial" w:hAnsi="Arial" w:cs="Arial"/>
                <w:sz w:val="20"/>
                <w:szCs w:val="20"/>
              </w:rPr>
              <w:t>Schizophrenia (dizocilpine-induced)</w:t>
            </w:r>
          </w:p>
        </w:tc>
        <w:tc>
          <w:tcPr>
            <w:tcW w:w="0" w:type="auto"/>
            <w:tcBorders>
              <w:top w:val="nil"/>
              <w:bottom w:val="nil"/>
            </w:tcBorders>
            <w:vAlign w:val="center"/>
            <w:hideMark/>
          </w:tcPr>
          <w:p w14:paraId="291FACFC"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Improved </w:t>
            </w:r>
            <w:proofErr w:type="spellStart"/>
            <w:r w:rsidRPr="00E93AB3">
              <w:rPr>
                <w:rFonts w:ascii="Arial" w:hAnsi="Arial" w:cs="Arial"/>
                <w:sz w:val="20"/>
                <w:szCs w:val="20"/>
              </w:rPr>
              <w:t>behavioral</w:t>
            </w:r>
            <w:proofErr w:type="spellEnd"/>
            <w:r w:rsidRPr="00E93AB3">
              <w:rPr>
                <w:rFonts w:ascii="Arial" w:hAnsi="Arial" w:cs="Arial"/>
                <w:sz w:val="20"/>
                <w:szCs w:val="20"/>
              </w:rPr>
              <w:t xml:space="preserve"> deficits, regulated neurotransmission, reduced inflammatory cytokines</w:t>
            </w:r>
          </w:p>
        </w:tc>
        <w:tc>
          <w:tcPr>
            <w:tcW w:w="0" w:type="auto"/>
            <w:tcBorders>
              <w:top w:val="nil"/>
              <w:bottom w:val="nil"/>
            </w:tcBorders>
            <w:vAlign w:val="center"/>
            <w:hideMark/>
          </w:tcPr>
          <w:p w14:paraId="3F3BFB1E" w14:textId="77777777" w:rsidR="002A1161" w:rsidRPr="00E93AB3" w:rsidRDefault="002A1161" w:rsidP="002A1161">
            <w:pPr>
              <w:rPr>
                <w:rFonts w:ascii="Arial" w:hAnsi="Arial" w:cs="Arial"/>
                <w:sz w:val="20"/>
                <w:szCs w:val="20"/>
              </w:rPr>
            </w:pPr>
            <w:r w:rsidRPr="00E93AB3">
              <w:rPr>
                <w:rFonts w:ascii="Arial" w:hAnsi="Arial" w:cs="Arial"/>
                <w:sz w:val="20"/>
                <w:szCs w:val="20"/>
              </w:rPr>
              <w:t>(Haider et al., 2021)</w:t>
            </w:r>
          </w:p>
        </w:tc>
      </w:tr>
      <w:tr w:rsidR="002A1161" w:rsidRPr="00E93AB3" w14:paraId="084E04B8" w14:textId="77777777" w:rsidTr="0079658C">
        <w:trPr>
          <w:tblCellSpacing w:w="15" w:type="dxa"/>
        </w:trPr>
        <w:tc>
          <w:tcPr>
            <w:tcW w:w="1083" w:type="dxa"/>
            <w:tcBorders>
              <w:top w:val="nil"/>
              <w:bottom w:val="nil"/>
            </w:tcBorders>
            <w:vAlign w:val="center"/>
            <w:hideMark/>
          </w:tcPr>
          <w:p w14:paraId="338076C7"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nil"/>
              <w:bottom w:val="nil"/>
            </w:tcBorders>
            <w:vAlign w:val="center"/>
            <w:hideMark/>
          </w:tcPr>
          <w:p w14:paraId="625980B0" w14:textId="77777777" w:rsidR="002A1161" w:rsidRPr="00E93AB3" w:rsidRDefault="002A1161" w:rsidP="002A1161">
            <w:pPr>
              <w:rPr>
                <w:rFonts w:ascii="Arial" w:hAnsi="Arial" w:cs="Arial"/>
                <w:sz w:val="20"/>
                <w:szCs w:val="20"/>
              </w:rPr>
            </w:pPr>
            <w:r w:rsidRPr="00E93AB3">
              <w:rPr>
                <w:rFonts w:ascii="Arial" w:hAnsi="Arial" w:cs="Arial"/>
                <w:sz w:val="20"/>
                <w:szCs w:val="20"/>
              </w:rPr>
              <w:t>Spinal cord injury</w:t>
            </w:r>
          </w:p>
        </w:tc>
        <w:tc>
          <w:tcPr>
            <w:tcW w:w="0" w:type="auto"/>
            <w:tcBorders>
              <w:top w:val="nil"/>
              <w:bottom w:val="nil"/>
            </w:tcBorders>
            <w:vAlign w:val="center"/>
            <w:hideMark/>
          </w:tcPr>
          <w:p w14:paraId="1EAADC52"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Improved </w:t>
            </w:r>
            <w:proofErr w:type="spellStart"/>
            <w:r w:rsidRPr="00E93AB3">
              <w:rPr>
                <w:rFonts w:ascii="Arial" w:hAnsi="Arial" w:cs="Arial"/>
                <w:sz w:val="20"/>
                <w:szCs w:val="20"/>
              </w:rPr>
              <w:t>gray</w:t>
            </w:r>
            <w:proofErr w:type="spellEnd"/>
            <w:r w:rsidRPr="00E93AB3">
              <w:rPr>
                <w:rFonts w:ascii="Arial" w:hAnsi="Arial" w:cs="Arial"/>
                <w:sz w:val="20"/>
                <w:szCs w:val="20"/>
              </w:rPr>
              <w:t xml:space="preserve"> matter morphology, enhanced functional recovery</w:t>
            </w:r>
          </w:p>
        </w:tc>
        <w:tc>
          <w:tcPr>
            <w:tcW w:w="0" w:type="auto"/>
            <w:tcBorders>
              <w:top w:val="nil"/>
              <w:bottom w:val="nil"/>
            </w:tcBorders>
            <w:vAlign w:val="center"/>
            <w:hideMark/>
          </w:tcPr>
          <w:p w14:paraId="1BD2FD59" w14:textId="77777777" w:rsidR="002A1161" w:rsidRPr="00E93AB3" w:rsidRDefault="002A1161" w:rsidP="002A1161">
            <w:pPr>
              <w:rPr>
                <w:rFonts w:ascii="Arial" w:hAnsi="Arial" w:cs="Arial"/>
                <w:sz w:val="20"/>
                <w:szCs w:val="20"/>
              </w:rPr>
            </w:pPr>
            <w:r w:rsidRPr="00E93AB3">
              <w:rPr>
                <w:rFonts w:ascii="Arial" w:hAnsi="Arial" w:cs="Arial"/>
                <w:sz w:val="20"/>
                <w:szCs w:val="20"/>
              </w:rPr>
              <w:t>(Abdullahi et al., 2020)</w:t>
            </w:r>
          </w:p>
        </w:tc>
      </w:tr>
      <w:tr w:rsidR="002A1161" w:rsidRPr="00E93AB3" w14:paraId="7B003947" w14:textId="77777777" w:rsidTr="0079658C">
        <w:trPr>
          <w:tblCellSpacing w:w="15" w:type="dxa"/>
        </w:trPr>
        <w:tc>
          <w:tcPr>
            <w:tcW w:w="1083" w:type="dxa"/>
            <w:tcBorders>
              <w:top w:val="single" w:sz="4" w:space="0" w:color="auto"/>
              <w:bottom w:val="single" w:sz="4" w:space="0" w:color="auto"/>
            </w:tcBorders>
            <w:vAlign w:val="center"/>
            <w:hideMark/>
          </w:tcPr>
          <w:p w14:paraId="3417C1F7"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single" w:sz="4" w:space="0" w:color="auto"/>
              <w:bottom w:val="single" w:sz="4" w:space="0" w:color="auto"/>
            </w:tcBorders>
            <w:vAlign w:val="center"/>
            <w:hideMark/>
          </w:tcPr>
          <w:p w14:paraId="0E78E046" w14:textId="77777777" w:rsidR="002A1161" w:rsidRPr="00E93AB3" w:rsidRDefault="002A1161" w:rsidP="002A1161">
            <w:pPr>
              <w:rPr>
                <w:rFonts w:ascii="Arial" w:hAnsi="Arial" w:cs="Arial"/>
                <w:sz w:val="20"/>
                <w:szCs w:val="20"/>
              </w:rPr>
            </w:pPr>
            <w:r w:rsidRPr="00E93AB3">
              <w:rPr>
                <w:rFonts w:ascii="Arial" w:hAnsi="Arial" w:cs="Arial"/>
                <w:sz w:val="20"/>
                <w:szCs w:val="20"/>
              </w:rPr>
              <w:t>Autism (valproic acid-induced)</w:t>
            </w:r>
          </w:p>
        </w:tc>
        <w:tc>
          <w:tcPr>
            <w:tcW w:w="0" w:type="auto"/>
            <w:tcBorders>
              <w:top w:val="single" w:sz="4" w:space="0" w:color="auto"/>
              <w:bottom w:val="single" w:sz="4" w:space="0" w:color="auto"/>
            </w:tcBorders>
            <w:vAlign w:val="center"/>
            <w:hideMark/>
          </w:tcPr>
          <w:p w14:paraId="4E40921B" w14:textId="77777777" w:rsidR="002A1161" w:rsidRPr="00E93AB3" w:rsidRDefault="002A1161" w:rsidP="002A1161">
            <w:pPr>
              <w:rPr>
                <w:rFonts w:ascii="Arial" w:hAnsi="Arial" w:cs="Arial"/>
                <w:sz w:val="20"/>
                <w:szCs w:val="20"/>
              </w:rPr>
            </w:pPr>
            <w:r w:rsidRPr="00E93AB3">
              <w:rPr>
                <w:rFonts w:ascii="Arial" w:hAnsi="Arial" w:cs="Arial"/>
                <w:sz w:val="20"/>
                <w:szCs w:val="20"/>
              </w:rPr>
              <w:t>Improved biochemical and histopathological markers of neuroinflammation and neurodegeneration</w:t>
            </w:r>
          </w:p>
        </w:tc>
        <w:tc>
          <w:tcPr>
            <w:tcW w:w="0" w:type="auto"/>
            <w:tcBorders>
              <w:top w:val="single" w:sz="4" w:space="0" w:color="auto"/>
              <w:bottom w:val="single" w:sz="4" w:space="0" w:color="auto"/>
            </w:tcBorders>
            <w:vAlign w:val="center"/>
            <w:hideMark/>
          </w:tcPr>
          <w:p w14:paraId="1E31E3E3" w14:textId="77777777" w:rsidR="002A1161" w:rsidRPr="00E93AB3" w:rsidRDefault="002A1161" w:rsidP="002A1161">
            <w:pPr>
              <w:rPr>
                <w:rFonts w:ascii="Arial" w:hAnsi="Arial" w:cs="Arial"/>
                <w:sz w:val="20"/>
                <w:szCs w:val="20"/>
              </w:rPr>
            </w:pPr>
            <w:r w:rsidRPr="00E93AB3">
              <w:rPr>
                <w:rFonts w:ascii="Arial" w:hAnsi="Arial" w:cs="Arial"/>
                <w:sz w:val="20"/>
                <w:szCs w:val="20"/>
              </w:rPr>
              <w:t>(Ismail et al., 2024)</w:t>
            </w:r>
          </w:p>
        </w:tc>
      </w:tr>
      <w:tr w:rsidR="002A1161" w:rsidRPr="00E93AB3" w14:paraId="7EEE7734" w14:textId="77777777" w:rsidTr="006428DB">
        <w:trPr>
          <w:tblCellSpacing w:w="15" w:type="dxa"/>
        </w:trPr>
        <w:tc>
          <w:tcPr>
            <w:tcW w:w="1083" w:type="dxa"/>
            <w:tcBorders>
              <w:top w:val="nil"/>
              <w:bottom w:val="single" w:sz="4" w:space="0" w:color="auto"/>
            </w:tcBorders>
            <w:vAlign w:val="center"/>
            <w:hideMark/>
          </w:tcPr>
          <w:p w14:paraId="52A25360" w14:textId="77777777" w:rsidR="002A1161" w:rsidRPr="00E93AB3" w:rsidRDefault="002A1161" w:rsidP="002A1161">
            <w:pPr>
              <w:rPr>
                <w:rFonts w:ascii="Arial" w:hAnsi="Arial" w:cs="Arial"/>
                <w:i/>
                <w:sz w:val="20"/>
                <w:szCs w:val="20"/>
              </w:rPr>
            </w:pPr>
            <w:r w:rsidRPr="00E93AB3">
              <w:rPr>
                <w:rFonts w:ascii="Arial" w:hAnsi="Arial" w:cs="Arial"/>
                <w:i/>
                <w:sz w:val="20"/>
                <w:szCs w:val="20"/>
              </w:rPr>
              <w:t>Chlorella</w:t>
            </w:r>
          </w:p>
        </w:tc>
        <w:tc>
          <w:tcPr>
            <w:tcW w:w="0" w:type="auto"/>
            <w:tcBorders>
              <w:top w:val="nil"/>
              <w:bottom w:val="single" w:sz="4" w:space="0" w:color="auto"/>
            </w:tcBorders>
            <w:vAlign w:val="center"/>
            <w:hideMark/>
          </w:tcPr>
          <w:p w14:paraId="38656A02" w14:textId="77777777" w:rsidR="002A1161" w:rsidRPr="00E93AB3" w:rsidRDefault="002A1161" w:rsidP="002A1161">
            <w:pPr>
              <w:rPr>
                <w:rFonts w:ascii="Arial" w:hAnsi="Arial" w:cs="Arial"/>
                <w:sz w:val="20"/>
                <w:szCs w:val="20"/>
              </w:rPr>
            </w:pPr>
            <w:r w:rsidRPr="00E93AB3">
              <w:rPr>
                <w:rFonts w:ascii="Arial" w:hAnsi="Arial" w:cs="Arial"/>
                <w:sz w:val="20"/>
                <w:szCs w:val="20"/>
              </w:rPr>
              <w:t>Alzheimer’s disease (Aβ1-42-induced, tauopathy)</w:t>
            </w:r>
          </w:p>
        </w:tc>
        <w:tc>
          <w:tcPr>
            <w:tcW w:w="0" w:type="auto"/>
            <w:tcBorders>
              <w:top w:val="nil"/>
              <w:bottom w:val="single" w:sz="4" w:space="0" w:color="auto"/>
            </w:tcBorders>
            <w:vAlign w:val="center"/>
            <w:hideMark/>
          </w:tcPr>
          <w:p w14:paraId="25A0AA4A" w14:textId="77777777" w:rsidR="002A1161" w:rsidRPr="00E93AB3" w:rsidRDefault="002A1161" w:rsidP="002A1161">
            <w:pPr>
              <w:rPr>
                <w:rFonts w:ascii="Arial" w:hAnsi="Arial" w:cs="Arial"/>
                <w:sz w:val="20"/>
                <w:szCs w:val="20"/>
              </w:rPr>
            </w:pPr>
            <w:r w:rsidRPr="00E93AB3">
              <w:rPr>
                <w:rFonts w:ascii="Arial" w:hAnsi="Arial" w:cs="Arial"/>
                <w:sz w:val="20"/>
                <w:szCs w:val="20"/>
              </w:rPr>
              <w:t>Peptides improved memory, reduced amyloid and tau pathology, suppressed neuroinflammation</w:t>
            </w:r>
          </w:p>
        </w:tc>
        <w:tc>
          <w:tcPr>
            <w:tcW w:w="0" w:type="auto"/>
            <w:tcBorders>
              <w:top w:val="nil"/>
              <w:bottom w:val="single" w:sz="4" w:space="0" w:color="auto"/>
            </w:tcBorders>
            <w:vAlign w:val="center"/>
            <w:hideMark/>
          </w:tcPr>
          <w:p w14:paraId="1FB1B160" w14:textId="77777777" w:rsidR="002A1161" w:rsidRPr="00E93AB3" w:rsidRDefault="002A1161" w:rsidP="002A1161">
            <w:pPr>
              <w:rPr>
                <w:rFonts w:ascii="Arial" w:hAnsi="Arial" w:cs="Arial"/>
                <w:sz w:val="20"/>
                <w:szCs w:val="20"/>
              </w:rPr>
            </w:pPr>
            <w:r w:rsidRPr="00E93AB3">
              <w:rPr>
                <w:rFonts w:ascii="Arial" w:hAnsi="Arial" w:cs="Arial"/>
                <w:sz w:val="20"/>
                <w:szCs w:val="20"/>
              </w:rPr>
              <w:t>(Wang et al., 2023; Lucena et al., 2024)</w:t>
            </w:r>
          </w:p>
        </w:tc>
      </w:tr>
      <w:tr w:rsidR="002A1161" w:rsidRPr="00E93AB3" w14:paraId="475799BC" w14:textId="77777777" w:rsidTr="006428DB">
        <w:trPr>
          <w:tblCellSpacing w:w="15" w:type="dxa"/>
        </w:trPr>
        <w:tc>
          <w:tcPr>
            <w:tcW w:w="1083" w:type="dxa"/>
            <w:tcBorders>
              <w:top w:val="nil"/>
              <w:bottom w:val="nil"/>
            </w:tcBorders>
            <w:vAlign w:val="center"/>
            <w:hideMark/>
          </w:tcPr>
          <w:p w14:paraId="1D600319" w14:textId="77777777" w:rsidR="002A1161" w:rsidRPr="00E93AB3" w:rsidRDefault="002A1161" w:rsidP="002A1161">
            <w:pPr>
              <w:rPr>
                <w:rFonts w:ascii="Arial" w:hAnsi="Arial" w:cs="Arial"/>
                <w:i/>
                <w:sz w:val="20"/>
                <w:szCs w:val="20"/>
              </w:rPr>
            </w:pPr>
            <w:r w:rsidRPr="00E93AB3">
              <w:rPr>
                <w:rFonts w:ascii="Arial" w:hAnsi="Arial" w:cs="Arial"/>
                <w:i/>
                <w:sz w:val="20"/>
                <w:szCs w:val="20"/>
              </w:rPr>
              <w:t>Chlorella</w:t>
            </w:r>
          </w:p>
        </w:tc>
        <w:tc>
          <w:tcPr>
            <w:tcW w:w="0" w:type="auto"/>
            <w:tcBorders>
              <w:top w:val="nil"/>
              <w:bottom w:val="nil"/>
            </w:tcBorders>
            <w:vAlign w:val="center"/>
            <w:hideMark/>
          </w:tcPr>
          <w:p w14:paraId="07639DA4" w14:textId="77777777" w:rsidR="002A1161" w:rsidRPr="00E93AB3" w:rsidRDefault="002A1161" w:rsidP="002A1161">
            <w:pPr>
              <w:rPr>
                <w:rFonts w:ascii="Arial" w:hAnsi="Arial" w:cs="Arial"/>
                <w:sz w:val="20"/>
                <w:szCs w:val="20"/>
              </w:rPr>
            </w:pPr>
            <w:r w:rsidRPr="00E93AB3">
              <w:rPr>
                <w:rFonts w:ascii="Arial" w:hAnsi="Arial" w:cs="Arial"/>
                <w:sz w:val="20"/>
                <w:szCs w:val="20"/>
              </w:rPr>
              <w:t>Lead-induced neurotoxicity</w:t>
            </w:r>
          </w:p>
        </w:tc>
        <w:tc>
          <w:tcPr>
            <w:tcW w:w="0" w:type="auto"/>
            <w:tcBorders>
              <w:top w:val="nil"/>
              <w:bottom w:val="nil"/>
            </w:tcBorders>
            <w:vAlign w:val="center"/>
            <w:hideMark/>
          </w:tcPr>
          <w:p w14:paraId="13A361F7" w14:textId="77777777" w:rsidR="002A1161" w:rsidRPr="00E93AB3" w:rsidRDefault="002A1161" w:rsidP="002A1161">
            <w:pPr>
              <w:rPr>
                <w:rFonts w:ascii="Arial" w:hAnsi="Arial" w:cs="Arial"/>
                <w:sz w:val="20"/>
                <w:szCs w:val="20"/>
              </w:rPr>
            </w:pPr>
            <w:r w:rsidRPr="00E93AB3">
              <w:rPr>
                <w:rFonts w:ascii="Arial" w:hAnsi="Arial" w:cs="Arial"/>
                <w:sz w:val="20"/>
                <w:szCs w:val="20"/>
              </w:rPr>
              <w:t>Restored memory, reduced oxidative stress, decreased lead accumulation in brain and organs</w:t>
            </w:r>
          </w:p>
        </w:tc>
        <w:tc>
          <w:tcPr>
            <w:tcW w:w="0" w:type="auto"/>
            <w:tcBorders>
              <w:top w:val="nil"/>
              <w:bottom w:val="nil"/>
            </w:tcBorders>
            <w:vAlign w:val="center"/>
            <w:hideMark/>
          </w:tcPr>
          <w:p w14:paraId="7DF1FBD8" w14:textId="77777777" w:rsidR="002A1161" w:rsidRPr="00E93AB3" w:rsidRDefault="002A1161" w:rsidP="002A1161">
            <w:pPr>
              <w:rPr>
                <w:rFonts w:ascii="Arial" w:hAnsi="Arial" w:cs="Arial"/>
                <w:sz w:val="20"/>
                <w:szCs w:val="20"/>
              </w:rPr>
            </w:pPr>
            <w:r w:rsidRPr="00E93AB3">
              <w:rPr>
                <w:rFonts w:ascii="Arial" w:hAnsi="Arial" w:cs="Arial"/>
                <w:sz w:val="20"/>
                <w:szCs w:val="20"/>
              </w:rPr>
              <w:t>(Díaz et al., 2025)</w:t>
            </w:r>
          </w:p>
        </w:tc>
      </w:tr>
      <w:tr w:rsidR="002A1161" w:rsidRPr="00E93AB3" w14:paraId="34AC812D" w14:textId="77777777" w:rsidTr="0079658C">
        <w:trPr>
          <w:tblCellSpacing w:w="15" w:type="dxa"/>
        </w:trPr>
        <w:tc>
          <w:tcPr>
            <w:tcW w:w="1083" w:type="dxa"/>
            <w:tcBorders>
              <w:top w:val="single" w:sz="4" w:space="0" w:color="auto"/>
              <w:bottom w:val="single" w:sz="4" w:space="0" w:color="auto"/>
            </w:tcBorders>
            <w:vAlign w:val="center"/>
            <w:hideMark/>
          </w:tcPr>
          <w:p w14:paraId="06B19C57" w14:textId="77777777" w:rsidR="002A1161" w:rsidRPr="00E93AB3" w:rsidRDefault="002A1161" w:rsidP="002A1161">
            <w:pPr>
              <w:rPr>
                <w:rFonts w:ascii="Arial" w:hAnsi="Arial" w:cs="Arial"/>
                <w:i/>
                <w:sz w:val="20"/>
                <w:szCs w:val="20"/>
              </w:rPr>
            </w:pPr>
            <w:r w:rsidRPr="00E93AB3">
              <w:rPr>
                <w:rFonts w:ascii="Arial" w:hAnsi="Arial" w:cs="Arial"/>
                <w:i/>
                <w:sz w:val="20"/>
                <w:szCs w:val="20"/>
              </w:rPr>
              <w:t>Chlorella</w:t>
            </w:r>
          </w:p>
        </w:tc>
        <w:tc>
          <w:tcPr>
            <w:tcW w:w="0" w:type="auto"/>
            <w:tcBorders>
              <w:top w:val="single" w:sz="4" w:space="0" w:color="auto"/>
              <w:bottom w:val="single" w:sz="4" w:space="0" w:color="auto"/>
            </w:tcBorders>
            <w:vAlign w:val="center"/>
            <w:hideMark/>
          </w:tcPr>
          <w:p w14:paraId="66C75D51" w14:textId="77777777" w:rsidR="002A1161" w:rsidRPr="00E93AB3" w:rsidRDefault="002A1161" w:rsidP="002A1161">
            <w:pPr>
              <w:rPr>
                <w:rFonts w:ascii="Arial" w:hAnsi="Arial" w:cs="Arial"/>
                <w:sz w:val="20"/>
                <w:szCs w:val="20"/>
              </w:rPr>
            </w:pPr>
            <w:r w:rsidRPr="00E93AB3">
              <w:rPr>
                <w:rFonts w:ascii="Arial" w:hAnsi="Arial" w:cs="Arial"/>
                <w:sz w:val="20"/>
                <w:szCs w:val="20"/>
              </w:rPr>
              <w:t>Depression (with lion’s mane)</w:t>
            </w:r>
          </w:p>
        </w:tc>
        <w:tc>
          <w:tcPr>
            <w:tcW w:w="0" w:type="auto"/>
            <w:tcBorders>
              <w:top w:val="single" w:sz="4" w:space="0" w:color="auto"/>
              <w:bottom w:val="single" w:sz="4" w:space="0" w:color="auto"/>
            </w:tcBorders>
            <w:vAlign w:val="center"/>
            <w:hideMark/>
          </w:tcPr>
          <w:p w14:paraId="0953D09C"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Improved depressive </w:t>
            </w:r>
            <w:proofErr w:type="spellStart"/>
            <w:r w:rsidRPr="00E93AB3">
              <w:rPr>
                <w:rFonts w:ascii="Arial" w:hAnsi="Arial" w:cs="Arial"/>
                <w:sz w:val="20"/>
                <w:szCs w:val="20"/>
              </w:rPr>
              <w:t>behaviors</w:t>
            </w:r>
            <w:proofErr w:type="spellEnd"/>
            <w:r w:rsidRPr="00E93AB3">
              <w:rPr>
                <w:rFonts w:ascii="Arial" w:hAnsi="Arial" w:cs="Arial"/>
                <w:sz w:val="20"/>
                <w:szCs w:val="20"/>
              </w:rPr>
              <w:t>, increased BDNF, no toxicity at high doses</w:t>
            </w:r>
          </w:p>
        </w:tc>
        <w:tc>
          <w:tcPr>
            <w:tcW w:w="0" w:type="auto"/>
            <w:tcBorders>
              <w:top w:val="single" w:sz="4" w:space="0" w:color="auto"/>
              <w:bottom w:val="single" w:sz="4" w:space="0" w:color="auto"/>
            </w:tcBorders>
            <w:vAlign w:val="center"/>
            <w:hideMark/>
          </w:tcPr>
          <w:p w14:paraId="6F769E87" w14:textId="77777777" w:rsidR="002A1161" w:rsidRPr="00E93AB3" w:rsidRDefault="002A1161" w:rsidP="002A1161">
            <w:pPr>
              <w:rPr>
                <w:rFonts w:ascii="Arial" w:hAnsi="Arial" w:cs="Arial"/>
                <w:sz w:val="20"/>
                <w:szCs w:val="20"/>
              </w:rPr>
            </w:pPr>
            <w:r w:rsidRPr="00E93AB3">
              <w:rPr>
                <w:rFonts w:ascii="Arial" w:hAnsi="Arial" w:cs="Arial"/>
                <w:sz w:val="20"/>
                <w:szCs w:val="20"/>
              </w:rPr>
              <w:t>(Chou et al., 2022)</w:t>
            </w:r>
          </w:p>
        </w:tc>
      </w:tr>
      <w:tr w:rsidR="002A1161" w:rsidRPr="00E93AB3" w14:paraId="7B127BBD" w14:textId="77777777" w:rsidTr="0079658C">
        <w:trPr>
          <w:tblCellSpacing w:w="15" w:type="dxa"/>
        </w:trPr>
        <w:tc>
          <w:tcPr>
            <w:tcW w:w="1083" w:type="dxa"/>
            <w:vAlign w:val="center"/>
            <w:hideMark/>
          </w:tcPr>
          <w:p w14:paraId="58E476FC" w14:textId="77777777" w:rsidR="002A1161" w:rsidRPr="00E93AB3" w:rsidRDefault="002A1161" w:rsidP="002A1161">
            <w:pPr>
              <w:rPr>
                <w:rFonts w:ascii="Arial" w:hAnsi="Arial" w:cs="Arial"/>
                <w:sz w:val="20"/>
                <w:szCs w:val="20"/>
              </w:rPr>
            </w:pPr>
            <w:r w:rsidRPr="00E93AB3">
              <w:rPr>
                <w:rFonts w:ascii="Arial" w:hAnsi="Arial" w:cs="Arial"/>
                <w:sz w:val="20"/>
                <w:szCs w:val="20"/>
              </w:rPr>
              <w:t>Chlorella</w:t>
            </w:r>
          </w:p>
        </w:tc>
        <w:tc>
          <w:tcPr>
            <w:tcW w:w="0" w:type="auto"/>
            <w:vAlign w:val="center"/>
            <w:hideMark/>
          </w:tcPr>
          <w:p w14:paraId="4FB58101" w14:textId="77777777" w:rsidR="002A1161" w:rsidRPr="00E93AB3" w:rsidRDefault="002A1161" w:rsidP="002A1161">
            <w:pPr>
              <w:rPr>
                <w:rFonts w:ascii="Arial" w:hAnsi="Arial" w:cs="Arial"/>
                <w:sz w:val="20"/>
                <w:szCs w:val="20"/>
              </w:rPr>
            </w:pPr>
            <w:r w:rsidRPr="00E93AB3">
              <w:rPr>
                <w:rFonts w:ascii="Arial" w:hAnsi="Arial" w:cs="Arial"/>
                <w:sz w:val="20"/>
                <w:szCs w:val="20"/>
              </w:rPr>
              <w:t>Oxidative stress (in vitro, PC12 cells)</w:t>
            </w:r>
          </w:p>
        </w:tc>
        <w:tc>
          <w:tcPr>
            <w:tcW w:w="0" w:type="auto"/>
            <w:vAlign w:val="center"/>
            <w:hideMark/>
          </w:tcPr>
          <w:p w14:paraId="0122ECF1" w14:textId="77777777" w:rsidR="002A1161" w:rsidRPr="00E93AB3" w:rsidRDefault="002A1161" w:rsidP="002A1161">
            <w:pPr>
              <w:rPr>
                <w:rFonts w:ascii="Arial" w:hAnsi="Arial" w:cs="Arial"/>
                <w:sz w:val="20"/>
                <w:szCs w:val="20"/>
              </w:rPr>
            </w:pPr>
            <w:r w:rsidRPr="00E93AB3">
              <w:rPr>
                <w:rFonts w:ascii="Arial" w:hAnsi="Arial" w:cs="Arial"/>
                <w:sz w:val="20"/>
                <w:szCs w:val="20"/>
              </w:rPr>
              <w:t>Reduced ROS, increased antioxidant enzymes, improved cell viability, reduced apoptosis</w:t>
            </w:r>
          </w:p>
        </w:tc>
        <w:tc>
          <w:tcPr>
            <w:tcW w:w="0" w:type="auto"/>
            <w:vAlign w:val="center"/>
            <w:hideMark/>
          </w:tcPr>
          <w:p w14:paraId="33E88A68" w14:textId="77777777" w:rsidR="002A1161" w:rsidRPr="00E93AB3" w:rsidRDefault="002A1161" w:rsidP="002A1161">
            <w:pPr>
              <w:rPr>
                <w:rFonts w:ascii="Arial" w:hAnsi="Arial" w:cs="Arial"/>
                <w:sz w:val="20"/>
                <w:szCs w:val="20"/>
              </w:rPr>
            </w:pPr>
            <w:r w:rsidRPr="00E93AB3">
              <w:rPr>
                <w:rFonts w:ascii="Arial" w:hAnsi="Arial" w:cs="Arial"/>
                <w:sz w:val="20"/>
                <w:szCs w:val="20"/>
              </w:rPr>
              <w:t>(</w:t>
            </w:r>
            <w:proofErr w:type="spellStart"/>
            <w:r w:rsidRPr="00E93AB3">
              <w:rPr>
                <w:rFonts w:ascii="Arial" w:hAnsi="Arial" w:cs="Arial"/>
                <w:sz w:val="20"/>
                <w:szCs w:val="20"/>
              </w:rPr>
              <w:t>Vahdati</w:t>
            </w:r>
            <w:proofErr w:type="spellEnd"/>
            <w:r w:rsidRPr="00E93AB3">
              <w:rPr>
                <w:rFonts w:ascii="Arial" w:hAnsi="Arial" w:cs="Arial"/>
                <w:sz w:val="20"/>
                <w:szCs w:val="20"/>
              </w:rPr>
              <w:t xml:space="preserve"> et al., 2021; Inan et al., 2024)</w:t>
            </w:r>
          </w:p>
        </w:tc>
      </w:tr>
    </w:tbl>
    <w:p w14:paraId="0F2203B4" w14:textId="77777777" w:rsidR="002A1161" w:rsidRPr="00E90537" w:rsidRDefault="002A1161" w:rsidP="002A1161">
      <w:pPr>
        <w:pStyle w:val="MdParagraph"/>
        <w:spacing w:line="360" w:lineRule="auto"/>
        <w:rPr>
          <w:rFonts w:ascii="Arial" w:hAnsi="Arial" w:cs="Arial"/>
        </w:rPr>
      </w:pPr>
    </w:p>
    <w:p w14:paraId="26F4B9D4" w14:textId="77777777" w:rsidR="000516CF" w:rsidRDefault="00F25E6C" w:rsidP="000516CF">
      <w:pPr>
        <w:pStyle w:val="MdParagraph"/>
        <w:spacing w:line="360" w:lineRule="auto"/>
        <w:rPr>
          <w:rStyle w:val="MdStrong"/>
          <w:rFonts w:ascii="Arial" w:hAnsi="Arial" w:cs="Arial"/>
        </w:rPr>
      </w:pPr>
      <w:r w:rsidRPr="004A1CBC">
        <w:rPr>
          <w:rStyle w:val="MdStrong"/>
          <w:rFonts w:ascii="Arial" w:hAnsi="Arial" w:cs="Arial"/>
        </w:rPr>
        <w:t>6.2. Clinical Evidence</w:t>
      </w:r>
    </w:p>
    <w:p w14:paraId="1589BEA7" w14:textId="77777777" w:rsidR="00F01A22" w:rsidRPr="00F01A22" w:rsidRDefault="00F01A22" w:rsidP="00F01A22">
      <w:pPr>
        <w:pStyle w:val="MdParagraph"/>
        <w:spacing w:line="360" w:lineRule="auto"/>
        <w:ind w:firstLine="720"/>
        <w:jc w:val="both"/>
        <w:rPr>
          <w:rFonts w:ascii="Arial" w:hAnsi="Arial" w:cs="Arial"/>
        </w:rPr>
      </w:pPr>
      <w:r w:rsidRPr="00F01A22">
        <w:rPr>
          <w:rFonts w:ascii="Arial" w:hAnsi="Arial" w:cs="Arial"/>
        </w:rPr>
        <w:t xml:space="preserve">Preclinical findings supporting the neuroprotective actions of Spirulina and </w:t>
      </w:r>
      <w:r w:rsidRPr="00661306">
        <w:rPr>
          <w:rFonts w:ascii="Arial" w:hAnsi="Arial" w:cs="Arial"/>
          <w:i/>
        </w:rPr>
        <w:t xml:space="preserve">Chlorella </w:t>
      </w:r>
      <w:r w:rsidRPr="00F01A22">
        <w:rPr>
          <w:rFonts w:ascii="Arial" w:hAnsi="Arial" w:cs="Arial"/>
        </w:rPr>
        <w:t xml:space="preserve">are vast, but clinical findings in humans are in their infancy. So far there have been no clinical trials especially targeting these microalgae in PD or ALS. Nevertheless, a few early reports have started to evaluate their use in AD and mild cognitive impairment (MCI), as well as in other cognitive symptoms, providing an initial knowledge base for further investigation. The most direct example is the recent controlled double-blind randomized trial in patients with AD. In the present intervention of 12 weeks with a dose of 500 mg/day, </w:t>
      </w:r>
      <w:r w:rsidRPr="0061305F">
        <w:rPr>
          <w:rFonts w:ascii="Arial" w:hAnsi="Arial" w:cs="Arial"/>
          <w:i/>
        </w:rPr>
        <w:t>Spirulina</w:t>
      </w:r>
      <w:r w:rsidRPr="00F01A22">
        <w:rPr>
          <w:rFonts w:ascii="Arial" w:hAnsi="Arial" w:cs="Arial"/>
        </w:rPr>
        <w:t xml:space="preserve"> supplementation significantly improved cognitive performance compared to placebo when using Mini-</w:t>
      </w:r>
      <w:r w:rsidRPr="00F01A22">
        <w:rPr>
          <w:rFonts w:ascii="Arial" w:hAnsi="Arial" w:cs="Arial"/>
        </w:rPr>
        <w:lastRenderedPageBreak/>
        <w:t xml:space="preserve">mental state Examination (MMSE) assessment. The cognitive effects may have been the result of a significant decrease in the inflammatory marker </w:t>
      </w:r>
      <w:proofErr w:type="spellStart"/>
      <w:r w:rsidRPr="00F01A22">
        <w:rPr>
          <w:rFonts w:ascii="Arial" w:hAnsi="Arial" w:cs="Arial"/>
        </w:rPr>
        <w:t>hs</w:t>
      </w:r>
      <w:proofErr w:type="spellEnd"/>
      <w:r w:rsidRPr="00F01A22">
        <w:rPr>
          <w:rFonts w:ascii="Arial" w:hAnsi="Arial" w:cs="Arial"/>
        </w:rPr>
        <w:t xml:space="preserve">-CRP, along with an improvement in glucose homeostasis along with and were improved glucose homeostasis, implicating that </w:t>
      </w:r>
      <w:r w:rsidRPr="003F6CCE">
        <w:rPr>
          <w:rFonts w:ascii="Arial" w:hAnsi="Arial" w:cs="Arial"/>
          <w:i/>
        </w:rPr>
        <w:t>Spirulina</w:t>
      </w:r>
      <w:r w:rsidRPr="00F01A22">
        <w:rPr>
          <w:rFonts w:ascii="Arial" w:hAnsi="Arial" w:cs="Arial"/>
        </w:rPr>
        <w:t>’s neuroprotection potential might be associated with its systemic anti-inflammatory and metabolic impacts (</w:t>
      </w:r>
      <w:proofErr w:type="spellStart"/>
      <w:r w:rsidRPr="00F01A22">
        <w:rPr>
          <w:rFonts w:ascii="Arial" w:hAnsi="Arial" w:cs="Arial"/>
        </w:rPr>
        <w:t>Tamtaji</w:t>
      </w:r>
      <w:proofErr w:type="spellEnd"/>
      <w:r w:rsidRPr="00F01A22">
        <w:rPr>
          <w:rFonts w:ascii="Arial" w:hAnsi="Arial" w:cs="Arial"/>
        </w:rPr>
        <w:t xml:space="preserve"> et al., 2023). In agreement with these findings, a 12-week randomized double-blind placebo-controlled trial of 1 g/day Spirulina maxima extract was performed in el</w:t>
      </w:r>
      <w:r>
        <w:rPr>
          <w:rFonts w:ascii="Arial" w:hAnsi="Arial" w:cs="Arial"/>
        </w:rPr>
        <w:t>derly individuals with MCI</w:t>
      </w:r>
      <w:r w:rsidRPr="00F01A22">
        <w:rPr>
          <w:rFonts w:ascii="Arial" w:hAnsi="Arial" w:cs="Arial"/>
        </w:rPr>
        <w:t xml:space="preserve"> The research documented pronounced enhancement in visual learning and working memory as well as a rise in total antioxidant capacity. These findings indicate that Spirulina could be useful against the early phases of cognitive decline, perhaps by reducing oxidative stress (Choi et al., 2022). </w:t>
      </w:r>
      <w:r w:rsidR="007C151B" w:rsidRPr="007C151B">
        <w:rPr>
          <w:rFonts w:ascii="Arial" w:hAnsi="Arial" w:cs="Arial"/>
        </w:rPr>
        <w:t xml:space="preserve">In the case of </w:t>
      </w:r>
      <w:r w:rsidR="007C151B" w:rsidRPr="003F6CCE">
        <w:rPr>
          <w:rFonts w:ascii="Arial" w:hAnsi="Arial" w:cs="Arial"/>
          <w:i/>
        </w:rPr>
        <w:t>Chlorella,</w:t>
      </w:r>
      <w:r w:rsidR="007C151B" w:rsidRPr="007C151B">
        <w:rPr>
          <w:rFonts w:ascii="Arial" w:hAnsi="Arial" w:cs="Arial"/>
        </w:rPr>
        <w:t xml:space="preserve"> the available evidence is more indirect but remains noteworthy. A randomized controlled trial in individuals with major depressive disorder showed notable findings. Six weeks of supplementation with 1,800 mg/day of </w:t>
      </w:r>
      <w:r w:rsidR="007C151B" w:rsidRPr="00661306">
        <w:rPr>
          <w:rFonts w:ascii="Arial" w:hAnsi="Arial" w:cs="Arial"/>
          <w:i/>
        </w:rPr>
        <w:t xml:space="preserve">Chlorella </w:t>
      </w:r>
      <w:r w:rsidR="007C151B" w:rsidRPr="007C151B">
        <w:rPr>
          <w:rFonts w:ascii="Arial" w:hAnsi="Arial" w:cs="Arial"/>
        </w:rPr>
        <w:t xml:space="preserve">vulgaris extract, taken in addition to standard antidepressant therapy, resulted in significant improvements in both somatic and cognitive symptoms. (Panahi et al., 2015). Although MDD is not a neurodegenerative condition, the observed gains in cognitive function are important. They indicate a possible </w:t>
      </w:r>
      <w:proofErr w:type="spellStart"/>
      <w:r w:rsidR="007C151B" w:rsidRPr="007C151B">
        <w:rPr>
          <w:rFonts w:ascii="Arial" w:hAnsi="Arial" w:cs="Arial"/>
        </w:rPr>
        <w:t>neuromodulatory</w:t>
      </w:r>
      <w:proofErr w:type="spellEnd"/>
      <w:r w:rsidR="007C151B" w:rsidRPr="007C151B">
        <w:rPr>
          <w:rFonts w:ascii="Arial" w:hAnsi="Arial" w:cs="Arial"/>
        </w:rPr>
        <w:t xml:space="preserve"> effect of </w:t>
      </w:r>
      <w:r w:rsidR="007C151B" w:rsidRPr="003F6CCE">
        <w:rPr>
          <w:rFonts w:ascii="Arial" w:hAnsi="Arial" w:cs="Arial"/>
          <w:i/>
        </w:rPr>
        <w:t>Chlorella</w:t>
      </w:r>
      <w:r w:rsidR="007C151B" w:rsidRPr="007C151B">
        <w:rPr>
          <w:rFonts w:ascii="Arial" w:hAnsi="Arial" w:cs="Arial"/>
        </w:rPr>
        <w:t xml:space="preserve"> and underscore the need for studies specifically examining its relevance to cognitive decline and dementia.</w:t>
      </w:r>
    </w:p>
    <w:p w14:paraId="6063CED4" w14:textId="77777777" w:rsidR="00F01A22" w:rsidRPr="004A1CBC" w:rsidRDefault="00F01A22" w:rsidP="00CD5AF7">
      <w:pPr>
        <w:pStyle w:val="MdParagraph"/>
        <w:spacing w:line="360" w:lineRule="auto"/>
        <w:ind w:firstLine="720"/>
        <w:jc w:val="both"/>
        <w:rPr>
          <w:rFonts w:ascii="Arial" w:hAnsi="Arial" w:cs="Arial"/>
        </w:rPr>
      </w:pPr>
      <w:r w:rsidRPr="00F01A22">
        <w:rPr>
          <w:rFonts w:ascii="Arial" w:hAnsi="Arial" w:cs="Arial"/>
        </w:rPr>
        <w:t xml:space="preserve">Together these handful of clinical trials, which also are all outlined in the chart below, represent the first human evidence that either </w:t>
      </w:r>
      <w:r w:rsidRPr="005431D5">
        <w:rPr>
          <w:rFonts w:ascii="Arial" w:hAnsi="Arial" w:cs="Arial"/>
          <w:i/>
        </w:rPr>
        <w:t>Spirulina</w:t>
      </w:r>
      <w:r w:rsidRPr="00F01A22">
        <w:rPr>
          <w:rFonts w:ascii="Arial" w:hAnsi="Arial" w:cs="Arial"/>
        </w:rPr>
        <w:t xml:space="preserve"> or </w:t>
      </w:r>
      <w:r w:rsidRPr="005431D5">
        <w:rPr>
          <w:rFonts w:ascii="Arial" w:hAnsi="Arial" w:cs="Arial"/>
          <w:i/>
        </w:rPr>
        <w:t>Chlorella</w:t>
      </w:r>
      <w:r w:rsidRPr="00F01A22">
        <w:rPr>
          <w:rFonts w:ascii="Arial" w:hAnsi="Arial" w:cs="Arial"/>
        </w:rPr>
        <w:t xml:space="preserve"> can improve cognitive </w:t>
      </w:r>
      <w:r w:rsidR="005431D5">
        <w:rPr>
          <w:rFonts w:ascii="Arial" w:hAnsi="Arial" w:cs="Arial"/>
        </w:rPr>
        <w:t>function (Table-3).</w:t>
      </w:r>
      <w:r w:rsidRPr="00F01A22">
        <w:rPr>
          <w:rFonts w:ascii="Arial" w:hAnsi="Arial" w:cs="Arial"/>
        </w:rPr>
        <w:t xml:space="preserve"> But they suffer from poor sample size and short-</w:t>
      </w:r>
      <w:proofErr w:type="spellStart"/>
      <w:r w:rsidRPr="00F01A22">
        <w:rPr>
          <w:rFonts w:ascii="Arial" w:hAnsi="Arial" w:cs="Arial"/>
        </w:rPr>
        <w:t>termity</w:t>
      </w:r>
      <w:proofErr w:type="spellEnd"/>
      <w:r w:rsidRPr="00F01A22">
        <w:rPr>
          <w:rFonts w:ascii="Arial" w:hAnsi="Arial" w:cs="Arial"/>
        </w:rPr>
        <w:t>. Large, long-term clinical trials are needed to confirm these encouraging findings, identify optimal doses and test these effects in other neurodegenerative diseases such as PD and ALS, which currently lack human data</w:t>
      </w:r>
    </w:p>
    <w:p w14:paraId="700283C3" w14:textId="77777777" w:rsidR="001C0346" w:rsidRPr="0061305F" w:rsidRDefault="007E54CA" w:rsidP="001444E6">
      <w:pPr>
        <w:pStyle w:val="MdParagraph"/>
        <w:spacing w:line="360" w:lineRule="auto"/>
        <w:rPr>
          <w:rFonts w:ascii="Arial" w:hAnsi="Arial" w:cs="Arial"/>
          <w:b/>
          <w:sz w:val="20"/>
          <w:szCs w:val="20"/>
        </w:rPr>
      </w:pPr>
      <w:r w:rsidRPr="0061305F">
        <w:rPr>
          <w:rFonts w:ascii="Arial" w:hAnsi="Arial" w:cs="Arial"/>
          <w:b/>
          <w:sz w:val="20"/>
          <w:szCs w:val="20"/>
        </w:rPr>
        <w:t>Table</w:t>
      </w:r>
      <w:r w:rsidR="00D36841" w:rsidRPr="0061305F">
        <w:rPr>
          <w:rFonts w:ascii="Arial" w:hAnsi="Arial" w:cs="Arial"/>
          <w:b/>
          <w:sz w:val="20"/>
          <w:szCs w:val="20"/>
        </w:rPr>
        <w:t>-3</w:t>
      </w:r>
      <w:r w:rsidRPr="0061305F">
        <w:rPr>
          <w:rFonts w:ascii="Arial" w:hAnsi="Arial" w:cs="Arial"/>
          <w:b/>
          <w:sz w:val="20"/>
          <w:szCs w:val="20"/>
        </w:rPr>
        <w:t xml:space="preserve"> Clinical Trials of </w:t>
      </w:r>
      <w:r w:rsidRPr="0061305F">
        <w:rPr>
          <w:rFonts w:ascii="Arial" w:hAnsi="Arial" w:cs="Arial"/>
          <w:b/>
          <w:i/>
          <w:sz w:val="20"/>
          <w:szCs w:val="20"/>
        </w:rPr>
        <w:t>Spirulina</w:t>
      </w:r>
      <w:r w:rsidRPr="0061305F">
        <w:rPr>
          <w:rFonts w:ascii="Arial" w:hAnsi="Arial" w:cs="Arial"/>
          <w:b/>
          <w:sz w:val="20"/>
          <w:szCs w:val="20"/>
        </w:rPr>
        <w:t xml:space="preserve"> and </w:t>
      </w:r>
      <w:r w:rsidRPr="0061305F">
        <w:rPr>
          <w:rFonts w:ascii="Arial" w:hAnsi="Arial" w:cs="Arial"/>
          <w:b/>
          <w:i/>
          <w:sz w:val="20"/>
          <w:szCs w:val="20"/>
        </w:rPr>
        <w:t>Chlorella</w:t>
      </w:r>
      <w:r w:rsidRPr="0061305F">
        <w:rPr>
          <w:rFonts w:ascii="Arial" w:hAnsi="Arial" w:cs="Arial"/>
          <w:b/>
          <w:sz w:val="20"/>
          <w:szCs w:val="20"/>
        </w:rPr>
        <w:t xml:space="preserve"> in Neuroprotection and Cognitive Function</w:t>
      </w:r>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247"/>
        <w:gridCol w:w="1081"/>
        <w:gridCol w:w="1284"/>
        <w:gridCol w:w="1509"/>
        <w:gridCol w:w="246"/>
        <w:gridCol w:w="1563"/>
        <w:gridCol w:w="246"/>
        <w:gridCol w:w="1778"/>
        <w:gridCol w:w="246"/>
        <w:gridCol w:w="1066"/>
      </w:tblGrid>
      <w:tr w:rsidR="00D36841" w:rsidRPr="0061305F" w14:paraId="7BD88B95" w14:textId="77777777" w:rsidTr="0079658C">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2B85CD7F" w14:textId="77777777" w:rsidR="001C0346" w:rsidRPr="0061305F" w:rsidRDefault="001C0346" w:rsidP="0079658C">
            <w:pPr>
              <w:pStyle w:val="MdTableHeader"/>
              <w:rPr>
                <w:rFonts w:ascii="Arial" w:hAnsi="Arial" w:cs="Arial"/>
                <w:sz w:val="18"/>
                <w:szCs w:val="18"/>
              </w:rPr>
            </w:pP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7294C24" w14:textId="77777777" w:rsidR="001C0346" w:rsidRPr="0061305F" w:rsidRDefault="001C0346" w:rsidP="0079658C">
            <w:pPr>
              <w:pStyle w:val="MdTableHeader"/>
              <w:rPr>
                <w:rFonts w:ascii="Arial" w:hAnsi="Arial" w:cs="Arial"/>
                <w:sz w:val="18"/>
                <w:szCs w:val="18"/>
              </w:rPr>
            </w:pPr>
            <w:r w:rsidRPr="0061305F">
              <w:rPr>
                <w:rFonts w:ascii="Arial" w:hAnsi="Arial" w:cs="Arial"/>
                <w:sz w:val="18"/>
                <w:szCs w:val="18"/>
              </w:rPr>
              <w:t>Microalga</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65AD41A" w14:textId="77777777" w:rsidR="001C0346" w:rsidRPr="0061305F" w:rsidRDefault="001C0346" w:rsidP="0079658C">
            <w:pPr>
              <w:pStyle w:val="MdTableHeader"/>
              <w:rPr>
                <w:rFonts w:ascii="Arial" w:hAnsi="Arial" w:cs="Arial"/>
                <w:sz w:val="18"/>
                <w:szCs w:val="18"/>
              </w:rPr>
            </w:pPr>
            <w:r w:rsidRPr="0061305F">
              <w:rPr>
                <w:rFonts w:ascii="Arial" w:hAnsi="Arial" w:cs="Arial"/>
                <w:sz w:val="18"/>
                <w:szCs w:val="18"/>
              </w:rPr>
              <w:t>Disease / Condition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587A6D0" w14:textId="77777777" w:rsidR="001C0346" w:rsidRPr="0061305F" w:rsidRDefault="001C0346" w:rsidP="0079658C">
            <w:pPr>
              <w:pStyle w:val="MdTableHeader"/>
              <w:rPr>
                <w:rFonts w:ascii="Arial" w:hAnsi="Arial" w:cs="Arial"/>
                <w:sz w:val="18"/>
                <w:szCs w:val="18"/>
              </w:rPr>
            </w:pPr>
            <w:r w:rsidRPr="0061305F">
              <w:rPr>
                <w:rFonts w:ascii="Arial" w:hAnsi="Arial" w:cs="Arial"/>
                <w:sz w:val="18"/>
                <w:szCs w:val="18"/>
              </w:rPr>
              <w:t>Study Design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0174A56" w14:textId="77777777" w:rsidR="001C0346" w:rsidRPr="0061305F" w:rsidRDefault="001C0346" w:rsidP="0079658C">
            <w:pPr>
              <w:pStyle w:val="MdTableHeader"/>
              <w:rPr>
                <w:rFonts w:ascii="Arial" w:hAnsi="Arial" w:cs="Arial"/>
                <w:sz w:val="18"/>
                <w:szCs w:val="18"/>
              </w:rPr>
            </w:pP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88B97BE" w14:textId="77777777" w:rsidR="001C0346" w:rsidRPr="0061305F" w:rsidRDefault="001C0346" w:rsidP="0079658C">
            <w:pPr>
              <w:pStyle w:val="MdTableHeader"/>
              <w:rPr>
                <w:rFonts w:ascii="Arial" w:hAnsi="Arial" w:cs="Arial"/>
                <w:sz w:val="18"/>
                <w:szCs w:val="18"/>
              </w:rPr>
            </w:pPr>
            <w:r w:rsidRPr="0061305F">
              <w:rPr>
                <w:rFonts w:ascii="Arial" w:hAnsi="Arial" w:cs="Arial"/>
                <w:sz w:val="18"/>
                <w:szCs w:val="18"/>
              </w:rPr>
              <w:t>Intervention (Dose, Duration)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E4906F9" w14:textId="77777777" w:rsidR="001C0346" w:rsidRPr="0061305F" w:rsidRDefault="001C0346" w:rsidP="0079658C">
            <w:pPr>
              <w:pStyle w:val="MdTableHeader"/>
              <w:rPr>
                <w:rFonts w:ascii="Arial" w:hAnsi="Arial" w:cs="Arial"/>
                <w:sz w:val="18"/>
                <w:szCs w:val="18"/>
              </w:rPr>
            </w:pP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29D6C15" w14:textId="77777777" w:rsidR="001C0346" w:rsidRPr="0061305F" w:rsidRDefault="001C0346" w:rsidP="0079658C">
            <w:pPr>
              <w:pStyle w:val="MdTableHeader"/>
              <w:rPr>
                <w:rFonts w:ascii="Arial" w:hAnsi="Arial" w:cs="Arial"/>
                <w:sz w:val="18"/>
                <w:szCs w:val="18"/>
              </w:rPr>
            </w:pPr>
            <w:r w:rsidRPr="0061305F">
              <w:rPr>
                <w:rFonts w:ascii="Arial" w:hAnsi="Arial" w:cs="Arial"/>
                <w:sz w:val="18"/>
                <w:szCs w:val="18"/>
              </w:rPr>
              <w:t>Key Findings</w:t>
            </w:r>
            <w:r w:rsidR="00D36841" w:rsidRPr="0061305F">
              <w:rPr>
                <w:rFonts w:ascii="Arial" w:hAnsi="Arial" w:cs="Arial"/>
                <w:sz w:val="18"/>
                <w:szCs w:val="18"/>
              </w:rPr>
              <w:t xml:space="preserv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C480B36" w14:textId="77777777" w:rsidR="001C0346" w:rsidRPr="0061305F" w:rsidRDefault="00D36841" w:rsidP="0079658C">
            <w:pPr>
              <w:pStyle w:val="MdTableHeader"/>
              <w:rPr>
                <w:rFonts w:ascii="Arial" w:hAnsi="Arial" w:cs="Arial"/>
                <w:sz w:val="18"/>
                <w:szCs w:val="18"/>
              </w:rPr>
            </w:pPr>
            <w:r w:rsidRPr="0061305F">
              <w:rPr>
                <w:rFonts w:ascii="Arial" w:hAnsi="Arial" w:cs="Arial"/>
                <w:sz w:val="18"/>
                <w:szCs w:val="18"/>
              </w:rPr>
              <w:t xml:space="preserv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2E30F8E" w14:textId="77777777" w:rsidR="001C0346" w:rsidRPr="0061305F" w:rsidRDefault="00D36841" w:rsidP="0079658C">
            <w:pPr>
              <w:pStyle w:val="MdTableHeader"/>
              <w:rPr>
                <w:rFonts w:ascii="Arial" w:hAnsi="Arial" w:cs="Arial"/>
                <w:sz w:val="18"/>
                <w:szCs w:val="18"/>
              </w:rPr>
            </w:pPr>
            <w:r w:rsidRPr="0061305F">
              <w:rPr>
                <w:rFonts w:ascii="Arial" w:hAnsi="Arial" w:cs="Arial"/>
                <w:sz w:val="18"/>
                <w:szCs w:val="18"/>
              </w:rPr>
              <w:t>Citations</w:t>
            </w:r>
          </w:p>
        </w:tc>
      </w:tr>
      <w:tr w:rsidR="00D36841" w:rsidRPr="0061305F" w14:paraId="605D5249" w14:textId="77777777" w:rsidTr="0079658C">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D6FBA88"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53C05D" w14:textId="77777777" w:rsidR="001C0346" w:rsidRPr="0061305F" w:rsidRDefault="001C0346" w:rsidP="0079658C">
            <w:pPr>
              <w:pStyle w:val="MdTableCell"/>
              <w:rPr>
                <w:rFonts w:ascii="Arial" w:hAnsi="Arial" w:cs="Arial"/>
                <w:sz w:val="18"/>
                <w:szCs w:val="18"/>
              </w:rPr>
            </w:pPr>
            <w:r w:rsidRPr="0061305F">
              <w:rPr>
                <w:rStyle w:val="MdStrong"/>
                <w:rFonts w:ascii="Arial" w:hAnsi="Arial" w:cs="Arial"/>
                <w:sz w:val="18"/>
                <w:szCs w:val="18"/>
              </w:rPr>
              <w:t>Spirulina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20751CD"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Alzheimer's Disease (AD)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DA1125"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Randomized, Double-Blind, Controlled Trial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1D0A9F5"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D14FCF5"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500 mg/day Spirulina (twice daily) for 12 weeks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93944DB"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135729" w14:textId="77777777" w:rsidR="001C0346" w:rsidRPr="0061305F" w:rsidRDefault="001C0346" w:rsidP="0079658C">
            <w:pPr>
              <w:pStyle w:val="MdTableCell"/>
              <w:rPr>
                <w:rFonts w:ascii="Arial" w:hAnsi="Arial" w:cs="Arial"/>
                <w:sz w:val="18"/>
                <w:szCs w:val="18"/>
              </w:rPr>
            </w:pPr>
            <w:r w:rsidRPr="005431D5">
              <w:rPr>
                <w:rStyle w:val="MdStrong"/>
                <w:rFonts w:ascii="Arial" w:hAnsi="Arial" w:cs="Arial"/>
                <w:b w:val="0"/>
                <w:sz w:val="18"/>
                <w:szCs w:val="18"/>
              </w:rPr>
              <w:t>Improved cognitive function (MMSE</w:t>
            </w:r>
            <w:r w:rsidRPr="005431D5">
              <w:rPr>
                <w:rStyle w:val="MdStrong"/>
                <w:rFonts w:ascii="Arial" w:hAnsi="Arial" w:cs="Arial"/>
                <w:sz w:val="18"/>
                <w:szCs w:val="18"/>
              </w:rPr>
              <w:t>)</w:t>
            </w:r>
            <w:r w:rsidRPr="005431D5">
              <w:rPr>
                <w:rFonts w:ascii="Arial" w:hAnsi="Arial" w:cs="Arial"/>
                <w:sz w:val="18"/>
                <w:szCs w:val="18"/>
              </w:rPr>
              <w:t xml:space="preserve">; decreased </w:t>
            </w:r>
            <w:proofErr w:type="spellStart"/>
            <w:r w:rsidRPr="005431D5">
              <w:rPr>
                <w:rFonts w:ascii="Arial" w:hAnsi="Arial" w:cs="Arial"/>
                <w:sz w:val="18"/>
                <w:szCs w:val="18"/>
              </w:rPr>
              <w:t>hs</w:t>
            </w:r>
            <w:proofErr w:type="spellEnd"/>
            <w:r w:rsidRPr="005431D5">
              <w:rPr>
                <w:rFonts w:ascii="Arial" w:hAnsi="Arial" w:cs="Arial"/>
                <w:sz w:val="18"/>
                <w:szCs w:val="18"/>
              </w:rPr>
              <w:t>-</w:t>
            </w:r>
            <w:r w:rsidRPr="0061305F">
              <w:rPr>
                <w:rFonts w:ascii="Arial" w:hAnsi="Arial" w:cs="Arial"/>
                <w:sz w:val="18"/>
                <w:szCs w:val="18"/>
              </w:rPr>
              <w:t>CRP; improved glucose homeostasis.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2036BF4"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5141FC" w14:textId="77777777" w:rsidR="001C0346" w:rsidRPr="0061305F" w:rsidRDefault="00D36841" w:rsidP="0079658C">
            <w:pPr>
              <w:pStyle w:val="MdTableCell"/>
              <w:rPr>
                <w:rFonts w:ascii="Arial" w:hAnsi="Arial" w:cs="Arial"/>
                <w:sz w:val="18"/>
                <w:szCs w:val="18"/>
              </w:rPr>
            </w:pPr>
            <w:proofErr w:type="spellStart"/>
            <w:r w:rsidRPr="0061305F">
              <w:rPr>
                <w:rFonts w:ascii="Arial" w:hAnsi="Arial" w:cs="Arial"/>
                <w:sz w:val="18"/>
                <w:szCs w:val="18"/>
              </w:rPr>
              <w:t>Tamtaji</w:t>
            </w:r>
            <w:proofErr w:type="spellEnd"/>
            <w:r w:rsidRPr="0061305F">
              <w:rPr>
                <w:rFonts w:ascii="Arial" w:hAnsi="Arial" w:cs="Arial"/>
                <w:sz w:val="18"/>
                <w:szCs w:val="18"/>
              </w:rPr>
              <w:t xml:space="preserve"> et al. (2023)</w:t>
            </w:r>
          </w:p>
        </w:tc>
      </w:tr>
      <w:tr w:rsidR="00D36841" w:rsidRPr="0061305F" w14:paraId="46B4DE59" w14:textId="77777777" w:rsidTr="0079658C">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72AB087"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3BC32E78" w14:textId="77777777" w:rsidR="001C0346" w:rsidRPr="0061305F" w:rsidRDefault="001C0346" w:rsidP="0079658C">
            <w:pPr>
              <w:pStyle w:val="MdTableCell"/>
              <w:rPr>
                <w:rFonts w:ascii="Arial" w:hAnsi="Arial" w:cs="Arial"/>
                <w:sz w:val="18"/>
                <w:szCs w:val="18"/>
              </w:rPr>
            </w:pPr>
            <w:r w:rsidRPr="0061305F">
              <w:rPr>
                <w:rStyle w:val="MdStrong"/>
                <w:rFonts w:ascii="Arial" w:hAnsi="Arial" w:cs="Arial"/>
                <w:sz w:val="18"/>
                <w:szCs w:val="18"/>
              </w:rPr>
              <w:t>Spirulina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DA7C26"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Mild Cognitive Impairment (MCI)</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D98D61"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Randomized, Double-Blind, Placebo-Controlled Trial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119854"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40DC368"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 xml:space="preserve">1 g/day </w:t>
            </w:r>
            <w:r w:rsidRPr="0061305F">
              <w:rPr>
                <w:rStyle w:val="MdEm"/>
                <w:rFonts w:ascii="Arial" w:hAnsi="Arial" w:cs="Arial"/>
                <w:sz w:val="18"/>
                <w:szCs w:val="18"/>
              </w:rPr>
              <w:t>Spirulina maxima</w:t>
            </w:r>
            <w:r w:rsidRPr="0061305F">
              <w:rPr>
                <w:rFonts w:ascii="Arial" w:hAnsi="Arial" w:cs="Arial"/>
                <w:sz w:val="18"/>
                <w:szCs w:val="18"/>
              </w:rPr>
              <w:t xml:space="preserve"> extract for 12 weeks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F0E2E0C"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093DD9" w14:textId="77777777" w:rsidR="001C0346" w:rsidRPr="0061305F" w:rsidRDefault="001C0346" w:rsidP="0079658C">
            <w:pPr>
              <w:pStyle w:val="MdTableCell"/>
              <w:rPr>
                <w:rFonts w:ascii="Arial" w:hAnsi="Arial" w:cs="Arial"/>
                <w:sz w:val="18"/>
                <w:szCs w:val="18"/>
              </w:rPr>
            </w:pPr>
            <w:r w:rsidRPr="005431D5">
              <w:rPr>
                <w:rStyle w:val="MdStrong"/>
                <w:rFonts w:ascii="Arial" w:hAnsi="Arial" w:cs="Arial"/>
                <w:b w:val="0"/>
                <w:sz w:val="18"/>
                <w:szCs w:val="18"/>
              </w:rPr>
              <w:t>Improved visual learning &amp; working memory</w:t>
            </w:r>
            <w:r w:rsidRPr="005431D5">
              <w:rPr>
                <w:rFonts w:ascii="Arial" w:hAnsi="Arial" w:cs="Arial"/>
                <w:b/>
                <w:sz w:val="18"/>
                <w:szCs w:val="18"/>
              </w:rPr>
              <w:t>;</w:t>
            </w:r>
            <w:r w:rsidRPr="0061305F">
              <w:rPr>
                <w:rFonts w:ascii="Arial" w:hAnsi="Arial" w:cs="Arial"/>
                <w:sz w:val="18"/>
                <w:szCs w:val="18"/>
              </w:rPr>
              <w:t xml:space="preserve"> improved vocabulary; increased total antioxidant capacity.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396B694"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7E71247" w14:textId="77777777" w:rsidR="001C0346" w:rsidRPr="0061305F" w:rsidRDefault="00D36841" w:rsidP="0079658C">
            <w:pPr>
              <w:pStyle w:val="MdTableCell"/>
              <w:rPr>
                <w:rFonts w:ascii="Arial" w:hAnsi="Arial" w:cs="Arial"/>
                <w:sz w:val="18"/>
                <w:szCs w:val="18"/>
              </w:rPr>
            </w:pPr>
            <w:r w:rsidRPr="0061305F">
              <w:rPr>
                <w:rFonts w:ascii="Arial" w:hAnsi="Arial" w:cs="Arial"/>
                <w:sz w:val="18"/>
                <w:szCs w:val="18"/>
              </w:rPr>
              <w:t>Choi et al. (2022)</w:t>
            </w:r>
          </w:p>
        </w:tc>
      </w:tr>
      <w:tr w:rsidR="00D36841" w:rsidRPr="0061305F" w14:paraId="65761D64" w14:textId="77777777" w:rsidTr="0079658C">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3C2CAC9"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EA3B51" w14:textId="77777777" w:rsidR="001C0346" w:rsidRPr="0061305F" w:rsidRDefault="001C0346" w:rsidP="0079658C">
            <w:pPr>
              <w:pStyle w:val="MdTableCell"/>
              <w:rPr>
                <w:rFonts w:ascii="Arial" w:hAnsi="Arial" w:cs="Arial"/>
                <w:sz w:val="18"/>
                <w:szCs w:val="18"/>
              </w:rPr>
            </w:pPr>
            <w:r w:rsidRPr="0061305F">
              <w:rPr>
                <w:rStyle w:val="MdStrong"/>
                <w:rFonts w:ascii="Arial" w:hAnsi="Arial" w:cs="Arial"/>
                <w:sz w:val="18"/>
                <w:szCs w:val="18"/>
              </w:rPr>
              <w:t>Chlorella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F2520A"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Major Depressive Disorder (MDD)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1422BA4"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Randomized Controlled Trial (not double-blind)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291139C"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52AA2A20" w14:textId="77777777" w:rsidR="001C0346" w:rsidRPr="0061305F" w:rsidRDefault="001C0346" w:rsidP="0079658C">
            <w:pPr>
              <w:pStyle w:val="MdTableCell"/>
              <w:rPr>
                <w:rFonts w:ascii="Arial" w:hAnsi="Arial" w:cs="Arial"/>
                <w:sz w:val="18"/>
                <w:szCs w:val="18"/>
              </w:rPr>
            </w:pPr>
            <w:r w:rsidRPr="0061305F">
              <w:rPr>
                <w:rFonts w:ascii="Arial" w:hAnsi="Arial" w:cs="Arial"/>
                <w:sz w:val="18"/>
                <w:szCs w:val="18"/>
              </w:rPr>
              <w:t xml:space="preserve">1800 mg/day </w:t>
            </w:r>
            <w:r w:rsidRPr="0061305F">
              <w:rPr>
                <w:rStyle w:val="MdEm"/>
                <w:rFonts w:ascii="Arial" w:hAnsi="Arial" w:cs="Arial"/>
                <w:sz w:val="18"/>
                <w:szCs w:val="18"/>
              </w:rPr>
              <w:t>Chlorella vulgaris</w:t>
            </w:r>
            <w:r w:rsidRPr="0061305F">
              <w:rPr>
                <w:rFonts w:ascii="Arial" w:hAnsi="Arial" w:cs="Arial"/>
                <w:sz w:val="18"/>
                <w:szCs w:val="18"/>
              </w:rPr>
              <w:t xml:space="preserve"> extract (add-on therapy) for 6 weeks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51F0163"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1852527" w14:textId="77777777" w:rsidR="001C0346" w:rsidRPr="0061305F" w:rsidRDefault="001C0346" w:rsidP="0079658C">
            <w:pPr>
              <w:pStyle w:val="MdTableCell"/>
              <w:rPr>
                <w:rFonts w:ascii="Arial" w:hAnsi="Arial" w:cs="Arial"/>
                <w:sz w:val="18"/>
                <w:szCs w:val="18"/>
              </w:rPr>
            </w:pPr>
            <w:r w:rsidRPr="005431D5">
              <w:rPr>
                <w:rStyle w:val="MdStrong"/>
                <w:rFonts w:ascii="Arial" w:hAnsi="Arial" w:cs="Arial"/>
                <w:b w:val="0"/>
                <w:sz w:val="18"/>
                <w:szCs w:val="18"/>
              </w:rPr>
              <w:t>Improved somatic and cognitive symptoms of depression</w:t>
            </w:r>
            <w:r w:rsidRPr="005431D5">
              <w:rPr>
                <w:rFonts w:ascii="Arial" w:hAnsi="Arial" w:cs="Arial"/>
                <w:b/>
                <w:sz w:val="18"/>
                <w:szCs w:val="18"/>
              </w:rPr>
              <w:t>;</w:t>
            </w:r>
            <w:r w:rsidRPr="0061305F">
              <w:rPr>
                <w:rFonts w:ascii="Arial" w:hAnsi="Arial" w:cs="Arial"/>
                <w:sz w:val="18"/>
                <w:szCs w:val="18"/>
              </w:rPr>
              <w:t xml:space="preserve"> reduced anxiety.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BEF427B" w14:textId="77777777" w:rsidR="001C0346" w:rsidRPr="0061305F" w:rsidRDefault="001C0346" w:rsidP="0079658C">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44D61F28" w14:textId="77777777" w:rsidR="001C0346" w:rsidRPr="0061305F" w:rsidRDefault="00D36841" w:rsidP="0079658C">
            <w:pPr>
              <w:pStyle w:val="MdTableCell"/>
              <w:rPr>
                <w:rFonts w:ascii="Arial" w:hAnsi="Arial" w:cs="Arial"/>
                <w:sz w:val="18"/>
                <w:szCs w:val="18"/>
              </w:rPr>
            </w:pPr>
            <w:r w:rsidRPr="0061305F">
              <w:rPr>
                <w:rFonts w:ascii="Arial" w:hAnsi="Arial" w:cs="Arial"/>
                <w:sz w:val="18"/>
                <w:szCs w:val="18"/>
              </w:rPr>
              <w:t>Panahi et al. (2015)</w:t>
            </w:r>
          </w:p>
        </w:tc>
      </w:tr>
    </w:tbl>
    <w:p w14:paraId="7F5279B0" w14:textId="77777777" w:rsidR="00AB4C8F" w:rsidRDefault="00F25E6C" w:rsidP="00A05E09">
      <w:pPr>
        <w:pStyle w:val="MdParagraph"/>
        <w:spacing w:line="360" w:lineRule="auto"/>
        <w:rPr>
          <w:rStyle w:val="MdStrong"/>
          <w:rFonts w:ascii="Arial" w:hAnsi="Arial" w:cs="Arial"/>
        </w:rPr>
      </w:pPr>
      <w:r w:rsidRPr="00120722">
        <w:rPr>
          <w:rStyle w:val="MdStrong"/>
          <w:rFonts w:ascii="Arial" w:hAnsi="Arial" w:cs="Arial"/>
        </w:rPr>
        <w:t xml:space="preserve">7. </w:t>
      </w:r>
      <w:r w:rsidR="004A1CBC" w:rsidRPr="00120722">
        <w:rPr>
          <w:rStyle w:val="MdStrong"/>
          <w:rFonts w:ascii="Arial" w:hAnsi="Arial" w:cs="Arial"/>
        </w:rPr>
        <w:t>DISCUSSION</w:t>
      </w:r>
    </w:p>
    <w:p w14:paraId="1A135884" w14:textId="77777777" w:rsidR="001E6002" w:rsidRPr="001E6002" w:rsidRDefault="001E6002" w:rsidP="001E6002">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The evidence </w:t>
      </w:r>
      <w:proofErr w:type="spellStart"/>
      <w:r w:rsidRPr="001E6002">
        <w:rPr>
          <w:rStyle w:val="MdStrong"/>
          <w:rFonts w:ascii="Arial" w:hAnsi="Arial" w:cs="Arial"/>
          <w:b w:val="0"/>
        </w:rPr>
        <w:t>analyzed</w:t>
      </w:r>
      <w:proofErr w:type="spellEnd"/>
      <w:r w:rsidRPr="001E6002">
        <w:rPr>
          <w:rStyle w:val="MdStrong"/>
          <w:rFonts w:ascii="Arial" w:hAnsi="Arial" w:cs="Arial"/>
          <w:b w:val="0"/>
        </w:rPr>
        <w:t xml:space="preserve"> in this study indicates that </w:t>
      </w:r>
      <w:r w:rsidRPr="003F6CCE">
        <w:rPr>
          <w:rStyle w:val="MdStrong"/>
          <w:rFonts w:ascii="Arial" w:hAnsi="Arial" w:cs="Arial"/>
          <w:b w:val="0"/>
          <w:i/>
        </w:rPr>
        <w:t>Spirulina</w:t>
      </w:r>
      <w:r w:rsidRPr="001E6002">
        <w:rPr>
          <w:rStyle w:val="MdStrong"/>
          <w:rFonts w:ascii="Arial" w:hAnsi="Arial" w:cs="Arial"/>
          <w:b w:val="0"/>
        </w:rPr>
        <w:t xml:space="preserve"> and </w:t>
      </w:r>
      <w:r w:rsidRPr="003F6CCE">
        <w:rPr>
          <w:rStyle w:val="MdStrong"/>
          <w:rFonts w:ascii="Arial" w:hAnsi="Arial" w:cs="Arial"/>
          <w:b w:val="0"/>
          <w:i/>
        </w:rPr>
        <w:t>Chlorella</w:t>
      </w:r>
      <w:r w:rsidRPr="001E6002">
        <w:rPr>
          <w:rStyle w:val="MdStrong"/>
          <w:rFonts w:ascii="Arial" w:hAnsi="Arial" w:cs="Arial"/>
          <w:b w:val="0"/>
        </w:rPr>
        <w:t xml:space="preserve"> have great potential as neuroprotective agents, mostly through their prebiotic function on the gut-brain axis. The synthesis of preclinical data suggests that the gut microflora can be beneficially modified by these microalgae, leading to a downstream cascade effect such as decrease in systemic and central inflammation and oxidative stress. These actions ultimately can provide and add to the maintenance of neuronal function and beneficial effects in pathological characteristics of neurodegenerative diseases such as AD, PD, and ALS.</w:t>
      </w:r>
    </w:p>
    <w:p w14:paraId="733771ED" w14:textId="77777777" w:rsidR="001E6002" w:rsidRPr="001E6002" w:rsidRDefault="001E6002" w:rsidP="00E93AB3">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A major finding is the important part played by short-chain fatty acids (SCFAs), in particular butyrate, in this network of neuroprotection. Increased SCFA production associated with </w:t>
      </w:r>
      <w:r w:rsidRPr="003F6CCE">
        <w:rPr>
          <w:rStyle w:val="MdStrong"/>
          <w:rFonts w:ascii="Arial" w:hAnsi="Arial" w:cs="Arial"/>
          <w:b w:val="0"/>
          <w:i/>
        </w:rPr>
        <w:t xml:space="preserve">Spirulina </w:t>
      </w:r>
      <w:r w:rsidRPr="001E6002">
        <w:rPr>
          <w:rStyle w:val="MdStrong"/>
          <w:rFonts w:ascii="Arial" w:hAnsi="Arial" w:cs="Arial"/>
          <w:b w:val="0"/>
        </w:rPr>
        <w:t xml:space="preserve">and </w:t>
      </w:r>
      <w:r w:rsidRPr="003F6CCE">
        <w:rPr>
          <w:rStyle w:val="MdStrong"/>
          <w:rFonts w:ascii="Arial" w:hAnsi="Arial" w:cs="Arial"/>
          <w:b w:val="0"/>
          <w:i/>
        </w:rPr>
        <w:t>Chlorella</w:t>
      </w:r>
      <w:r w:rsidRPr="001E6002">
        <w:rPr>
          <w:rStyle w:val="MdStrong"/>
          <w:rFonts w:ascii="Arial" w:hAnsi="Arial" w:cs="Arial"/>
          <w:b w:val="0"/>
        </w:rPr>
        <w:t xml:space="preserve"> consumption is a potentially key mechanistic step linking alterations of gut bacteria to brain health. The SCFAs act energetically in the gut lining itself to support barrier function but also are well known for their powerful anti-inflammatory and neuroprotective activity within the CNS. This highlights the potential of manipulating gut bacteria for increasing levels of these beneficial metabolites.</w:t>
      </w:r>
    </w:p>
    <w:p w14:paraId="311A9738" w14:textId="77777777" w:rsidR="001E6002" w:rsidRPr="001E6002" w:rsidRDefault="001E6002" w:rsidP="001E6002">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It is important to note the significant disparity between strong preclinical evidences and poor clinical data. Although animal studies have repeatedly achieved successful results, they have not been successfully translated to human patients. The study by Agahi et al., 2018), for example, provide warnings that therapeutic effectiveness of gut modulatory interventions can be affected by disease degree or </w:t>
      </w:r>
      <w:r w:rsidRPr="001E6002">
        <w:rPr>
          <w:rStyle w:val="MdStrong"/>
          <w:rFonts w:ascii="Arial" w:hAnsi="Arial" w:cs="Arial"/>
          <w:b w:val="0"/>
        </w:rPr>
        <w:lastRenderedPageBreak/>
        <w:t>specific strains of probiotics/prebiotics</w:t>
      </w:r>
      <w:r>
        <w:rPr>
          <w:rStyle w:val="MdStrong"/>
          <w:rFonts w:ascii="Arial" w:hAnsi="Arial" w:cs="Arial"/>
          <w:b w:val="0"/>
        </w:rPr>
        <w:t>.</w:t>
      </w:r>
      <w:r w:rsidRPr="001E6002">
        <w:rPr>
          <w:rStyle w:val="MdStrong"/>
          <w:rFonts w:ascii="Arial" w:hAnsi="Arial" w:cs="Arial"/>
          <w:b w:val="0"/>
        </w:rPr>
        <w:t xml:space="preserve"> The heterogeneity of study designs, intervention strategies and patient populations in clinical trials complicates the</w:t>
      </w:r>
      <w:r>
        <w:rPr>
          <w:rStyle w:val="MdStrong"/>
          <w:rFonts w:ascii="Arial" w:hAnsi="Arial" w:cs="Arial"/>
          <w:b w:val="0"/>
        </w:rPr>
        <w:t xml:space="preserve"> formation of clear conclusions </w:t>
      </w:r>
      <w:r w:rsidRPr="001E6002">
        <w:rPr>
          <w:rStyle w:val="MdStrong"/>
          <w:rFonts w:ascii="Arial" w:hAnsi="Arial" w:cs="Arial"/>
          <w:b w:val="0"/>
        </w:rPr>
        <w:t>(Torres</w:t>
      </w:r>
      <w:r w:rsidRPr="001E6002">
        <w:rPr>
          <w:rStyle w:val="MdStrong"/>
          <w:rFonts w:ascii="Cambria Math" w:hAnsi="Cambria Math" w:cs="Cambria Math"/>
          <w:b w:val="0"/>
        </w:rPr>
        <w:t>‐</w:t>
      </w:r>
      <w:r w:rsidRPr="001E6002">
        <w:rPr>
          <w:rStyle w:val="MdStrong"/>
          <w:rFonts w:ascii="Arial" w:hAnsi="Arial" w:cs="Arial"/>
          <w:b w:val="0"/>
        </w:rPr>
        <w:t>Fuentes et al., 20</w:t>
      </w:r>
      <w:r>
        <w:rPr>
          <w:rStyle w:val="MdStrong"/>
          <w:rFonts w:ascii="Arial" w:hAnsi="Arial" w:cs="Arial"/>
          <w:b w:val="0"/>
        </w:rPr>
        <w:t>25).</w:t>
      </w:r>
    </w:p>
    <w:p w14:paraId="64281E93" w14:textId="77777777" w:rsidR="001E6002" w:rsidRPr="001E6002" w:rsidRDefault="001E6002" w:rsidP="001E6002">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In addition to </w:t>
      </w:r>
      <w:r w:rsidRPr="00421FBC">
        <w:rPr>
          <w:rStyle w:val="MdStrong"/>
          <w:rFonts w:ascii="Arial" w:hAnsi="Arial" w:cs="Arial"/>
          <w:b w:val="0"/>
          <w:i/>
        </w:rPr>
        <w:t>Spirulina</w:t>
      </w:r>
      <w:r w:rsidRPr="001E6002">
        <w:rPr>
          <w:rStyle w:val="MdStrong"/>
          <w:rFonts w:ascii="Arial" w:hAnsi="Arial" w:cs="Arial"/>
          <w:b w:val="0"/>
        </w:rPr>
        <w:t xml:space="preserve"> and </w:t>
      </w:r>
      <w:r w:rsidRPr="00421FBC">
        <w:rPr>
          <w:rStyle w:val="MdStrong"/>
          <w:rFonts w:ascii="Arial" w:hAnsi="Arial" w:cs="Arial"/>
          <w:b w:val="0"/>
          <w:i/>
        </w:rPr>
        <w:t>Chlorella</w:t>
      </w:r>
      <w:r w:rsidRPr="001E6002">
        <w:rPr>
          <w:rStyle w:val="MdStrong"/>
          <w:rFonts w:ascii="Arial" w:hAnsi="Arial" w:cs="Arial"/>
          <w:b w:val="0"/>
        </w:rPr>
        <w:t>, it must be remembered that broader dietary intervention (other prebiotics, probiotics, polyphenols) is also promising in its influence on the gut-brain axis. The potential interactions of these various treatment options have not been fully investigated and may serve as a novel approach to improve neuroprotection. Given the intricate nature of the gut microbiome and dynamic interplay with host, a multi-pronged strategy may achieve better success rather than targeting at one intervention.</w:t>
      </w:r>
    </w:p>
    <w:p w14:paraId="7229E86F" w14:textId="77777777" w:rsidR="001E6002" w:rsidRPr="005961E1" w:rsidRDefault="001E6002" w:rsidP="005961E1">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The results of this review show certain theoretical and practical significance. From a theoretical point of view, the gut-brain axis as a key player in neurodegenerative diseases becomes even more obvious, and it is moving away from the classic focus on an essentially </w:t>
      </w:r>
      <w:proofErr w:type="spellStart"/>
      <w:r w:rsidRPr="001E6002">
        <w:rPr>
          <w:rStyle w:val="MdStrong"/>
          <w:rFonts w:ascii="Arial" w:hAnsi="Arial" w:cs="Arial"/>
          <w:b w:val="0"/>
        </w:rPr>
        <w:t>neurocentric</w:t>
      </w:r>
      <w:proofErr w:type="spellEnd"/>
      <w:r w:rsidRPr="001E6002">
        <w:rPr>
          <w:rStyle w:val="MdStrong"/>
          <w:rFonts w:ascii="Arial" w:hAnsi="Arial" w:cs="Arial"/>
          <w:b w:val="0"/>
        </w:rPr>
        <w:t xml:space="preserve"> perspective to a systemic one. From a practical perspective, they imply that dietary supplementation with prebiotics such as </w:t>
      </w:r>
      <w:r w:rsidRPr="00661306">
        <w:rPr>
          <w:rStyle w:val="MdStrong"/>
          <w:rFonts w:ascii="Arial" w:hAnsi="Arial" w:cs="Arial"/>
          <w:b w:val="0"/>
          <w:i/>
        </w:rPr>
        <w:t>Spirulina</w:t>
      </w:r>
      <w:r w:rsidRPr="001E6002">
        <w:rPr>
          <w:rStyle w:val="MdStrong"/>
          <w:rFonts w:ascii="Arial" w:hAnsi="Arial" w:cs="Arial"/>
          <w:b w:val="0"/>
        </w:rPr>
        <w:t xml:space="preserve"> and </w:t>
      </w:r>
      <w:r w:rsidRPr="00661306">
        <w:rPr>
          <w:rStyle w:val="MdStrong"/>
          <w:rFonts w:ascii="Arial" w:hAnsi="Arial" w:cs="Arial"/>
          <w:b w:val="0"/>
          <w:i/>
        </w:rPr>
        <w:t>Chlorella</w:t>
      </w:r>
      <w:r w:rsidRPr="001E6002">
        <w:rPr>
          <w:rStyle w:val="MdStrong"/>
          <w:rFonts w:ascii="Arial" w:hAnsi="Arial" w:cs="Arial"/>
          <w:b w:val="0"/>
        </w:rPr>
        <w:t xml:space="preserve"> may be used in a safe, economic, and available approach to complement the therapies against these catastrophic diseases.</w:t>
      </w:r>
    </w:p>
    <w:p w14:paraId="4CC6CDE7" w14:textId="77777777" w:rsidR="00AB4C8F" w:rsidRPr="00120722" w:rsidRDefault="00F76BB7" w:rsidP="00A05E09">
      <w:pPr>
        <w:pStyle w:val="MdParagraph"/>
        <w:spacing w:line="360" w:lineRule="auto"/>
        <w:rPr>
          <w:rFonts w:ascii="Arial" w:hAnsi="Arial" w:cs="Arial"/>
        </w:rPr>
      </w:pPr>
      <w:r w:rsidRPr="00120722">
        <w:rPr>
          <w:rStyle w:val="MdStrong"/>
          <w:rFonts w:ascii="Arial" w:hAnsi="Arial" w:cs="Arial"/>
        </w:rPr>
        <w:t xml:space="preserve">8. </w:t>
      </w:r>
      <w:r w:rsidR="004A1CBC" w:rsidRPr="00120722">
        <w:rPr>
          <w:rStyle w:val="MdStrong"/>
          <w:rFonts w:ascii="Arial" w:hAnsi="Arial" w:cs="Arial"/>
        </w:rPr>
        <w:t>CONCLUSION AND FUTURE PERSPECTIVES</w:t>
      </w:r>
    </w:p>
    <w:p w14:paraId="01D60032" w14:textId="77777777" w:rsidR="00AB4C8F" w:rsidRPr="001F41E0" w:rsidRDefault="00F25E6C" w:rsidP="0029509B">
      <w:pPr>
        <w:pStyle w:val="MdParagraph"/>
        <w:spacing w:line="360" w:lineRule="auto"/>
        <w:ind w:firstLine="720"/>
        <w:jc w:val="both"/>
        <w:rPr>
          <w:rFonts w:ascii="Arial" w:hAnsi="Arial" w:cs="Arial"/>
        </w:rPr>
      </w:pPr>
      <w:r w:rsidRPr="001F41E0">
        <w:rPr>
          <w:rFonts w:ascii="Arial" w:hAnsi="Arial" w:cs="Arial"/>
        </w:rPr>
        <w:t xml:space="preserve">In conclusion, the evidence presented in this review strongly supports the therapeutic potential of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prebiotics as a complementary strategy for the management of neurodegenerative diseases. By modulating the gut microbiota, reducing neuroinflammation, and combating oxidative stress, these microalgae address key pathological mechanisms that are common to AD, PD, and ALS. The preclinical data are particularly compelling, providing a solid foundation for the neuroprotective effects of these interventions. However, the translation of these findings into effective clinical applications remains a significant challenge.</w:t>
      </w:r>
    </w:p>
    <w:p w14:paraId="09D23983" w14:textId="77777777" w:rsidR="00AB4C8F" w:rsidRPr="001F41E0" w:rsidRDefault="00F25E6C" w:rsidP="0029509B">
      <w:pPr>
        <w:pStyle w:val="MdParagraph"/>
        <w:spacing w:line="360" w:lineRule="auto"/>
        <w:ind w:firstLine="720"/>
        <w:jc w:val="both"/>
        <w:rPr>
          <w:rFonts w:ascii="Arial" w:hAnsi="Arial" w:cs="Arial"/>
        </w:rPr>
      </w:pPr>
      <w:r w:rsidRPr="001F41E0">
        <w:rPr>
          <w:rFonts w:ascii="Arial" w:hAnsi="Arial" w:cs="Arial"/>
        </w:rPr>
        <w:t xml:space="preserve">Future research should focus on several key areas to advance our understanding and utilization of these prebiotics. First, there is a pressing need for large-scale, well-designed, and placebo-controlled clinical trials to confirm the efficacy of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in human patients with neurodegenerative diseases. These trials should aim to identify optimal dosing, treatment duration, and patient populations that are most likely to benefit. Second, further mechanistic </w:t>
      </w:r>
      <w:r w:rsidRPr="001F41E0">
        <w:rPr>
          <w:rFonts w:ascii="Arial" w:hAnsi="Arial" w:cs="Arial"/>
        </w:rPr>
        <w:lastRenderedPageBreak/>
        <w:t xml:space="preserve">studies are required to fully elucidate the complex interplay between these prebiotics, the gut microbiota, and the host's immune and nervous systems. This includes identifying the specific microbial species and metabolic pathways that are most critical for mediating the observed neuroprotective effects. Third, the potential synergistic effects of combining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with other gut-modulating interventions, such as probiotics and polyphenols, should be explored. A multi-targeted approach may prove to be more effective than a single intervention. Finally, the development of standardized and high-quality prebiotic formulations is essential to ensure consistency and comparability across studies.</w:t>
      </w:r>
    </w:p>
    <w:p w14:paraId="60F504AC" w14:textId="77777777" w:rsidR="001F41E0" w:rsidRPr="00E93AB3" w:rsidRDefault="00F25E6C" w:rsidP="001C0346">
      <w:pPr>
        <w:pStyle w:val="MdParagraph"/>
        <w:spacing w:line="360" w:lineRule="auto"/>
        <w:jc w:val="both"/>
      </w:pPr>
      <w:r w:rsidRPr="001F41E0">
        <w:rPr>
          <w:rFonts w:ascii="Arial" w:hAnsi="Arial" w:cs="Arial"/>
        </w:rPr>
        <w:t xml:space="preserve">By addressing these research priorities, we can unlock the full therapeutic potential of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prebiotics and pave the way for novel, gut-targeted therapies for neurodegenerative diseases. This could ultimately lead to improved outcomes and quality of life for the millions of individuals affected by these devastating disorders</w:t>
      </w:r>
      <w:r w:rsidRPr="00A05E09">
        <w:t>.</w:t>
      </w:r>
    </w:p>
    <w:p w14:paraId="32C12027" w14:textId="77777777" w:rsidR="00120722" w:rsidRPr="00120722" w:rsidRDefault="00120722" w:rsidP="001C0346">
      <w:pPr>
        <w:pStyle w:val="MdParagraph"/>
        <w:spacing w:line="360" w:lineRule="auto"/>
        <w:jc w:val="both"/>
        <w:rPr>
          <w:rFonts w:ascii="Arial" w:hAnsi="Arial" w:cs="Arial"/>
          <w:b/>
        </w:rPr>
      </w:pPr>
      <w:r w:rsidRPr="00120722">
        <w:rPr>
          <w:rFonts w:ascii="Arial" w:hAnsi="Arial" w:cs="Arial"/>
          <w:b/>
        </w:rPr>
        <w:t>DISCLAIMER (ARTIFICIAL INTELLIGENCE</w:t>
      </w:r>
    </w:p>
    <w:p w14:paraId="35FB5561" w14:textId="77777777" w:rsidR="00120722" w:rsidRDefault="002046CF" w:rsidP="001C0346">
      <w:pPr>
        <w:pStyle w:val="MdParagraph"/>
        <w:spacing w:line="360" w:lineRule="auto"/>
        <w:jc w:val="both"/>
      </w:pPr>
      <w:r w:rsidRPr="00CD3D09">
        <w:rPr>
          <w:rFonts w:ascii="Arial" w:hAnsi="Arial" w:cs="Arial"/>
        </w:rPr>
        <w:t>Author(s) hereby declare that No</w:t>
      </w:r>
      <w:r w:rsidR="00120722" w:rsidRPr="00CD3D09">
        <w:rPr>
          <w:rFonts w:ascii="Arial" w:hAnsi="Arial" w:cs="Arial"/>
        </w:rPr>
        <w:t xml:space="preserve"> generative AI technologies such as Large Language Models (ChatGPT, COPILOT, etc) and text-to-image generators have been used during writing or editing of this manuscript</w:t>
      </w:r>
      <w:r w:rsidR="00120722" w:rsidRPr="00120722">
        <w:t>.</w:t>
      </w:r>
    </w:p>
    <w:p w14:paraId="06074295" w14:textId="77777777" w:rsidR="00120722" w:rsidRPr="004A1CBC" w:rsidRDefault="004A1CBC" w:rsidP="001C0346">
      <w:pPr>
        <w:pStyle w:val="MdParagraph"/>
        <w:spacing w:line="360" w:lineRule="auto"/>
        <w:jc w:val="both"/>
        <w:rPr>
          <w:rFonts w:ascii="Arial" w:hAnsi="Arial" w:cs="Arial"/>
          <w:b/>
        </w:rPr>
      </w:pPr>
      <w:r w:rsidRPr="004A1CBC">
        <w:rPr>
          <w:rFonts w:ascii="Arial" w:hAnsi="Arial" w:cs="Arial"/>
          <w:b/>
        </w:rPr>
        <w:t>COMPETING INTERESTS</w:t>
      </w:r>
    </w:p>
    <w:p w14:paraId="5F920786" w14:textId="77777777" w:rsidR="004A1CBC" w:rsidRPr="00CD3D09" w:rsidRDefault="004A1CBC" w:rsidP="001C0346">
      <w:pPr>
        <w:pStyle w:val="MdParagraph"/>
        <w:spacing w:line="360" w:lineRule="auto"/>
        <w:jc w:val="both"/>
        <w:rPr>
          <w:rFonts w:ascii="Arial" w:hAnsi="Arial" w:cs="Arial"/>
        </w:rPr>
      </w:pPr>
      <w:r w:rsidRPr="00CD3D09">
        <w:rPr>
          <w:rFonts w:ascii="Arial" w:hAnsi="Arial" w:cs="Arial"/>
        </w:rPr>
        <w:t>Author has declared that no competing interests exist</w:t>
      </w:r>
    </w:p>
    <w:p w14:paraId="00377EC5" w14:textId="77777777" w:rsidR="00AB4C8F" w:rsidRPr="00120722" w:rsidRDefault="004A1CBC" w:rsidP="0029509B">
      <w:pPr>
        <w:pStyle w:val="MdParagraph"/>
        <w:spacing w:line="360" w:lineRule="auto"/>
        <w:rPr>
          <w:rStyle w:val="MdStrong"/>
          <w:rFonts w:ascii="Arial" w:hAnsi="Arial" w:cs="Arial"/>
        </w:rPr>
      </w:pPr>
      <w:r w:rsidRPr="00120722">
        <w:rPr>
          <w:rStyle w:val="MdStrong"/>
          <w:rFonts w:ascii="Arial" w:hAnsi="Arial" w:cs="Arial"/>
        </w:rPr>
        <w:t>REFERENCES</w:t>
      </w:r>
    </w:p>
    <w:p w14:paraId="6C06EBE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Abdullahi, D., Annuar, Aa. A., &amp; Sanusi, J. (2020). Improved spinal cord </w:t>
      </w:r>
      <w:proofErr w:type="spellStart"/>
      <w:r w:rsidRPr="00B36439">
        <w:rPr>
          <w:rFonts w:ascii="Arial" w:eastAsiaTheme="minorEastAsia" w:hAnsi="Arial" w:cs="Arial"/>
        </w:rPr>
        <w:t>gray</w:t>
      </w:r>
      <w:proofErr w:type="spellEnd"/>
      <w:r w:rsidRPr="00B36439">
        <w:rPr>
          <w:rFonts w:ascii="Arial" w:eastAsiaTheme="minorEastAsia" w:hAnsi="Arial" w:cs="Arial"/>
        </w:rPr>
        <w:t xml:space="preserve"> matter morphology induced by Spirulina platensis following spinal cord injury in rat models. Ultrastructural Pathology, 44(4–6), 359–371. https://doi.org/10.1080/01913123.2020.1792597</w:t>
      </w:r>
    </w:p>
    <w:p w14:paraId="60961BA5"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Adhikari, D., Biswas, J., De, B., &amp; Pathak, B. K. (2025). A review on the effective implications of plant-generated polyphenols as novel therapeutic agents against neurodegenerative diseases. Current Traditional Medicine, 11(5), 81–99. https://doi.org/10.2174/2215083810666230823094940</w:t>
      </w:r>
    </w:p>
    <w:p w14:paraId="79AF7FD9"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Ağagündüz</w:t>
      </w:r>
      <w:proofErr w:type="spellEnd"/>
      <w:r w:rsidRPr="00B36439">
        <w:rPr>
          <w:rFonts w:ascii="Arial" w:eastAsiaTheme="minorEastAsia" w:hAnsi="Arial" w:cs="Arial"/>
        </w:rPr>
        <w:t xml:space="preserve">, D., </w:t>
      </w:r>
      <w:proofErr w:type="spellStart"/>
      <w:r w:rsidRPr="00B36439">
        <w:rPr>
          <w:rFonts w:ascii="Arial" w:eastAsiaTheme="minorEastAsia" w:hAnsi="Arial" w:cs="Arial"/>
        </w:rPr>
        <w:t>Kocaadam</w:t>
      </w:r>
      <w:proofErr w:type="spellEnd"/>
      <w:r w:rsidRPr="00B36439">
        <w:rPr>
          <w:rFonts w:ascii="Arial" w:eastAsiaTheme="minorEastAsia" w:hAnsi="Arial" w:cs="Arial"/>
        </w:rPr>
        <w:t xml:space="preserve">-Bozkurt, B., Bozkurt, O., Sharma, H., Esposito, R., </w:t>
      </w:r>
      <w:proofErr w:type="spellStart"/>
      <w:r w:rsidRPr="00B36439">
        <w:rPr>
          <w:rFonts w:ascii="Arial" w:eastAsiaTheme="minorEastAsia" w:hAnsi="Arial" w:cs="Arial"/>
        </w:rPr>
        <w:t>Özoğul</w:t>
      </w:r>
      <w:proofErr w:type="spellEnd"/>
      <w:r w:rsidRPr="00B36439">
        <w:rPr>
          <w:rFonts w:ascii="Arial" w:eastAsiaTheme="minorEastAsia" w:hAnsi="Arial" w:cs="Arial"/>
        </w:rPr>
        <w:t xml:space="preserve">, F., &amp; Capasso, R. (2022). Microbiota alteration and modulation in Alzheimer's disease by </w:t>
      </w:r>
      <w:proofErr w:type="spellStart"/>
      <w:r w:rsidRPr="00B36439">
        <w:rPr>
          <w:rFonts w:ascii="Arial" w:eastAsiaTheme="minorEastAsia" w:hAnsi="Arial" w:cs="Arial"/>
        </w:rPr>
        <w:t>gerobiotics</w:t>
      </w:r>
      <w:proofErr w:type="spellEnd"/>
      <w:r w:rsidRPr="00B36439">
        <w:rPr>
          <w:rFonts w:ascii="Arial" w:eastAsiaTheme="minorEastAsia" w:hAnsi="Arial" w:cs="Arial"/>
        </w:rPr>
        <w:t xml:space="preserve">: The gut-health axis for a good mind. </w:t>
      </w:r>
      <w:r w:rsidRPr="00B36439">
        <w:rPr>
          <w:rFonts w:ascii="Arial" w:eastAsiaTheme="minorEastAsia" w:hAnsi="Arial" w:cs="Arial"/>
        </w:rPr>
        <w:lastRenderedPageBreak/>
        <w:t>Biomedicine &amp; Pharmacotherapy, 153, 113430. https://doi.org/10.1016/j.biopha.2022.113430</w:t>
      </w:r>
    </w:p>
    <w:p w14:paraId="5CC8B22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Agahi, A., Hamidi, G. A., Daneshvar, R., Hamdieh, M., Soheili, M., </w:t>
      </w:r>
      <w:proofErr w:type="spellStart"/>
      <w:r w:rsidRPr="00B36439">
        <w:rPr>
          <w:rFonts w:ascii="Arial" w:eastAsiaTheme="minorEastAsia" w:hAnsi="Arial" w:cs="Arial"/>
        </w:rPr>
        <w:t>Alinaghipour</w:t>
      </w:r>
      <w:proofErr w:type="spellEnd"/>
      <w:r w:rsidRPr="00B36439">
        <w:rPr>
          <w:rFonts w:ascii="Arial" w:eastAsiaTheme="minorEastAsia" w:hAnsi="Arial" w:cs="Arial"/>
        </w:rPr>
        <w:t xml:space="preserve">, A., Esmaeili Taba, S. M., &amp; Salami, M. (2018). Does severity of Alzheimer's disease contribute to its responsiveness to modifying gut microbiota? A </w:t>
      </w:r>
      <w:proofErr w:type="gramStart"/>
      <w:r w:rsidRPr="00B36439">
        <w:rPr>
          <w:rFonts w:ascii="Arial" w:eastAsiaTheme="minorEastAsia" w:hAnsi="Arial" w:cs="Arial"/>
        </w:rPr>
        <w:t>double blind</w:t>
      </w:r>
      <w:proofErr w:type="gramEnd"/>
      <w:r w:rsidRPr="00B36439">
        <w:rPr>
          <w:rFonts w:ascii="Arial" w:eastAsiaTheme="minorEastAsia" w:hAnsi="Arial" w:cs="Arial"/>
        </w:rPr>
        <w:t xml:space="preserve"> clinical trial. Frontiers in Neurology, 9, 662. https://doi.org/10.3389/fneur.2018.00662</w:t>
      </w:r>
    </w:p>
    <w:p w14:paraId="1A6741A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Almeida, T. T., </w:t>
      </w:r>
      <w:proofErr w:type="spellStart"/>
      <w:r w:rsidRPr="00B36439">
        <w:rPr>
          <w:rFonts w:ascii="Arial" w:eastAsiaTheme="minorEastAsia" w:hAnsi="Arial" w:cs="Arial"/>
        </w:rPr>
        <w:t>Manfroi</w:t>
      </w:r>
      <w:proofErr w:type="spellEnd"/>
      <w:r w:rsidRPr="00B36439">
        <w:rPr>
          <w:rFonts w:ascii="Arial" w:eastAsiaTheme="minorEastAsia" w:hAnsi="Arial" w:cs="Arial"/>
        </w:rPr>
        <w:t xml:space="preserve">, G. G., Silva, S. J., </w:t>
      </w:r>
      <w:proofErr w:type="spellStart"/>
      <w:r w:rsidRPr="00B36439">
        <w:rPr>
          <w:rFonts w:ascii="Arial" w:eastAsiaTheme="minorEastAsia" w:hAnsi="Arial" w:cs="Arial"/>
        </w:rPr>
        <w:t>Beggiora</w:t>
      </w:r>
      <w:proofErr w:type="spellEnd"/>
      <w:r w:rsidRPr="00B36439">
        <w:rPr>
          <w:rFonts w:ascii="Arial" w:eastAsiaTheme="minorEastAsia" w:hAnsi="Arial" w:cs="Arial"/>
        </w:rPr>
        <w:t xml:space="preserve">, P., Schwingel, D., &amp; </w:t>
      </w:r>
      <w:proofErr w:type="spellStart"/>
      <w:r w:rsidRPr="00B36439">
        <w:rPr>
          <w:rFonts w:ascii="Arial" w:eastAsiaTheme="minorEastAsia" w:hAnsi="Arial" w:cs="Arial"/>
        </w:rPr>
        <w:t>Bertolin</w:t>
      </w:r>
      <w:proofErr w:type="spellEnd"/>
      <w:r w:rsidRPr="00B36439">
        <w:rPr>
          <w:rFonts w:ascii="Arial" w:eastAsiaTheme="minorEastAsia" w:hAnsi="Arial" w:cs="Arial"/>
        </w:rPr>
        <w:t xml:space="preserve">, T. E. (2023). Exploring the neuroprotective effects of Spirulina platensis: Insights into </w:t>
      </w:r>
      <w:proofErr w:type="spellStart"/>
      <w:r w:rsidRPr="00B36439">
        <w:rPr>
          <w:rFonts w:ascii="Arial" w:eastAsiaTheme="minorEastAsia" w:hAnsi="Arial" w:cs="Arial"/>
        </w:rPr>
        <w:t>hemorrhagic</w:t>
      </w:r>
      <w:proofErr w:type="spellEnd"/>
      <w:r w:rsidRPr="00B36439">
        <w:rPr>
          <w:rFonts w:ascii="Arial" w:eastAsiaTheme="minorEastAsia" w:hAnsi="Arial" w:cs="Arial"/>
        </w:rPr>
        <w:t xml:space="preserve"> volume and histological outcomes. Cureus, 15(7), e42078. https://doi.org/10.7759/cureus.42078</w:t>
      </w:r>
    </w:p>
    <w:p w14:paraId="064DB7E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Bonfili, L., </w:t>
      </w:r>
      <w:proofErr w:type="spellStart"/>
      <w:r w:rsidRPr="00B36439">
        <w:rPr>
          <w:rFonts w:ascii="Arial" w:eastAsiaTheme="minorEastAsia" w:hAnsi="Arial" w:cs="Arial"/>
        </w:rPr>
        <w:t>Cecarini</w:t>
      </w:r>
      <w:proofErr w:type="spellEnd"/>
      <w:r w:rsidRPr="00B36439">
        <w:rPr>
          <w:rFonts w:ascii="Arial" w:eastAsiaTheme="minorEastAsia" w:hAnsi="Arial" w:cs="Arial"/>
        </w:rPr>
        <w:t xml:space="preserve">, V., Cuccioloni, M., Angeletti, M., Berardi, S., </w:t>
      </w:r>
      <w:proofErr w:type="spellStart"/>
      <w:r w:rsidRPr="00B36439">
        <w:rPr>
          <w:rFonts w:ascii="Arial" w:eastAsiaTheme="minorEastAsia" w:hAnsi="Arial" w:cs="Arial"/>
        </w:rPr>
        <w:t>Scarpona</w:t>
      </w:r>
      <w:proofErr w:type="spellEnd"/>
      <w:r w:rsidRPr="00B36439">
        <w:rPr>
          <w:rFonts w:ascii="Arial" w:eastAsiaTheme="minorEastAsia" w:hAnsi="Arial" w:cs="Arial"/>
        </w:rPr>
        <w:t>, S., Rossi, G., &amp; Eleuteri, A. M. (2018). SLAB51 probiotic formulation activates SIRT1 pathway promoting antioxidant and neuroprotective effects in an AD mouse model. Molecular Neurobiology, 55(10), 7987–8000. https://doi.org/10.1007/s12035-018-0973-4</w:t>
      </w:r>
    </w:p>
    <w:p w14:paraId="6E95AAE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Casani-Cubel, J., </w:t>
      </w:r>
      <w:proofErr w:type="spellStart"/>
      <w:r w:rsidRPr="00B36439">
        <w:rPr>
          <w:rFonts w:ascii="Arial" w:eastAsiaTheme="minorEastAsia" w:hAnsi="Arial" w:cs="Arial"/>
        </w:rPr>
        <w:t>Benlloch</w:t>
      </w:r>
      <w:proofErr w:type="spellEnd"/>
      <w:r w:rsidRPr="00B36439">
        <w:rPr>
          <w:rFonts w:ascii="Arial" w:eastAsiaTheme="minorEastAsia" w:hAnsi="Arial" w:cs="Arial"/>
        </w:rPr>
        <w:t xml:space="preserve">, M., Sanchis-Sanchis, C. E., Marin, R., Lajara-Romance, J. M., &amp; </w:t>
      </w:r>
      <w:proofErr w:type="spellStart"/>
      <w:r w:rsidRPr="00B36439">
        <w:rPr>
          <w:rFonts w:ascii="Arial" w:eastAsiaTheme="minorEastAsia" w:hAnsi="Arial" w:cs="Arial"/>
        </w:rPr>
        <w:t>Ortí</w:t>
      </w:r>
      <w:proofErr w:type="spellEnd"/>
      <w:r w:rsidRPr="00B36439">
        <w:rPr>
          <w:rFonts w:ascii="Arial" w:eastAsiaTheme="minorEastAsia" w:hAnsi="Arial" w:cs="Arial"/>
        </w:rPr>
        <w:t>, J. E. D. L. R. (2021). The impact of microbiota on the pathogenesis of amyotrophic lateral sclerosis and the possible benefits of polyphenols: An overview. Metabolites, 11(2), 120. https://doi.org/10.3390/metabo11020120</w:t>
      </w:r>
    </w:p>
    <w:p w14:paraId="7ECB504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Choi, W. Y., Lee, W. K., Kim, T. H., Ryu, Y. K., Park, A., Lee, Y. J., Heo, S. J., Oh, C., Chung, Y. H., &amp; Kang, D. H. (2022). The effects of Spirulina maxima extract on memory improvement in those with mild cognitive impairment: A randomized, double-blind, placebo-controlled clinical trial. Nutrients, 14(18), 3714. https://doi.org/10.3390/nu14183714</w:t>
      </w:r>
    </w:p>
    <w:p w14:paraId="58D31871"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Chou, M.-Y., Ho, J.-H., Huang, M.-P., Chen, Y.-J., Yang, M.-D., Lin, L.-H., Chi, C.-H., Yeh, C.-C., Tsao, T.-P., Tzeng, J.-S., Hsu, R.-J., Huang, P.-H., Lu, W.-J., Li, P.-H., &amp; Wang, M.-F. (2022). Potential antidepressant effects of a dietary supplement from the Chlorella and lion's mane mushroom complex in aged SAMP8 mice. Frontiers in Nutrition, 9, 977287. https://doi.org/10.3389/fnut.2022.977287</w:t>
      </w:r>
    </w:p>
    <w:p w14:paraId="355D9BDD"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Čmiková</w:t>
      </w:r>
      <w:proofErr w:type="spellEnd"/>
      <w:r w:rsidRPr="00B36439">
        <w:rPr>
          <w:rFonts w:ascii="Arial" w:eastAsiaTheme="minorEastAsia" w:hAnsi="Arial" w:cs="Arial"/>
        </w:rPr>
        <w:t xml:space="preserve">, N., Kowalczewski, P. Ł., Kmiecik, D., Klimowicz, P., </w:t>
      </w:r>
      <w:proofErr w:type="spellStart"/>
      <w:r w:rsidRPr="00B36439">
        <w:rPr>
          <w:rFonts w:ascii="Arial" w:eastAsiaTheme="minorEastAsia" w:hAnsi="Arial" w:cs="Arial"/>
        </w:rPr>
        <w:t>Drożdżyńska</w:t>
      </w:r>
      <w:proofErr w:type="spellEnd"/>
      <w:r w:rsidRPr="00B36439">
        <w:rPr>
          <w:rFonts w:ascii="Arial" w:eastAsiaTheme="minorEastAsia" w:hAnsi="Arial" w:cs="Arial"/>
        </w:rPr>
        <w:t xml:space="preserve">, A., </w:t>
      </w:r>
      <w:proofErr w:type="spellStart"/>
      <w:r w:rsidRPr="00B36439">
        <w:rPr>
          <w:rFonts w:ascii="Arial" w:eastAsiaTheme="minorEastAsia" w:hAnsi="Arial" w:cs="Arial"/>
        </w:rPr>
        <w:t>Ślachciński</w:t>
      </w:r>
      <w:proofErr w:type="spellEnd"/>
      <w:r w:rsidRPr="00B36439">
        <w:rPr>
          <w:rFonts w:ascii="Arial" w:eastAsiaTheme="minorEastAsia" w:hAnsi="Arial" w:cs="Arial"/>
        </w:rPr>
        <w:t xml:space="preserve">, M., Królak, J., Matić, S., Marković, T., Popović, S., </w:t>
      </w:r>
      <w:proofErr w:type="spellStart"/>
      <w:r w:rsidRPr="00B36439">
        <w:rPr>
          <w:rFonts w:ascii="Arial" w:eastAsiaTheme="minorEastAsia" w:hAnsi="Arial" w:cs="Arial"/>
        </w:rPr>
        <w:t>Baskić</w:t>
      </w:r>
      <w:proofErr w:type="spellEnd"/>
      <w:r w:rsidRPr="00B36439">
        <w:rPr>
          <w:rFonts w:ascii="Arial" w:eastAsiaTheme="minorEastAsia" w:hAnsi="Arial" w:cs="Arial"/>
        </w:rPr>
        <w:t xml:space="preserve">, D., &amp; </w:t>
      </w:r>
      <w:proofErr w:type="spellStart"/>
      <w:r w:rsidRPr="00B36439">
        <w:rPr>
          <w:rFonts w:ascii="Arial" w:eastAsiaTheme="minorEastAsia" w:hAnsi="Arial" w:cs="Arial"/>
        </w:rPr>
        <w:t>Kačániová</w:t>
      </w:r>
      <w:proofErr w:type="spellEnd"/>
      <w:r w:rsidRPr="00B36439">
        <w:rPr>
          <w:rFonts w:ascii="Arial" w:eastAsiaTheme="minorEastAsia" w:hAnsi="Arial" w:cs="Arial"/>
        </w:rPr>
        <w:t xml:space="preserve">, M. (2025). Comparative analysis of nutritional composition and bioactive properties of Chlorella vulgaris and </w:t>
      </w:r>
      <w:proofErr w:type="spellStart"/>
      <w:r w:rsidRPr="00B36439">
        <w:rPr>
          <w:rFonts w:ascii="Arial" w:eastAsiaTheme="minorEastAsia" w:hAnsi="Arial" w:cs="Arial"/>
        </w:rPr>
        <w:t>Arthrospira</w:t>
      </w:r>
      <w:proofErr w:type="spellEnd"/>
      <w:r w:rsidRPr="00B36439">
        <w:rPr>
          <w:rFonts w:ascii="Arial" w:eastAsiaTheme="minorEastAsia" w:hAnsi="Arial" w:cs="Arial"/>
        </w:rPr>
        <w:t xml:space="preserve"> platensis: Implications for functional foods and dietary supplements. Open Chemistry, 23(1), 20250150. https://doi.org/10.1515/chem-2025-0150</w:t>
      </w:r>
    </w:p>
    <w:p w14:paraId="63314DF1"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lastRenderedPageBreak/>
        <w:t>Cuciniello</w:t>
      </w:r>
      <w:proofErr w:type="spellEnd"/>
      <w:r w:rsidRPr="00B36439">
        <w:rPr>
          <w:rFonts w:ascii="Arial" w:eastAsiaTheme="minorEastAsia" w:hAnsi="Arial" w:cs="Arial"/>
        </w:rPr>
        <w:t>, R., Meo, F. D., &amp; Crispi, S. (2024). Polyphenol-gut microbiota interplay in neuroprotection. In Polyphenols and Health. Academic Press. https://doi.org/10.1016/b978-0-443-23763-8.00004-x</w:t>
      </w:r>
    </w:p>
    <w:p w14:paraId="7587FC8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Cuervo-Zanatta, D., Perez-Grijalva, B., González-Magaña, E., Hernandez-Acosta, J., Murugesan, S., García-Mena, J., &amp; Perez-Cruz, C. (2021). Modulation of the microbiota-gut-brain axis by bioactive food, prebiotics, and probiotics decelerates the course of Alzheimer's disease. In Studies in Natural Products Chemistry (Vol. 70, pp. 51–86). Elsevier. https://doi.org/10.1016/B978-0-12-819489-8.00019-3</w:t>
      </w:r>
    </w:p>
    <w:p w14:paraId="7CEFA90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Cuffaro, F., </w:t>
      </w:r>
      <w:proofErr w:type="spellStart"/>
      <w:r w:rsidRPr="00B36439">
        <w:rPr>
          <w:rFonts w:ascii="Arial" w:eastAsiaTheme="minorEastAsia" w:hAnsi="Arial" w:cs="Arial"/>
        </w:rPr>
        <w:t>Lamminpää</w:t>
      </w:r>
      <w:proofErr w:type="spellEnd"/>
      <w:r w:rsidRPr="00B36439">
        <w:rPr>
          <w:rFonts w:ascii="Arial" w:eastAsiaTheme="minorEastAsia" w:hAnsi="Arial" w:cs="Arial"/>
        </w:rPr>
        <w:t xml:space="preserve">, I., Niccolai, E., &amp; </w:t>
      </w:r>
      <w:proofErr w:type="spellStart"/>
      <w:r w:rsidRPr="00B36439">
        <w:rPr>
          <w:rFonts w:ascii="Arial" w:eastAsiaTheme="minorEastAsia" w:hAnsi="Arial" w:cs="Arial"/>
        </w:rPr>
        <w:t>Amedei</w:t>
      </w:r>
      <w:proofErr w:type="spellEnd"/>
      <w:r w:rsidRPr="00B36439">
        <w:rPr>
          <w:rFonts w:ascii="Arial" w:eastAsiaTheme="minorEastAsia" w:hAnsi="Arial" w:cs="Arial"/>
        </w:rPr>
        <w:t>, A. (2025). Nutritional and microbiota-based approaches in amyotrophic lateral sclerosis: From prevention to treatment. Nutrients, 17(1), 102. https://doi.org/10.3390/nu17010102</w:t>
      </w:r>
    </w:p>
    <w:p w14:paraId="113521A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Decandia, D., Gelfo, F., Landolfo, E., Balsamo, F., Petrosini, L., &amp; Cutuli, D. (2023). Dietary protection against cognitive impairment, neuroinflammation and oxidative stress in Alzheimer's disease animal models of lipopolysaccharide-induced inflammation. International Journal of Molecular Sciences, 24(6), 5921. https://doi.org/10.3390/ijms24065921</w:t>
      </w:r>
    </w:p>
    <w:p w14:paraId="3E59CE7A"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Díaz, J., Pena, E., Alam, S. B., Matte, C., Cortés, I., Figueroa, L., </w:t>
      </w:r>
      <w:proofErr w:type="spellStart"/>
      <w:r w:rsidRPr="00B36439">
        <w:rPr>
          <w:rFonts w:ascii="Arial" w:eastAsiaTheme="minorEastAsia" w:hAnsi="Arial" w:cs="Arial"/>
        </w:rPr>
        <w:t>Siques</w:t>
      </w:r>
      <w:proofErr w:type="spellEnd"/>
      <w:r w:rsidRPr="00B36439">
        <w:rPr>
          <w:rFonts w:ascii="Arial" w:eastAsiaTheme="minorEastAsia" w:hAnsi="Arial" w:cs="Arial"/>
        </w:rPr>
        <w:t>, P., &amp; Brito, J. (2025). Chlorella vulgaris supplementation attenuates lead accumulation, oxidative stress, and memory impairment in rats. Toxics, 13(4), 313. https://doi.org/10.3390/toxics13040313</w:t>
      </w:r>
    </w:p>
    <w:p w14:paraId="1652F5F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Domínguez</w:t>
      </w:r>
      <w:r w:rsidRPr="00B36439">
        <w:rPr>
          <w:rFonts w:ascii="Cambria Math" w:eastAsiaTheme="minorEastAsia" w:hAnsi="Cambria Math" w:cs="Cambria Math"/>
        </w:rPr>
        <w:t>‐</w:t>
      </w:r>
      <w:r w:rsidRPr="00B36439">
        <w:rPr>
          <w:rFonts w:ascii="Arial" w:eastAsiaTheme="minorEastAsia" w:hAnsi="Arial" w:cs="Arial"/>
        </w:rPr>
        <w:t>López, I., López</w:t>
      </w:r>
      <w:r w:rsidRPr="00B36439">
        <w:rPr>
          <w:rFonts w:ascii="Cambria Math" w:eastAsiaTheme="minorEastAsia" w:hAnsi="Cambria Math" w:cs="Cambria Math"/>
        </w:rPr>
        <w:t>‐</w:t>
      </w:r>
      <w:r w:rsidRPr="00B36439">
        <w:rPr>
          <w:rFonts w:ascii="Arial" w:eastAsiaTheme="minorEastAsia" w:hAnsi="Arial" w:cs="Arial"/>
        </w:rPr>
        <w:t>Yerena, A., Vallverdú</w:t>
      </w:r>
      <w:r w:rsidRPr="00B36439">
        <w:rPr>
          <w:rFonts w:ascii="Cambria Math" w:eastAsiaTheme="minorEastAsia" w:hAnsi="Cambria Math" w:cs="Cambria Math"/>
        </w:rPr>
        <w:t>‐</w:t>
      </w:r>
      <w:r w:rsidRPr="00B36439">
        <w:rPr>
          <w:rFonts w:ascii="Arial" w:eastAsiaTheme="minorEastAsia" w:hAnsi="Arial" w:cs="Arial"/>
        </w:rPr>
        <w:t xml:space="preserve">Queralt, A., </w:t>
      </w:r>
      <w:proofErr w:type="spellStart"/>
      <w:r w:rsidRPr="00B36439">
        <w:rPr>
          <w:rFonts w:ascii="Arial" w:eastAsiaTheme="minorEastAsia" w:hAnsi="Arial" w:cs="Arial"/>
        </w:rPr>
        <w:t>Pallàs</w:t>
      </w:r>
      <w:proofErr w:type="spellEnd"/>
      <w:r w:rsidRPr="00B36439">
        <w:rPr>
          <w:rFonts w:ascii="Arial" w:eastAsiaTheme="minorEastAsia" w:hAnsi="Arial" w:cs="Arial"/>
        </w:rPr>
        <w:t xml:space="preserve">, M., </w:t>
      </w:r>
      <w:proofErr w:type="spellStart"/>
      <w:r w:rsidRPr="00B36439">
        <w:rPr>
          <w:rFonts w:ascii="Arial" w:eastAsiaTheme="minorEastAsia" w:hAnsi="Arial" w:cs="Arial"/>
        </w:rPr>
        <w:t>Lamuela</w:t>
      </w:r>
      <w:r w:rsidRPr="00B36439">
        <w:rPr>
          <w:rFonts w:ascii="Cambria Math" w:eastAsiaTheme="minorEastAsia" w:hAnsi="Cambria Math" w:cs="Cambria Math"/>
        </w:rPr>
        <w:t>‐</w:t>
      </w:r>
      <w:r w:rsidRPr="00B36439">
        <w:rPr>
          <w:rFonts w:ascii="Arial" w:eastAsiaTheme="minorEastAsia" w:hAnsi="Arial" w:cs="Arial"/>
        </w:rPr>
        <w:t>Raventós</w:t>
      </w:r>
      <w:proofErr w:type="spellEnd"/>
      <w:r w:rsidRPr="00B36439">
        <w:rPr>
          <w:rFonts w:ascii="Arial" w:eastAsiaTheme="minorEastAsia" w:hAnsi="Arial" w:cs="Arial"/>
        </w:rPr>
        <w:t>, R. M., &amp; Pérez, M. (2024). From the gut to the brain: The long journey of phenolic compounds with neurocognitive effects. Nutrition Reviews, 82(6), 754-768. https://doi.org/10.1093/nutrit/nuae034</w:t>
      </w:r>
    </w:p>
    <w:p w14:paraId="07B3B252"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Dong, Y., Qi, Y., Chen, J., Han, S., Su, W., Ma, X., Yu, Y., &amp; Wang, Y. (2024). Neuroprotective effects of Bifidobacterium </w:t>
      </w:r>
      <w:proofErr w:type="spellStart"/>
      <w:r w:rsidRPr="00B36439">
        <w:rPr>
          <w:rFonts w:ascii="Arial" w:eastAsiaTheme="minorEastAsia" w:hAnsi="Arial" w:cs="Arial"/>
        </w:rPr>
        <w:t>animalis</w:t>
      </w:r>
      <w:proofErr w:type="spellEnd"/>
      <w:r w:rsidRPr="00B36439">
        <w:rPr>
          <w:rFonts w:ascii="Arial" w:eastAsiaTheme="minorEastAsia" w:hAnsi="Arial" w:cs="Arial"/>
        </w:rPr>
        <w:t xml:space="preserve"> subsp. lactis NJ241 in a mouse model of Parkinson's disease: Implications for gut microbiota and PGC-1α. Molecular Neurobiology, 61(10), 7534–7548. https://doi.org/10.1007/s12035-024-04038-2</w:t>
      </w:r>
    </w:p>
    <w:p w14:paraId="13CCAB3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Haider, S., Shahzad, S., Batool, Z., Sadir, S., Liaquat, L., Tabassum, S., &amp; Perveen, T. (2021). Spirulina platensis reduces the schizophrenic-like symptoms in rat model by restoring altered APO-E and RTN-4 protein expression in prefrontal cortex. Life Sciences, 274, 119330. https://doi.org/10.1016/j.lfs.2021.119417</w:t>
      </w:r>
    </w:p>
    <w:p w14:paraId="2DD2068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Hegazi, N. M., Khattab, A. R., Saad, H. H., Abib, B., &amp; Farag, M. A. (2024). A multiplex metabolomic approach for quality control of Spirulina supplement and its allied microalgae (Amphora &amp; Chlorella) assisted by chemometrics </w:t>
      </w:r>
      <w:r w:rsidRPr="00B36439">
        <w:rPr>
          <w:rFonts w:ascii="Arial" w:eastAsiaTheme="minorEastAsia" w:hAnsi="Arial" w:cs="Arial"/>
        </w:rPr>
        <w:lastRenderedPageBreak/>
        <w:t>and molecular networking. Scientific Reports, 14, 3662. https://doi.org/10.1038/s41598-024-53219-5</w:t>
      </w:r>
    </w:p>
    <w:p w14:paraId="6D51017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Hunt, T., Pontifex, M. G., &amp; </w:t>
      </w:r>
      <w:proofErr w:type="spellStart"/>
      <w:r w:rsidRPr="00B36439">
        <w:rPr>
          <w:rFonts w:ascii="Arial" w:eastAsiaTheme="minorEastAsia" w:hAnsi="Arial" w:cs="Arial"/>
        </w:rPr>
        <w:t>Vauzour</w:t>
      </w:r>
      <w:proofErr w:type="spellEnd"/>
      <w:r w:rsidRPr="00B36439">
        <w:rPr>
          <w:rFonts w:ascii="Arial" w:eastAsiaTheme="minorEastAsia" w:hAnsi="Arial" w:cs="Arial"/>
        </w:rPr>
        <w:t>, D. (2024). (Poly)phenols and brain health - beyond their antioxidant capacity. FEBS Letters, 598(24), 2949–2962. https://doi.org/10.1002/1873-3468.14988</w:t>
      </w:r>
    </w:p>
    <w:p w14:paraId="57B23AA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Hynstova, V., Štěrbová, D., </w:t>
      </w:r>
      <w:proofErr w:type="spellStart"/>
      <w:r w:rsidRPr="00B36439">
        <w:rPr>
          <w:rFonts w:ascii="Arial" w:eastAsiaTheme="minorEastAsia" w:hAnsi="Arial" w:cs="Arial"/>
        </w:rPr>
        <w:t>Klejdus</w:t>
      </w:r>
      <w:proofErr w:type="spellEnd"/>
      <w:r w:rsidRPr="00B36439">
        <w:rPr>
          <w:rFonts w:ascii="Arial" w:eastAsiaTheme="minorEastAsia" w:hAnsi="Arial" w:cs="Arial"/>
        </w:rPr>
        <w:t xml:space="preserve">, B., Hedbávný, J., </w:t>
      </w:r>
      <w:proofErr w:type="spellStart"/>
      <w:r w:rsidRPr="00B36439">
        <w:rPr>
          <w:rFonts w:ascii="Arial" w:eastAsiaTheme="minorEastAsia" w:hAnsi="Arial" w:cs="Arial"/>
        </w:rPr>
        <w:t>Húska</w:t>
      </w:r>
      <w:proofErr w:type="spellEnd"/>
      <w:r w:rsidRPr="00B36439">
        <w:rPr>
          <w:rFonts w:ascii="Arial" w:eastAsiaTheme="minorEastAsia" w:hAnsi="Arial" w:cs="Arial"/>
        </w:rPr>
        <w:t>, D., &amp; Adam, V. (2018). Separation, identification and quantification of carotenoids and chlorophylls in dietary supplements containing Chlorella vulgaris and Spirulina platensis using high performance thin layer chromatography. Journal of Pharmaceutical and Biomedical Analysis, 148, 108–118. https://doi.org/10.1016/j.jpba.2017.09.018</w:t>
      </w:r>
    </w:p>
    <w:p w14:paraId="6B81CFD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Inan, B., Mutlu, B., </w:t>
      </w:r>
      <w:proofErr w:type="spellStart"/>
      <w:r w:rsidRPr="00B36439">
        <w:rPr>
          <w:rFonts w:ascii="Arial" w:eastAsiaTheme="minorEastAsia" w:hAnsi="Arial" w:cs="Arial"/>
        </w:rPr>
        <w:t>Çakır</w:t>
      </w:r>
      <w:proofErr w:type="spellEnd"/>
      <w:r w:rsidRPr="00B36439">
        <w:rPr>
          <w:rFonts w:ascii="Arial" w:eastAsiaTheme="minorEastAsia" w:hAnsi="Arial" w:cs="Arial"/>
        </w:rPr>
        <w:t xml:space="preserve">, R., &amp; </w:t>
      </w:r>
      <w:proofErr w:type="spellStart"/>
      <w:r w:rsidRPr="00B36439">
        <w:rPr>
          <w:rFonts w:ascii="Arial" w:eastAsiaTheme="minorEastAsia" w:hAnsi="Arial" w:cs="Arial"/>
        </w:rPr>
        <w:t>Balkanlı</w:t>
      </w:r>
      <w:proofErr w:type="spellEnd"/>
      <w:r w:rsidRPr="00B36439">
        <w:rPr>
          <w:rFonts w:ascii="Arial" w:eastAsiaTheme="minorEastAsia" w:hAnsi="Arial" w:cs="Arial"/>
        </w:rPr>
        <w:t xml:space="preserve">, D. (2024). From ice to neurons: Investigating the neuroprotective effects of Antarctic microalgae Chlorella </w:t>
      </w:r>
      <w:proofErr w:type="spellStart"/>
      <w:r w:rsidRPr="00B36439">
        <w:rPr>
          <w:rFonts w:ascii="Arial" w:eastAsiaTheme="minorEastAsia" w:hAnsi="Arial" w:cs="Arial"/>
        </w:rPr>
        <w:t>variabilis</w:t>
      </w:r>
      <w:proofErr w:type="spellEnd"/>
      <w:r w:rsidRPr="00B36439">
        <w:rPr>
          <w:rFonts w:ascii="Arial" w:eastAsiaTheme="minorEastAsia" w:hAnsi="Arial" w:cs="Arial"/>
        </w:rPr>
        <w:t xml:space="preserve"> and Chlorella </w:t>
      </w:r>
      <w:proofErr w:type="spellStart"/>
      <w:r w:rsidRPr="00B36439">
        <w:rPr>
          <w:rFonts w:ascii="Arial" w:eastAsiaTheme="minorEastAsia" w:hAnsi="Arial" w:cs="Arial"/>
        </w:rPr>
        <w:t>pyrenoidosa</w:t>
      </w:r>
      <w:proofErr w:type="spellEnd"/>
      <w:r w:rsidRPr="00B36439">
        <w:rPr>
          <w:rFonts w:ascii="Arial" w:eastAsiaTheme="minorEastAsia" w:hAnsi="Arial" w:cs="Arial"/>
        </w:rPr>
        <w:t xml:space="preserve"> extracts. 3 Biotech, 14, 250. https://doi.org/10.1007/s13205-024-04094-4</w:t>
      </w:r>
    </w:p>
    <w:p w14:paraId="6E0F78D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Ismail, R. S., Negm, W. A., Basha, E. A., Rizk, F. H., Attallah, N. G. M., </w:t>
      </w:r>
      <w:proofErr w:type="spellStart"/>
      <w:r w:rsidRPr="00B36439">
        <w:rPr>
          <w:rFonts w:ascii="Arial" w:eastAsiaTheme="minorEastAsia" w:hAnsi="Arial" w:cs="Arial"/>
        </w:rPr>
        <w:t>Altwaijry</w:t>
      </w:r>
      <w:proofErr w:type="spellEnd"/>
      <w:r w:rsidRPr="00B36439">
        <w:rPr>
          <w:rFonts w:ascii="Arial" w:eastAsiaTheme="minorEastAsia" w:hAnsi="Arial" w:cs="Arial"/>
        </w:rPr>
        <w:t xml:space="preserve">, N., Ibrahim, H. A., </w:t>
      </w:r>
      <w:proofErr w:type="spellStart"/>
      <w:r w:rsidRPr="00B36439">
        <w:rPr>
          <w:rFonts w:ascii="Arial" w:eastAsiaTheme="minorEastAsia" w:hAnsi="Arial" w:cs="Arial"/>
        </w:rPr>
        <w:t>Eltantawy</w:t>
      </w:r>
      <w:proofErr w:type="spellEnd"/>
      <w:r w:rsidRPr="00B36439">
        <w:rPr>
          <w:rFonts w:ascii="Arial" w:eastAsiaTheme="minorEastAsia" w:hAnsi="Arial" w:cs="Arial"/>
        </w:rPr>
        <w:t xml:space="preserve">, A. A., </w:t>
      </w:r>
      <w:proofErr w:type="spellStart"/>
      <w:r w:rsidRPr="00B36439">
        <w:rPr>
          <w:rFonts w:ascii="Arial" w:eastAsiaTheme="minorEastAsia" w:hAnsi="Arial" w:cs="Arial"/>
        </w:rPr>
        <w:t>Elkordy</w:t>
      </w:r>
      <w:proofErr w:type="spellEnd"/>
      <w:r w:rsidRPr="00B36439">
        <w:rPr>
          <w:rFonts w:ascii="Arial" w:eastAsiaTheme="minorEastAsia" w:hAnsi="Arial" w:cs="Arial"/>
        </w:rPr>
        <w:t xml:space="preserve">, A. A., Osama, A., </w:t>
      </w:r>
      <w:proofErr w:type="spellStart"/>
      <w:r w:rsidRPr="00B36439">
        <w:rPr>
          <w:rFonts w:ascii="Arial" w:eastAsiaTheme="minorEastAsia" w:hAnsi="Arial" w:cs="Arial"/>
        </w:rPr>
        <w:t>Magdeldin</w:t>
      </w:r>
      <w:proofErr w:type="spellEnd"/>
      <w:r w:rsidRPr="00B36439">
        <w:rPr>
          <w:rFonts w:ascii="Arial" w:eastAsiaTheme="minorEastAsia" w:hAnsi="Arial" w:cs="Arial"/>
        </w:rPr>
        <w:t>, S., &amp; Azzam, A. A. (2024). The potential neuroprotective effects of Spirulina platensis in a valproic acid-induced experimental model of autism in the siblings of albino rats: Targeting PI3k/AKT/mTOR signalling pathway. Nutritional Neuroscience. Advance online publication. https://doi.org/10.1080/1028415x.2024.2381154</w:t>
      </w:r>
    </w:p>
    <w:p w14:paraId="629CCFF6"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Jamerlan</w:t>
      </w:r>
      <w:proofErr w:type="spellEnd"/>
      <w:r w:rsidRPr="00B36439">
        <w:rPr>
          <w:rFonts w:ascii="Arial" w:eastAsiaTheme="minorEastAsia" w:hAnsi="Arial" w:cs="Arial"/>
        </w:rPr>
        <w:t>, A., An, S., &amp; Hulme, J. (2025). Microbial diversity and fitness in the gut–brain axis: Influences on developmental risk for Alzheimer’s disease. Gut Microbes, 17(1), 2486518. https://doi.org/10.1080/19490976.2025.2486518</w:t>
      </w:r>
    </w:p>
    <w:p w14:paraId="34E2FF30"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John, S. K., </w:t>
      </w:r>
      <w:proofErr w:type="spellStart"/>
      <w:r w:rsidRPr="00B36439">
        <w:rPr>
          <w:rFonts w:ascii="Arial" w:eastAsiaTheme="minorEastAsia" w:hAnsi="Arial" w:cs="Arial"/>
        </w:rPr>
        <w:t>Chandrapragasam</w:t>
      </w:r>
      <w:proofErr w:type="spellEnd"/>
      <w:r w:rsidRPr="00B36439">
        <w:rPr>
          <w:rFonts w:ascii="Arial" w:eastAsiaTheme="minorEastAsia" w:hAnsi="Arial" w:cs="Arial"/>
        </w:rPr>
        <w:t>, V., &amp; Dey, P. (2021). Impact of gut microbiome Lactobacillus spp. in brain function and its medicament towards Alzheimer's disease pathogenesis. Journal of Pure and Applied Microbiology, 15(3), 1029–1041. https://doi.org/10.22207/JPAM.15.3.02</w:t>
      </w:r>
    </w:p>
    <w:p w14:paraId="0364A0B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Kim, Y., Lim, J., &amp; Oh, J. (2024). Taming neuroinflammation in Alzheimer's disease: The protective role of phytochemicals through the gut−brain axis. Biomedicine &amp; Pharmacotherapy, 178, 117277. https://doi.org/10.1016/j.biopha.2024.117277</w:t>
      </w:r>
    </w:p>
    <w:p w14:paraId="467662DF"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Koumpouli</w:t>
      </w:r>
      <w:proofErr w:type="spellEnd"/>
      <w:r w:rsidRPr="00B36439">
        <w:rPr>
          <w:rFonts w:ascii="Arial" w:eastAsiaTheme="minorEastAsia" w:hAnsi="Arial" w:cs="Arial"/>
        </w:rPr>
        <w:t xml:space="preserve">, D., </w:t>
      </w:r>
      <w:proofErr w:type="spellStart"/>
      <w:r w:rsidRPr="00B36439">
        <w:rPr>
          <w:rFonts w:ascii="Arial" w:eastAsiaTheme="minorEastAsia" w:hAnsi="Arial" w:cs="Arial"/>
        </w:rPr>
        <w:t>Koumpouli</w:t>
      </w:r>
      <w:proofErr w:type="spellEnd"/>
      <w:r w:rsidRPr="00B36439">
        <w:rPr>
          <w:rFonts w:ascii="Arial" w:eastAsiaTheme="minorEastAsia" w:hAnsi="Arial" w:cs="Arial"/>
        </w:rPr>
        <w:t xml:space="preserve">, V., &amp; </w:t>
      </w:r>
      <w:proofErr w:type="spellStart"/>
      <w:r w:rsidRPr="00B36439">
        <w:rPr>
          <w:rFonts w:ascii="Arial" w:eastAsiaTheme="minorEastAsia" w:hAnsi="Arial" w:cs="Arial"/>
        </w:rPr>
        <w:t>Koutelidakis</w:t>
      </w:r>
      <w:proofErr w:type="spellEnd"/>
      <w:r w:rsidRPr="00B36439">
        <w:rPr>
          <w:rFonts w:ascii="Arial" w:eastAsiaTheme="minorEastAsia" w:hAnsi="Arial" w:cs="Arial"/>
        </w:rPr>
        <w:t>, A. (2025). The gut–brain axis and neurodegenerative diseases: The role of nutritional interventions targeting the gut microbiome—A systematic review. Applied Sciences, 15(10), 5558. https://doi.org/10.3390/app15105558</w:t>
      </w:r>
    </w:p>
    <w:p w14:paraId="46BBEF69"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lastRenderedPageBreak/>
        <w:t xml:space="preserve">Kwon, D., Zhang, K., Paul, K. C., Folle, A. D., Rosario, I. D., Jacobs, J. P., Keener, A. M., Bronstein, J. M., &amp; Ritz, B. (2024). Diet and the gut microbiome in patients with Parkinson's disease. </w:t>
      </w:r>
      <w:proofErr w:type="spellStart"/>
      <w:r w:rsidRPr="00B36439">
        <w:rPr>
          <w:rFonts w:ascii="Arial" w:eastAsiaTheme="minorEastAsia" w:hAnsi="Arial" w:cs="Arial"/>
        </w:rPr>
        <w:t>npj</w:t>
      </w:r>
      <w:proofErr w:type="spellEnd"/>
      <w:r w:rsidRPr="00B36439">
        <w:rPr>
          <w:rFonts w:ascii="Arial" w:eastAsiaTheme="minorEastAsia" w:hAnsi="Arial" w:cs="Arial"/>
        </w:rPr>
        <w:t xml:space="preserve"> Parkinson's Disease, 10, 29. https://doi.org/10.1038/s41531-024-00681-7</w:t>
      </w:r>
    </w:p>
    <w:p w14:paraId="32DC664A"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Laadraoui</w:t>
      </w:r>
      <w:proofErr w:type="spellEnd"/>
      <w:r w:rsidRPr="00B36439">
        <w:rPr>
          <w:rFonts w:ascii="Arial" w:eastAsiaTheme="minorEastAsia" w:hAnsi="Arial" w:cs="Arial"/>
        </w:rPr>
        <w:t xml:space="preserve">, J., </w:t>
      </w:r>
      <w:proofErr w:type="spellStart"/>
      <w:r w:rsidRPr="00B36439">
        <w:rPr>
          <w:rFonts w:ascii="Arial" w:eastAsiaTheme="minorEastAsia" w:hAnsi="Arial" w:cs="Arial"/>
        </w:rPr>
        <w:t>Kabdy</w:t>
      </w:r>
      <w:proofErr w:type="spellEnd"/>
      <w:r w:rsidRPr="00B36439">
        <w:rPr>
          <w:rFonts w:ascii="Arial" w:eastAsiaTheme="minorEastAsia" w:hAnsi="Arial" w:cs="Arial"/>
        </w:rPr>
        <w:t xml:space="preserve">, H., </w:t>
      </w:r>
      <w:proofErr w:type="spellStart"/>
      <w:r w:rsidRPr="00B36439">
        <w:rPr>
          <w:rFonts w:ascii="Arial" w:eastAsiaTheme="minorEastAsia" w:hAnsi="Arial" w:cs="Arial"/>
        </w:rPr>
        <w:t>Oufquir</w:t>
      </w:r>
      <w:proofErr w:type="spellEnd"/>
      <w:r w:rsidRPr="00B36439">
        <w:rPr>
          <w:rFonts w:ascii="Arial" w:eastAsiaTheme="minorEastAsia" w:hAnsi="Arial" w:cs="Arial"/>
        </w:rPr>
        <w:t xml:space="preserve">, S., </w:t>
      </w:r>
      <w:proofErr w:type="spellStart"/>
      <w:r w:rsidRPr="00B36439">
        <w:rPr>
          <w:rFonts w:ascii="Arial" w:eastAsiaTheme="minorEastAsia" w:hAnsi="Arial" w:cs="Arial"/>
        </w:rPr>
        <w:t>Aitlarradia</w:t>
      </w:r>
      <w:proofErr w:type="spellEnd"/>
      <w:r w:rsidRPr="00B36439">
        <w:rPr>
          <w:rFonts w:ascii="Arial" w:eastAsiaTheme="minorEastAsia" w:hAnsi="Arial" w:cs="Arial"/>
        </w:rPr>
        <w:t xml:space="preserve">, M., Agouram, F., Ait Baba, A., </w:t>
      </w:r>
      <w:proofErr w:type="spellStart"/>
      <w:r w:rsidRPr="00B36439">
        <w:rPr>
          <w:rFonts w:ascii="Arial" w:eastAsiaTheme="minorEastAsia" w:hAnsi="Arial" w:cs="Arial"/>
        </w:rPr>
        <w:t>Oubella</w:t>
      </w:r>
      <w:proofErr w:type="spellEnd"/>
      <w:r w:rsidRPr="00B36439">
        <w:rPr>
          <w:rFonts w:ascii="Arial" w:eastAsiaTheme="minorEastAsia" w:hAnsi="Arial" w:cs="Arial"/>
        </w:rPr>
        <w:t>, K., &amp; El-</w:t>
      </w:r>
      <w:proofErr w:type="spellStart"/>
      <w:r w:rsidRPr="00B36439">
        <w:rPr>
          <w:rFonts w:ascii="Arial" w:eastAsiaTheme="minorEastAsia" w:hAnsi="Arial" w:cs="Arial"/>
        </w:rPr>
        <w:t>Mansoury</w:t>
      </w:r>
      <w:proofErr w:type="spellEnd"/>
      <w:r w:rsidRPr="00B36439">
        <w:rPr>
          <w:rFonts w:ascii="Arial" w:eastAsiaTheme="minorEastAsia" w:hAnsi="Arial" w:cs="Arial"/>
        </w:rPr>
        <w:t>, B. (2025). The therapeutic role of secondary metabolites in neurodegenerative and inflammatory diseases: Mechanisms and potential applications. In Secondary Metabolites and Their Applications in Various Diseases (p. 64). IGI Global. https://doi.org/10.4018/979-8-3693-9112-9.ch005</w:t>
      </w:r>
    </w:p>
    <w:p w14:paraId="4C4CE1E0"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Leta, V., Chaudhuri, K. R., Milner, O., Chung-Faye, G., Metta, V., </w:t>
      </w:r>
      <w:proofErr w:type="spellStart"/>
      <w:r w:rsidRPr="00B36439">
        <w:rPr>
          <w:rFonts w:ascii="Arial" w:eastAsiaTheme="minorEastAsia" w:hAnsi="Arial" w:cs="Arial"/>
        </w:rPr>
        <w:t>Pariante</w:t>
      </w:r>
      <w:proofErr w:type="spellEnd"/>
      <w:r w:rsidRPr="00B36439">
        <w:rPr>
          <w:rFonts w:ascii="Arial" w:eastAsiaTheme="minorEastAsia" w:hAnsi="Arial" w:cs="Arial"/>
        </w:rPr>
        <w:t xml:space="preserve">, C. M., &amp; </w:t>
      </w:r>
      <w:proofErr w:type="spellStart"/>
      <w:r w:rsidRPr="00B36439">
        <w:rPr>
          <w:rFonts w:ascii="Arial" w:eastAsiaTheme="minorEastAsia" w:hAnsi="Arial" w:cs="Arial"/>
        </w:rPr>
        <w:t>Borsini</w:t>
      </w:r>
      <w:proofErr w:type="spellEnd"/>
      <w:r w:rsidRPr="00B36439">
        <w:rPr>
          <w:rFonts w:ascii="Arial" w:eastAsiaTheme="minorEastAsia" w:hAnsi="Arial" w:cs="Arial"/>
        </w:rPr>
        <w:t xml:space="preserve">, A. (2021). Neurogenic and anti-inflammatory effects of probiotics in Parkinson's disease: A systematic review of preclinical and clinical evidence. Brain, </w:t>
      </w:r>
      <w:proofErr w:type="spellStart"/>
      <w:r w:rsidRPr="00B36439">
        <w:rPr>
          <w:rFonts w:ascii="Arial" w:eastAsiaTheme="minorEastAsia" w:hAnsi="Arial" w:cs="Arial"/>
        </w:rPr>
        <w:t>Behavior</w:t>
      </w:r>
      <w:proofErr w:type="spellEnd"/>
      <w:r w:rsidRPr="00B36439">
        <w:rPr>
          <w:rFonts w:ascii="Arial" w:eastAsiaTheme="minorEastAsia" w:hAnsi="Arial" w:cs="Arial"/>
        </w:rPr>
        <w:t>, and Immunity, 98, 59–73. https://doi.org/10.1016/j.bbi.2021.07.026</w:t>
      </w:r>
    </w:p>
    <w:p w14:paraId="3C8222A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Li, Y., Peng, Y., Shen, Y., Zhang, Y., Liu, L., &amp; Yang, X. (2023). Dietary polyphenols: Regulate the advanced glycation end products-RAGE axis and the microbiota-gut-brain axis to prevent neurodegenerative diseases. Critical Reviews in Food Science and Nutrition, 63(29), 9816–9842. https://doi.org/10.1080/10408398.2022.2076064</w:t>
      </w:r>
    </w:p>
    <w:p w14:paraId="6778E13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Lima, F. A., Joventino, I. P., Joventino, F. P., Almeida, A. C., Neves, K. R. T., Carmo, M. R. S., Leal, L. K. A. M., Andrade, G. M., &amp; Viana, G. S. B. (2017). Neuroprotective activities of Spirulina platensis in the 6-OHDA model of Parkinson’s disease are related to its anti-inflammatory effects. Neurochemical Research, 42, 3390–3400. https://doi.org/10.1007/s11064-017-2379-5</w:t>
      </w:r>
    </w:p>
    <w:p w14:paraId="23651F27"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Lopes, M. J. P., </w:t>
      </w:r>
      <w:proofErr w:type="spellStart"/>
      <w:r w:rsidRPr="00B36439">
        <w:rPr>
          <w:rFonts w:ascii="Arial" w:eastAsiaTheme="minorEastAsia" w:hAnsi="Arial" w:cs="Arial"/>
        </w:rPr>
        <w:t>Delmondes</w:t>
      </w:r>
      <w:proofErr w:type="spellEnd"/>
      <w:r w:rsidRPr="00B36439">
        <w:rPr>
          <w:rFonts w:ascii="Arial" w:eastAsiaTheme="minorEastAsia" w:hAnsi="Arial" w:cs="Arial"/>
        </w:rPr>
        <w:t xml:space="preserve">, G. A., Leite, G. D. L., Cavalcante, D. A., Aquino, P. E. A., Lima, F. A. V., Neves, K. R. T., Costa, A. R. M., Oliveira, H. D., Felipe, C. F. B., Lima, I. S. P., </w:t>
      </w:r>
      <w:proofErr w:type="spellStart"/>
      <w:r w:rsidRPr="00B36439">
        <w:rPr>
          <w:rFonts w:ascii="Arial" w:eastAsiaTheme="minorEastAsia" w:hAnsi="Arial" w:cs="Arial"/>
        </w:rPr>
        <w:t>Kerntopf</w:t>
      </w:r>
      <w:proofErr w:type="spellEnd"/>
      <w:r w:rsidRPr="00B36439">
        <w:rPr>
          <w:rFonts w:ascii="Arial" w:eastAsiaTheme="minorEastAsia" w:hAnsi="Arial" w:cs="Arial"/>
        </w:rPr>
        <w:t xml:space="preserve">, M. R., &amp; Viana, G. S. B. (2022). The protein-rich fraction from Spirulina platensis exerts neuroprotection in </w:t>
      </w:r>
      <w:proofErr w:type="spellStart"/>
      <w:r w:rsidRPr="00B36439">
        <w:rPr>
          <w:rFonts w:ascii="Arial" w:eastAsiaTheme="minorEastAsia" w:hAnsi="Arial" w:cs="Arial"/>
        </w:rPr>
        <w:t>hemiparkinsonian</w:t>
      </w:r>
      <w:proofErr w:type="spellEnd"/>
      <w:r w:rsidRPr="00B36439">
        <w:rPr>
          <w:rFonts w:ascii="Arial" w:eastAsiaTheme="minorEastAsia" w:hAnsi="Arial" w:cs="Arial"/>
        </w:rPr>
        <w:t xml:space="preserve"> rats by decreasing brain inflammatory-related enzymes and glial fibrillary acidic protein expressions. Journal of Medicinal Food, 25(7), 695–709. https://doi.org/10.1089/jmf.2021.0100</w:t>
      </w:r>
    </w:p>
    <w:p w14:paraId="7968CDA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Lucena, A. M. B., Lucena, E. M. P. S., Neto, S. R. B., Nobre, L. A. P., Rocha, H. A. O., &amp; Camara, R. B. G. (2024). Algal polysaccharides: New perspectives for the treatment of basal ganglia neurodegenerative diseases. Frontiers in Neuroanatomy, 18, 1465421. https://doi.org/10.3389/fnana.2024.1465421</w:t>
      </w:r>
    </w:p>
    <w:p w14:paraId="44A7034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lastRenderedPageBreak/>
        <w:t>Luo, L. (2025). Promoting cognitive health through the nexus of gut microbiota and dietary phytochemicals. Frontiers in Nutrition, 12, 1636131. https://doi.org/10.3389/fnut.2025.1636131</w:t>
      </w:r>
    </w:p>
    <w:p w14:paraId="56363CE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Muys, M., Sui, Y., Schwaiger, B., Lesueur, C., </w:t>
      </w:r>
      <w:proofErr w:type="spellStart"/>
      <w:r w:rsidRPr="00B36439">
        <w:rPr>
          <w:rFonts w:ascii="Arial" w:eastAsiaTheme="minorEastAsia" w:hAnsi="Arial" w:cs="Arial"/>
        </w:rPr>
        <w:t>Vandenheuvel</w:t>
      </w:r>
      <w:proofErr w:type="spellEnd"/>
      <w:r w:rsidRPr="00B36439">
        <w:rPr>
          <w:rFonts w:ascii="Arial" w:eastAsiaTheme="minorEastAsia" w:hAnsi="Arial" w:cs="Arial"/>
        </w:rPr>
        <w:t xml:space="preserve">, D., </w:t>
      </w:r>
      <w:proofErr w:type="spellStart"/>
      <w:r w:rsidRPr="00B36439">
        <w:rPr>
          <w:rFonts w:ascii="Arial" w:eastAsiaTheme="minorEastAsia" w:hAnsi="Arial" w:cs="Arial"/>
        </w:rPr>
        <w:t>Vermeir</w:t>
      </w:r>
      <w:proofErr w:type="spellEnd"/>
      <w:r w:rsidRPr="00B36439">
        <w:rPr>
          <w:rFonts w:ascii="Arial" w:eastAsiaTheme="minorEastAsia" w:hAnsi="Arial" w:cs="Arial"/>
        </w:rPr>
        <w:t>, P., &amp; Vlaeminck, S. E. (2019). High variability in nutritional value and safety of commercially available Chlorella and Spirulina biomass indicates the need for smart production strategies. Bioresource Technology, 275, 247–257. https://doi.org/10.1016/j.biortech.2018.12.059</w:t>
      </w:r>
    </w:p>
    <w:p w14:paraId="79CBFA0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Ngah, W. Z. W., Ahmad, H. F., </w:t>
      </w:r>
      <w:proofErr w:type="spellStart"/>
      <w:r w:rsidRPr="00B36439">
        <w:rPr>
          <w:rFonts w:ascii="Arial" w:eastAsiaTheme="minorEastAsia" w:hAnsi="Arial" w:cs="Arial"/>
        </w:rPr>
        <w:t>Ankasha</w:t>
      </w:r>
      <w:proofErr w:type="spellEnd"/>
      <w:r w:rsidRPr="00B36439">
        <w:rPr>
          <w:rFonts w:ascii="Arial" w:eastAsiaTheme="minorEastAsia" w:hAnsi="Arial" w:cs="Arial"/>
        </w:rPr>
        <w:t xml:space="preserve">, S. J., </w:t>
      </w:r>
      <w:proofErr w:type="spellStart"/>
      <w:r w:rsidRPr="00B36439">
        <w:rPr>
          <w:rFonts w:ascii="Arial" w:eastAsiaTheme="minorEastAsia" w:hAnsi="Arial" w:cs="Arial"/>
        </w:rPr>
        <w:t>Makpol</w:t>
      </w:r>
      <w:proofErr w:type="spellEnd"/>
      <w:r w:rsidRPr="00B36439">
        <w:rPr>
          <w:rFonts w:ascii="Arial" w:eastAsiaTheme="minorEastAsia" w:hAnsi="Arial" w:cs="Arial"/>
        </w:rPr>
        <w:t xml:space="preserve">, S., &amp; </w:t>
      </w:r>
      <w:proofErr w:type="spellStart"/>
      <w:r w:rsidRPr="00B36439">
        <w:rPr>
          <w:rFonts w:ascii="Arial" w:eastAsiaTheme="minorEastAsia" w:hAnsi="Arial" w:cs="Arial"/>
        </w:rPr>
        <w:t>Tooyama</w:t>
      </w:r>
      <w:proofErr w:type="spellEnd"/>
      <w:r w:rsidRPr="00B36439">
        <w:rPr>
          <w:rFonts w:ascii="Arial" w:eastAsiaTheme="minorEastAsia" w:hAnsi="Arial" w:cs="Arial"/>
        </w:rPr>
        <w:t>, I. (2024). Dietary strategies to mitigate Alzheimer's disease: Insights into antioxidant vitamin intake and supplementation with microbiota-gut-brain axis cross-talk. Antioxidants, 13(12), 1504. https://doi.org/10.3390/antiox13121504</w:t>
      </w:r>
    </w:p>
    <w:p w14:paraId="2144E080"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Nimgampalle</w:t>
      </w:r>
      <w:proofErr w:type="spellEnd"/>
      <w:r w:rsidRPr="00B36439">
        <w:rPr>
          <w:rFonts w:ascii="Arial" w:eastAsiaTheme="minorEastAsia" w:hAnsi="Arial" w:cs="Arial"/>
        </w:rPr>
        <w:t>, M., &amp; Kuna, Y. (2017). Anti-Alzheimer properties of probiotic, Lactobacillus plantarum MTCC 1325 in Alzheimer's disease induced albino rats. Journal of Clinical and Diagnostic Research, 11(8), KC01–KC05. https://doi.org/10.7860/JCDR/2017/26106.10428</w:t>
      </w:r>
    </w:p>
    <w:p w14:paraId="6A655A40"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Novikov, V. N., </w:t>
      </w:r>
      <w:proofErr w:type="spellStart"/>
      <w:r w:rsidRPr="00B36439">
        <w:rPr>
          <w:rFonts w:ascii="Arial" w:eastAsiaTheme="minorEastAsia" w:hAnsi="Arial" w:cs="Arial"/>
        </w:rPr>
        <w:t>Badaeva</w:t>
      </w:r>
      <w:proofErr w:type="spellEnd"/>
      <w:r w:rsidRPr="00B36439">
        <w:rPr>
          <w:rFonts w:ascii="Arial" w:eastAsiaTheme="minorEastAsia" w:hAnsi="Arial" w:cs="Arial"/>
        </w:rPr>
        <w:t xml:space="preserve">, A. V., Danilov, A. B., &amp; </w:t>
      </w:r>
      <w:proofErr w:type="spellStart"/>
      <w:r w:rsidRPr="00B36439">
        <w:rPr>
          <w:rFonts w:ascii="Arial" w:eastAsiaTheme="minorEastAsia" w:hAnsi="Arial" w:cs="Arial"/>
        </w:rPr>
        <w:t>Vorobyeva</w:t>
      </w:r>
      <w:proofErr w:type="spellEnd"/>
      <w:r w:rsidRPr="00B36439">
        <w:rPr>
          <w:rFonts w:ascii="Arial" w:eastAsiaTheme="minorEastAsia" w:hAnsi="Arial" w:cs="Arial"/>
        </w:rPr>
        <w:t xml:space="preserve">, Y. D. (2023). Precision </w:t>
      </w:r>
      <w:proofErr w:type="spellStart"/>
      <w:r w:rsidRPr="00B36439">
        <w:rPr>
          <w:rFonts w:ascii="Arial" w:eastAsiaTheme="minorEastAsia" w:hAnsi="Arial" w:cs="Arial"/>
        </w:rPr>
        <w:t>neuronutrition</w:t>
      </w:r>
      <w:proofErr w:type="spellEnd"/>
      <w:r w:rsidRPr="00B36439">
        <w:rPr>
          <w:rFonts w:ascii="Arial" w:eastAsiaTheme="minorEastAsia" w:hAnsi="Arial" w:cs="Arial"/>
        </w:rPr>
        <w:t>: Personalized approaches for optimizing brain health. Biology and Life Sciences Forum, 29(1), 20. https://doi.org/10.3390/IECN2023-15524</w:t>
      </w:r>
    </w:p>
    <w:p w14:paraId="4D443B97"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Pabón, M. M., Jernberg, J. N., Morganti, J., Contreras, J., Hudson, C. E., Klein, R. L., &amp; Bickford, P. C. (2012). A Spirulina-enhanced diet provides neuroprotection in an α-synuclein model of Parkinson's disease. </w:t>
      </w:r>
      <w:proofErr w:type="spellStart"/>
      <w:r w:rsidRPr="00B36439">
        <w:rPr>
          <w:rFonts w:ascii="Arial" w:eastAsiaTheme="minorEastAsia" w:hAnsi="Arial" w:cs="Arial"/>
        </w:rPr>
        <w:t>PLoS</w:t>
      </w:r>
      <w:proofErr w:type="spellEnd"/>
      <w:r w:rsidRPr="00B36439">
        <w:rPr>
          <w:rFonts w:ascii="Arial" w:eastAsiaTheme="minorEastAsia" w:hAnsi="Arial" w:cs="Arial"/>
        </w:rPr>
        <w:t xml:space="preserve"> ONE, 7(9), e45256. https://doi.org/10.1371/journal.pone.0045256</w:t>
      </w:r>
    </w:p>
    <w:p w14:paraId="4DAEF0B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Pan, S., Wei, H., Yuan, S., Kong, Y., Yang, H., Zhang, Y., Cui, X., Chen, W., Liu, J., &amp; Zhang, Y. (2022). Probiotic </w:t>
      </w:r>
      <w:proofErr w:type="spellStart"/>
      <w:r w:rsidRPr="00B36439">
        <w:rPr>
          <w:rFonts w:ascii="Arial" w:eastAsiaTheme="minorEastAsia" w:hAnsi="Arial" w:cs="Arial"/>
        </w:rPr>
        <w:t>Pediococcus</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pentosaceus</w:t>
      </w:r>
      <w:proofErr w:type="spellEnd"/>
      <w:r w:rsidRPr="00B36439">
        <w:rPr>
          <w:rFonts w:ascii="Arial" w:eastAsiaTheme="minorEastAsia" w:hAnsi="Arial" w:cs="Arial"/>
        </w:rPr>
        <w:t xml:space="preserve"> ameliorates MPTP-induced oxidative stress via regulating the gut microbiota-gut-brain axis. Frontiers in Cellular and Infection Microbiology, 12, 1022879. https://doi.org/10.3389/fcimb.2022.1022879</w:t>
      </w:r>
    </w:p>
    <w:p w14:paraId="4B56572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Panahi, Y., Tavana, S., </w:t>
      </w:r>
      <w:proofErr w:type="spellStart"/>
      <w:r w:rsidRPr="00B36439">
        <w:rPr>
          <w:rFonts w:ascii="Arial" w:eastAsiaTheme="minorEastAsia" w:hAnsi="Arial" w:cs="Arial"/>
        </w:rPr>
        <w:t>Sahebkar</w:t>
      </w:r>
      <w:proofErr w:type="spellEnd"/>
      <w:r w:rsidRPr="00B36439">
        <w:rPr>
          <w:rFonts w:ascii="Arial" w:eastAsiaTheme="minorEastAsia" w:hAnsi="Arial" w:cs="Arial"/>
        </w:rPr>
        <w:t xml:space="preserve">, A., Masoudi, H., &amp; </w:t>
      </w:r>
      <w:proofErr w:type="spellStart"/>
      <w:r w:rsidRPr="00B36439">
        <w:rPr>
          <w:rFonts w:ascii="Arial" w:eastAsiaTheme="minorEastAsia" w:hAnsi="Arial" w:cs="Arial"/>
        </w:rPr>
        <w:t>Madanchi</w:t>
      </w:r>
      <w:proofErr w:type="spellEnd"/>
      <w:r w:rsidRPr="00B36439">
        <w:rPr>
          <w:rFonts w:ascii="Arial" w:eastAsiaTheme="minorEastAsia" w:hAnsi="Arial" w:cs="Arial"/>
        </w:rPr>
        <w:t>, N. (2012). Impact of adjunctive therapy with Chlorella vulgaris extract on antioxidant status, pulmonary function, and clinical symptoms of patients with obstructive pulmonary diseases. Scientia Pharmaceutica, 80(3), 719–730. https://doi.org/10.3797/scipharm.1202-06</w:t>
      </w:r>
    </w:p>
    <w:p w14:paraId="4A5B555B"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Panayotova</w:t>
      </w:r>
      <w:proofErr w:type="spellEnd"/>
      <w:r w:rsidRPr="00B36439">
        <w:rPr>
          <w:rFonts w:ascii="Arial" w:eastAsiaTheme="minorEastAsia" w:hAnsi="Arial" w:cs="Arial"/>
        </w:rPr>
        <w:t xml:space="preserve">, V., Merdzhanova, A., Dobreva, D., </w:t>
      </w:r>
      <w:proofErr w:type="spellStart"/>
      <w:r w:rsidRPr="00B36439">
        <w:rPr>
          <w:rFonts w:ascii="Arial" w:eastAsiaTheme="minorEastAsia" w:hAnsi="Arial" w:cs="Arial"/>
        </w:rPr>
        <w:t>Peycheva</w:t>
      </w:r>
      <w:proofErr w:type="spellEnd"/>
      <w:r w:rsidRPr="00B36439">
        <w:rPr>
          <w:rFonts w:ascii="Arial" w:eastAsiaTheme="minorEastAsia" w:hAnsi="Arial" w:cs="Arial"/>
        </w:rPr>
        <w:t xml:space="preserve">, K., &amp; </w:t>
      </w:r>
      <w:proofErr w:type="spellStart"/>
      <w:r w:rsidRPr="00B36439">
        <w:rPr>
          <w:rFonts w:ascii="Arial" w:eastAsiaTheme="minorEastAsia" w:hAnsi="Arial" w:cs="Arial"/>
        </w:rPr>
        <w:t>Stoycheva</w:t>
      </w:r>
      <w:proofErr w:type="spellEnd"/>
      <w:r w:rsidRPr="00B36439">
        <w:rPr>
          <w:rFonts w:ascii="Arial" w:eastAsiaTheme="minorEastAsia" w:hAnsi="Arial" w:cs="Arial"/>
        </w:rPr>
        <w:t>, T. (2024). Chlorella and Spirulina dietary supplements as sources of biologically active lipids. Bulgarian Chemical Communications, 56(D), 64–70. https://doi.org/10.34049/bcc.56.d.s2p64</w:t>
      </w:r>
    </w:p>
    <w:p w14:paraId="2CE64F2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lastRenderedPageBreak/>
        <w:t>Rathor, P., &amp; Ch, R. (2024). The impacts of dietary intervention on brain metabolism and neurological disorders: A narrative review. Dietetics, 3(3), 289–307. https://doi.org/10.3390/dietetics3030023</w:t>
      </w:r>
    </w:p>
    <w:p w14:paraId="1A76CBB5"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Renukadevi</w:t>
      </w:r>
      <w:proofErr w:type="spellEnd"/>
      <w:r w:rsidRPr="00B36439">
        <w:rPr>
          <w:rFonts w:ascii="Arial" w:eastAsiaTheme="minorEastAsia" w:hAnsi="Arial" w:cs="Arial"/>
        </w:rPr>
        <w:t xml:space="preserve">, J., Velmurugan, R., </w:t>
      </w:r>
      <w:proofErr w:type="spellStart"/>
      <w:r w:rsidRPr="00B36439">
        <w:rPr>
          <w:rFonts w:ascii="Arial" w:eastAsiaTheme="minorEastAsia" w:hAnsi="Arial" w:cs="Arial"/>
        </w:rPr>
        <w:t>Nandhinidevi</w:t>
      </w:r>
      <w:proofErr w:type="spellEnd"/>
      <w:r w:rsidRPr="00B36439">
        <w:rPr>
          <w:rFonts w:ascii="Arial" w:eastAsiaTheme="minorEastAsia" w:hAnsi="Arial" w:cs="Arial"/>
        </w:rPr>
        <w:t xml:space="preserve">, G., </w:t>
      </w:r>
      <w:proofErr w:type="spellStart"/>
      <w:r w:rsidRPr="00B36439">
        <w:rPr>
          <w:rFonts w:ascii="Arial" w:eastAsiaTheme="minorEastAsia" w:hAnsi="Arial" w:cs="Arial"/>
        </w:rPr>
        <w:t>Karthikha</w:t>
      </w:r>
      <w:proofErr w:type="spellEnd"/>
      <w:r w:rsidRPr="00B36439">
        <w:rPr>
          <w:rFonts w:ascii="Arial" w:eastAsiaTheme="minorEastAsia" w:hAnsi="Arial" w:cs="Arial"/>
        </w:rPr>
        <w:t>, V. S., &amp; Vaishnavi, V. S. (2024). Exploring the neuroprotective role of probiotics in the therapeutic interventions of cognitive decline. Journal of Applied Pharmaceutical Research, 12(5), 648. https://doi.org/10.69857/joapr.v12i5.648</w:t>
      </w:r>
    </w:p>
    <w:p w14:paraId="5A7197F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Samanta, S., &amp; Mondal, S. P. (2023). Impact of the gut–brain axis on neurodegenerative diseases and potential benefits of probiotics. South Asian Journal of Health Sciences, 2(1), 16–21. https://doi.org/10.25259/SAJHS_17_2023</w:t>
      </w:r>
    </w:p>
    <w:p w14:paraId="52E1092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Sarubbo, F., </w:t>
      </w:r>
      <w:proofErr w:type="spellStart"/>
      <w:r w:rsidRPr="00B36439">
        <w:rPr>
          <w:rFonts w:ascii="Arial" w:eastAsiaTheme="minorEastAsia" w:hAnsi="Arial" w:cs="Arial"/>
        </w:rPr>
        <w:t>Moranta</w:t>
      </w:r>
      <w:proofErr w:type="spellEnd"/>
      <w:r w:rsidRPr="00B36439">
        <w:rPr>
          <w:rFonts w:ascii="Arial" w:eastAsiaTheme="minorEastAsia" w:hAnsi="Arial" w:cs="Arial"/>
        </w:rPr>
        <w:t>, D., Tejada, S., Jiménez, M., &amp; Esteban, S. (2023). Impact of gut microbiota in brain ageing: Polyphenols as beneficial modulators. Antioxidants, 12(4), 812. https://doi.org/10.3390/antiox12040812</w:t>
      </w:r>
    </w:p>
    <w:p w14:paraId="1E28C5C8"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Scuto</w:t>
      </w:r>
      <w:proofErr w:type="spellEnd"/>
      <w:r w:rsidRPr="00B36439">
        <w:rPr>
          <w:rFonts w:ascii="Arial" w:eastAsiaTheme="minorEastAsia" w:hAnsi="Arial" w:cs="Arial"/>
        </w:rPr>
        <w:t xml:space="preserve">, M., Rampulla, F., Reali, G. M., Spanò, S. M., Salinaro, A. T., &amp; Calabrese, V. (2024). </w:t>
      </w:r>
      <w:proofErr w:type="spellStart"/>
      <w:r w:rsidRPr="00B36439">
        <w:rPr>
          <w:rFonts w:ascii="Arial" w:eastAsiaTheme="minorEastAsia" w:hAnsi="Arial" w:cs="Arial"/>
        </w:rPr>
        <w:t>Hormetic</w:t>
      </w:r>
      <w:proofErr w:type="spellEnd"/>
      <w:r w:rsidRPr="00B36439">
        <w:rPr>
          <w:rFonts w:ascii="Arial" w:eastAsiaTheme="minorEastAsia" w:hAnsi="Arial" w:cs="Arial"/>
        </w:rPr>
        <w:t xml:space="preserve"> nutrition and redox regulation in gut–brain axis disorders. Antioxidants, 13(4), 484. https://doi.org/10.3390/antiox13040484</w:t>
      </w:r>
    </w:p>
    <w:p w14:paraId="1D384E5E"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Senila</w:t>
      </w:r>
      <w:proofErr w:type="spellEnd"/>
      <w:r w:rsidRPr="00B36439">
        <w:rPr>
          <w:rFonts w:ascii="Arial" w:eastAsiaTheme="minorEastAsia" w:hAnsi="Arial" w:cs="Arial"/>
        </w:rPr>
        <w:t>, L., Kovács, E., &amp; Roman, C. (2025). Chemical characterization, lipid profile, and volatile compounds in Chlorella sp. and Spirulina platensis: A promising feedstock for various applications. Molecules, 30(7), 1499. https://doi.org/10.3390/molecules30071499</w:t>
      </w:r>
    </w:p>
    <w:p w14:paraId="1423354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Shabbir, U., Tyagi, A., Elahi, F., Aloo, S. O., &amp; Oh, D.-H. (2021). The potential role of polyphenols in oxidative stress and inflammation induced by gut microbiota in Alzheimer's disease. Antioxidants, 10(9), 1370. https://doi.org/10.3390/antiox10091370</w:t>
      </w:r>
    </w:p>
    <w:p w14:paraId="25BFC96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Sharma, H., Pathak, R., &amp; Biswas, D. (2024). Unveiling the therapeutic potential of modern probiotics in addressing neurodegenerative disorders: A comprehensive exploration, review and future perspectives on intervention strategies. Current Psychiatry Research and Reviews, 20(2), 108–123. https://doi.org/10.2174/0126660822304321240520075036</w:t>
      </w:r>
    </w:p>
    <w:p w14:paraId="499F0BE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Silva, D., </w:t>
      </w:r>
      <w:proofErr w:type="spellStart"/>
      <w:r w:rsidRPr="00B36439">
        <w:rPr>
          <w:rFonts w:ascii="Arial" w:eastAsiaTheme="minorEastAsia" w:hAnsi="Arial" w:cs="Arial"/>
        </w:rPr>
        <w:t>Empadinhas</w:t>
      </w:r>
      <w:proofErr w:type="spellEnd"/>
      <w:r w:rsidRPr="00B36439">
        <w:rPr>
          <w:rFonts w:ascii="Arial" w:eastAsiaTheme="minorEastAsia" w:hAnsi="Arial" w:cs="Arial"/>
        </w:rPr>
        <w:t>, N., Cardoso, S. M., &amp; Esteves, A. R. (2022). Neurodegenerative microbially-shaped diseases: Oxidative stress meets neuroinflammation. Antioxidants, 11(11), 2141. https://doi.org/10.3390/antiox11112141</w:t>
      </w:r>
    </w:p>
    <w:p w14:paraId="75986452"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Sun, Y., Ho, C.-T., &amp; Zhang, X. (2023). Neuroprotection of food </w:t>
      </w:r>
      <w:proofErr w:type="spellStart"/>
      <w:r w:rsidRPr="00B36439">
        <w:rPr>
          <w:rFonts w:ascii="Arial" w:eastAsiaTheme="minorEastAsia" w:hAnsi="Arial" w:cs="Arial"/>
        </w:rPr>
        <w:t>bioactives</w:t>
      </w:r>
      <w:proofErr w:type="spellEnd"/>
      <w:r w:rsidRPr="00B36439">
        <w:rPr>
          <w:rFonts w:ascii="Arial" w:eastAsiaTheme="minorEastAsia" w:hAnsi="Arial" w:cs="Arial"/>
        </w:rPr>
        <w:t xml:space="preserve"> in neurodegenerative diseases: Role of the gut microbiota and innate immune receptors. Journal of Agricultural and Food Chemistry, 71(6), 2718–2733. https://doi.org/10.1021/acs.jafc.2c07742</w:t>
      </w:r>
    </w:p>
    <w:p w14:paraId="724DA1F6"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lastRenderedPageBreak/>
        <w:t>Tabaza</w:t>
      </w:r>
      <w:proofErr w:type="spellEnd"/>
      <w:r w:rsidRPr="00B36439">
        <w:rPr>
          <w:rFonts w:ascii="Arial" w:eastAsiaTheme="minorEastAsia" w:hAnsi="Arial" w:cs="Arial"/>
        </w:rPr>
        <w:t>, R., &amp; Hartman, R. E. (2023). Impact of the gut–brain axis and probiotics on Alzheimer’s disease. Brain Sciences, 13(9), 1319. https://doi.org/10.3390/brainsci13091319</w:t>
      </w:r>
    </w:p>
    <w:p w14:paraId="274B4418"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Tamtaji</w:t>
      </w:r>
      <w:proofErr w:type="spellEnd"/>
      <w:r w:rsidRPr="00B36439">
        <w:rPr>
          <w:rFonts w:ascii="Arial" w:eastAsiaTheme="minorEastAsia" w:hAnsi="Arial" w:cs="Arial"/>
        </w:rPr>
        <w:t xml:space="preserve">, O., </w:t>
      </w:r>
      <w:proofErr w:type="spellStart"/>
      <w:r w:rsidRPr="00B36439">
        <w:rPr>
          <w:rFonts w:ascii="Arial" w:eastAsiaTheme="minorEastAsia" w:hAnsi="Arial" w:cs="Arial"/>
        </w:rPr>
        <w:t>Heidari-Soureshjani</w:t>
      </w:r>
      <w:proofErr w:type="spellEnd"/>
      <w:r w:rsidRPr="00B36439">
        <w:rPr>
          <w:rFonts w:ascii="Arial" w:eastAsiaTheme="minorEastAsia" w:hAnsi="Arial" w:cs="Arial"/>
        </w:rPr>
        <w:t xml:space="preserve">, R., </w:t>
      </w:r>
      <w:proofErr w:type="spellStart"/>
      <w:r w:rsidRPr="00B36439">
        <w:rPr>
          <w:rFonts w:ascii="Arial" w:eastAsiaTheme="minorEastAsia" w:hAnsi="Arial" w:cs="Arial"/>
        </w:rPr>
        <w:t>Asemi</w:t>
      </w:r>
      <w:proofErr w:type="spellEnd"/>
      <w:r w:rsidRPr="00B36439">
        <w:rPr>
          <w:rFonts w:ascii="Arial" w:eastAsiaTheme="minorEastAsia" w:hAnsi="Arial" w:cs="Arial"/>
        </w:rPr>
        <w:t xml:space="preserve">, Z., &amp; </w:t>
      </w:r>
      <w:proofErr w:type="spellStart"/>
      <w:r w:rsidRPr="00B36439">
        <w:rPr>
          <w:rFonts w:ascii="Arial" w:eastAsiaTheme="minorEastAsia" w:hAnsi="Arial" w:cs="Arial"/>
        </w:rPr>
        <w:t>Kouchaki</w:t>
      </w:r>
      <w:proofErr w:type="spellEnd"/>
      <w:r w:rsidRPr="00B36439">
        <w:rPr>
          <w:rFonts w:ascii="Arial" w:eastAsiaTheme="minorEastAsia" w:hAnsi="Arial" w:cs="Arial"/>
        </w:rPr>
        <w:t>, E. (2023). The effects of Spirulina intake on clinical and metabolic parameters in Alzheimer's disease: A randomized, double</w:t>
      </w:r>
      <w:r w:rsidRPr="00B36439">
        <w:rPr>
          <w:rFonts w:ascii="Cambria Math" w:eastAsiaTheme="minorEastAsia" w:hAnsi="Cambria Math" w:cs="Cambria Math"/>
        </w:rPr>
        <w:t>‐</w:t>
      </w:r>
      <w:r w:rsidRPr="00B36439">
        <w:rPr>
          <w:rFonts w:ascii="Arial" w:eastAsiaTheme="minorEastAsia" w:hAnsi="Arial" w:cs="Arial"/>
        </w:rPr>
        <w:t>blind, controlled trial. Phytotherapy Research, 37(7), 2957–2964. https://doi.org/10.1002/ptr.7791</w:t>
      </w:r>
    </w:p>
    <w:p w14:paraId="0D800B9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Tavares, J. F., Oliveira, A. C., Nascimento, T. D. S., Gomes, J. A., Parente, A. T., Bezerra, J. J. L., Da Costa, M. S., De Aguiar, M. F., Sampaio, T. L., Lima, F. A. V., Viana, G. S. B., &amp; De Andrade, G. M. (2024). Aqueous extract of Spirulina exerts neuroprotection in an experimental model of Alzheimer sporadic disease in mice induced by streptozotocin. Metabolic Brain Disease, 39, 26. https://doi.org/10.1007/s11011-024-01477-7</w:t>
      </w:r>
    </w:p>
    <w:p w14:paraId="04493C2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Thangaraj, M., Saravana, B., Thanasekaran, J., Joen-Rong, S., </w:t>
      </w:r>
      <w:proofErr w:type="spellStart"/>
      <w:r w:rsidRPr="00B36439">
        <w:rPr>
          <w:rFonts w:ascii="Arial" w:eastAsiaTheme="minorEastAsia" w:hAnsi="Arial" w:cs="Arial"/>
        </w:rPr>
        <w:t>Manubolu</w:t>
      </w:r>
      <w:proofErr w:type="spellEnd"/>
      <w:r w:rsidRPr="00B36439">
        <w:rPr>
          <w:rFonts w:ascii="Arial" w:eastAsiaTheme="minorEastAsia" w:hAnsi="Arial" w:cs="Arial"/>
        </w:rPr>
        <w:t xml:space="preserve">, M., &amp; </w:t>
      </w:r>
      <w:proofErr w:type="spellStart"/>
      <w:r w:rsidRPr="00B36439">
        <w:rPr>
          <w:rFonts w:ascii="Arial" w:eastAsiaTheme="minorEastAsia" w:hAnsi="Arial" w:cs="Arial"/>
        </w:rPr>
        <w:t>Pathakoti</w:t>
      </w:r>
      <w:proofErr w:type="spellEnd"/>
      <w:r w:rsidRPr="00B36439">
        <w:rPr>
          <w:rFonts w:ascii="Arial" w:eastAsiaTheme="minorEastAsia" w:hAnsi="Arial" w:cs="Arial"/>
        </w:rPr>
        <w:t xml:space="preserve">, K. (2022). Phytochemicals of algae, </w:t>
      </w:r>
      <w:proofErr w:type="spellStart"/>
      <w:r w:rsidRPr="00B36439">
        <w:rPr>
          <w:rFonts w:ascii="Arial" w:eastAsiaTheme="minorEastAsia" w:hAnsi="Arial" w:cs="Arial"/>
        </w:rPr>
        <w:t>Arthrospira</w:t>
      </w:r>
      <w:proofErr w:type="spellEnd"/>
      <w:r w:rsidRPr="00B36439">
        <w:rPr>
          <w:rFonts w:ascii="Arial" w:eastAsiaTheme="minorEastAsia" w:hAnsi="Arial" w:cs="Arial"/>
        </w:rPr>
        <w:t xml:space="preserve"> platensis (spirulina), Chlorella vulgaris (chlorella) and Azolla pinnata (azolla). GSC Biological and Pharmaceutical Sciences, 19(2), 167–173. https://doi.org/10.30574/gscbps.2022.19.2.0167</w:t>
      </w:r>
    </w:p>
    <w:p w14:paraId="08967D84"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Ticinesi</w:t>
      </w:r>
      <w:proofErr w:type="spellEnd"/>
      <w:r w:rsidRPr="00B36439">
        <w:rPr>
          <w:rFonts w:ascii="Arial" w:eastAsiaTheme="minorEastAsia" w:hAnsi="Arial" w:cs="Arial"/>
        </w:rPr>
        <w:t xml:space="preserve">, A., </w:t>
      </w:r>
      <w:proofErr w:type="spellStart"/>
      <w:r w:rsidRPr="00B36439">
        <w:rPr>
          <w:rFonts w:ascii="Arial" w:eastAsiaTheme="minorEastAsia" w:hAnsi="Arial" w:cs="Arial"/>
        </w:rPr>
        <w:t>Mancabelli</w:t>
      </w:r>
      <w:proofErr w:type="spellEnd"/>
      <w:r w:rsidRPr="00B36439">
        <w:rPr>
          <w:rFonts w:ascii="Arial" w:eastAsiaTheme="minorEastAsia" w:hAnsi="Arial" w:cs="Arial"/>
        </w:rPr>
        <w:t xml:space="preserve">, L., Carnevali, L., </w:t>
      </w:r>
      <w:proofErr w:type="spellStart"/>
      <w:r w:rsidRPr="00B36439">
        <w:rPr>
          <w:rFonts w:ascii="Arial" w:eastAsiaTheme="minorEastAsia" w:hAnsi="Arial" w:cs="Arial"/>
        </w:rPr>
        <w:t>Nouvenne</w:t>
      </w:r>
      <w:proofErr w:type="spellEnd"/>
      <w:r w:rsidRPr="00B36439">
        <w:rPr>
          <w:rFonts w:ascii="Arial" w:eastAsiaTheme="minorEastAsia" w:hAnsi="Arial" w:cs="Arial"/>
        </w:rPr>
        <w:t xml:space="preserve">, A., Meschi, T., Del Rio, D., Ventura, M., </w:t>
      </w:r>
      <w:proofErr w:type="spellStart"/>
      <w:r w:rsidRPr="00B36439">
        <w:rPr>
          <w:rFonts w:ascii="Arial" w:eastAsiaTheme="minorEastAsia" w:hAnsi="Arial" w:cs="Arial"/>
        </w:rPr>
        <w:t>Sgoifo</w:t>
      </w:r>
      <w:proofErr w:type="spellEnd"/>
      <w:r w:rsidRPr="00B36439">
        <w:rPr>
          <w:rFonts w:ascii="Arial" w:eastAsiaTheme="minorEastAsia" w:hAnsi="Arial" w:cs="Arial"/>
        </w:rPr>
        <w:t xml:space="preserve">, A., &amp; Angelino, D. (2022). Interaction between diet and microbiota in the pathophysiology of Alzheimer's disease: Focus on polyphenols and dietary </w:t>
      </w:r>
      <w:proofErr w:type="spellStart"/>
      <w:r w:rsidRPr="00B36439">
        <w:rPr>
          <w:rFonts w:ascii="Arial" w:eastAsiaTheme="minorEastAsia" w:hAnsi="Arial" w:cs="Arial"/>
        </w:rPr>
        <w:t>fibers</w:t>
      </w:r>
      <w:proofErr w:type="spellEnd"/>
      <w:r w:rsidRPr="00B36439">
        <w:rPr>
          <w:rFonts w:ascii="Arial" w:eastAsiaTheme="minorEastAsia" w:hAnsi="Arial" w:cs="Arial"/>
        </w:rPr>
        <w:t>. Journal of Alzheimer's Disease, 86(3), 961–982. https://doi.org/10.3233/JAD-215493</w:t>
      </w:r>
    </w:p>
    <w:p w14:paraId="1059EB67"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Tokusoglu</w:t>
      </w:r>
      <w:proofErr w:type="spellEnd"/>
      <w:r w:rsidRPr="00B36439">
        <w:rPr>
          <w:rFonts w:ascii="Arial" w:eastAsiaTheme="minorEastAsia" w:hAnsi="Arial" w:cs="Arial"/>
        </w:rPr>
        <w:t xml:space="preserve">, O., &amp; Ünal, M. K. (2003). Biomass nutrient profiles of three microalgae: Spirulina platensis, Chlorella vulgaris, and </w:t>
      </w:r>
      <w:proofErr w:type="spellStart"/>
      <w:r w:rsidRPr="00B36439">
        <w:rPr>
          <w:rFonts w:ascii="Arial" w:eastAsiaTheme="minorEastAsia" w:hAnsi="Arial" w:cs="Arial"/>
        </w:rPr>
        <w:t>Isochrysis</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galbana</w:t>
      </w:r>
      <w:proofErr w:type="spellEnd"/>
      <w:r w:rsidRPr="00B36439">
        <w:rPr>
          <w:rFonts w:ascii="Arial" w:eastAsiaTheme="minorEastAsia" w:hAnsi="Arial" w:cs="Arial"/>
        </w:rPr>
        <w:t>. Journal of Food Science, 68(4), 1144–1148. https://doi.org/10.1111/j.1365-2621.2003.tb09615.x</w:t>
      </w:r>
    </w:p>
    <w:p w14:paraId="64A8759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Torres</w:t>
      </w:r>
      <w:r w:rsidRPr="00B36439">
        <w:rPr>
          <w:rFonts w:ascii="Cambria Math" w:eastAsiaTheme="minorEastAsia" w:hAnsi="Cambria Math" w:cs="Cambria Math"/>
        </w:rPr>
        <w:t>‐</w:t>
      </w:r>
      <w:r w:rsidRPr="00B36439">
        <w:rPr>
          <w:rFonts w:ascii="Arial" w:eastAsiaTheme="minorEastAsia" w:hAnsi="Arial" w:cs="Arial"/>
        </w:rPr>
        <w:t xml:space="preserve">Fuentes, C., Schellekens, H., Cryan, J. F., </w:t>
      </w:r>
      <w:proofErr w:type="spellStart"/>
      <w:r w:rsidRPr="00B36439">
        <w:rPr>
          <w:rFonts w:ascii="Arial" w:eastAsiaTheme="minorEastAsia" w:hAnsi="Arial" w:cs="Arial"/>
        </w:rPr>
        <w:t>Espín</w:t>
      </w:r>
      <w:proofErr w:type="spellEnd"/>
      <w:r w:rsidRPr="00B36439">
        <w:rPr>
          <w:rFonts w:ascii="Arial" w:eastAsiaTheme="minorEastAsia" w:hAnsi="Arial" w:cs="Arial"/>
        </w:rPr>
        <w:t>, J. C., &amp; Muguerza, B. (2025). Interplay between (poly)phenols, gut microbiota, and biological rhythms: Outlook for a new paradigm in brain health. Critical Reviews in Food Science and Nutrition. Advance online publication. https://doi.org/10.1080/10408398.2025.2559367</w:t>
      </w:r>
    </w:p>
    <w:p w14:paraId="2DB4951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Tsao, S. P., </w:t>
      </w:r>
      <w:proofErr w:type="spellStart"/>
      <w:r w:rsidRPr="00B36439">
        <w:rPr>
          <w:rFonts w:ascii="Arial" w:eastAsiaTheme="minorEastAsia" w:hAnsi="Arial" w:cs="Arial"/>
        </w:rPr>
        <w:t>Nurrahma</w:t>
      </w:r>
      <w:proofErr w:type="spellEnd"/>
      <w:r w:rsidRPr="00B36439">
        <w:rPr>
          <w:rFonts w:ascii="Arial" w:eastAsiaTheme="minorEastAsia" w:hAnsi="Arial" w:cs="Arial"/>
        </w:rPr>
        <w:t>, B. A., Kumar, R., Wu, C. H., Yeh, T. H., Chiu, C. C., Lee, Y. P., Liao, Y. C., Huang, C. H., Yeh, Y. T., &amp; Huang, H. Y. (2021). Probiotic enhancement of antioxidant capacity and alterations of gut microbiota composition in 6-hydroxydopamine-induced Parkinson's disease rats. Antioxidants, 10(11), 1823. https://doi.org/10.3390/antiox10111823</w:t>
      </w:r>
    </w:p>
    <w:p w14:paraId="03C7C49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Tsao, S.-P., Yeh, T.-H., Lin, Y.-C., Pan, C.-H., Lee, Y.-C., Wu, C.-H., &amp; Huang, H.-Y. (2024). Supplementation with Bifidobacterium </w:t>
      </w:r>
      <w:proofErr w:type="spellStart"/>
      <w:r w:rsidRPr="00B36439">
        <w:rPr>
          <w:rFonts w:ascii="Arial" w:eastAsiaTheme="minorEastAsia" w:hAnsi="Arial" w:cs="Arial"/>
        </w:rPr>
        <w:t>animalis</w:t>
      </w:r>
      <w:proofErr w:type="spellEnd"/>
      <w:r w:rsidRPr="00B36439">
        <w:rPr>
          <w:rFonts w:ascii="Arial" w:eastAsiaTheme="minorEastAsia" w:hAnsi="Arial" w:cs="Arial"/>
        </w:rPr>
        <w:t xml:space="preserve"> subsp. lactis MH-022 </w:t>
      </w:r>
      <w:r w:rsidRPr="00B36439">
        <w:rPr>
          <w:rFonts w:ascii="Arial" w:eastAsiaTheme="minorEastAsia" w:hAnsi="Arial" w:cs="Arial"/>
        </w:rPr>
        <w:lastRenderedPageBreak/>
        <w:t>for remission of motor impairments in a 6-OHDA-induced Parkinson's disease rat model by reducing inflammation, reshaping the gut microbiome, and fostering specific microbial taxa. Food &amp; Function, 15(13), 6960–6976. https://doi.org/10.1039/d4fo02039a</w:t>
      </w:r>
    </w:p>
    <w:p w14:paraId="21CE4BD2"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Vahdati</w:t>
      </w:r>
      <w:proofErr w:type="spellEnd"/>
      <w:r w:rsidRPr="00B36439">
        <w:rPr>
          <w:rFonts w:ascii="Arial" w:eastAsiaTheme="minorEastAsia" w:hAnsi="Arial" w:cs="Arial"/>
        </w:rPr>
        <w:t xml:space="preserve">, S., Lashkari, A., </w:t>
      </w:r>
      <w:proofErr w:type="spellStart"/>
      <w:r w:rsidRPr="00B36439">
        <w:rPr>
          <w:rFonts w:ascii="Arial" w:eastAsiaTheme="minorEastAsia" w:hAnsi="Arial" w:cs="Arial"/>
        </w:rPr>
        <w:t>Navasatli</w:t>
      </w:r>
      <w:proofErr w:type="spellEnd"/>
      <w:r w:rsidRPr="00B36439">
        <w:rPr>
          <w:rFonts w:ascii="Arial" w:eastAsiaTheme="minorEastAsia" w:hAnsi="Arial" w:cs="Arial"/>
        </w:rPr>
        <w:t>, S., Ardestani, S. K., &amp; Safavi, M. (2022). Butylated hydroxyl-toluene, 2,4-di-tert-butylphenol, and phytol of Chlorella sp. protect the PC12 cell line against H2O2-induced neurotoxicity. Biomedicine &amp; Pharmacotherapy, 145, 112415. https://doi.org/10.1016/j.biopha.2021.112415</w:t>
      </w:r>
    </w:p>
    <w:p w14:paraId="023F8525"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Vaidya, N., &amp; </w:t>
      </w:r>
      <w:proofErr w:type="spellStart"/>
      <w:r w:rsidRPr="00B36439">
        <w:rPr>
          <w:rFonts w:ascii="Arial" w:eastAsiaTheme="minorEastAsia" w:hAnsi="Arial" w:cs="Arial"/>
        </w:rPr>
        <w:t>Mandalika</w:t>
      </w:r>
      <w:proofErr w:type="spellEnd"/>
      <w:r w:rsidRPr="00B36439">
        <w:rPr>
          <w:rFonts w:ascii="Arial" w:eastAsiaTheme="minorEastAsia" w:hAnsi="Arial" w:cs="Arial"/>
        </w:rPr>
        <w:t>, S. (2015). Nutrition, neuroinflammation and cognition. Journal of Nutritional Therapeutics, 4(3), 93–103. https://doi.org/10.6000/1929-5634.2015.04.03.4</w:t>
      </w:r>
    </w:p>
    <w:p w14:paraId="59E3855A"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Valvaikar</w:t>
      </w:r>
      <w:proofErr w:type="spellEnd"/>
      <w:r w:rsidRPr="00B36439">
        <w:rPr>
          <w:rFonts w:ascii="Arial" w:eastAsiaTheme="minorEastAsia" w:hAnsi="Arial" w:cs="Arial"/>
        </w:rPr>
        <w:t xml:space="preserve">, S., Vaidya, B., Sharma, S., Bishnoi, M., </w:t>
      </w:r>
      <w:proofErr w:type="spellStart"/>
      <w:r w:rsidRPr="00B36439">
        <w:rPr>
          <w:rFonts w:ascii="Arial" w:eastAsiaTheme="minorEastAsia" w:hAnsi="Arial" w:cs="Arial"/>
        </w:rPr>
        <w:t>Kondepudi</w:t>
      </w:r>
      <w:proofErr w:type="spellEnd"/>
      <w:r w:rsidRPr="00B36439">
        <w:rPr>
          <w:rFonts w:ascii="Arial" w:eastAsiaTheme="minorEastAsia" w:hAnsi="Arial" w:cs="Arial"/>
        </w:rPr>
        <w:t xml:space="preserve">, K. K., &amp; Sharma, S. S. (2024). Supplementation of probiotic Bifidobacterium breve BIF11 reverses </w:t>
      </w:r>
      <w:proofErr w:type="spellStart"/>
      <w:r w:rsidRPr="00B36439">
        <w:rPr>
          <w:rFonts w:ascii="Arial" w:eastAsiaTheme="minorEastAsia" w:hAnsi="Arial" w:cs="Arial"/>
        </w:rPr>
        <w:t>neurobehavioural</w:t>
      </w:r>
      <w:proofErr w:type="spellEnd"/>
      <w:r w:rsidRPr="00B36439">
        <w:rPr>
          <w:rFonts w:ascii="Arial" w:eastAsiaTheme="minorEastAsia" w:hAnsi="Arial" w:cs="Arial"/>
        </w:rPr>
        <w:t xml:space="preserve"> deficits, inflammatory changes and oxidative stress in Parkinson's disease model. Neurochemistry International, 174, 105691. https://doi.org/10.1016/j.neuint.2024.105691</w:t>
      </w:r>
    </w:p>
    <w:p w14:paraId="087FAE49"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Wang, H., Zhao, T., Liu, Z., Ma, J., Li, X., Huang, X. D., &amp; Li, B. (2023). The </w:t>
      </w:r>
      <w:proofErr w:type="spellStart"/>
      <w:r w:rsidRPr="00B36439">
        <w:rPr>
          <w:rFonts w:ascii="Arial" w:eastAsiaTheme="minorEastAsia" w:hAnsi="Arial" w:cs="Arial"/>
        </w:rPr>
        <w:t>neuromodulatory</w:t>
      </w:r>
      <w:proofErr w:type="spellEnd"/>
      <w:r w:rsidRPr="00B36439">
        <w:rPr>
          <w:rFonts w:ascii="Arial" w:eastAsiaTheme="minorEastAsia" w:hAnsi="Arial" w:cs="Arial"/>
        </w:rPr>
        <w:t xml:space="preserve"> effects of flavonoids and gut microbiota through the gut-brain axis. Frontiers in Cellular and Infection Microbiology, 13, 1197646. https://doi.org/10.3389/fcimb.2023.1197646</w:t>
      </w:r>
    </w:p>
    <w:p w14:paraId="254DCFC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Wang, P., Zhang, S., Li, S., Guo, W., &amp; Wu, H. (2025). High-dose supplementation of Chlorella and Spirulina increases beneficial gut bacteria in healthy ICR mice: A 90-day feeding study. Journal of Functional Foods, 124, 106796. https://doi.org/10.1016/j.jff.2025.106796</w:t>
      </w:r>
    </w:p>
    <w:p w14:paraId="3529EEE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Wang, S., </w:t>
      </w:r>
      <w:proofErr w:type="spellStart"/>
      <w:r w:rsidRPr="00B36439">
        <w:rPr>
          <w:rFonts w:ascii="Arial" w:eastAsiaTheme="minorEastAsia" w:hAnsi="Arial" w:cs="Arial"/>
        </w:rPr>
        <w:t>Chuu</w:t>
      </w:r>
      <w:proofErr w:type="spellEnd"/>
      <w:r w:rsidRPr="00B36439">
        <w:rPr>
          <w:rFonts w:ascii="Arial" w:eastAsiaTheme="minorEastAsia" w:hAnsi="Arial" w:cs="Arial"/>
        </w:rPr>
        <w:t xml:space="preserve">, J.-J., Lee, C.-C., &amp; Chang, C.-Y. (2023). Exploring the therapeutic efficacy of Chlorella </w:t>
      </w:r>
      <w:proofErr w:type="spellStart"/>
      <w:r w:rsidRPr="00B36439">
        <w:rPr>
          <w:rFonts w:ascii="Arial" w:eastAsiaTheme="minorEastAsia" w:hAnsi="Arial" w:cs="Arial"/>
        </w:rPr>
        <w:t>pyrenoidosa</w:t>
      </w:r>
      <w:proofErr w:type="spellEnd"/>
      <w:r w:rsidRPr="00B36439">
        <w:rPr>
          <w:rFonts w:ascii="Arial" w:eastAsiaTheme="minorEastAsia" w:hAnsi="Arial" w:cs="Arial"/>
        </w:rPr>
        <w:t xml:space="preserve"> peptides in ameliorating Alzheimer's disease. </w:t>
      </w:r>
      <w:proofErr w:type="spellStart"/>
      <w:r w:rsidRPr="00B36439">
        <w:rPr>
          <w:rFonts w:ascii="Arial" w:eastAsiaTheme="minorEastAsia" w:hAnsi="Arial" w:cs="Arial"/>
        </w:rPr>
        <w:t>Heliyon</w:t>
      </w:r>
      <w:proofErr w:type="spellEnd"/>
      <w:r w:rsidRPr="00B36439">
        <w:rPr>
          <w:rFonts w:ascii="Arial" w:eastAsiaTheme="minorEastAsia" w:hAnsi="Arial" w:cs="Arial"/>
        </w:rPr>
        <w:t>, 9(11), e15406. https://doi.org/10.1016/j.heliyon.2023.e15406</w:t>
      </w:r>
    </w:p>
    <w:p w14:paraId="24BEB7F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Zhang, F., Lu, J., Zhang, J., &amp; Xie, J. (2015). Protective effects of a polysaccharide from Spirulina platensis on dopaminergic neurons in an MPTP-induced Parkinson's disease model in C57BL/6J mice. Neural Regeneration Research, 10(2), 308–313. https://doi.org/10.4103/1673-5374.152387</w:t>
      </w:r>
    </w:p>
    <w:p w14:paraId="43A41A01"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Zhang, W., Dong, X., &amp; Huang, R. (2023). Antiparkinsonian effects of polyphenols: A narrative review with a focus on the modulation of the gut-brain axis. Pharmacological Research, 193, 106787. https://doi.org/10.1016/j.phrs.2023.106787</w:t>
      </w:r>
    </w:p>
    <w:p w14:paraId="098676B4"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lastRenderedPageBreak/>
        <w:t>Zhang, Y., Yu, W., Zhang, L., Wang, M., &amp; Chang, W. (2022). The interaction of polyphenols and the gut microbiota in neurodegenerative diseases. Nutrients, 14(24), 5373. https://doi.org/10.3390/nu14245373</w:t>
      </w:r>
    </w:p>
    <w:p w14:paraId="06847EC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Zhou, L., Wong, K. Y., &amp; Xie, H. (2025). Modulation of intestinal inflammation and protection of dopaminergic neurons in Parkinson's disease mice through a probiotic formulation targeting NLRP3 inflammasome. Journal of Neuroimmune Pharmacology, 20, 25-42. https://doi.org/10.1007/s11481-024-10163-5</w:t>
      </w:r>
    </w:p>
    <w:p w14:paraId="24016D25" w14:textId="77777777" w:rsidR="002A1161" w:rsidRPr="009352C5" w:rsidRDefault="002A1161" w:rsidP="0001502B">
      <w:pPr>
        <w:pStyle w:val="MdParagraph"/>
        <w:spacing w:line="360" w:lineRule="auto"/>
        <w:jc w:val="both"/>
        <w:rPr>
          <w:rFonts w:ascii="Arial" w:hAnsi="Arial" w:cs="Arial"/>
        </w:rPr>
      </w:pPr>
    </w:p>
    <w:sectPr w:rsidR="002A1161" w:rsidRPr="009352C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12595" w14:textId="77777777" w:rsidR="00674998" w:rsidRDefault="00674998" w:rsidP="00533FC5">
      <w:r>
        <w:separator/>
      </w:r>
    </w:p>
  </w:endnote>
  <w:endnote w:type="continuationSeparator" w:id="0">
    <w:p w14:paraId="64F00269" w14:textId="77777777" w:rsidR="00674998" w:rsidRDefault="00674998" w:rsidP="0053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86906" w14:textId="77777777" w:rsidR="00533FC5" w:rsidRDefault="00533F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2D47" w14:textId="77777777" w:rsidR="00533FC5" w:rsidRDefault="00533F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5834B" w14:textId="77777777" w:rsidR="00533FC5" w:rsidRDefault="00533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5ACEB" w14:textId="77777777" w:rsidR="00674998" w:rsidRDefault="00674998" w:rsidP="00533FC5">
      <w:r>
        <w:separator/>
      </w:r>
    </w:p>
  </w:footnote>
  <w:footnote w:type="continuationSeparator" w:id="0">
    <w:p w14:paraId="7F87FBE4" w14:textId="77777777" w:rsidR="00674998" w:rsidRDefault="00674998" w:rsidP="00533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8E12" w14:textId="2DD82D6C" w:rsidR="00533FC5" w:rsidRDefault="00533FC5">
    <w:pPr>
      <w:pStyle w:val="Header"/>
    </w:pPr>
    <w:r>
      <w:rPr>
        <w:noProof/>
      </w:rPr>
      <w:pict w14:anchorId="5B24C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8553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CED6" w14:textId="4D9D658B" w:rsidR="00533FC5" w:rsidRDefault="00533FC5">
    <w:pPr>
      <w:pStyle w:val="Header"/>
    </w:pPr>
    <w:r>
      <w:rPr>
        <w:noProof/>
      </w:rPr>
      <w:pict w14:anchorId="42518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8553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FDF4" w14:textId="446F990C" w:rsidR="00533FC5" w:rsidRDefault="00533FC5">
    <w:pPr>
      <w:pStyle w:val="Header"/>
    </w:pPr>
    <w:r>
      <w:rPr>
        <w:noProof/>
      </w:rPr>
      <w:pict w14:anchorId="756F2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8553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A523E"/>
    <w:multiLevelType w:val="multilevel"/>
    <w:tmpl w:val="8D28CBF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0BC2019"/>
    <w:multiLevelType w:val="hybridMultilevel"/>
    <w:tmpl w:val="4120E9B6"/>
    <w:lvl w:ilvl="0" w:tplc="7DF82334">
      <w:start w:val="1"/>
      <w:numFmt w:val="bullet"/>
      <w:lvlText w:val="•"/>
      <w:lvlJc w:val="left"/>
      <w:pPr>
        <w:ind w:left="720" w:hanging="360"/>
      </w:pPr>
    </w:lvl>
    <w:lvl w:ilvl="1" w:tplc="009EF984">
      <w:start w:val="1"/>
      <w:numFmt w:val="bullet"/>
      <w:lvlText w:val="◦"/>
      <w:lvlJc w:val="left"/>
      <w:pPr>
        <w:ind w:left="1440" w:hanging="360"/>
      </w:pPr>
    </w:lvl>
    <w:lvl w:ilvl="2" w:tplc="DDB05A7E">
      <w:start w:val="1"/>
      <w:numFmt w:val="bullet"/>
      <w:lvlText w:val="•"/>
      <w:lvlJc w:val="left"/>
      <w:pPr>
        <w:ind w:left="2160" w:hanging="360"/>
      </w:pPr>
    </w:lvl>
    <w:lvl w:ilvl="3" w:tplc="FC4209F0">
      <w:start w:val="1"/>
      <w:numFmt w:val="bullet"/>
      <w:lvlText w:val="◦"/>
      <w:lvlJc w:val="left"/>
      <w:pPr>
        <w:ind w:left="2880" w:hanging="360"/>
      </w:pPr>
    </w:lvl>
    <w:lvl w:ilvl="4" w:tplc="B91041F6">
      <w:start w:val="1"/>
      <w:numFmt w:val="bullet"/>
      <w:lvlText w:val="•"/>
      <w:lvlJc w:val="left"/>
      <w:pPr>
        <w:ind w:left="3600" w:hanging="360"/>
      </w:pPr>
    </w:lvl>
    <w:lvl w:ilvl="5" w:tplc="D8FCDEE6">
      <w:start w:val="1"/>
      <w:numFmt w:val="bullet"/>
      <w:lvlText w:val="◦"/>
      <w:lvlJc w:val="left"/>
      <w:pPr>
        <w:ind w:left="4320" w:hanging="360"/>
      </w:pPr>
    </w:lvl>
    <w:lvl w:ilvl="6" w:tplc="AB60008E">
      <w:start w:val="1"/>
      <w:numFmt w:val="bullet"/>
      <w:lvlText w:val="•"/>
      <w:lvlJc w:val="left"/>
      <w:pPr>
        <w:ind w:left="5040" w:hanging="360"/>
      </w:pPr>
    </w:lvl>
    <w:lvl w:ilvl="7" w:tplc="9140C168">
      <w:numFmt w:val="decimal"/>
      <w:lvlText w:val=""/>
      <w:lvlJc w:val="left"/>
    </w:lvl>
    <w:lvl w:ilvl="8" w:tplc="3560284C">
      <w:numFmt w:val="decimal"/>
      <w:lvlText w:val=""/>
      <w:lvlJc w:val="left"/>
    </w:lvl>
  </w:abstractNum>
  <w:abstractNum w:abstractNumId="2" w15:restartNumberingAfterBreak="0">
    <w:nsid w:val="48745F7E"/>
    <w:multiLevelType w:val="hybridMultilevel"/>
    <w:tmpl w:val="84D8D628"/>
    <w:lvl w:ilvl="0" w:tplc="5BFC5602">
      <w:start w:val="1"/>
      <w:numFmt w:val="bullet"/>
      <w:lvlText w:val="●"/>
      <w:lvlJc w:val="left"/>
      <w:pPr>
        <w:ind w:left="720" w:hanging="360"/>
      </w:pPr>
    </w:lvl>
    <w:lvl w:ilvl="1" w:tplc="ED043A1E">
      <w:start w:val="1"/>
      <w:numFmt w:val="bullet"/>
      <w:lvlText w:val="○"/>
      <w:lvlJc w:val="left"/>
      <w:pPr>
        <w:ind w:left="1440" w:hanging="360"/>
      </w:pPr>
    </w:lvl>
    <w:lvl w:ilvl="2" w:tplc="E77C288C">
      <w:start w:val="1"/>
      <w:numFmt w:val="bullet"/>
      <w:lvlText w:val="■"/>
      <w:lvlJc w:val="left"/>
      <w:pPr>
        <w:ind w:left="2160" w:hanging="360"/>
      </w:pPr>
    </w:lvl>
    <w:lvl w:ilvl="3" w:tplc="FA3A2DCC">
      <w:start w:val="1"/>
      <w:numFmt w:val="bullet"/>
      <w:lvlText w:val="●"/>
      <w:lvlJc w:val="left"/>
      <w:pPr>
        <w:ind w:left="2880" w:hanging="360"/>
      </w:pPr>
    </w:lvl>
    <w:lvl w:ilvl="4" w:tplc="36442020">
      <w:start w:val="1"/>
      <w:numFmt w:val="bullet"/>
      <w:lvlText w:val="○"/>
      <w:lvlJc w:val="left"/>
      <w:pPr>
        <w:ind w:left="3600" w:hanging="360"/>
      </w:pPr>
    </w:lvl>
    <w:lvl w:ilvl="5" w:tplc="C38A3B78">
      <w:start w:val="1"/>
      <w:numFmt w:val="bullet"/>
      <w:lvlText w:val="■"/>
      <w:lvlJc w:val="left"/>
      <w:pPr>
        <w:ind w:left="4320" w:hanging="360"/>
      </w:pPr>
    </w:lvl>
    <w:lvl w:ilvl="6" w:tplc="BD1C535C">
      <w:start w:val="1"/>
      <w:numFmt w:val="bullet"/>
      <w:lvlText w:val="●"/>
      <w:lvlJc w:val="left"/>
      <w:pPr>
        <w:ind w:left="5040" w:hanging="360"/>
      </w:pPr>
    </w:lvl>
    <w:lvl w:ilvl="7" w:tplc="81249EEA">
      <w:start w:val="1"/>
      <w:numFmt w:val="bullet"/>
      <w:lvlText w:val="●"/>
      <w:lvlJc w:val="left"/>
      <w:pPr>
        <w:ind w:left="5760" w:hanging="360"/>
      </w:pPr>
    </w:lvl>
    <w:lvl w:ilvl="8" w:tplc="07000C5A">
      <w:start w:val="1"/>
      <w:numFmt w:val="bullet"/>
      <w:lvlText w:val="●"/>
      <w:lvlJc w:val="left"/>
      <w:pPr>
        <w:ind w:left="6480" w:hanging="360"/>
      </w:pPr>
    </w:lvl>
  </w:abstractNum>
  <w:abstractNum w:abstractNumId="3" w15:restartNumberingAfterBreak="0">
    <w:nsid w:val="60D877A8"/>
    <w:multiLevelType w:val="hybridMultilevel"/>
    <w:tmpl w:val="0624F5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num>
  <w:num w:numId="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B4C8F"/>
    <w:rsid w:val="0001502B"/>
    <w:rsid w:val="000516CF"/>
    <w:rsid w:val="00052450"/>
    <w:rsid w:val="000A7516"/>
    <w:rsid w:val="000D5B9A"/>
    <w:rsid w:val="000E11E1"/>
    <w:rsid w:val="00120722"/>
    <w:rsid w:val="00136C69"/>
    <w:rsid w:val="001444E6"/>
    <w:rsid w:val="00145488"/>
    <w:rsid w:val="00150952"/>
    <w:rsid w:val="00155BAE"/>
    <w:rsid w:val="001607E9"/>
    <w:rsid w:val="00183ED2"/>
    <w:rsid w:val="001C0346"/>
    <w:rsid w:val="001E6002"/>
    <w:rsid w:val="001F41E0"/>
    <w:rsid w:val="002046CF"/>
    <w:rsid w:val="00212B39"/>
    <w:rsid w:val="002368C3"/>
    <w:rsid w:val="00276E57"/>
    <w:rsid w:val="0029509B"/>
    <w:rsid w:val="002A0306"/>
    <w:rsid w:val="002A1161"/>
    <w:rsid w:val="002B4425"/>
    <w:rsid w:val="002B5467"/>
    <w:rsid w:val="002B778A"/>
    <w:rsid w:val="002C082B"/>
    <w:rsid w:val="002F06D4"/>
    <w:rsid w:val="002F133B"/>
    <w:rsid w:val="0038062C"/>
    <w:rsid w:val="003F6CCE"/>
    <w:rsid w:val="00421FBC"/>
    <w:rsid w:val="0044008C"/>
    <w:rsid w:val="004434F5"/>
    <w:rsid w:val="0046147E"/>
    <w:rsid w:val="00483031"/>
    <w:rsid w:val="0048516D"/>
    <w:rsid w:val="00494320"/>
    <w:rsid w:val="004A1CBC"/>
    <w:rsid w:val="004E139A"/>
    <w:rsid w:val="00533FC5"/>
    <w:rsid w:val="005431D5"/>
    <w:rsid w:val="005961E1"/>
    <w:rsid w:val="005D3527"/>
    <w:rsid w:val="0061305F"/>
    <w:rsid w:val="006428DB"/>
    <w:rsid w:val="0065636C"/>
    <w:rsid w:val="00661306"/>
    <w:rsid w:val="00674998"/>
    <w:rsid w:val="006800E0"/>
    <w:rsid w:val="006B1504"/>
    <w:rsid w:val="006B2719"/>
    <w:rsid w:val="006B509A"/>
    <w:rsid w:val="006C3891"/>
    <w:rsid w:val="006D079F"/>
    <w:rsid w:val="006E7A88"/>
    <w:rsid w:val="00741D74"/>
    <w:rsid w:val="00777B01"/>
    <w:rsid w:val="007C151B"/>
    <w:rsid w:val="007C5FD0"/>
    <w:rsid w:val="007E54CA"/>
    <w:rsid w:val="007F4B8A"/>
    <w:rsid w:val="00824880"/>
    <w:rsid w:val="008712AD"/>
    <w:rsid w:val="0088017C"/>
    <w:rsid w:val="009352C5"/>
    <w:rsid w:val="00944293"/>
    <w:rsid w:val="00970A81"/>
    <w:rsid w:val="00986104"/>
    <w:rsid w:val="009A0F0F"/>
    <w:rsid w:val="009B100A"/>
    <w:rsid w:val="00A05E09"/>
    <w:rsid w:val="00A32E19"/>
    <w:rsid w:val="00A32F3D"/>
    <w:rsid w:val="00AB4C8F"/>
    <w:rsid w:val="00AC5126"/>
    <w:rsid w:val="00B04E9F"/>
    <w:rsid w:val="00B36439"/>
    <w:rsid w:val="00B44676"/>
    <w:rsid w:val="00B4551A"/>
    <w:rsid w:val="00B7791A"/>
    <w:rsid w:val="00C079A2"/>
    <w:rsid w:val="00CB4333"/>
    <w:rsid w:val="00CC010E"/>
    <w:rsid w:val="00CD1559"/>
    <w:rsid w:val="00CD3D09"/>
    <w:rsid w:val="00CD5AF7"/>
    <w:rsid w:val="00D24ECE"/>
    <w:rsid w:val="00D36841"/>
    <w:rsid w:val="00D671F3"/>
    <w:rsid w:val="00D83517"/>
    <w:rsid w:val="00DD7BCD"/>
    <w:rsid w:val="00DF6087"/>
    <w:rsid w:val="00E44EFF"/>
    <w:rsid w:val="00E824E7"/>
    <w:rsid w:val="00E90537"/>
    <w:rsid w:val="00E93AB3"/>
    <w:rsid w:val="00EC23DE"/>
    <w:rsid w:val="00F01A22"/>
    <w:rsid w:val="00F12066"/>
    <w:rsid w:val="00F25E6C"/>
    <w:rsid w:val="00F32A00"/>
    <w:rsid w:val="00F60E3B"/>
    <w:rsid w:val="00F76B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471B5C"/>
  <w15:docId w15:val="{33201439-C5CB-41FE-87D2-FE90AAC7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BalloonText">
    <w:name w:val="Balloon Text"/>
    <w:basedOn w:val="Normal"/>
    <w:link w:val="BalloonTextChar"/>
    <w:uiPriority w:val="99"/>
    <w:semiHidden/>
    <w:unhideWhenUsed/>
    <w:rsid w:val="00AC5126"/>
    <w:rPr>
      <w:rFonts w:ascii="Tahoma" w:hAnsi="Tahoma" w:cs="Tahoma"/>
      <w:sz w:val="16"/>
      <w:szCs w:val="16"/>
    </w:rPr>
  </w:style>
  <w:style w:type="character" w:customStyle="1" w:styleId="BalloonTextChar">
    <w:name w:val="Balloon Text Char"/>
    <w:basedOn w:val="DefaultParagraphFont"/>
    <w:link w:val="BalloonText"/>
    <w:uiPriority w:val="99"/>
    <w:semiHidden/>
    <w:rsid w:val="00AC5126"/>
    <w:rPr>
      <w:rFonts w:ascii="Tahoma" w:hAnsi="Tahoma" w:cs="Tahoma"/>
      <w:sz w:val="16"/>
      <w:szCs w:val="16"/>
    </w:rPr>
  </w:style>
  <w:style w:type="character" w:styleId="Emphasis">
    <w:name w:val="Emphasis"/>
    <w:basedOn w:val="DefaultParagraphFont"/>
    <w:uiPriority w:val="20"/>
    <w:qFormat/>
    <w:rsid w:val="00741D74"/>
    <w:rPr>
      <w:i/>
      <w:iCs/>
    </w:rPr>
  </w:style>
  <w:style w:type="character" w:styleId="UnresolvedMention">
    <w:name w:val="Unresolved Mention"/>
    <w:basedOn w:val="DefaultParagraphFont"/>
    <w:uiPriority w:val="99"/>
    <w:semiHidden/>
    <w:unhideWhenUsed/>
    <w:rsid w:val="00B04E9F"/>
    <w:rPr>
      <w:color w:val="605E5C"/>
      <w:shd w:val="clear" w:color="auto" w:fill="E1DFDD"/>
    </w:rPr>
  </w:style>
  <w:style w:type="paragraph" w:styleId="Header">
    <w:name w:val="header"/>
    <w:basedOn w:val="Normal"/>
    <w:link w:val="HeaderChar"/>
    <w:uiPriority w:val="99"/>
    <w:unhideWhenUsed/>
    <w:rsid w:val="00533FC5"/>
    <w:pPr>
      <w:tabs>
        <w:tab w:val="center" w:pos="4680"/>
        <w:tab w:val="right" w:pos="9360"/>
      </w:tabs>
    </w:pPr>
  </w:style>
  <w:style w:type="character" w:customStyle="1" w:styleId="HeaderChar">
    <w:name w:val="Header Char"/>
    <w:basedOn w:val="DefaultParagraphFont"/>
    <w:link w:val="Header"/>
    <w:uiPriority w:val="99"/>
    <w:rsid w:val="00533FC5"/>
  </w:style>
  <w:style w:type="paragraph" w:styleId="Footer">
    <w:name w:val="footer"/>
    <w:basedOn w:val="Normal"/>
    <w:link w:val="FooterChar"/>
    <w:uiPriority w:val="99"/>
    <w:unhideWhenUsed/>
    <w:rsid w:val="00533FC5"/>
    <w:pPr>
      <w:tabs>
        <w:tab w:val="center" w:pos="4680"/>
        <w:tab w:val="right" w:pos="9360"/>
      </w:tabs>
    </w:pPr>
  </w:style>
  <w:style w:type="character" w:customStyle="1" w:styleId="FooterChar">
    <w:name w:val="Footer Char"/>
    <w:basedOn w:val="DefaultParagraphFont"/>
    <w:link w:val="Footer"/>
    <w:uiPriority w:val="99"/>
    <w:rsid w:val="00533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166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8FC5-3E45-4DE6-B37C-91B3F569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23</Pages>
  <Words>7763</Words>
  <Characters>44253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Converted Document</vt:lpstr>
    </vt:vector>
  </TitlesOfParts>
  <Company/>
  <LinksUpToDate>false</LinksUpToDate>
  <CharactersWithSpaces>51913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SDI 1084</cp:lastModifiedBy>
  <cp:revision>36</cp:revision>
  <dcterms:created xsi:type="dcterms:W3CDTF">2025-12-08T01:52:00Z</dcterms:created>
  <dcterms:modified xsi:type="dcterms:W3CDTF">2025-12-12T10:18:00Z</dcterms:modified>
</cp:coreProperties>
</file>