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DE9D0" w14:textId="0B48380C" w:rsidR="00896F35" w:rsidRPr="0066543C" w:rsidRDefault="008205BC" w:rsidP="002662DD">
      <w:pPr>
        <w:jc w:val="right"/>
        <w:rPr>
          <w:rFonts w:ascii="Arial" w:hAnsi="Arial" w:cs="Arial"/>
          <w:b/>
          <w:bCs/>
          <w:color w:val="000000" w:themeColor="text1"/>
          <w:sz w:val="36"/>
          <w:szCs w:val="36"/>
        </w:rPr>
      </w:pPr>
      <w:r w:rsidRPr="0066543C">
        <w:rPr>
          <w:rFonts w:ascii="Arial" w:hAnsi="Arial" w:cs="Arial"/>
          <w:b/>
          <w:bCs/>
          <w:color w:val="000000" w:themeColor="text1"/>
          <w:sz w:val="36"/>
          <w:szCs w:val="36"/>
        </w:rPr>
        <w:t xml:space="preserve">Chlorpyrifos degradation, antioxidant </w:t>
      </w:r>
      <w:r w:rsidR="00805BEA" w:rsidRPr="0066543C">
        <w:rPr>
          <w:rFonts w:ascii="Arial" w:hAnsi="Arial" w:cs="Arial"/>
          <w:b/>
          <w:bCs/>
          <w:color w:val="000000" w:themeColor="text1"/>
          <w:sz w:val="36"/>
          <w:szCs w:val="36"/>
        </w:rPr>
        <w:t>and</w:t>
      </w:r>
      <w:r w:rsidRPr="0066543C">
        <w:rPr>
          <w:rFonts w:ascii="Arial" w:hAnsi="Arial" w:cs="Arial"/>
          <w:b/>
          <w:bCs/>
          <w:color w:val="000000" w:themeColor="text1"/>
          <w:sz w:val="36"/>
          <w:szCs w:val="36"/>
        </w:rPr>
        <w:t xml:space="preserve"> </w:t>
      </w:r>
      <w:r w:rsidR="00383CF3" w:rsidRPr="0066543C">
        <w:rPr>
          <w:rFonts w:ascii="Arial" w:hAnsi="Arial" w:cs="Arial"/>
          <w:b/>
          <w:bCs/>
          <w:color w:val="000000" w:themeColor="text1"/>
          <w:sz w:val="36"/>
          <w:szCs w:val="36"/>
        </w:rPr>
        <w:t xml:space="preserve">biocontrol potential </w:t>
      </w:r>
      <w:r w:rsidRPr="0066543C">
        <w:rPr>
          <w:rFonts w:ascii="Arial" w:hAnsi="Arial" w:cs="Arial"/>
          <w:b/>
          <w:bCs/>
          <w:color w:val="000000" w:themeColor="text1"/>
          <w:sz w:val="36"/>
          <w:szCs w:val="36"/>
        </w:rPr>
        <w:t xml:space="preserve">under pesticide stress by </w:t>
      </w:r>
      <w:r w:rsidR="00383CF3" w:rsidRPr="0066543C">
        <w:rPr>
          <w:rFonts w:ascii="Arial" w:hAnsi="Arial" w:cs="Arial"/>
          <w:b/>
          <w:bCs/>
          <w:i/>
          <w:iCs/>
          <w:color w:val="000000" w:themeColor="text1"/>
          <w:sz w:val="36"/>
          <w:szCs w:val="36"/>
        </w:rPr>
        <w:t>Leptolyngbya sp.</w:t>
      </w:r>
      <w:r w:rsidRPr="0066543C">
        <w:rPr>
          <w:rFonts w:ascii="Arial" w:hAnsi="Arial" w:cs="Arial"/>
          <w:b/>
          <w:bCs/>
          <w:color w:val="000000" w:themeColor="text1"/>
          <w:sz w:val="36"/>
          <w:szCs w:val="36"/>
        </w:rPr>
        <w:t xml:space="preserve"> isolated from Paddy field</w:t>
      </w:r>
    </w:p>
    <w:p w14:paraId="7E8B1926" w14:textId="77777777" w:rsidR="00D313BA" w:rsidRPr="0066543C" w:rsidRDefault="00D313BA" w:rsidP="008205BC">
      <w:pPr>
        <w:rPr>
          <w:rFonts w:ascii="Arial" w:hAnsi="Arial" w:cs="Arial"/>
          <w:b/>
          <w:bCs/>
          <w:color w:val="000000" w:themeColor="text1"/>
          <w:sz w:val="24"/>
          <w:szCs w:val="24"/>
        </w:rPr>
      </w:pPr>
      <w:bookmarkStart w:id="0" w:name="_GoBack"/>
      <w:bookmarkEnd w:id="0"/>
    </w:p>
    <w:p w14:paraId="7404D18B" w14:textId="77777777" w:rsidR="008205BC" w:rsidRPr="0066543C" w:rsidRDefault="008205BC" w:rsidP="002662DD">
      <w:pPr>
        <w:pBdr>
          <w:top w:val="single" w:sz="4" w:space="1" w:color="auto"/>
          <w:left w:val="single" w:sz="4" w:space="4" w:color="auto"/>
          <w:bottom w:val="single" w:sz="4" w:space="1" w:color="auto"/>
          <w:right w:val="single" w:sz="4" w:space="4" w:color="auto"/>
        </w:pBdr>
        <w:rPr>
          <w:rFonts w:ascii="Arial" w:hAnsi="Arial" w:cs="Arial"/>
          <w:b/>
          <w:bCs/>
          <w:color w:val="000000" w:themeColor="text1"/>
          <w:sz w:val="20"/>
          <w:szCs w:val="20"/>
        </w:rPr>
      </w:pPr>
      <w:r w:rsidRPr="0066543C">
        <w:rPr>
          <w:rFonts w:ascii="Arial" w:hAnsi="Arial" w:cs="Arial"/>
          <w:b/>
          <w:bCs/>
          <w:color w:val="000000" w:themeColor="text1"/>
          <w:sz w:val="20"/>
          <w:szCs w:val="20"/>
        </w:rPr>
        <w:t>Abstract</w:t>
      </w:r>
    </w:p>
    <w:p w14:paraId="18E49DB8" w14:textId="77777777" w:rsidR="008A65FB" w:rsidRPr="0066543C" w:rsidRDefault="008A65FB" w:rsidP="002662DD">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themeColor="text1"/>
          <w:sz w:val="20"/>
          <w:szCs w:val="20"/>
        </w:rPr>
      </w:pPr>
      <w:r w:rsidRPr="0066543C">
        <w:rPr>
          <w:rFonts w:ascii="Arial" w:hAnsi="Arial" w:cs="Arial"/>
          <w:b/>
          <w:bCs/>
          <w:color w:val="000000" w:themeColor="text1"/>
          <w:sz w:val="20"/>
          <w:szCs w:val="20"/>
        </w:rPr>
        <w:t>Aims</w:t>
      </w:r>
      <w:r w:rsidRPr="0066543C">
        <w:rPr>
          <w:rFonts w:ascii="Arial" w:hAnsi="Arial" w:cs="Arial"/>
          <w:color w:val="000000" w:themeColor="text1"/>
          <w:sz w:val="20"/>
          <w:szCs w:val="20"/>
        </w:rPr>
        <w:t>:</w:t>
      </w:r>
      <w:r w:rsidR="009A2A85" w:rsidRPr="0066543C">
        <w:rPr>
          <w:rFonts w:ascii="Arial" w:hAnsi="Arial" w:cs="Arial"/>
          <w:color w:val="000000" w:themeColor="text1"/>
          <w:sz w:val="20"/>
          <w:szCs w:val="20"/>
        </w:rPr>
        <w:t xml:space="preserve"> </w:t>
      </w:r>
      <w:r w:rsidR="00C56601" w:rsidRPr="0066543C">
        <w:rPr>
          <w:rFonts w:ascii="Arial" w:hAnsi="Arial" w:cs="Arial"/>
          <w:sz w:val="20"/>
          <w:szCs w:val="20"/>
        </w:rPr>
        <w:t xml:space="preserve">The present study focusses on exploring the potential of cyanobacteria in the bioremediation of organophosphorus (OP) compounds, also assessing the plant growth-promoting characteristics. </w:t>
      </w:r>
      <w:r w:rsidR="009A2A85" w:rsidRPr="0066543C">
        <w:rPr>
          <w:rFonts w:ascii="Arial" w:hAnsi="Arial" w:cs="Arial"/>
          <w:color w:val="000000" w:themeColor="text1"/>
          <w:sz w:val="20"/>
          <w:szCs w:val="20"/>
        </w:rPr>
        <w:t xml:space="preserve"> </w:t>
      </w:r>
    </w:p>
    <w:p w14:paraId="57F10981" w14:textId="77777777" w:rsidR="008A65FB" w:rsidRPr="0066543C" w:rsidRDefault="008A65FB" w:rsidP="002662DD">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themeColor="text1"/>
          <w:sz w:val="20"/>
          <w:szCs w:val="20"/>
        </w:rPr>
      </w:pPr>
      <w:r w:rsidRPr="0066543C">
        <w:rPr>
          <w:rFonts w:ascii="Arial" w:hAnsi="Arial" w:cs="Arial"/>
          <w:b/>
          <w:bCs/>
          <w:color w:val="000000" w:themeColor="text1"/>
          <w:sz w:val="20"/>
          <w:szCs w:val="20"/>
        </w:rPr>
        <w:t>Study Design</w:t>
      </w:r>
      <w:r w:rsidRPr="0066543C">
        <w:rPr>
          <w:rFonts w:ascii="Arial" w:hAnsi="Arial" w:cs="Arial"/>
          <w:color w:val="000000" w:themeColor="text1"/>
          <w:sz w:val="20"/>
          <w:szCs w:val="20"/>
        </w:rPr>
        <w:t xml:space="preserve">: The study was conducted in three phases to evaluate the potential of selected cyanobacterial strains for bioremediation of organophosphorus (OP) compounds and their plant growth-promoting (PGP) properties. </w:t>
      </w:r>
    </w:p>
    <w:p w14:paraId="1BFF6F30" w14:textId="054867F3" w:rsidR="00E41F31" w:rsidRPr="0066543C" w:rsidRDefault="008A65FB" w:rsidP="002662DD">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themeColor="text1"/>
          <w:sz w:val="20"/>
          <w:szCs w:val="20"/>
        </w:rPr>
      </w:pPr>
      <w:r w:rsidRPr="0066543C">
        <w:rPr>
          <w:rFonts w:ascii="Arial" w:hAnsi="Arial" w:cs="Arial"/>
          <w:b/>
          <w:bCs/>
          <w:color w:val="000000" w:themeColor="text1"/>
          <w:sz w:val="20"/>
          <w:szCs w:val="20"/>
        </w:rPr>
        <w:t>Place and Duration of study</w:t>
      </w:r>
      <w:r w:rsidR="00E41F31" w:rsidRPr="0066543C">
        <w:rPr>
          <w:rFonts w:ascii="Arial" w:hAnsi="Arial" w:cs="Arial"/>
          <w:color w:val="000000" w:themeColor="text1"/>
          <w:sz w:val="20"/>
          <w:szCs w:val="20"/>
        </w:rPr>
        <w:t xml:space="preserve">: The work was carried out in Department of Microbiology, </w:t>
      </w:r>
      <w:proofErr w:type="spellStart"/>
      <w:r w:rsidR="00E41F31" w:rsidRPr="0066543C">
        <w:rPr>
          <w:rFonts w:ascii="Arial" w:hAnsi="Arial" w:cs="Arial"/>
          <w:color w:val="000000" w:themeColor="text1"/>
          <w:sz w:val="20"/>
          <w:szCs w:val="20"/>
        </w:rPr>
        <w:t>S.K.Porwal</w:t>
      </w:r>
      <w:proofErr w:type="spellEnd"/>
      <w:r w:rsidR="00E41F31" w:rsidRPr="0066543C">
        <w:rPr>
          <w:rFonts w:ascii="Arial" w:hAnsi="Arial" w:cs="Arial"/>
          <w:color w:val="000000" w:themeColor="text1"/>
          <w:sz w:val="20"/>
          <w:szCs w:val="20"/>
        </w:rPr>
        <w:t xml:space="preserve"> College</w:t>
      </w:r>
      <w:r w:rsidR="00486C0A" w:rsidRPr="0066543C">
        <w:rPr>
          <w:rFonts w:ascii="Arial" w:hAnsi="Arial" w:cs="Arial"/>
          <w:color w:val="000000" w:themeColor="text1"/>
          <w:sz w:val="20"/>
          <w:szCs w:val="20"/>
        </w:rPr>
        <w:t xml:space="preserve"> of Arts</w:t>
      </w:r>
      <w:r w:rsidR="00E41F31" w:rsidRPr="0066543C">
        <w:rPr>
          <w:rFonts w:ascii="Arial" w:hAnsi="Arial" w:cs="Arial"/>
          <w:color w:val="000000" w:themeColor="text1"/>
          <w:sz w:val="20"/>
          <w:szCs w:val="20"/>
        </w:rPr>
        <w:t>,</w:t>
      </w:r>
      <w:r w:rsidR="00684BCC">
        <w:rPr>
          <w:rFonts w:ascii="Arial" w:hAnsi="Arial" w:cs="Arial"/>
          <w:color w:val="000000" w:themeColor="text1"/>
          <w:sz w:val="20"/>
          <w:szCs w:val="20"/>
        </w:rPr>
        <w:t xml:space="preserve"> </w:t>
      </w:r>
      <w:r w:rsidR="00684BCC" w:rsidRPr="0066543C">
        <w:rPr>
          <w:rFonts w:ascii="Arial" w:hAnsi="Arial" w:cs="Arial"/>
          <w:color w:val="000000" w:themeColor="text1"/>
          <w:sz w:val="20"/>
          <w:szCs w:val="20"/>
        </w:rPr>
        <w:t>Science</w:t>
      </w:r>
      <w:r w:rsidR="00684BCC">
        <w:rPr>
          <w:rFonts w:ascii="Arial" w:hAnsi="Arial" w:cs="Arial"/>
          <w:color w:val="000000" w:themeColor="text1"/>
          <w:sz w:val="20"/>
          <w:szCs w:val="20"/>
        </w:rPr>
        <w:t xml:space="preserve"> and</w:t>
      </w:r>
      <w:r w:rsidR="00486C0A" w:rsidRPr="0066543C">
        <w:rPr>
          <w:rFonts w:ascii="Arial" w:hAnsi="Arial" w:cs="Arial"/>
          <w:color w:val="000000" w:themeColor="text1"/>
          <w:sz w:val="20"/>
          <w:szCs w:val="20"/>
        </w:rPr>
        <w:t xml:space="preserve"> Commerce,</w:t>
      </w:r>
      <w:r w:rsidR="00E41F31" w:rsidRPr="0066543C">
        <w:rPr>
          <w:rFonts w:ascii="Arial" w:hAnsi="Arial" w:cs="Arial"/>
          <w:color w:val="000000" w:themeColor="text1"/>
          <w:sz w:val="20"/>
          <w:szCs w:val="20"/>
        </w:rPr>
        <w:t xml:space="preserve"> </w:t>
      </w:r>
      <w:proofErr w:type="spellStart"/>
      <w:r w:rsidR="00E41F31" w:rsidRPr="0066543C">
        <w:rPr>
          <w:rFonts w:ascii="Arial" w:hAnsi="Arial" w:cs="Arial"/>
          <w:color w:val="000000" w:themeColor="text1"/>
          <w:sz w:val="20"/>
          <w:szCs w:val="20"/>
        </w:rPr>
        <w:t>Kamptee</w:t>
      </w:r>
      <w:proofErr w:type="spellEnd"/>
      <w:r w:rsidR="00E41F31" w:rsidRPr="0066543C">
        <w:rPr>
          <w:rFonts w:ascii="Arial" w:hAnsi="Arial" w:cs="Arial"/>
          <w:color w:val="000000" w:themeColor="text1"/>
          <w:sz w:val="20"/>
          <w:szCs w:val="20"/>
        </w:rPr>
        <w:t xml:space="preserve"> for one and a half year</w:t>
      </w:r>
      <w:r w:rsidR="00486C0A" w:rsidRPr="0066543C">
        <w:rPr>
          <w:rFonts w:ascii="Arial" w:hAnsi="Arial" w:cs="Arial"/>
          <w:color w:val="000000" w:themeColor="text1"/>
          <w:sz w:val="20"/>
          <w:szCs w:val="20"/>
        </w:rPr>
        <w:t>.</w:t>
      </w:r>
    </w:p>
    <w:p w14:paraId="6F1E8FA3" w14:textId="352F4F33" w:rsidR="00E41F31" w:rsidRPr="0066543C" w:rsidRDefault="00E41F31" w:rsidP="002662DD">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themeColor="text1"/>
          <w:sz w:val="20"/>
          <w:szCs w:val="20"/>
        </w:rPr>
      </w:pPr>
      <w:r w:rsidRPr="0066543C">
        <w:rPr>
          <w:rFonts w:ascii="Arial" w:hAnsi="Arial" w:cs="Arial"/>
          <w:b/>
          <w:bCs/>
          <w:color w:val="000000" w:themeColor="text1"/>
          <w:sz w:val="20"/>
          <w:szCs w:val="20"/>
        </w:rPr>
        <w:t>Methodology:</w:t>
      </w:r>
      <w:r w:rsidRPr="0066543C">
        <w:rPr>
          <w:rFonts w:ascii="Arial" w:hAnsi="Arial" w:cs="Arial"/>
          <w:color w:val="000000" w:themeColor="text1"/>
          <w:sz w:val="20"/>
          <w:szCs w:val="20"/>
        </w:rPr>
        <w:t xml:space="preserve"> Selected cyanobacterial isolates (</w:t>
      </w:r>
      <w:r w:rsidRPr="0066543C">
        <w:rPr>
          <w:rFonts w:ascii="Arial" w:hAnsi="Arial" w:cs="Arial"/>
          <w:i/>
          <w:iCs/>
          <w:color w:val="000000" w:themeColor="text1"/>
          <w:sz w:val="20"/>
          <w:szCs w:val="20"/>
        </w:rPr>
        <w:t>Leptolyngbya</w:t>
      </w:r>
      <w:r w:rsidRPr="0066543C">
        <w:rPr>
          <w:rFonts w:ascii="Arial" w:hAnsi="Arial" w:cs="Arial"/>
          <w:color w:val="000000" w:themeColor="text1"/>
          <w:sz w:val="20"/>
          <w:szCs w:val="20"/>
        </w:rPr>
        <w:t xml:space="preserve">) were cultured in BG-11 medium and exposed to organophosphorus (OP) compounds (chlorpyrifos) to assess degradation potential. </w:t>
      </w:r>
      <w:r w:rsidR="005C0FE7" w:rsidRPr="0066543C">
        <w:rPr>
          <w:rFonts w:ascii="Arial" w:hAnsi="Arial" w:cs="Arial"/>
          <w:color w:val="000000" w:themeColor="text1"/>
          <w:sz w:val="20"/>
          <w:szCs w:val="20"/>
        </w:rPr>
        <w:t>Plant growth-promoting traits (IAA production, phosphate solubilization, and siderophore activity) were quantified using standard biochemical assays.</w:t>
      </w:r>
    </w:p>
    <w:p w14:paraId="22FD5084" w14:textId="72FE2394" w:rsidR="009A2A85" w:rsidRPr="0066543C" w:rsidRDefault="00E41F31" w:rsidP="002662DD">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themeColor="text1"/>
          <w:sz w:val="20"/>
          <w:szCs w:val="20"/>
        </w:rPr>
      </w:pPr>
      <w:r w:rsidRPr="0066543C">
        <w:rPr>
          <w:rFonts w:ascii="Arial" w:hAnsi="Arial" w:cs="Arial"/>
          <w:b/>
          <w:bCs/>
          <w:color w:val="000000" w:themeColor="text1"/>
          <w:sz w:val="20"/>
          <w:szCs w:val="20"/>
        </w:rPr>
        <w:t>Results</w:t>
      </w:r>
      <w:r w:rsidRPr="0066543C">
        <w:rPr>
          <w:rFonts w:ascii="Arial" w:hAnsi="Arial" w:cs="Arial"/>
          <w:color w:val="000000" w:themeColor="text1"/>
          <w:sz w:val="20"/>
          <w:szCs w:val="20"/>
        </w:rPr>
        <w:t xml:space="preserve">: </w:t>
      </w:r>
      <w:r w:rsidR="004E4E4E" w:rsidRPr="0066543C">
        <w:rPr>
          <w:rFonts w:ascii="Arial" w:hAnsi="Arial" w:cs="Arial"/>
          <w:color w:val="000000" w:themeColor="text1"/>
          <w:sz w:val="20"/>
          <w:szCs w:val="20"/>
        </w:rPr>
        <w:t xml:space="preserve">The results demonstrated that blue-green algae (BGA) exerted simultaneous positive effects on both rice cultivation and soil properties. </w:t>
      </w:r>
      <w:r w:rsidR="007417CF" w:rsidRPr="0066543C">
        <w:rPr>
          <w:rFonts w:ascii="Arial" w:hAnsi="Arial" w:cs="Arial"/>
          <w:color w:val="000000" w:themeColor="text1"/>
          <w:sz w:val="20"/>
          <w:szCs w:val="20"/>
        </w:rPr>
        <w:t xml:space="preserve">The </w:t>
      </w:r>
      <w:r w:rsidR="007417CF" w:rsidRPr="0066543C">
        <w:rPr>
          <w:rFonts w:ascii="Arial" w:hAnsi="Arial" w:cs="Arial"/>
          <w:i/>
          <w:iCs/>
          <w:color w:val="000000" w:themeColor="text1"/>
          <w:sz w:val="20"/>
          <w:szCs w:val="20"/>
        </w:rPr>
        <w:t>Leptolyngbya sp.</w:t>
      </w:r>
      <w:r w:rsidR="004E4E4E" w:rsidRPr="0066543C">
        <w:rPr>
          <w:rFonts w:ascii="Arial" w:hAnsi="Arial" w:cs="Arial"/>
          <w:color w:val="000000" w:themeColor="text1"/>
          <w:sz w:val="20"/>
          <w:szCs w:val="20"/>
        </w:rPr>
        <w:t xml:space="preserve"> showed superior performance compared to the control, significantly improving plant growth and enhancing key soil parameters. The present study highlights the potential of cyanobacterial inoculants as effective tools for improving soil fertility and increasing rice yields. Further refinement of inoculant production techniques and extensive field-level evaluations are essential to maximize their effectiveness under sustainable agricultural systems.</w:t>
      </w:r>
      <w:r w:rsidR="000C2094" w:rsidRPr="0066543C">
        <w:rPr>
          <w:rFonts w:ascii="Arial" w:hAnsi="Arial" w:cs="Arial"/>
          <w:color w:val="000000" w:themeColor="text1"/>
          <w:sz w:val="20"/>
          <w:szCs w:val="20"/>
        </w:rPr>
        <w:t xml:space="preserve"> </w:t>
      </w:r>
    </w:p>
    <w:p w14:paraId="6B069086" w14:textId="505D5096" w:rsidR="009A2A85" w:rsidRPr="0066543C" w:rsidRDefault="009A2A85" w:rsidP="009A2A85">
      <w:pPr>
        <w:spacing w:line="360" w:lineRule="auto"/>
        <w:jc w:val="both"/>
        <w:rPr>
          <w:rFonts w:ascii="Arial" w:hAnsi="Arial" w:cs="Arial"/>
          <w:i/>
          <w:iCs/>
          <w:color w:val="000000" w:themeColor="text1"/>
          <w:sz w:val="20"/>
          <w:szCs w:val="20"/>
        </w:rPr>
      </w:pPr>
      <w:r w:rsidRPr="0066543C">
        <w:rPr>
          <w:rFonts w:ascii="Arial" w:hAnsi="Arial" w:cs="Arial"/>
          <w:b/>
          <w:bCs/>
          <w:i/>
          <w:iCs/>
          <w:color w:val="000000" w:themeColor="text1"/>
          <w:sz w:val="20"/>
          <w:szCs w:val="20"/>
        </w:rPr>
        <w:t>Keywords</w:t>
      </w:r>
      <w:r w:rsidRPr="0066543C">
        <w:rPr>
          <w:rFonts w:ascii="Arial" w:hAnsi="Arial" w:cs="Arial"/>
          <w:i/>
          <w:iCs/>
          <w:color w:val="000000" w:themeColor="text1"/>
          <w:sz w:val="20"/>
          <w:szCs w:val="20"/>
        </w:rPr>
        <w:t xml:space="preserve">: Cyanobacteria, </w:t>
      </w:r>
      <w:r w:rsidR="006307BC" w:rsidRPr="0066543C">
        <w:rPr>
          <w:rFonts w:ascii="Arial" w:hAnsi="Arial" w:cs="Arial"/>
          <w:i/>
          <w:iCs/>
          <w:color w:val="000000" w:themeColor="text1"/>
          <w:sz w:val="20"/>
          <w:szCs w:val="20"/>
        </w:rPr>
        <w:t xml:space="preserve">Bioremediation, </w:t>
      </w:r>
      <w:r w:rsidRPr="0066543C">
        <w:rPr>
          <w:rFonts w:ascii="Arial" w:hAnsi="Arial" w:cs="Arial"/>
          <w:i/>
          <w:iCs/>
          <w:color w:val="000000" w:themeColor="text1"/>
          <w:sz w:val="20"/>
          <w:szCs w:val="20"/>
        </w:rPr>
        <w:t>Organophosphorus degradation, Plant Growth-Promoting Rhizobacteria (PGPR)</w:t>
      </w:r>
    </w:p>
    <w:p w14:paraId="292F436A" w14:textId="5A5F4FD0" w:rsidR="009A2A85" w:rsidRPr="0066543C" w:rsidRDefault="002662DD" w:rsidP="002662DD">
      <w:pPr>
        <w:spacing w:line="360" w:lineRule="auto"/>
        <w:rPr>
          <w:rFonts w:ascii="Arial" w:hAnsi="Arial" w:cs="Arial"/>
          <w:b/>
          <w:bCs/>
          <w:color w:val="000000" w:themeColor="text1"/>
        </w:rPr>
      </w:pPr>
      <w:r w:rsidRPr="0066543C">
        <w:rPr>
          <w:rFonts w:ascii="Arial" w:hAnsi="Arial" w:cs="Arial"/>
          <w:b/>
          <w:bCs/>
          <w:color w:val="000000" w:themeColor="text1"/>
        </w:rPr>
        <w:t>INTRODUCTION</w:t>
      </w:r>
    </w:p>
    <w:p w14:paraId="1539FBAC" w14:textId="18BC2323" w:rsidR="009A2A85" w:rsidRPr="0066543C" w:rsidRDefault="009A2A85" w:rsidP="009A2A85">
      <w:pPr>
        <w:spacing w:line="360" w:lineRule="auto"/>
        <w:jc w:val="both"/>
        <w:rPr>
          <w:rFonts w:ascii="Arial" w:hAnsi="Arial" w:cs="Arial"/>
          <w:color w:val="000000" w:themeColor="text1"/>
          <w:sz w:val="20"/>
          <w:szCs w:val="20"/>
          <w:lang w:bidi="en-IN"/>
        </w:rPr>
      </w:pPr>
      <w:r w:rsidRPr="0066543C">
        <w:rPr>
          <w:rFonts w:ascii="Arial" w:hAnsi="Arial" w:cs="Arial"/>
          <w:color w:val="000000" w:themeColor="text1"/>
          <w:sz w:val="20"/>
          <w:szCs w:val="20"/>
          <w:lang w:bidi="en-IN"/>
        </w:rPr>
        <w:t xml:space="preserve">Organophosphorus (OP) compounds are extensively used as pesticides and industrial chemicals; however, their persistence and the formation of toxic breakdown products have led to severe environmental contamination (Kumar et al., 2018). </w:t>
      </w:r>
      <w:r w:rsidR="00122693" w:rsidRPr="0066543C">
        <w:rPr>
          <w:rFonts w:ascii="Arial" w:eastAsia="Times New Roman" w:hAnsi="Arial" w:cs="Arial"/>
          <w:kern w:val="0"/>
          <w:sz w:val="20"/>
          <w:szCs w:val="20"/>
          <w:lang w:eastAsia="en-IN"/>
          <w14:ligatures w14:val="none"/>
        </w:rPr>
        <w:t xml:space="preserve">Presently, the entry of OP residues has marked his presence in soil and water poses serious ecological and human health risks, thereby demanding the need of urgent attention towards the issue </w:t>
      </w:r>
      <w:r w:rsidRPr="0066543C">
        <w:rPr>
          <w:rFonts w:ascii="Arial" w:hAnsi="Arial" w:cs="Arial"/>
          <w:color w:val="000000" w:themeColor="text1"/>
          <w:sz w:val="20"/>
          <w:szCs w:val="20"/>
          <w:lang w:bidi="en-IN"/>
        </w:rPr>
        <w:t>(Ibrahim et al.,</w:t>
      </w:r>
      <w:r w:rsidR="00082A08" w:rsidRPr="0066543C">
        <w:rPr>
          <w:rFonts w:ascii="Arial" w:hAnsi="Arial" w:cs="Arial"/>
          <w:color w:val="000000" w:themeColor="text1"/>
          <w:sz w:val="20"/>
          <w:szCs w:val="20"/>
          <w:lang w:bidi="en-IN"/>
        </w:rPr>
        <w:t xml:space="preserve"> </w:t>
      </w:r>
      <w:r w:rsidRPr="0066543C">
        <w:rPr>
          <w:rFonts w:ascii="Arial" w:hAnsi="Arial" w:cs="Arial"/>
          <w:color w:val="000000" w:themeColor="text1"/>
          <w:sz w:val="20"/>
          <w:szCs w:val="20"/>
          <w:lang w:bidi="en-IN"/>
        </w:rPr>
        <w:t>2014). Parallel to pesticide overuse, the excessive application of chemical fertilizers has also resulted in multiple environmental problems, including greenhouse gas emissions, ozone layer depletion, acidification of water bodies, and soil degradation</w:t>
      </w:r>
      <w:r w:rsidR="00333F22" w:rsidRPr="0066543C">
        <w:rPr>
          <w:rFonts w:ascii="Arial" w:hAnsi="Arial" w:cs="Arial"/>
          <w:color w:val="000000" w:themeColor="text1"/>
          <w:sz w:val="20"/>
          <w:szCs w:val="20"/>
          <w:lang w:bidi="en-IN"/>
        </w:rPr>
        <w:t xml:space="preserve"> </w:t>
      </w:r>
      <w:proofErr w:type="gramStart"/>
      <w:r w:rsidRPr="0066543C">
        <w:rPr>
          <w:rFonts w:ascii="Arial" w:hAnsi="Arial" w:cs="Arial"/>
          <w:color w:val="000000" w:themeColor="text1"/>
          <w:sz w:val="20"/>
          <w:szCs w:val="20"/>
          <w:lang w:bidi="en-IN"/>
        </w:rPr>
        <w:t>( Santini</w:t>
      </w:r>
      <w:proofErr w:type="gramEnd"/>
      <w:r w:rsidRPr="0066543C">
        <w:rPr>
          <w:rFonts w:ascii="Arial" w:hAnsi="Arial" w:cs="Arial"/>
          <w:color w:val="000000" w:themeColor="text1"/>
          <w:sz w:val="20"/>
          <w:szCs w:val="20"/>
          <w:lang w:bidi="en-IN"/>
        </w:rPr>
        <w:t xml:space="preserve"> et al.,</w:t>
      </w:r>
      <w:r w:rsidR="00082A08" w:rsidRPr="0066543C">
        <w:rPr>
          <w:rFonts w:ascii="Arial" w:hAnsi="Arial" w:cs="Arial"/>
          <w:color w:val="000000" w:themeColor="text1"/>
          <w:sz w:val="20"/>
          <w:szCs w:val="20"/>
          <w:lang w:bidi="en-IN"/>
        </w:rPr>
        <w:t xml:space="preserve"> </w:t>
      </w:r>
      <w:r w:rsidRPr="0066543C">
        <w:rPr>
          <w:rFonts w:ascii="Arial" w:hAnsi="Arial" w:cs="Arial"/>
          <w:color w:val="000000" w:themeColor="text1"/>
          <w:sz w:val="20"/>
          <w:szCs w:val="20"/>
          <w:lang w:bidi="en-IN"/>
        </w:rPr>
        <w:t xml:space="preserve">2021). </w:t>
      </w:r>
      <w:r w:rsidR="00122693" w:rsidRPr="0066543C">
        <w:rPr>
          <w:rFonts w:ascii="Arial" w:eastAsia="Times New Roman" w:hAnsi="Arial" w:cs="Arial"/>
          <w:kern w:val="0"/>
          <w:sz w:val="20"/>
          <w:szCs w:val="20"/>
          <w:lang w:eastAsia="en-IN"/>
          <w14:ligatures w14:val="none"/>
        </w:rPr>
        <w:t xml:space="preserve">Prolonged use of synthetic fertilizers can adversely alter the </w:t>
      </w:r>
      <w:r w:rsidR="00122693" w:rsidRPr="0066543C">
        <w:rPr>
          <w:rFonts w:ascii="Arial" w:eastAsia="Times New Roman" w:hAnsi="Arial" w:cs="Arial"/>
          <w:kern w:val="0"/>
          <w:sz w:val="20"/>
          <w:szCs w:val="20"/>
          <w:lang w:eastAsia="en-IN"/>
          <w14:ligatures w14:val="none"/>
        </w:rPr>
        <w:lastRenderedPageBreak/>
        <w:t xml:space="preserve">physiochemical properties of the soil (Vijayan et al., 2020). </w:t>
      </w:r>
      <w:r w:rsidRPr="0066543C">
        <w:rPr>
          <w:rFonts w:ascii="Arial" w:hAnsi="Arial" w:cs="Arial"/>
          <w:color w:val="000000" w:themeColor="text1"/>
          <w:sz w:val="20"/>
          <w:szCs w:val="20"/>
          <w:lang w:bidi="en-IN"/>
        </w:rPr>
        <w:t xml:space="preserve">These adverse consequences highlight the urgent need for eco-friendly alternatives. </w:t>
      </w:r>
    </w:p>
    <w:p w14:paraId="6C78B7DE" w14:textId="0938ECCC" w:rsidR="009A2A85" w:rsidRPr="0066543C" w:rsidRDefault="00122693" w:rsidP="009A2A85">
      <w:pPr>
        <w:spacing w:line="360" w:lineRule="auto"/>
        <w:jc w:val="both"/>
        <w:rPr>
          <w:rFonts w:ascii="Arial" w:hAnsi="Arial" w:cs="Arial"/>
          <w:color w:val="000000" w:themeColor="text1"/>
          <w:sz w:val="20"/>
          <w:szCs w:val="20"/>
          <w:lang w:bidi="en-IN"/>
        </w:rPr>
      </w:pPr>
      <w:r w:rsidRPr="0066543C">
        <w:rPr>
          <w:rFonts w:ascii="Arial" w:eastAsia="Times New Roman" w:hAnsi="Arial" w:cs="Arial"/>
          <w:kern w:val="0"/>
          <w:sz w:val="20"/>
          <w:szCs w:val="20"/>
          <w:lang w:eastAsia="en-IN"/>
          <w14:ligatures w14:val="none"/>
        </w:rPr>
        <w:t xml:space="preserve">The present conventional methods </w:t>
      </w:r>
      <w:r w:rsidR="00A459A2" w:rsidRPr="0066543C">
        <w:rPr>
          <w:rFonts w:ascii="Arial" w:eastAsia="Times New Roman" w:hAnsi="Arial" w:cs="Arial"/>
          <w:kern w:val="0"/>
          <w:sz w:val="20"/>
          <w:szCs w:val="20"/>
          <w:lang w:eastAsia="en-IN"/>
          <w14:ligatures w14:val="none"/>
        </w:rPr>
        <w:t>are</w:t>
      </w:r>
      <w:r w:rsidRPr="0066543C">
        <w:rPr>
          <w:rFonts w:ascii="Arial" w:eastAsia="Times New Roman" w:hAnsi="Arial" w:cs="Arial"/>
          <w:kern w:val="0"/>
          <w:sz w:val="20"/>
          <w:szCs w:val="20"/>
          <w:lang w:eastAsia="en-IN"/>
          <w14:ligatures w14:val="none"/>
        </w:rPr>
        <w:t xml:space="preserve"> not allied with sustainable approach due to its cost, energy input and secondary waste generation. </w:t>
      </w:r>
      <w:r w:rsidR="009A2A85" w:rsidRPr="0066543C">
        <w:rPr>
          <w:rFonts w:ascii="Arial" w:hAnsi="Arial" w:cs="Arial"/>
          <w:color w:val="000000" w:themeColor="text1"/>
          <w:sz w:val="20"/>
          <w:szCs w:val="20"/>
          <w:lang w:bidi="en-IN"/>
        </w:rPr>
        <w:t>Bioremediation is an eco-friendly and cost-effective strategy for degradation of organic pollutants such as hydrocarbons, pesticides, dyes, and industrial effluents</w:t>
      </w:r>
      <w:r w:rsidR="00194794" w:rsidRPr="0066543C">
        <w:rPr>
          <w:rFonts w:ascii="Arial" w:hAnsi="Arial" w:cs="Arial"/>
          <w:color w:val="000000" w:themeColor="text1"/>
          <w:sz w:val="20"/>
          <w:szCs w:val="20"/>
          <w:lang w:bidi="en-IN"/>
        </w:rPr>
        <w:t xml:space="preserve"> (Vijayan et al., 2020)</w:t>
      </w:r>
      <w:r w:rsidR="009A2A85" w:rsidRPr="0066543C">
        <w:rPr>
          <w:rFonts w:ascii="Arial" w:hAnsi="Arial" w:cs="Arial"/>
          <w:color w:val="000000" w:themeColor="text1"/>
          <w:sz w:val="20"/>
          <w:szCs w:val="20"/>
          <w:lang w:bidi="en-IN"/>
        </w:rPr>
        <w:t xml:space="preserve">. It employs microorganisms, plants, or microbial enzymes to transform toxic compounds into less harmful or inert products. </w:t>
      </w:r>
      <w:r w:rsidRPr="0066543C">
        <w:rPr>
          <w:rFonts w:ascii="Arial" w:eastAsia="Times New Roman" w:hAnsi="Arial" w:cs="Arial"/>
          <w:kern w:val="0"/>
          <w:sz w:val="20"/>
          <w:szCs w:val="20"/>
          <w:lang w:eastAsia="en-IN"/>
          <w14:ligatures w14:val="none"/>
        </w:rPr>
        <w:t>The mechanism underlying bioremediation is through metabolic processes like oxidation, reduction, and hydrolysis, pollutants are mineralized into carbon dioxide, water, and biomass.</w:t>
      </w:r>
      <w:r w:rsidR="009A2A85" w:rsidRPr="0066543C">
        <w:rPr>
          <w:rFonts w:ascii="Arial" w:hAnsi="Arial" w:cs="Arial"/>
          <w:color w:val="000000" w:themeColor="text1"/>
          <w:sz w:val="20"/>
          <w:szCs w:val="20"/>
          <w:lang w:bidi="en-IN"/>
        </w:rPr>
        <w:t xml:space="preserve"> This approach offers sustainable restoration of contaminated environments while minimizing secondary pollution compared to conventional physicochemical methods. Cyanobacteria can play a significant role in the bioremediation of polluted environments due to their metabolic versatility, resilience, and ability to thrive under diverse conditions</w:t>
      </w:r>
      <w:r w:rsidR="00333F22" w:rsidRPr="0066543C">
        <w:rPr>
          <w:rFonts w:ascii="Arial" w:hAnsi="Arial" w:cs="Arial"/>
          <w:color w:val="000000" w:themeColor="text1"/>
          <w:sz w:val="20"/>
          <w:szCs w:val="20"/>
          <w:lang w:bidi="en-IN"/>
        </w:rPr>
        <w:t xml:space="preserve"> </w:t>
      </w:r>
      <w:r w:rsidR="009A2A85" w:rsidRPr="0066543C">
        <w:rPr>
          <w:rFonts w:ascii="Arial" w:hAnsi="Arial" w:cs="Arial"/>
          <w:color w:val="000000" w:themeColor="text1"/>
          <w:sz w:val="20"/>
          <w:szCs w:val="20"/>
          <w:lang w:bidi="en-IN"/>
        </w:rPr>
        <w:t>(</w:t>
      </w:r>
      <w:r w:rsidR="00CC29B6" w:rsidRPr="0066543C">
        <w:rPr>
          <w:rFonts w:ascii="Arial" w:hAnsi="Arial" w:cs="Arial"/>
          <w:color w:val="000000" w:themeColor="text1"/>
          <w:sz w:val="20"/>
          <w:szCs w:val="20"/>
          <w:lang w:bidi="en-IN"/>
        </w:rPr>
        <w:t>Santini et al., 2021</w:t>
      </w:r>
      <w:r w:rsidR="009A2A85" w:rsidRPr="0066543C">
        <w:rPr>
          <w:rFonts w:ascii="Arial" w:hAnsi="Arial" w:cs="Arial"/>
          <w:color w:val="000000" w:themeColor="text1"/>
          <w:sz w:val="20"/>
          <w:szCs w:val="20"/>
          <w:lang w:bidi="en-IN"/>
        </w:rPr>
        <w:t xml:space="preserve">; Ibrahim et al., 2014). They </w:t>
      </w:r>
      <w:r w:rsidR="00194794" w:rsidRPr="0066543C">
        <w:rPr>
          <w:rFonts w:ascii="Arial" w:hAnsi="Arial" w:cs="Arial"/>
          <w:color w:val="000000" w:themeColor="text1"/>
          <w:sz w:val="20"/>
          <w:szCs w:val="20"/>
          <w:lang w:bidi="en-IN"/>
        </w:rPr>
        <w:t>are able to</w:t>
      </w:r>
      <w:r w:rsidR="009A2A85" w:rsidRPr="0066543C">
        <w:rPr>
          <w:rFonts w:ascii="Arial" w:hAnsi="Arial" w:cs="Arial"/>
          <w:color w:val="000000" w:themeColor="text1"/>
          <w:sz w:val="20"/>
          <w:szCs w:val="20"/>
          <w:lang w:bidi="en-IN"/>
        </w:rPr>
        <w:t xml:space="preserve"> degrade and transform a </w:t>
      </w:r>
      <w:r w:rsidR="00194794" w:rsidRPr="0066543C">
        <w:rPr>
          <w:rFonts w:ascii="Arial" w:hAnsi="Arial" w:cs="Arial"/>
          <w:color w:val="000000" w:themeColor="text1"/>
          <w:sz w:val="20"/>
          <w:szCs w:val="20"/>
          <w:lang w:bidi="en-IN"/>
        </w:rPr>
        <w:t>widespread</w:t>
      </w:r>
      <w:r w:rsidR="009A2A85" w:rsidRPr="0066543C">
        <w:rPr>
          <w:rFonts w:ascii="Arial" w:hAnsi="Arial" w:cs="Arial"/>
          <w:color w:val="000000" w:themeColor="text1"/>
          <w:sz w:val="20"/>
          <w:szCs w:val="20"/>
          <w:lang w:bidi="en-IN"/>
        </w:rPr>
        <w:t xml:space="preserve"> range of organic </w:t>
      </w:r>
      <w:r w:rsidR="00194794" w:rsidRPr="0066543C">
        <w:rPr>
          <w:rFonts w:ascii="Arial" w:hAnsi="Arial" w:cs="Arial"/>
          <w:color w:val="000000" w:themeColor="text1"/>
          <w:sz w:val="20"/>
          <w:szCs w:val="20"/>
          <w:lang w:bidi="en-IN"/>
        </w:rPr>
        <w:t>contaminants</w:t>
      </w:r>
      <w:r w:rsidR="009A2A85" w:rsidRPr="0066543C">
        <w:rPr>
          <w:rFonts w:ascii="Arial" w:hAnsi="Arial" w:cs="Arial"/>
          <w:color w:val="000000" w:themeColor="text1"/>
          <w:sz w:val="20"/>
          <w:szCs w:val="20"/>
          <w:lang w:bidi="en-IN"/>
        </w:rPr>
        <w:t>, including pesticides, hydrocarbons, and phenolic compounds, through enzymatic pathways</w:t>
      </w:r>
      <w:r w:rsidR="002A054B" w:rsidRPr="0066543C">
        <w:rPr>
          <w:rFonts w:ascii="Arial" w:hAnsi="Arial" w:cs="Arial"/>
          <w:color w:val="000000" w:themeColor="text1"/>
          <w:sz w:val="20"/>
          <w:szCs w:val="20"/>
          <w:lang w:bidi="en-IN"/>
        </w:rPr>
        <w:t>.</w:t>
      </w:r>
    </w:p>
    <w:p w14:paraId="6E32BD4D" w14:textId="74D0E0C9" w:rsidR="009A2A85" w:rsidRPr="0066543C" w:rsidRDefault="009A2A85" w:rsidP="009A2A85">
      <w:pPr>
        <w:spacing w:line="360" w:lineRule="auto"/>
        <w:jc w:val="both"/>
        <w:rPr>
          <w:rFonts w:ascii="Arial" w:hAnsi="Arial" w:cs="Arial"/>
          <w:color w:val="000000" w:themeColor="text1"/>
          <w:sz w:val="20"/>
          <w:szCs w:val="20"/>
          <w:lang w:bidi="en-IN"/>
        </w:rPr>
      </w:pPr>
      <w:r w:rsidRPr="0066543C">
        <w:rPr>
          <w:rFonts w:ascii="Arial" w:hAnsi="Arial" w:cs="Arial"/>
          <w:color w:val="000000" w:themeColor="text1"/>
          <w:sz w:val="20"/>
          <w:szCs w:val="20"/>
          <w:lang w:bidi="en-IN"/>
        </w:rPr>
        <w:t xml:space="preserve">Cyanobacteria as </w:t>
      </w:r>
      <w:r w:rsidR="00D01C0D" w:rsidRPr="0066543C">
        <w:rPr>
          <w:rFonts w:ascii="Arial" w:hAnsi="Arial" w:cs="Arial"/>
          <w:color w:val="000000" w:themeColor="text1"/>
          <w:sz w:val="20"/>
          <w:szCs w:val="20"/>
          <w:lang w:bidi="en-IN"/>
        </w:rPr>
        <w:t>b</w:t>
      </w:r>
      <w:r w:rsidRPr="0066543C">
        <w:rPr>
          <w:rFonts w:ascii="Arial" w:hAnsi="Arial" w:cs="Arial"/>
          <w:color w:val="000000" w:themeColor="text1"/>
          <w:sz w:val="20"/>
          <w:szCs w:val="20"/>
          <w:lang w:bidi="en-IN"/>
        </w:rPr>
        <w:t xml:space="preserve">iofertilizers i.e. microbial inoculants can act as an amendment to soil along with remediation action. </w:t>
      </w:r>
      <w:r w:rsidR="00122693" w:rsidRPr="0066543C">
        <w:rPr>
          <w:rFonts w:ascii="Arial" w:eastAsia="Times New Roman" w:hAnsi="Arial" w:cs="Arial"/>
          <w:kern w:val="0"/>
          <w:sz w:val="20"/>
          <w:szCs w:val="20"/>
          <w:lang w:eastAsia="en-IN"/>
          <w14:ligatures w14:val="none"/>
        </w:rPr>
        <w:t xml:space="preserve">Cyanobacteria not only provide essential nutrients to plants but also maintain soil structure and promote fertility in engaging nutrient recycling particularly carbon and nitrogen </w:t>
      </w:r>
      <w:r w:rsidRPr="0066543C">
        <w:rPr>
          <w:rFonts w:ascii="Arial" w:hAnsi="Arial" w:cs="Arial"/>
          <w:color w:val="000000" w:themeColor="text1"/>
          <w:sz w:val="20"/>
          <w:szCs w:val="20"/>
          <w:lang w:bidi="en-IN"/>
        </w:rPr>
        <w:t>(Santini et al., 2021; Giesy et al., 2014). Among these, species with Plant Growth-Promoting attributes play a particularly significant role. PGPR enhance root development and overall plant growth through the secretion of plant growth regulators, such as indole acetic acid (IAA). Additionally, they improve nutrient availability and soil sustainability via mechanisms such as hydrogen cyanide (HCN) production, siderophore secretion, phosphate solubilization, and ammonia production</w:t>
      </w:r>
      <w:r w:rsidR="003B0F8B" w:rsidRPr="0066543C">
        <w:rPr>
          <w:rFonts w:ascii="Arial" w:hAnsi="Arial" w:cs="Arial"/>
          <w:color w:val="000000" w:themeColor="text1"/>
          <w:sz w:val="20"/>
          <w:szCs w:val="20"/>
          <w:lang w:bidi="en-IN"/>
        </w:rPr>
        <w:t xml:space="preserve"> </w:t>
      </w:r>
      <w:r w:rsidRPr="0066543C">
        <w:rPr>
          <w:rFonts w:ascii="Arial" w:hAnsi="Arial" w:cs="Arial"/>
          <w:color w:val="000000" w:themeColor="text1"/>
          <w:sz w:val="20"/>
          <w:szCs w:val="20"/>
          <w:lang w:bidi="en-IN"/>
        </w:rPr>
        <w:t xml:space="preserve">(Kumar et al., 2018; Prasanna et al., 2016). </w:t>
      </w:r>
      <w:r w:rsidR="006E1419" w:rsidRPr="0066543C">
        <w:rPr>
          <w:rFonts w:ascii="Arial" w:eastAsia="Times New Roman" w:hAnsi="Arial" w:cs="Arial"/>
          <w:kern w:val="0"/>
          <w:sz w:val="20"/>
          <w:szCs w:val="20"/>
          <w:lang w:eastAsia="en-IN"/>
          <w14:ligatures w14:val="none"/>
        </w:rPr>
        <w:t>This hormonal secretion</w:t>
      </w:r>
      <w:r w:rsidR="00122693" w:rsidRPr="0066543C">
        <w:rPr>
          <w:rFonts w:ascii="Arial" w:eastAsia="Times New Roman" w:hAnsi="Arial" w:cs="Arial"/>
          <w:kern w:val="0"/>
          <w:sz w:val="20"/>
          <w:szCs w:val="20"/>
          <w:lang w:eastAsia="en-IN"/>
          <w14:ligatures w14:val="none"/>
        </w:rPr>
        <w:t xml:space="preserve"> can directly promote plant growth.</w:t>
      </w:r>
      <w:r w:rsidRPr="0066543C">
        <w:rPr>
          <w:rFonts w:ascii="Arial" w:hAnsi="Arial" w:cs="Arial"/>
          <w:color w:val="000000" w:themeColor="text1"/>
          <w:sz w:val="20"/>
          <w:szCs w:val="20"/>
          <w:lang w:bidi="en-IN"/>
        </w:rPr>
        <w:t xml:space="preserve"> The present research is focused on elucidating the organophosphorus degradation capability of cyanobacteria and plant growth</w:t>
      </w:r>
      <w:r w:rsidR="006E1419" w:rsidRPr="0066543C">
        <w:rPr>
          <w:rFonts w:ascii="Arial" w:hAnsi="Arial" w:cs="Arial"/>
          <w:color w:val="000000" w:themeColor="text1"/>
          <w:sz w:val="20"/>
          <w:szCs w:val="20"/>
          <w:lang w:bidi="en-IN"/>
        </w:rPr>
        <w:t xml:space="preserve"> </w:t>
      </w:r>
      <w:r w:rsidRPr="0066543C">
        <w:rPr>
          <w:rFonts w:ascii="Arial" w:hAnsi="Arial" w:cs="Arial"/>
          <w:color w:val="000000" w:themeColor="text1"/>
          <w:sz w:val="20"/>
          <w:szCs w:val="20"/>
          <w:lang w:bidi="en-IN"/>
        </w:rPr>
        <w:t xml:space="preserve">promoting </w:t>
      </w:r>
      <w:r w:rsidR="006E1419" w:rsidRPr="0066543C">
        <w:rPr>
          <w:rFonts w:ascii="Arial" w:hAnsi="Arial" w:cs="Arial"/>
          <w:color w:val="000000" w:themeColor="text1"/>
          <w:sz w:val="20"/>
          <w:szCs w:val="20"/>
          <w:lang w:bidi="en-IN"/>
        </w:rPr>
        <w:t>attributes</w:t>
      </w:r>
      <w:r w:rsidRPr="0066543C">
        <w:rPr>
          <w:rFonts w:ascii="Arial" w:hAnsi="Arial" w:cs="Arial"/>
          <w:color w:val="000000" w:themeColor="text1"/>
          <w:sz w:val="20"/>
          <w:szCs w:val="20"/>
          <w:lang w:bidi="en-IN"/>
        </w:rPr>
        <w:t xml:space="preserve"> of isolated cyanobacteria through a set of biochemical assays. The objective is directed towards enhancing knowledge and application of PGPR-mediated mechanisms for improving plant growth and maintaining soil fertility.</w:t>
      </w:r>
    </w:p>
    <w:p w14:paraId="0C686A67" w14:textId="021C44DF" w:rsidR="00E20DF9" w:rsidRPr="0066543C" w:rsidRDefault="002662DD" w:rsidP="00E20DF9">
      <w:pPr>
        <w:rPr>
          <w:rFonts w:ascii="Arial" w:hAnsi="Arial" w:cs="Arial"/>
          <w:b/>
          <w:bCs/>
          <w:color w:val="000000" w:themeColor="text1"/>
        </w:rPr>
      </w:pPr>
      <w:r w:rsidRPr="0066543C">
        <w:rPr>
          <w:rFonts w:ascii="Arial" w:hAnsi="Arial" w:cs="Arial"/>
          <w:b/>
          <w:bCs/>
          <w:color w:val="000000" w:themeColor="text1"/>
        </w:rPr>
        <w:t>MATERIALS AND METHODS</w:t>
      </w:r>
    </w:p>
    <w:p w14:paraId="2B212BD2" w14:textId="13C5C609" w:rsidR="001A021F" w:rsidRPr="0066543C" w:rsidRDefault="002662DD" w:rsidP="00874F15">
      <w:pPr>
        <w:rPr>
          <w:rFonts w:ascii="Arial" w:hAnsi="Arial" w:cs="Arial"/>
          <w:b/>
          <w:bCs/>
          <w:color w:val="000000" w:themeColor="text1"/>
        </w:rPr>
      </w:pPr>
      <w:r w:rsidRPr="0066543C">
        <w:rPr>
          <w:rFonts w:ascii="Arial" w:hAnsi="Arial" w:cs="Arial"/>
          <w:b/>
          <w:bCs/>
          <w:color w:val="000000" w:themeColor="text1"/>
        </w:rPr>
        <w:t>MICROBIAL ANALYSIS OF SOIL AND WATER SAMPLES</w:t>
      </w:r>
    </w:p>
    <w:p w14:paraId="63C52BC9" w14:textId="152442BE" w:rsidR="009A2A85" w:rsidRPr="0066543C" w:rsidRDefault="009A2A85" w:rsidP="001A021F">
      <w:pPr>
        <w:spacing w:line="360" w:lineRule="auto"/>
        <w:jc w:val="both"/>
        <w:rPr>
          <w:rFonts w:ascii="Arial" w:hAnsi="Arial" w:cs="Arial"/>
          <w:b/>
          <w:bCs/>
          <w:color w:val="000000" w:themeColor="text1"/>
          <w:sz w:val="20"/>
          <w:szCs w:val="20"/>
        </w:rPr>
      </w:pPr>
      <w:r w:rsidRPr="0066543C">
        <w:rPr>
          <w:rFonts w:ascii="Arial" w:hAnsi="Arial" w:cs="Arial"/>
          <w:color w:val="000000" w:themeColor="text1"/>
          <w:sz w:val="20"/>
          <w:szCs w:val="20"/>
        </w:rPr>
        <w:t xml:space="preserve">Soil and water samples containing natural algal mats were collected from rice fields of </w:t>
      </w:r>
      <w:r w:rsidR="003F59EA" w:rsidRPr="0066543C">
        <w:rPr>
          <w:rFonts w:ascii="Arial" w:hAnsi="Arial" w:cs="Arial"/>
          <w:color w:val="000000" w:themeColor="text1"/>
          <w:sz w:val="20"/>
          <w:szCs w:val="20"/>
        </w:rPr>
        <w:t>Bhandara</w:t>
      </w:r>
      <w:r w:rsidRPr="0066543C">
        <w:rPr>
          <w:rFonts w:ascii="Arial" w:hAnsi="Arial" w:cs="Arial"/>
          <w:color w:val="000000" w:themeColor="text1"/>
          <w:sz w:val="20"/>
          <w:szCs w:val="20"/>
        </w:rPr>
        <w:t xml:space="preserve"> district</w:t>
      </w:r>
      <w:r w:rsidR="003F59EA" w:rsidRPr="0066543C">
        <w:rPr>
          <w:rFonts w:ascii="Arial" w:hAnsi="Arial" w:cs="Arial"/>
          <w:color w:val="000000" w:themeColor="text1"/>
          <w:sz w:val="20"/>
          <w:szCs w:val="20"/>
        </w:rPr>
        <w:t xml:space="preserve"> and</w:t>
      </w:r>
      <w:r w:rsidRPr="0066543C">
        <w:rPr>
          <w:rFonts w:ascii="Arial" w:hAnsi="Arial" w:cs="Arial"/>
          <w:color w:val="000000" w:themeColor="text1"/>
          <w:sz w:val="20"/>
          <w:szCs w:val="20"/>
        </w:rPr>
        <w:t xml:space="preserve"> Nagpur </w:t>
      </w:r>
      <w:r w:rsidR="003F59EA" w:rsidRPr="0066543C">
        <w:rPr>
          <w:rFonts w:ascii="Arial" w:hAnsi="Arial" w:cs="Arial"/>
          <w:color w:val="000000" w:themeColor="text1"/>
          <w:sz w:val="20"/>
          <w:szCs w:val="20"/>
        </w:rPr>
        <w:t xml:space="preserve">district borderline area of Vidarbh region in Maharashtra state, India, </w:t>
      </w:r>
      <w:r w:rsidRPr="0066543C">
        <w:rPr>
          <w:rFonts w:ascii="Arial" w:hAnsi="Arial" w:cs="Arial"/>
          <w:color w:val="000000" w:themeColor="text1"/>
          <w:sz w:val="20"/>
          <w:szCs w:val="20"/>
        </w:rPr>
        <w:t>using sterile containers. Samples were transported to the laboratory under cool and aseptic conditions for immediate processing.</w:t>
      </w:r>
    </w:p>
    <w:p w14:paraId="1E2DB7A1" w14:textId="725F4F20"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For enrichment, 1–2 g of soil or 5 mL of water sample was inoculated into 250 mL Erlenmeyer flasks containing 100 mL of sterilized BG-11 medium. Cultures were incubated at 25 ± 2 °C under continuous fluorescent illumination (1500–2000 </w:t>
      </w:r>
      <w:r w:rsidR="003F59EA" w:rsidRPr="0066543C">
        <w:rPr>
          <w:rFonts w:ascii="Arial" w:hAnsi="Arial" w:cs="Arial"/>
          <w:color w:val="000000" w:themeColor="text1"/>
          <w:sz w:val="20"/>
          <w:szCs w:val="20"/>
        </w:rPr>
        <w:t>L</w:t>
      </w:r>
      <w:r w:rsidRPr="0066543C">
        <w:rPr>
          <w:rFonts w:ascii="Arial" w:hAnsi="Arial" w:cs="Arial"/>
          <w:color w:val="000000" w:themeColor="text1"/>
          <w:sz w:val="20"/>
          <w:szCs w:val="20"/>
        </w:rPr>
        <w:t xml:space="preserve">ux) with </w:t>
      </w:r>
      <w:r w:rsidR="00456264" w:rsidRPr="0066543C">
        <w:rPr>
          <w:rFonts w:ascii="Arial" w:hAnsi="Arial" w:cs="Arial"/>
          <w:color w:val="000000" w:themeColor="text1"/>
          <w:sz w:val="20"/>
          <w:szCs w:val="20"/>
        </w:rPr>
        <w:t>continuous maintaining the</w:t>
      </w:r>
      <w:r w:rsidRPr="0066543C">
        <w:rPr>
          <w:rFonts w:ascii="Arial" w:hAnsi="Arial" w:cs="Arial"/>
          <w:color w:val="000000" w:themeColor="text1"/>
          <w:sz w:val="20"/>
          <w:szCs w:val="20"/>
        </w:rPr>
        <w:t xml:space="preserve"> 14:10 h </w:t>
      </w:r>
      <w:proofErr w:type="spellStart"/>
      <w:proofErr w:type="gramStart"/>
      <w:r w:rsidRPr="0066543C">
        <w:rPr>
          <w:rFonts w:ascii="Arial" w:hAnsi="Arial" w:cs="Arial"/>
          <w:color w:val="000000" w:themeColor="text1"/>
          <w:sz w:val="20"/>
          <w:szCs w:val="20"/>
        </w:rPr>
        <w:t>light:dark</w:t>
      </w:r>
      <w:proofErr w:type="spellEnd"/>
      <w:proofErr w:type="gramEnd"/>
      <w:r w:rsidRPr="0066543C">
        <w:rPr>
          <w:rFonts w:ascii="Arial" w:hAnsi="Arial" w:cs="Arial"/>
          <w:color w:val="000000" w:themeColor="text1"/>
          <w:sz w:val="20"/>
          <w:szCs w:val="20"/>
        </w:rPr>
        <w:t xml:space="preserve"> photoperiod</w:t>
      </w:r>
      <w:r w:rsidR="00456264" w:rsidRPr="0066543C">
        <w:rPr>
          <w:rFonts w:ascii="Arial" w:hAnsi="Arial" w:cs="Arial"/>
          <w:color w:val="000000" w:themeColor="text1"/>
          <w:sz w:val="20"/>
          <w:szCs w:val="20"/>
        </w:rPr>
        <w:t xml:space="preserve"> (Vijayan et al., 2020)</w:t>
      </w:r>
      <w:r w:rsidRPr="0066543C">
        <w:rPr>
          <w:rFonts w:ascii="Arial" w:hAnsi="Arial" w:cs="Arial"/>
          <w:color w:val="000000" w:themeColor="text1"/>
          <w:sz w:val="20"/>
          <w:szCs w:val="20"/>
        </w:rPr>
        <w:t xml:space="preserve">. Serial dilution and streak plate methods were employed </w:t>
      </w:r>
      <w:r w:rsidRPr="0066543C">
        <w:rPr>
          <w:rFonts w:ascii="Arial" w:hAnsi="Arial" w:cs="Arial"/>
          <w:color w:val="000000" w:themeColor="text1"/>
          <w:sz w:val="20"/>
          <w:szCs w:val="20"/>
        </w:rPr>
        <w:lastRenderedPageBreak/>
        <w:t xml:space="preserve">to isolate unialgal colonies on BG-11 agar plates. After 7–14 days of incubation, distinct cyanobacterial colonies or filaments were picked using sterile glass capillaries/needles and transferred into fresh BG-11 liquid medium. This purification step was repeated until unialgal cultures were obtained, confirmed by microscopic observation. To reduce bacterial contamination, repeated washing with sterile distilled water was performed (Roque et al., 2023; </w:t>
      </w:r>
      <w:proofErr w:type="spellStart"/>
      <w:r w:rsidRPr="0066543C">
        <w:rPr>
          <w:rFonts w:ascii="Arial" w:hAnsi="Arial" w:cs="Arial"/>
          <w:color w:val="000000" w:themeColor="text1"/>
          <w:sz w:val="20"/>
          <w:szCs w:val="20"/>
        </w:rPr>
        <w:t>Chittapun</w:t>
      </w:r>
      <w:proofErr w:type="spellEnd"/>
      <w:r w:rsidRPr="0066543C">
        <w:rPr>
          <w:rFonts w:ascii="Arial" w:hAnsi="Arial" w:cs="Arial"/>
          <w:color w:val="000000" w:themeColor="text1"/>
          <w:sz w:val="20"/>
          <w:szCs w:val="20"/>
        </w:rPr>
        <w:t xml:space="preserve"> &amp; </w:t>
      </w:r>
      <w:proofErr w:type="spellStart"/>
      <w:r w:rsidRPr="0066543C">
        <w:rPr>
          <w:rFonts w:ascii="Arial" w:hAnsi="Arial" w:cs="Arial"/>
          <w:color w:val="000000" w:themeColor="text1"/>
          <w:sz w:val="20"/>
          <w:szCs w:val="20"/>
        </w:rPr>
        <w:t>Charoenrat</w:t>
      </w:r>
      <w:proofErr w:type="spellEnd"/>
      <w:r w:rsidRPr="0066543C">
        <w:rPr>
          <w:rFonts w:ascii="Arial" w:hAnsi="Arial" w:cs="Arial"/>
          <w:color w:val="000000" w:themeColor="text1"/>
          <w:sz w:val="20"/>
          <w:szCs w:val="20"/>
        </w:rPr>
        <w:t xml:space="preserve">, 2015). </w:t>
      </w:r>
    </w:p>
    <w:p w14:paraId="5AEA6DC2" w14:textId="5A5346D1"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Isolated strains were identified to the genus level based on morphological characteristics such as cell shape, filament structure, and pigmentation, using standard taxonomic keys. Pure cyanobacterial isolates were maintained on BG-11 agar slants and in liquid BG-11 medium under continuous illumination (1500–2000 lux) at 2</w:t>
      </w:r>
      <w:r w:rsidR="00BF729B" w:rsidRPr="0066543C">
        <w:rPr>
          <w:rFonts w:ascii="Arial" w:hAnsi="Arial" w:cs="Arial"/>
          <w:color w:val="000000" w:themeColor="text1"/>
          <w:sz w:val="20"/>
          <w:szCs w:val="20"/>
        </w:rPr>
        <w:t>8</w:t>
      </w:r>
      <w:r w:rsidRPr="0066543C">
        <w:rPr>
          <w:rFonts w:ascii="Arial" w:hAnsi="Arial" w:cs="Arial"/>
          <w:color w:val="000000" w:themeColor="text1"/>
          <w:sz w:val="20"/>
          <w:szCs w:val="20"/>
        </w:rPr>
        <w:t xml:space="preserve"> ± 2 °C. Cultures were sub</w:t>
      </w:r>
      <w:r w:rsidR="00BF729B" w:rsidRPr="0066543C">
        <w:rPr>
          <w:rFonts w:ascii="Arial" w:hAnsi="Arial" w:cs="Arial"/>
          <w:color w:val="000000" w:themeColor="text1"/>
          <w:sz w:val="20"/>
          <w:szCs w:val="20"/>
        </w:rPr>
        <w:t>-</w:t>
      </w:r>
      <w:r w:rsidRPr="0066543C">
        <w:rPr>
          <w:rFonts w:ascii="Arial" w:hAnsi="Arial" w:cs="Arial"/>
          <w:color w:val="000000" w:themeColor="text1"/>
          <w:sz w:val="20"/>
          <w:szCs w:val="20"/>
        </w:rPr>
        <w:t xml:space="preserve">cultured every 4 weeks to ensure viability. For long-term storage, isolates were preserved at –80 °C in BG-11 medium supplemented with 10% glycerol (Roque et al., 2023; </w:t>
      </w:r>
      <w:r w:rsidR="001821F1" w:rsidRPr="0066543C">
        <w:rPr>
          <w:rFonts w:ascii="Arial" w:eastAsia="Times New Roman" w:hAnsi="Arial" w:cs="Arial"/>
          <w:kern w:val="0"/>
          <w:sz w:val="20"/>
          <w:szCs w:val="20"/>
          <w:lang w:eastAsia="en-IN"/>
          <w14:ligatures w14:val="none"/>
        </w:rPr>
        <w:t>Scientific Reports</w:t>
      </w:r>
      <w:r w:rsidR="001821F1">
        <w:rPr>
          <w:rFonts w:ascii="Arial" w:eastAsia="Times New Roman" w:hAnsi="Arial" w:cs="Arial"/>
          <w:kern w:val="0"/>
          <w:sz w:val="20"/>
          <w:szCs w:val="20"/>
          <w:lang w:eastAsia="en-IN"/>
          <w14:ligatures w14:val="none"/>
        </w:rPr>
        <w:t xml:space="preserve">, </w:t>
      </w:r>
      <w:r w:rsidR="001821F1" w:rsidRPr="0066543C">
        <w:rPr>
          <w:rFonts w:ascii="Arial" w:eastAsia="Times New Roman" w:hAnsi="Arial" w:cs="Arial"/>
          <w:kern w:val="0"/>
          <w:sz w:val="20"/>
          <w:szCs w:val="20"/>
          <w:lang w:eastAsia="en-IN"/>
          <w14:ligatures w14:val="none"/>
        </w:rPr>
        <w:t>2022</w:t>
      </w:r>
      <w:r w:rsidR="001821F1">
        <w:rPr>
          <w:rFonts w:ascii="Arial" w:eastAsia="Times New Roman" w:hAnsi="Arial" w:cs="Arial"/>
          <w:kern w:val="0"/>
          <w:sz w:val="20"/>
          <w:szCs w:val="20"/>
          <w:lang w:eastAsia="en-IN"/>
          <w14:ligatures w14:val="none"/>
        </w:rPr>
        <w:t xml:space="preserve">; </w:t>
      </w:r>
      <w:proofErr w:type="spellStart"/>
      <w:r w:rsidRPr="0066543C">
        <w:rPr>
          <w:rFonts w:ascii="Arial" w:hAnsi="Arial" w:cs="Arial"/>
          <w:color w:val="000000" w:themeColor="text1"/>
          <w:sz w:val="20"/>
          <w:szCs w:val="20"/>
        </w:rPr>
        <w:t>Tharindi</w:t>
      </w:r>
      <w:proofErr w:type="spellEnd"/>
      <w:r w:rsidRPr="0066543C">
        <w:rPr>
          <w:rFonts w:ascii="Arial" w:hAnsi="Arial" w:cs="Arial"/>
          <w:color w:val="000000" w:themeColor="text1"/>
          <w:sz w:val="20"/>
          <w:szCs w:val="20"/>
        </w:rPr>
        <w:t xml:space="preserve"> et al., 2019).</w:t>
      </w:r>
    </w:p>
    <w:p w14:paraId="72EBC28A" w14:textId="14FF9623" w:rsidR="00972B2B" w:rsidRPr="0066543C" w:rsidRDefault="002662DD" w:rsidP="00972B2B">
      <w:pPr>
        <w:rPr>
          <w:rFonts w:ascii="Arial" w:hAnsi="Arial" w:cs="Arial"/>
          <w:b/>
          <w:bCs/>
          <w:color w:val="000000" w:themeColor="text1"/>
        </w:rPr>
      </w:pPr>
      <w:r w:rsidRPr="0066543C">
        <w:rPr>
          <w:rFonts w:ascii="Arial" w:hAnsi="Arial" w:cs="Arial"/>
          <w:b/>
          <w:bCs/>
          <w:color w:val="000000" w:themeColor="text1"/>
        </w:rPr>
        <w:t>SELECTION OF CHLORPYRIFOS-TOLERANT CYANOBACTERIA AND CHLORPYRIFOS DEGRADATION</w:t>
      </w:r>
    </w:p>
    <w:p w14:paraId="599317DA" w14:textId="77777777" w:rsidR="00972B2B" w:rsidRPr="0066543C" w:rsidRDefault="00972B2B" w:rsidP="00972B2B">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The organophosphorus pesticide, chlorpyrifos, a commercially available formulation with the chemical name O, O-diethyl O-(3,5,6-trichloro-2-pyridinyl)-phosphorothioate. The initial inoculum was approximately 2 mg per 100 mL of culture medium for the screening of the cyanobacterial tolerant. For experiment, Chlorpyrifos was added to the medium at different concentrations ranging from 5, 10, 15, and 20 mg L</w:t>
      </w:r>
      <w:r w:rsidRPr="0066543C">
        <w:rPr>
          <w:rFonts w:ascii="Arial" w:hAnsi="Arial" w:cs="Arial"/>
          <w:color w:val="000000" w:themeColor="text1"/>
          <w:sz w:val="20"/>
          <w:szCs w:val="20"/>
          <w:vertAlign w:val="superscript"/>
        </w:rPr>
        <w:t>-1</w:t>
      </w:r>
      <w:r w:rsidRPr="0066543C">
        <w:rPr>
          <w:rFonts w:ascii="Arial" w:hAnsi="Arial" w:cs="Arial"/>
          <w:color w:val="000000" w:themeColor="text1"/>
          <w:sz w:val="20"/>
          <w:szCs w:val="20"/>
        </w:rPr>
        <w:t xml:space="preserve"> for the biodegradation study. Similar dose-dependent ranges have been examined in earlier studies with cyanobacteria (Tang et al., 2024; Singh &amp; Khattar, 2011).</w:t>
      </w:r>
    </w:p>
    <w:p w14:paraId="7B06D970" w14:textId="77777777" w:rsidR="00972B2B" w:rsidRPr="0066543C" w:rsidRDefault="00972B2B" w:rsidP="00972B2B">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The culture flasks were maintained under continuous illumination using daylight fluorescent tubes, providing an average light intensity of 1500-2000 Lux, which was kept constant throughout the experiment. The jars were incubated at 28-30°C under continuous shaking at 80 rpm. Samples were collected at five-day intervals up to 20 days for estimation of growth in terms of algal cell count. After five days, 10 mL of algal culture was withdrawn, and chlorpyrifos degradation was assessed spectrophotometrically, based on its characteristic absorbance peak at 290 nm. The algal strain was also employed to determine chlorpyrifos residues in the culture medium.</w:t>
      </w:r>
    </w:p>
    <w:p w14:paraId="50D09652" w14:textId="77777777" w:rsidR="00972B2B" w:rsidRPr="0066543C" w:rsidRDefault="00972B2B" w:rsidP="00972B2B">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For the preparation of phosphorus-limited cultures, exponentially growing algal cells were inoculated into jars containing medium with 1/10th of the original phosphorus concentration. These phosphorus-limited cells were then cultured in media both without and with different concentrations of chlorpyrifos. After 20 days, samples were collected to estimate cell count and phosphorus content in the algal cells. The total phosphorus content in algal biomass was measured spectrophotometrically at 720 nm.</w:t>
      </w:r>
    </w:p>
    <w:p w14:paraId="699AD2F9" w14:textId="050AE38D"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IDENTIFICATION OF CYANOBACTERIA</w:t>
      </w:r>
    </w:p>
    <w:p w14:paraId="5F701E2C" w14:textId="56D08A09"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Genomic DNA was extracted from exponentially growing cyanobacterial cultures (15–20 days old). Approximately 50-100 mg of wet biomass was harvested by centrifugation</w:t>
      </w:r>
      <w:r w:rsidR="00E818C9" w:rsidRPr="0066543C">
        <w:rPr>
          <w:rFonts w:ascii="Arial" w:hAnsi="Arial" w:cs="Arial"/>
          <w:color w:val="000000" w:themeColor="text1"/>
          <w:sz w:val="20"/>
          <w:szCs w:val="20"/>
        </w:rPr>
        <w:t xml:space="preserve"> at </w:t>
      </w:r>
      <w:r w:rsidRPr="0066543C">
        <w:rPr>
          <w:rFonts w:ascii="Arial" w:hAnsi="Arial" w:cs="Arial"/>
          <w:color w:val="000000" w:themeColor="text1"/>
          <w:sz w:val="20"/>
          <w:szCs w:val="20"/>
        </w:rPr>
        <w:t>10,000 rpm</w:t>
      </w:r>
      <w:r w:rsidR="00E818C9" w:rsidRPr="0066543C">
        <w:rPr>
          <w:rFonts w:ascii="Arial" w:hAnsi="Arial" w:cs="Arial"/>
          <w:color w:val="000000" w:themeColor="text1"/>
          <w:sz w:val="20"/>
          <w:szCs w:val="20"/>
        </w:rPr>
        <w:t xml:space="preserve"> for</w:t>
      </w:r>
      <w:r w:rsidRPr="0066543C">
        <w:rPr>
          <w:rFonts w:ascii="Arial" w:hAnsi="Arial" w:cs="Arial"/>
          <w:color w:val="000000" w:themeColor="text1"/>
          <w:sz w:val="20"/>
          <w:szCs w:val="20"/>
        </w:rPr>
        <w:t xml:space="preserve"> 10 min. DNA extraction was performed using the CTAB method with modifications, or with a commercial bacterial DNA extraction kit. </w:t>
      </w:r>
      <w:r w:rsidR="00E818C9" w:rsidRPr="0066543C">
        <w:rPr>
          <w:rFonts w:ascii="Arial" w:hAnsi="Arial" w:cs="Arial"/>
          <w:color w:val="000000" w:themeColor="text1"/>
          <w:sz w:val="20"/>
          <w:szCs w:val="20"/>
        </w:rPr>
        <w:t>Assessment of t</w:t>
      </w:r>
      <w:r w:rsidRPr="0066543C">
        <w:rPr>
          <w:rFonts w:ascii="Arial" w:hAnsi="Arial" w:cs="Arial"/>
          <w:color w:val="000000" w:themeColor="text1"/>
          <w:sz w:val="20"/>
          <w:szCs w:val="20"/>
        </w:rPr>
        <w:t xml:space="preserve">he quality and quantity of DNA were </w:t>
      </w:r>
      <w:r w:rsidR="00E818C9" w:rsidRPr="0066543C">
        <w:rPr>
          <w:rFonts w:ascii="Arial" w:hAnsi="Arial" w:cs="Arial"/>
          <w:color w:val="000000" w:themeColor="text1"/>
          <w:sz w:val="20"/>
          <w:szCs w:val="20"/>
        </w:rPr>
        <w:t>completed by</w:t>
      </w:r>
      <w:r w:rsidRPr="0066543C">
        <w:rPr>
          <w:rFonts w:ascii="Arial" w:hAnsi="Arial" w:cs="Arial"/>
          <w:color w:val="000000" w:themeColor="text1"/>
          <w:sz w:val="20"/>
          <w:szCs w:val="20"/>
        </w:rPr>
        <w:t xml:space="preserve"> agarose gel electrophoresis (1%) and spectrophotometric measurement at 260/280 nm.</w:t>
      </w:r>
    </w:p>
    <w:p w14:paraId="6B425BA4" w14:textId="77777777"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lastRenderedPageBreak/>
        <w:t>The 16S rRNA gene was targeted for molecular characterization. PCR amplification was carried out using universal cyanobacterial primers:</w:t>
      </w:r>
    </w:p>
    <w:p w14:paraId="6BC2A4BA" w14:textId="77777777" w:rsidR="009A2A85" w:rsidRPr="0066543C" w:rsidRDefault="009A2A85" w:rsidP="0060108D">
      <w:pPr>
        <w:spacing w:line="276" w:lineRule="auto"/>
        <w:jc w:val="both"/>
        <w:rPr>
          <w:rFonts w:ascii="Arial" w:hAnsi="Arial" w:cs="Arial"/>
          <w:color w:val="000000" w:themeColor="text1"/>
          <w:sz w:val="20"/>
          <w:szCs w:val="20"/>
        </w:rPr>
      </w:pPr>
      <w:r w:rsidRPr="0066543C">
        <w:rPr>
          <w:rFonts w:ascii="Arial" w:hAnsi="Arial" w:cs="Arial"/>
          <w:color w:val="000000" w:themeColor="text1"/>
          <w:sz w:val="20"/>
          <w:szCs w:val="20"/>
        </w:rPr>
        <w:t>Forward:  CYA359F (GGGGAATYTTCCGCAATGGG)</w:t>
      </w:r>
    </w:p>
    <w:p w14:paraId="2536610B" w14:textId="77777777" w:rsidR="009A2A85" w:rsidRPr="0066543C" w:rsidRDefault="009A2A85" w:rsidP="0060108D">
      <w:pPr>
        <w:spacing w:line="276" w:lineRule="auto"/>
        <w:jc w:val="both"/>
        <w:rPr>
          <w:rFonts w:ascii="Arial" w:hAnsi="Arial" w:cs="Arial"/>
          <w:color w:val="000000" w:themeColor="text1"/>
          <w:sz w:val="20"/>
          <w:szCs w:val="20"/>
        </w:rPr>
      </w:pPr>
      <w:r w:rsidRPr="0066543C">
        <w:rPr>
          <w:rFonts w:ascii="Arial" w:hAnsi="Arial" w:cs="Arial"/>
          <w:color w:val="000000" w:themeColor="text1"/>
          <w:sz w:val="20"/>
          <w:szCs w:val="20"/>
        </w:rPr>
        <w:t>Reverse: CYA781R (GACTACWGGGGTATCTAATCCCWTT)</w:t>
      </w:r>
    </w:p>
    <w:p w14:paraId="316B2AAB" w14:textId="36C4953A" w:rsidR="00A5413A" w:rsidRPr="009C61DA" w:rsidRDefault="00A5413A" w:rsidP="009C61DA">
      <w:pPr>
        <w:spacing w:line="360" w:lineRule="auto"/>
        <w:jc w:val="both"/>
        <w:rPr>
          <w:rFonts w:ascii="Arial" w:hAnsi="Arial" w:cs="Arial"/>
          <w:sz w:val="20"/>
          <w:szCs w:val="20"/>
        </w:rPr>
      </w:pPr>
      <w:r w:rsidRPr="009C61DA">
        <w:rPr>
          <w:rFonts w:ascii="Arial" w:hAnsi="Arial" w:cs="Arial"/>
          <w:sz w:val="20"/>
          <w:szCs w:val="20"/>
        </w:rPr>
        <w:t xml:space="preserve">A partial nucleotide sequence of 421 bp obtained by amplification and sequencing of the 16S rRNA gene fragment showed that the selected cyanobacterial strain NGP3 was identified </w:t>
      </w:r>
      <w:bookmarkStart w:id="1" w:name="_Hlk209259508"/>
      <w:r w:rsidRPr="009C61DA">
        <w:rPr>
          <w:rFonts w:ascii="Arial" w:hAnsi="Arial" w:cs="Arial"/>
          <w:sz w:val="20"/>
          <w:szCs w:val="20"/>
        </w:rPr>
        <w:t xml:space="preserve">as </w:t>
      </w:r>
      <w:r w:rsidRPr="009C61DA">
        <w:rPr>
          <w:rFonts w:ascii="Arial" w:hAnsi="Arial" w:cs="Arial"/>
          <w:i/>
          <w:iCs/>
          <w:sz w:val="20"/>
          <w:szCs w:val="20"/>
        </w:rPr>
        <w:t>Leptolyngbya</w:t>
      </w:r>
      <w:r w:rsidRPr="009C61DA">
        <w:rPr>
          <w:rFonts w:ascii="Arial" w:hAnsi="Arial" w:cs="Arial"/>
          <w:sz w:val="20"/>
          <w:szCs w:val="20"/>
        </w:rPr>
        <w:t xml:space="preserve"> species</w:t>
      </w:r>
      <w:bookmarkEnd w:id="1"/>
      <w:r w:rsidRPr="009C61DA">
        <w:rPr>
          <w:rFonts w:ascii="Arial" w:hAnsi="Arial" w:cs="Arial"/>
          <w:sz w:val="20"/>
          <w:szCs w:val="20"/>
        </w:rPr>
        <w:t xml:space="preserve">. The nucleotide sequence has been deposited in the NCBI GenBank database </w:t>
      </w:r>
      <w:r w:rsidR="00A50235">
        <w:rPr>
          <w:rFonts w:ascii="Arial" w:hAnsi="Arial" w:cs="Arial"/>
          <w:sz w:val="20"/>
          <w:szCs w:val="20"/>
        </w:rPr>
        <w:t xml:space="preserve">with accession number </w:t>
      </w:r>
      <w:r w:rsidR="00A50235" w:rsidRPr="00A50235">
        <w:rPr>
          <w:rStyle w:val="cf01"/>
          <w:rFonts w:ascii="Arial" w:hAnsi="Arial" w:cs="Arial"/>
          <w:sz w:val="20"/>
          <w:szCs w:val="20"/>
        </w:rPr>
        <w:t>PP463919.1</w:t>
      </w:r>
      <w:r w:rsidRPr="00A50235">
        <w:rPr>
          <w:rFonts w:ascii="Arial" w:hAnsi="Arial" w:cs="Arial"/>
          <w:sz w:val="20"/>
          <w:szCs w:val="20"/>
        </w:rPr>
        <w:t>.</w:t>
      </w:r>
      <w:r w:rsidRPr="009C61DA">
        <w:rPr>
          <w:rFonts w:ascii="Arial" w:hAnsi="Arial" w:cs="Arial"/>
          <w:sz w:val="20"/>
          <w:szCs w:val="20"/>
        </w:rPr>
        <w:t xml:space="preserve"> </w:t>
      </w:r>
    </w:p>
    <w:p w14:paraId="0D1DB37B" w14:textId="5910EDB3"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SCREENING OF PLANT GROWTH-PROMOTING CYANOBACTERIA FOR PLANT GROWTH-PROMOTING ACTIVITIES</w:t>
      </w:r>
    </w:p>
    <w:p w14:paraId="58DF859D" w14:textId="1DDE1640"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INDOLE ACETIC ACID PRODUCTION</w:t>
      </w:r>
    </w:p>
    <w:p w14:paraId="7AE1BAEC" w14:textId="77777777"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IAA production was estimated </w:t>
      </w:r>
      <w:proofErr w:type="spellStart"/>
      <w:r w:rsidRPr="0066543C">
        <w:rPr>
          <w:rFonts w:ascii="Arial" w:hAnsi="Arial" w:cs="Arial"/>
          <w:color w:val="000000" w:themeColor="text1"/>
          <w:sz w:val="20"/>
          <w:szCs w:val="20"/>
        </w:rPr>
        <w:t>colorimetrically</w:t>
      </w:r>
      <w:proofErr w:type="spellEnd"/>
      <w:r w:rsidRPr="0066543C">
        <w:rPr>
          <w:rFonts w:ascii="Arial" w:hAnsi="Arial" w:cs="Arial"/>
          <w:color w:val="000000" w:themeColor="text1"/>
          <w:sz w:val="20"/>
          <w:szCs w:val="20"/>
        </w:rPr>
        <w:t xml:space="preserve"> using Salkowski’s reagent. Bacterial isolates were grown in Luria–Bertani (LB) broth supplemented with L-tryptophan (0.5 mg/mL) and incubated at 28 °C for 48–72 h with shaking (120 rpm). Cultures were centrifuged at 10,000 rpm for 10 min, and 1 mL of supernatant was mixed with 2 mL of Salkowski’s reagent (1 mL of 0.5 M </w:t>
      </w:r>
      <w:proofErr w:type="spellStart"/>
      <w:r w:rsidRPr="0066543C">
        <w:rPr>
          <w:rFonts w:ascii="Arial" w:hAnsi="Arial" w:cs="Arial"/>
          <w:color w:val="000000" w:themeColor="text1"/>
          <w:sz w:val="20"/>
          <w:szCs w:val="20"/>
        </w:rPr>
        <w:t>FeCl</w:t>
      </w:r>
      <w:proofErr w:type="spellEnd"/>
      <w:r w:rsidRPr="0066543C">
        <w:rPr>
          <w:rFonts w:ascii="Cambria Math" w:hAnsi="Cambria Math" w:cs="Cambria Math"/>
          <w:color w:val="000000" w:themeColor="text1"/>
          <w:sz w:val="20"/>
          <w:szCs w:val="20"/>
        </w:rPr>
        <w:t>₃</w:t>
      </w:r>
      <w:r w:rsidRPr="0066543C">
        <w:rPr>
          <w:rFonts w:ascii="Arial" w:hAnsi="Arial" w:cs="Arial"/>
          <w:color w:val="000000" w:themeColor="text1"/>
          <w:sz w:val="20"/>
          <w:szCs w:val="20"/>
        </w:rPr>
        <w:t xml:space="preserve"> in 50 mL of 35% perchloric acid). Development of a pink to red </w:t>
      </w:r>
      <w:proofErr w:type="spellStart"/>
      <w:r w:rsidRPr="0066543C">
        <w:rPr>
          <w:rFonts w:ascii="Arial" w:hAnsi="Arial" w:cs="Arial"/>
          <w:color w:val="000000" w:themeColor="text1"/>
          <w:sz w:val="20"/>
          <w:szCs w:val="20"/>
        </w:rPr>
        <w:t>color</w:t>
      </w:r>
      <w:proofErr w:type="spellEnd"/>
      <w:r w:rsidRPr="0066543C">
        <w:rPr>
          <w:rFonts w:ascii="Arial" w:hAnsi="Arial" w:cs="Arial"/>
          <w:color w:val="000000" w:themeColor="text1"/>
          <w:sz w:val="20"/>
          <w:szCs w:val="20"/>
        </w:rPr>
        <w:t xml:space="preserve"> after 30 min of incubation in the dark indicated IAA production. Absorbance was measured at 530 nm using a spectrophotometer (</w:t>
      </w:r>
      <w:proofErr w:type="spellStart"/>
      <w:r w:rsidRPr="0066543C">
        <w:rPr>
          <w:rFonts w:ascii="Arial" w:hAnsi="Arial" w:cs="Arial"/>
          <w:color w:val="000000" w:themeColor="text1"/>
          <w:sz w:val="20"/>
          <w:szCs w:val="20"/>
        </w:rPr>
        <w:t>Waday</w:t>
      </w:r>
      <w:proofErr w:type="spellEnd"/>
      <w:r w:rsidRPr="0066543C">
        <w:rPr>
          <w:rFonts w:ascii="Arial" w:hAnsi="Arial" w:cs="Arial"/>
          <w:color w:val="000000" w:themeColor="text1"/>
          <w:sz w:val="20"/>
          <w:szCs w:val="20"/>
        </w:rPr>
        <w:t xml:space="preserve"> et al., 2022).</w:t>
      </w:r>
    </w:p>
    <w:p w14:paraId="07396879" w14:textId="62BFC31D"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PHOSPHATE SOLUBILISATION</w:t>
      </w:r>
    </w:p>
    <w:p w14:paraId="37D9EC05" w14:textId="5D92E288"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Phosphate solubilization ability was tested using </w:t>
      </w:r>
      <w:proofErr w:type="spellStart"/>
      <w:r w:rsidRPr="0066543C">
        <w:rPr>
          <w:rFonts w:ascii="Arial" w:hAnsi="Arial" w:cs="Arial"/>
          <w:color w:val="000000" w:themeColor="text1"/>
          <w:sz w:val="20"/>
          <w:szCs w:val="20"/>
        </w:rPr>
        <w:t>Pikovskaya’s</w:t>
      </w:r>
      <w:proofErr w:type="spellEnd"/>
      <w:r w:rsidRPr="0066543C">
        <w:rPr>
          <w:rFonts w:ascii="Arial" w:hAnsi="Arial" w:cs="Arial"/>
          <w:color w:val="000000" w:themeColor="text1"/>
          <w:sz w:val="20"/>
          <w:szCs w:val="20"/>
        </w:rPr>
        <w:t xml:space="preserve"> agar medium containing tricalcium phosphate [Ca</w:t>
      </w:r>
      <w:r w:rsidRPr="0066543C">
        <w:rPr>
          <w:rFonts w:ascii="Cambria Math" w:hAnsi="Cambria Math" w:cs="Cambria Math"/>
          <w:color w:val="000000" w:themeColor="text1"/>
          <w:sz w:val="20"/>
          <w:szCs w:val="20"/>
        </w:rPr>
        <w:t>₃</w:t>
      </w:r>
      <w:r w:rsidRPr="0066543C">
        <w:rPr>
          <w:rFonts w:ascii="Arial" w:hAnsi="Arial" w:cs="Arial"/>
          <w:color w:val="000000" w:themeColor="text1"/>
          <w:sz w:val="20"/>
          <w:szCs w:val="20"/>
        </w:rPr>
        <w:t>(PO</w:t>
      </w:r>
      <w:proofErr w:type="gramStart"/>
      <w:r w:rsidRPr="0066543C">
        <w:rPr>
          <w:rFonts w:ascii="Cambria Math" w:hAnsi="Cambria Math" w:cs="Cambria Math"/>
          <w:color w:val="000000" w:themeColor="text1"/>
          <w:sz w:val="20"/>
          <w:szCs w:val="20"/>
        </w:rPr>
        <w:t>₄</w:t>
      </w:r>
      <w:r w:rsidRPr="0066543C">
        <w:rPr>
          <w:rFonts w:ascii="Arial" w:hAnsi="Arial" w:cs="Arial"/>
          <w:color w:val="000000" w:themeColor="text1"/>
          <w:sz w:val="20"/>
          <w:szCs w:val="20"/>
        </w:rPr>
        <w:t>)</w:t>
      </w:r>
      <w:r w:rsidRPr="0066543C">
        <w:rPr>
          <w:rFonts w:ascii="Cambria Math" w:hAnsi="Cambria Math" w:cs="Cambria Math"/>
          <w:color w:val="000000" w:themeColor="text1"/>
          <w:sz w:val="20"/>
          <w:szCs w:val="20"/>
        </w:rPr>
        <w:t>₂</w:t>
      </w:r>
      <w:proofErr w:type="gramEnd"/>
      <w:r w:rsidRPr="0066543C">
        <w:rPr>
          <w:rFonts w:ascii="Arial" w:hAnsi="Arial" w:cs="Arial"/>
          <w:color w:val="000000" w:themeColor="text1"/>
          <w:sz w:val="20"/>
          <w:szCs w:val="20"/>
        </w:rPr>
        <w:t xml:space="preserve">] as the insoluble phosphate source. Bacterial isolates were streaked onto </w:t>
      </w:r>
      <w:proofErr w:type="spellStart"/>
      <w:r w:rsidRPr="0066543C">
        <w:rPr>
          <w:rFonts w:ascii="Arial" w:hAnsi="Arial" w:cs="Arial"/>
          <w:color w:val="000000" w:themeColor="text1"/>
          <w:sz w:val="20"/>
          <w:szCs w:val="20"/>
        </w:rPr>
        <w:t>Pikovskaya’s</w:t>
      </w:r>
      <w:proofErr w:type="spellEnd"/>
      <w:r w:rsidRPr="0066543C">
        <w:rPr>
          <w:rFonts w:ascii="Arial" w:hAnsi="Arial" w:cs="Arial"/>
          <w:color w:val="000000" w:themeColor="text1"/>
          <w:sz w:val="20"/>
          <w:szCs w:val="20"/>
        </w:rPr>
        <w:t xml:space="preserve"> agar plates and incubated at 28–30°C for 5–7 days. Phosphate solubilization was indicated by the formation of a clear halo zone around the bacterial colonies. The Solubilization Index (SI) was calculated by measuring the ratio of the total halo zone diameter to the colony diameter (</w:t>
      </w:r>
      <w:proofErr w:type="spellStart"/>
      <w:r w:rsidRPr="0066543C">
        <w:rPr>
          <w:rFonts w:ascii="Arial" w:hAnsi="Arial" w:cs="Arial"/>
          <w:color w:val="000000" w:themeColor="text1"/>
          <w:sz w:val="20"/>
          <w:szCs w:val="20"/>
        </w:rPr>
        <w:t>Waday</w:t>
      </w:r>
      <w:proofErr w:type="spellEnd"/>
      <w:r w:rsidRPr="0066543C">
        <w:rPr>
          <w:rFonts w:ascii="Arial" w:hAnsi="Arial" w:cs="Arial"/>
          <w:color w:val="000000" w:themeColor="text1"/>
          <w:sz w:val="20"/>
          <w:szCs w:val="20"/>
        </w:rPr>
        <w:t xml:space="preserve"> et al., 2022).</w:t>
      </w:r>
    </w:p>
    <w:p w14:paraId="2DD4121D" w14:textId="401117F1"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SIDEROPHORE PRODUCTION</w:t>
      </w:r>
    </w:p>
    <w:p w14:paraId="599CDB05" w14:textId="77777777"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Siderophore production was assessed using the Chrome </w:t>
      </w:r>
      <w:proofErr w:type="spellStart"/>
      <w:r w:rsidRPr="0066543C">
        <w:rPr>
          <w:rFonts w:ascii="Arial" w:hAnsi="Arial" w:cs="Arial"/>
          <w:color w:val="000000" w:themeColor="text1"/>
          <w:sz w:val="20"/>
          <w:szCs w:val="20"/>
        </w:rPr>
        <w:t>Azurol</w:t>
      </w:r>
      <w:proofErr w:type="spellEnd"/>
      <w:r w:rsidRPr="0066543C">
        <w:rPr>
          <w:rFonts w:ascii="Arial" w:hAnsi="Arial" w:cs="Arial"/>
          <w:color w:val="000000" w:themeColor="text1"/>
          <w:sz w:val="20"/>
          <w:szCs w:val="20"/>
        </w:rPr>
        <w:t xml:space="preserve"> S (CAS) agar plate assay.  PGPR isolates were spot-inoculated onto CAS agar plates and incubated at 28–30 °C for 3–5 days. The development of an orange halo around colonies indicated siderophore secretion. The diameter of the halo zone was recorded as a measure of siderophore production (Oo et al.,2020).</w:t>
      </w:r>
    </w:p>
    <w:p w14:paraId="0B625BFE" w14:textId="14627724"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HYDROGEN CYANIDE PRODUCTION</w:t>
      </w:r>
    </w:p>
    <w:p w14:paraId="6B5008E3" w14:textId="5D420446"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The method of analysing HCN produced by PGPR was qualitative, and the reaction of the PGPR and picric acid with sodium hydroxide was employed to demonstrate HCN. Different strains of PGPR were stabbed onto nutrient agar than were incubated for 24-48 hours at the suitable temperature. These plates were later incubated and overlayed with filter paper soaked in picric acid solution (5% w/v) and then sealed with Incubation: Further incubation for 24-48 hours was carried a lid after. Out at RT. </w:t>
      </w:r>
      <w:r w:rsidRPr="0066543C">
        <w:rPr>
          <w:rFonts w:ascii="Arial" w:hAnsi="Arial" w:cs="Arial"/>
          <w:color w:val="000000" w:themeColor="text1"/>
          <w:sz w:val="20"/>
          <w:szCs w:val="20"/>
        </w:rPr>
        <w:lastRenderedPageBreak/>
        <w:t>Observation: With a reaction between HCN and picric acid under alkaline conditions, the presence of red colour on the filter paper would show the HCN (</w:t>
      </w:r>
      <w:proofErr w:type="spellStart"/>
      <w:r w:rsidRPr="0066543C">
        <w:rPr>
          <w:rFonts w:ascii="Arial" w:hAnsi="Arial" w:cs="Arial"/>
          <w:color w:val="000000" w:themeColor="text1"/>
          <w:sz w:val="20"/>
          <w:szCs w:val="20"/>
        </w:rPr>
        <w:t>Waday</w:t>
      </w:r>
      <w:proofErr w:type="spellEnd"/>
      <w:r w:rsidRPr="0066543C">
        <w:rPr>
          <w:rFonts w:ascii="Arial" w:hAnsi="Arial" w:cs="Arial"/>
          <w:color w:val="000000" w:themeColor="text1"/>
          <w:sz w:val="20"/>
          <w:szCs w:val="20"/>
        </w:rPr>
        <w:t xml:space="preserve"> et al.,</w:t>
      </w:r>
      <w:r w:rsidR="004C1CC1">
        <w:rPr>
          <w:rFonts w:ascii="Arial" w:hAnsi="Arial" w:cs="Arial"/>
          <w:color w:val="000000" w:themeColor="text1"/>
          <w:sz w:val="20"/>
          <w:szCs w:val="20"/>
        </w:rPr>
        <w:t xml:space="preserve"> </w:t>
      </w:r>
      <w:r w:rsidRPr="0066543C">
        <w:rPr>
          <w:rFonts w:ascii="Arial" w:hAnsi="Arial" w:cs="Arial"/>
          <w:color w:val="000000" w:themeColor="text1"/>
          <w:sz w:val="20"/>
          <w:szCs w:val="20"/>
        </w:rPr>
        <w:t>2022).</w:t>
      </w:r>
    </w:p>
    <w:p w14:paraId="475B303B" w14:textId="0905DDCC" w:rsidR="00B62FE2" w:rsidRPr="0066543C" w:rsidRDefault="004A1863" w:rsidP="003156F1">
      <w:pPr>
        <w:spacing w:line="360" w:lineRule="auto"/>
        <w:jc w:val="both"/>
        <w:rPr>
          <w:rFonts w:ascii="Arial" w:hAnsi="Arial" w:cs="Arial"/>
          <w:b/>
          <w:bCs/>
          <w:color w:val="000000" w:themeColor="text1"/>
        </w:rPr>
      </w:pPr>
      <w:r w:rsidRPr="0066543C">
        <w:rPr>
          <w:rFonts w:ascii="Arial" w:hAnsi="Arial" w:cs="Arial"/>
          <w:b/>
          <w:bCs/>
          <w:color w:val="000000" w:themeColor="text1"/>
        </w:rPr>
        <w:t>DETERMINATION OF</w:t>
      </w:r>
      <w:r w:rsidR="00960FCD" w:rsidRPr="0066543C">
        <w:rPr>
          <w:rFonts w:ascii="Arial" w:hAnsi="Arial" w:cs="Arial"/>
          <w:b/>
          <w:bCs/>
          <w:color w:val="000000" w:themeColor="text1"/>
        </w:rPr>
        <w:t xml:space="preserve"> </w:t>
      </w:r>
      <w:r w:rsidRPr="0066543C">
        <w:rPr>
          <w:rFonts w:ascii="Arial" w:hAnsi="Arial" w:cs="Arial"/>
          <w:b/>
          <w:bCs/>
          <w:color w:val="000000" w:themeColor="text1"/>
        </w:rPr>
        <w:t>ANTIOXIDANT ENZYME ACTIVITIES</w:t>
      </w:r>
    </w:p>
    <w:p w14:paraId="703F6E2C" w14:textId="77777777" w:rsidR="00960FCD" w:rsidRPr="0066543C" w:rsidRDefault="00960FCD" w:rsidP="00B24143">
      <w:pPr>
        <w:spacing w:line="360" w:lineRule="auto"/>
        <w:jc w:val="both"/>
        <w:rPr>
          <w:rFonts w:ascii="Arial" w:hAnsi="Arial" w:cs="Arial"/>
          <w:sz w:val="20"/>
          <w:szCs w:val="20"/>
        </w:rPr>
      </w:pPr>
      <w:r w:rsidRPr="0066543C">
        <w:rPr>
          <w:rFonts w:ascii="Arial" w:hAnsi="Arial" w:cs="Arial"/>
          <w:color w:val="000000" w:themeColor="text1"/>
          <w:sz w:val="20"/>
          <w:szCs w:val="20"/>
        </w:rPr>
        <w:t xml:space="preserve">In the present study, DPPH radical scavenging assay method was employed to determine antioxidant activity. </w:t>
      </w:r>
      <w:r w:rsidRPr="0066543C">
        <w:rPr>
          <w:rFonts w:ascii="Arial" w:hAnsi="Arial" w:cs="Arial"/>
          <w:sz w:val="20"/>
          <w:szCs w:val="20"/>
        </w:rPr>
        <w:t>The antioxidant potential, DPPH radical scavenging assay, various concentrations of organic fractions (25-125 µgml</w:t>
      </w:r>
      <w:r w:rsidRPr="0066543C">
        <w:rPr>
          <w:rFonts w:ascii="Arial" w:hAnsi="Arial" w:cs="Arial"/>
          <w:sz w:val="20"/>
          <w:szCs w:val="20"/>
          <w:vertAlign w:val="superscript"/>
        </w:rPr>
        <w:t>-1</w:t>
      </w:r>
      <w:r w:rsidRPr="0066543C">
        <w:rPr>
          <w:rFonts w:ascii="Arial" w:hAnsi="Arial" w:cs="Arial"/>
          <w:sz w:val="20"/>
          <w:szCs w:val="20"/>
        </w:rPr>
        <w:t>) were combined with 1.0 ml of 0.135 mM DPPH in methanol, brought up to a final volume of 2.0 ml and stored in the dark for 30 minutes. The mixture's absorbance was measured using a spectrophotometer at 517 nm. Ascorbic acid was employed as a positive control. The radical scavenging activity was assessed by the percentage inhibition of absorbance, which was estimated using the following formula:</w:t>
      </w:r>
    </w:p>
    <w:p w14:paraId="4C7286FE" w14:textId="5F55D180" w:rsidR="00960FCD" w:rsidRPr="0066543C" w:rsidRDefault="00960FCD" w:rsidP="00B24143">
      <w:pPr>
        <w:spacing w:line="360" w:lineRule="auto"/>
        <w:jc w:val="both"/>
        <w:rPr>
          <w:rFonts w:ascii="Arial" w:hAnsi="Arial" w:cs="Arial"/>
          <w:sz w:val="20"/>
          <w:szCs w:val="20"/>
        </w:rPr>
      </w:pPr>
      <w:r w:rsidRPr="0066543C">
        <w:rPr>
          <w:rFonts w:ascii="Arial" w:hAnsi="Arial" w:cs="Arial"/>
          <w:sz w:val="20"/>
          <w:szCs w:val="20"/>
        </w:rPr>
        <w:t>Inhibition of absorbance (%) = {(</w:t>
      </w:r>
      <w:r w:rsidRPr="0066543C">
        <w:rPr>
          <w:rFonts w:ascii="Cambria Math" w:hAnsi="Cambria Math" w:cs="Cambria Math"/>
          <w:sz w:val="20"/>
          <w:szCs w:val="20"/>
        </w:rPr>
        <w:t>𝑁</w:t>
      </w:r>
      <w:r w:rsidRPr="0066543C">
        <w:rPr>
          <w:rFonts w:ascii="Arial" w:hAnsi="Arial" w:cs="Arial"/>
          <w:sz w:val="20"/>
          <w:szCs w:val="20"/>
        </w:rPr>
        <w:t>1−</w:t>
      </w:r>
      <w:r w:rsidRPr="0066543C">
        <w:rPr>
          <w:rFonts w:ascii="Cambria Math" w:hAnsi="Cambria Math" w:cs="Cambria Math"/>
          <w:sz w:val="20"/>
          <w:szCs w:val="20"/>
        </w:rPr>
        <w:t>𝑁</w:t>
      </w:r>
      <w:r w:rsidRPr="0066543C">
        <w:rPr>
          <w:rFonts w:ascii="Arial" w:hAnsi="Arial" w:cs="Arial"/>
          <w:sz w:val="20"/>
          <w:szCs w:val="20"/>
        </w:rPr>
        <w:t xml:space="preserve">2)/ </w:t>
      </w:r>
      <w:r w:rsidRPr="0066543C">
        <w:rPr>
          <w:rFonts w:ascii="Cambria Math" w:hAnsi="Cambria Math" w:cs="Cambria Math"/>
          <w:sz w:val="20"/>
          <w:szCs w:val="20"/>
        </w:rPr>
        <w:t>𝑁</w:t>
      </w:r>
      <w:r w:rsidRPr="0066543C">
        <w:rPr>
          <w:rFonts w:ascii="Arial" w:hAnsi="Arial" w:cs="Arial"/>
          <w:sz w:val="20"/>
          <w:szCs w:val="20"/>
        </w:rPr>
        <w:t xml:space="preserve">1} </w:t>
      </w:r>
      <w:r w:rsidRPr="0066543C">
        <w:rPr>
          <w:rFonts w:ascii="Cambria Math" w:hAnsi="Cambria Math" w:cs="Cambria Math"/>
          <w:sz w:val="20"/>
          <w:szCs w:val="20"/>
        </w:rPr>
        <w:t>𝑥</w:t>
      </w:r>
      <w:r w:rsidRPr="0066543C">
        <w:rPr>
          <w:rFonts w:ascii="Arial" w:hAnsi="Arial" w:cs="Arial"/>
          <w:sz w:val="20"/>
          <w:szCs w:val="20"/>
        </w:rPr>
        <w:t xml:space="preserve">100 </w:t>
      </w:r>
    </w:p>
    <w:p w14:paraId="60B1A599" w14:textId="65C00DFB" w:rsidR="00960FCD" w:rsidRPr="0066543C" w:rsidRDefault="00960FCD" w:rsidP="00B24143">
      <w:pPr>
        <w:spacing w:line="360" w:lineRule="auto"/>
        <w:jc w:val="both"/>
        <w:rPr>
          <w:rFonts w:ascii="Arial" w:hAnsi="Arial" w:cs="Arial"/>
          <w:sz w:val="20"/>
          <w:szCs w:val="20"/>
        </w:rPr>
      </w:pPr>
      <w:r w:rsidRPr="0066543C">
        <w:rPr>
          <w:rFonts w:ascii="Arial" w:hAnsi="Arial" w:cs="Arial"/>
          <w:sz w:val="20"/>
          <w:szCs w:val="20"/>
        </w:rPr>
        <w:t>Where N1 and N2 are the absorbance of control and sample groups</w:t>
      </w:r>
      <w:r w:rsidR="00F330C7">
        <w:rPr>
          <w:rFonts w:ascii="Arial" w:hAnsi="Arial" w:cs="Arial"/>
          <w:sz w:val="20"/>
          <w:szCs w:val="20"/>
        </w:rPr>
        <w:t xml:space="preserve"> (Anas et. Al., 2016)</w:t>
      </w:r>
      <w:r w:rsidRPr="0066543C">
        <w:rPr>
          <w:rFonts w:ascii="Arial" w:hAnsi="Arial" w:cs="Arial"/>
          <w:sz w:val="20"/>
          <w:szCs w:val="20"/>
        </w:rPr>
        <w:t>.</w:t>
      </w:r>
    </w:p>
    <w:p w14:paraId="7A18126A" w14:textId="32A6A0CA" w:rsidR="00684B25" w:rsidRPr="0066543C" w:rsidRDefault="004A1863" w:rsidP="00684B25">
      <w:pPr>
        <w:spacing w:line="360" w:lineRule="auto"/>
        <w:jc w:val="both"/>
        <w:rPr>
          <w:rFonts w:ascii="Arial" w:hAnsi="Arial" w:cs="Arial"/>
          <w:b/>
          <w:bCs/>
          <w:color w:val="000000" w:themeColor="text1"/>
        </w:rPr>
      </w:pPr>
      <w:r w:rsidRPr="0066543C">
        <w:rPr>
          <w:rFonts w:ascii="Arial" w:hAnsi="Arial" w:cs="Arial"/>
          <w:b/>
          <w:bCs/>
          <w:color w:val="000000" w:themeColor="text1"/>
        </w:rPr>
        <w:t>SEED GERMINATION OF RICE</w:t>
      </w:r>
    </w:p>
    <w:p w14:paraId="088752CA" w14:textId="64D5DC40" w:rsidR="00684B25" w:rsidRPr="0066543C" w:rsidRDefault="00684B25" w:rsidP="00684B2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Seed germination experiments were conducted using three Petri dishes, designated as A and </w:t>
      </w:r>
      <w:r w:rsidR="00E81345" w:rsidRPr="0066543C">
        <w:rPr>
          <w:rFonts w:ascii="Arial" w:hAnsi="Arial" w:cs="Arial"/>
          <w:color w:val="000000" w:themeColor="text1"/>
          <w:sz w:val="20"/>
          <w:szCs w:val="20"/>
        </w:rPr>
        <w:t>B</w:t>
      </w:r>
      <w:r w:rsidRPr="0066543C">
        <w:rPr>
          <w:rFonts w:ascii="Arial" w:hAnsi="Arial" w:cs="Arial"/>
          <w:color w:val="000000" w:themeColor="text1"/>
          <w:sz w:val="20"/>
          <w:szCs w:val="20"/>
        </w:rPr>
        <w:t>. Rice seeds were placed in each Petri dish and soaked with water. In Petri dish B, 0.25 g of wet cyanobacterial inoculum (</w:t>
      </w:r>
      <w:r w:rsidR="00E81345" w:rsidRPr="0066543C">
        <w:rPr>
          <w:rFonts w:ascii="Arial" w:hAnsi="Arial" w:cs="Arial"/>
          <w:i/>
          <w:iCs/>
          <w:color w:val="000000" w:themeColor="text1"/>
          <w:sz w:val="20"/>
          <w:szCs w:val="20"/>
        </w:rPr>
        <w:t>Leptolyngbya</w:t>
      </w:r>
      <w:r w:rsidR="00E81345" w:rsidRPr="0066543C">
        <w:rPr>
          <w:rFonts w:ascii="Arial" w:hAnsi="Arial" w:cs="Arial"/>
          <w:color w:val="000000" w:themeColor="text1"/>
          <w:sz w:val="20"/>
          <w:szCs w:val="20"/>
        </w:rPr>
        <w:t xml:space="preserve"> </w:t>
      </w:r>
      <w:r w:rsidR="00E81345" w:rsidRPr="0066543C">
        <w:rPr>
          <w:rFonts w:ascii="Arial" w:hAnsi="Arial" w:cs="Arial"/>
          <w:i/>
          <w:iCs/>
          <w:color w:val="000000" w:themeColor="text1"/>
          <w:sz w:val="20"/>
          <w:szCs w:val="20"/>
        </w:rPr>
        <w:t>sp</w:t>
      </w:r>
      <w:r w:rsidR="00E81345" w:rsidRPr="0066543C">
        <w:rPr>
          <w:rFonts w:ascii="Arial" w:hAnsi="Arial" w:cs="Arial"/>
          <w:color w:val="000000" w:themeColor="text1"/>
          <w:sz w:val="20"/>
          <w:szCs w:val="20"/>
        </w:rPr>
        <w:t>.</w:t>
      </w:r>
      <w:r w:rsidRPr="0066543C">
        <w:rPr>
          <w:rFonts w:ascii="Arial" w:hAnsi="Arial" w:cs="Arial"/>
          <w:color w:val="000000" w:themeColor="text1"/>
          <w:sz w:val="20"/>
          <w:szCs w:val="20"/>
        </w:rPr>
        <w:t xml:space="preserve">) was added at a rate corresponding to 500 seeds. Petri dish A served as the control, in which no cyanobacterial inoculum was added. After </w:t>
      </w:r>
      <w:r w:rsidR="00E81345" w:rsidRPr="0066543C">
        <w:rPr>
          <w:rFonts w:ascii="Arial" w:hAnsi="Arial" w:cs="Arial"/>
          <w:color w:val="000000" w:themeColor="text1"/>
          <w:sz w:val="20"/>
          <w:szCs w:val="20"/>
        </w:rPr>
        <w:t>three weeks</w:t>
      </w:r>
      <w:r w:rsidRPr="0066543C">
        <w:rPr>
          <w:rFonts w:ascii="Arial" w:hAnsi="Arial" w:cs="Arial"/>
          <w:color w:val="000000" w:themeColor="text1"/>
          <w:sz w:val="20"/>
          <w:szCs w:val="20"/>
        </w:rPr>
        <w:t xml:space="preserve"> of incubation, the seedling height and root length were measured to estimate the effect of cyanobacterial inoculation on rice seed germination and early growth.</w:t>
      </w:r>
    </w:p>
    <w:p w14:paraId="4A7FC09C" w14:textId="68402935" w:rsidR="00684B25" w:rsidRPr="0066543C" w:rsidRDefault="004A1863" w:rsidP="00684B25">
      <w:pPr>
        <w:spacing w:line="360" w:lineRule="auto"/>
        <w:jc w:val="both"/>
        <w:rPr>
          <w:rFonts w:ascii="Arial" w:hAnsi="Arial" w:cs="Arial"/>
          <w:b/>
          <w:bCs/>
          <w:color w:val="000000" w:themeColor="text1"/>
        </w:rPr>
      </w:pPr>
      <w:r w:rsidRPr="0066543C">
        <w:rPr>
          <w:rFonts w:ascii="Arial" w:hAnsi="Arial" w:cs="Arial"/>
          <w:b/>
          <w:bCs/>
          <w:color w:val="000000" w:themeColor="text1"/>
        </w:rPr>
        <w:t xml:space="preserve">POT CULTURE </w:t>
      </w:r>
      <w:r w:rsidR="008956DF" w:rsidRPr="0066543C">
        <w:rPr>
          <w:rFonts w:ascii="Arial" w:hAnsi="Arial" w:cs="Arial"/>
          <w:b/>
          <w:bCs/>
          <w:color w:val="000000" w:themeColor="text1"/>
        </w:rPr>
        <w:t>ASSAY</w:t>
      </w:r>
      <w:r w:rsidRPr="0066543C">
        <w:rPr>
          <w:rFonts w:ascii="Arial" w:hAnsi="Arial" w:cs="Arial"/>
          <w:b/>
          <w:bCs/>
          <w:color w:val="000000" w:themeColor="text1"/>
        </w:rPr>
        <w:t xml:space="preserve"> </w:t>
      </w:r>
    </w:p>
    <w:p w14:paraId="4DD4DC66" w14:textId="2F1B4DD1" w:rsidR="00684B25" w:rsidRPr="0066543C" w:rsidRDefault="00684B25" w:rsidP="003B0F8B">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Pot culture experiments were conducted using three pots, designated as A and </w:t>
      </w:r>
      <w:r w:rsidR="00D47FD6" w:rsidRPr="0066543C">
        <w:rPr>
          <w:rFonts w:ascii="Arial" w:hAnsi="Arial" w:cs="Arial"/>
          <w:color w:val="000000" w:themeColor="text1"/>
          <w:sz w:val="20"/>
          <w:szCs w:val="20"/>
        </w:rPr>
        <w:t>B</w:t>
      </w:r>
      <w:r w:rsidRPr="0066543C">
        <w:rPr>
          <w:rFonts w:ascii="Arial" w:hAnsi="Arial" w:cs="Arial"/>
          <w:color w:val="000000" w:themeColor="text1"/>
          <w:sz w:val="20"/>
          <w:szCs w:val="20"/>
        </w:rPr>
        <w:t xml:space="preserve">. Six rice seedlings, each measuring 2.5–6.5 cm in height, were transplanted from Petri dishes A and </w:t>
      </w:r>
      <w:r w:rsidR="00D47FD6" w:rsidRPr="0066543C">
        <w:rPr>
          <w:rFonts w:ascii="Arial" w:hAnsi="Arial" w:cs="Arial"/>
          <w:color w:val="000000" w:themeColor="text1"/>
          <w:sz w:val="20"/>
          <w:szCs w:val="20"/>
        </w:rPr>
        <w:t>B</w:t>
      </w:r>
      <w:r w:rsidRPr="0066543C">
        <w:rPr>
          <w:rFonts w:ascii="Arial" w:hAnsi="Arial" w:cs="Arial"/>
          <w:color w:val="000000" w:themeColor="text1"/>
          <w:sz w:val="20"/>
          <w:szCs w:val="20"/>
        </w:rPr>
        <w:t xml:space="preserve"> into pots A and </w:t>
      </w:r>
      <w:r w:rsidR="00D47FD6" w:rsidRPr="0066543C">
        <w:rPr>
          <w:rFonts w:ascii="Arial" w:hAnsi="Arial" w:cs="Arial"/>
          <w:color w:val="000000" w:themeColor="text1"/>
          <w:sz w:val="20"/>
          <w:szCs w:val="20"/>
        </w:rPr>
        <w:t>B</w:t>
      </w:r>
      <w:r w:rsidRPr="0066543C">
        <w:rPr>
          <w:rFonts w:ascii="Arial" w:hAnsi="Arial" w:cs="Arial"/>
          <w:color w:val="000000" w:themeColor="text1"/>
          <w:sz w:val="20"/>
          <w:szCs w:val="20"/>
        </w:rPr>
        <w:t>, respectively.</w:t>
      </w:r>
      <w:r w:rsidR="004A5C1E" w:rsidRPr="0066543C">
        <w:rPr>
          <w:rFonts w:ascii="Arial" w:hAnsi="Arial" w:cs="Arial"/>
          <w:color w:val="000000" w:themeColor="text1"/>
          <w:sz w:val="20"/>
          <w:szCs w:val="20"/>
        </w:rPr>
        <w:t xml:space="preserve"> </w:t>
      </w:r>
      <w:r w:rsidRPr="0066543C">
        <w:rPr>
          <w:rFonts w:ascii="Arial" w:hAnsi="Arial" w:cs="Arial"/>
          <w:color w:val="000000" w:themeColor="text1"/>
          <w:sz w:val="20"/>
          <w:szCs w:val="20"/>
        </w:rPr>
        <w:t xml:space="preserve">For inoculation, 1 gm of wet </w:t>
      </w:r>
      <w:r w:rsidR="00FF4530"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inoculum was added to the soil of pot </w:t>
      </w:r>
      <w:r w:rsidR="00D47FD6" w:rsidRPr="0066543C">
        <w:rPr>
          <w:rFonts w:ascii="Arial" w:hAnsi="Arial" w:cs="Arial"/>
          <w:color w:val="000000" w:themeColor="text1"/>
          <w:sz w:val="20"/>
          <w:szCs w:val="20"/>
        </w:rPr>
        <w:t>B</w:t>
      </w:r>
      <w:r w:rsidRPr="0066543C">
        <w:rPr>
          <w:rFonts w:ascii="Arial" w:hAnsi="Arial" w:cs="Arial"/>
          <w:color w:val="000000" w:themeColor="text1"/>
          <w:sz w:val="20"/>
          <w:szCs w:val="20"/>
        </w:rPr>
        <w:t xml:space="preserve"> at the same intervals. Pot A served as the uninoculated control.</w:t>
      </w:r>
      <w:r w:rsidR="004A5C1E" w:rsidRPr="0066543C">
        <w:rPr>
          <w:rFonts w:ascii="Arial" w:hAnsi="Arial" w:cs="Arial"/>
          <w:color w:val="000000" w:themeColor="text1"/>
          <w:sz w:val="20"/>
          <w:szCs w:val="20"/>
        </w:rPr>
        <w:t xml:space="preserve"> </w:t>
      </w:r>
      <w:r w:rsidRPr="0066543C">
        <w:rPr>
          <w:rFonts w:ascii="Arial" w:hAnsi="Arial" w:cs="Arial"/>
          <w:color w:val="000000" w:themeColor="text1"/>
          <w:sz w:val="20"/>
          <w:szCs w:val="20"/>
        </w:rPr>
        <w:t>After three weeks of growth, plant parameters including shoot height, root length, fresh weight, and dry weight of leaves, stems, and roots were measured. In addition, soil physicochemical properties such as moisture content, bulk density, particle density, and porosity were also recorded.</w:t>
      </w:r>
    </w:p>
    <w:p w14:paraId="33B7B8E3" w14:textId="163BEEC2"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RESULTS</w:t>
      </w:r>
    </w:p>
    <w:p w14:paraId="4A83AB3B" w14:textId="144085E5" w:rsidR="00874F15" w:rsidRPr="0066543C" w:rsidRDefault="004A1863" w:rsidP="00874F15">
      <w:pPr>
        <w:rPr>
          <w:rFonts w:ascii="Arial" w:hAnsi="Arial" w:cs="Arial"/>
          <w:b/>
          <w:bCs/>
          <w:color w:val="000000" w:themeColor="text1"/>
        </w:rPr>
      </w:pPr>
      <w:r w:rsidRPr="0066543C">
        <w:rPr>
          <w:rFonts w:ascii="Arial" w:hAnsi="Arial" w:cs="Arial"/>
          <w:b/>
          <w:bCs/>
          <w:color w:val="000000" w:themeColor="text1"/>
        </w:rPr>
        <w:t>MICROBIOLOGICAL ANALYSIS OF SOIL AND WATER SAMPLES</w:t>
      </w:r>
    </w:p>
    <w:p w14:paraId="115F3E0F" w14:textId="4510CA6D" w:rsidR="00BC5504" w:rsidRPr="0066543C" w:rsidRDefault="00BC5504" w:rsidP="00BC5504">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Soil is a fertile and dynamic ecosystem with a wide spread of microorganisms</w:t>
      </w:r>
      <w:r w:rsidR="00684B25" w:rsidRPr="0066543C">
        <w:rPr>
          <w:rFonts w:ascii="Arial" w:hAnsi="Arial" w:cs="Arial"/>
          <w:color w:val="000000" w:themeColor="text1"/>
          <w:sz w:val="20"/>
          <w:szCs w:val="20"/>
        </w:rPr>
        <w:t>,</w:t>
      </w:r>
      <w:r w:rsidRPr="0066543C">
        <w:rPr>
          <w:rFonts w:ascii="Arial" w:hAnsi="Arial" w:cs="Arial"/>
          <w:color w:val="000000" w:themeColor="text1"/>
          <w:sz w:val="20"/>
          <w:szCs w:val="20"/>
        </w:rPr>
        <w:t xml:space="preserve"> with a special and essential role played by cyanobacteria. Cyanobacteria are autotrophic prokaryotes that can also be found in various soil environments and play a major role in nutrient cycling, particularly fixation of </w:t>
      </w:r>
      <w:r w:rsidR="00727B69" w:rsidRPr="0066543C">
        <w:rPr>
          <w:rFonts w:ascii="Arial" w:hAnsi="Arial" w:cs="Arial"/>
          <w:color w:val="000000" w:themeColor="text1"/>
          <w:sz w:val="20"/>
          <w:szCs w:val="20"/>
        </w:rPr>
        <w:t>N</w:t>
      </w:r>
      <w:r w:rsidR="00727B69" w:rsidRPr="0066543C">
        <w:rPr>
          <w:rFonts w:ascii="Arial" w:hAnsi="Arial" w:cs="Arial"/>
          <w:color w:val="000000" w:themeColor="text1"/>
          <w:sz w:val="20"/>
          <w:szCs w:val="20"/>
          <w:vertAlign w:val="subscript"/>
        </w:rPr>
        <w:t>2</w:t>
      </w:r>
      <w:r w:rsidRPr="0066543C">
        <w:rPr>
          <w:rFonts w:ascii="Arial" w:hAnsi="Arial" w:cs="Arial"/>
          <w:color w:val="000000" w:themeColor="text1"/>
          <w:sz w:val="20"/>
          <w:szCs w:val="20"/>
        </w:rPr>
        <w:t>, and solubilization of phosphorus (Singh et al., 20</w:t>
      </w:r>
      <w:r w:rsidR="00FF597F">
        <w:rPr>
          <w:rFonts w:ascii="Arial" w:hAnsi="Arial" w:cs="Arial"/>
          <w:color w:val="000000" w:themeColor="text1"/>
          <w:sz w:val="20"/>
          <w:szCs w:val="20"/>
        </w:rPr>
        <w:t>20</w:t>
      </w:r>
      <w:r w:rsidRPr="0066543C">
        <w:rPr>
          <w:rFonts w:ascii="Arial" w:hAnsi="Arial" w:cs="Arial"/>
          <w:color w:val="000000" w:themeColor="text1"/>
          <w:sz w:val="20"/>
          <w:szCs w:val="20"/>
        </w:rPr>
        <w:t xml:space="preserve">; </w:t>
      </w:r>
      <w:r w:rsidR="00FF597F">
        <w:rPr>
          <w:rFonts w:ascii="Arial" w:hAnsi="Arial" w:cs="Arial"/>
          <w:color w:val="000000" w:themeColor="text1"/>
          <w:sz w:val="20"/>
          <w:szCs w:val="20"/>
        </w:rPr>
        <w:t>Singh</w:t>
      </w:r>
      <w:r w:rsidRPr="0066543C">
        <w:rPr>
          <w:rFonts w:ascii="Arial" w:hAnsi="Arial" w:cs="Arial"/>
          <w:color w:val="000000" w:themeColor="text1"/>
          <w:sz w:val="20"/>
          <w:szCs w:val="20"/>
        </w:rPr>
        <w:t xml:space="preserve"> et al., 2011). Not only do they improve the fertility of soil, but they also aid in the growth of plants and improve the structure of soil through the formation of biofilms and exopolysaccharide matrices</w:t>
      </w:r>
      <w:r w:rsidR="00727B69" w:rsidRPr="0066543C">
        <w:rPr>
          <w:rFonts w:ascii="Arial" w:hAnsi="Arial" w:cs="Arial"/>
          <w:color w:val="000000" w:themeColor="text1"/>
          <w:sz w:val="20"/>
          <w:szCs w:val="20"/>
        </w:rPr>
        <w:t xml:space="preserve"> surrounding the plant ecosystems</w:t>
      </w:r>
      <w:r w:rsidRPr="0066543C">
        <w:rPr>
          <w:rFonts w:ascii="Arial" w:hAnsi="Arial" w:cs="Arial"/>
          <w:color w:val="000000" w:themeColor="text1"/>
          <w:sz w:val="20"/>
          <w:szCs w:val="20"/>
        </w:rPr>
        <w:t xml:space="preserve">. The </w:t>
      </w:r>
      <w:r w:rsidRPr="0066543C">
        <w:rPr>
          <w:rFonts w:ascii="Arial" w:hAnsi="Arial" w:cs="Arial"/>
          <w:color w:val="000000" w:themeColor="text1"/>
          <w:sz w:val="20"/>
          <w:szCs w:val="20"/>
        </w:rPr>
        <w:lastRenderedPageBreak/>
        <w:t>microbiological examination of soil with emphasis on cyanobacteria is crucial in order to assess abundance, diversity, and functional potential of cyanobacteria, which are important to determine the ecological role and possible educational use in the sustainable agriculture and bioremediation of such pollutants like organophosphorus pesticides (</w:t>
      </w:r>
      <w:r w:rsidR="008E794A" w:rsidRPr="0066543C">
        <w:rPr>
          <w:rFonts w:ascii="Arial" w:eastAsia="Times New Roman" w:hAnsi="Arial" w:cs="Arial"/>
          <w:kern w:val="0"/>
          <w:sz w:val="20"/>
          <w:szCs w:val="20"/>
          <w:lang w:eastAsia="en-IN"/>
          <w14:ligatures w14:val="none"/>
        </w:rPr>
        <w:t>Bioresources and Bioprocessing</w:t>
      </w:r>
      <w:r w:rsidR="008E794A">
        <w:rPr>
          <w:rFonts w:ascii="Arial" w:eastAsia="Times New Roman" w:hAnsi="Arial" w:cs="Arial"/>
          <w:kern w:val="0"/>
          <w:sz w:val="20"/>
          <w:szCs w:val="20"/>
          <w:lang w:eastAsia="en-IN"/>
          <w14:ligatures w14:val="none"/>
        </w:rPr>
        <w:t xml:space="preserve">, </w:t>
      </w:r>
      <w:r w:rsidR="008E794A" w:rsidRPr="0066543C">
        <w:rPr>
          <w:rFonts w:ascii="Arial" w:eastAsia="Times New Roman" w:hAnsi="Arial" w:cs="Arial"/>
          <w:kern w:val="0"/>
          <w:sz w:val="20"/>
          <w:szCs w:val="20"/>
          <w:lang w:eastAsia="en-IN"/>
          <w14:ligatures w14:val="none"/>
        </w:rPr>
        <w:t>2022</w:t>
      </w:r>
      <w:r w:rsidR="008E794A">
        <w:rPr>
          <w:rFonts w:ascii="Arial" w:eastAsia="Times New Roman" w:hAnsi="Arial" w:cs="Arial"/>
          <w:kern w:val="0"/>
          <w:sz w:val="20"/>
          <w:szCs w:val="20"/>
          <w:lang w:eastAsia="en-IN"/>
          <w14:ligatures w14:val="none"/>
        </w:rPr>
        <w:t xml:space="preserve">; </w:t>
      </w:r>
      <w:r w:rsidR="006A1CA1">
        <w:rPr>
          <w:rFonts w:ascii="Arial" w:hAnsi="Arial" w:cs="Arial"/>
          <w:color w:val="000000" w:themeColor="text1"/>
          <w:sz w:val="20"/>
          <w:szCs w:val="20"/>
        </w:rPr>
        <w:t>Giesy</w:t>
      </w:r>
      <w:r w:rsidRPr="0066543C">
        <w:rPr>
          <w:rFonts w:ascii="Arial" w:hAnsi="Arial" w:cs="Arial"/>
          <w:color w:val="000000" w:themeColor="text1"/>
          <w:sz w:val="20"/>
          <w:szCs w:val="20"/>
        </w:rPr>
        <w:t xml:space="preserve"> et al., 20</w:t>
      </w:r>
      <w:r w:rsidR="006A1CA1">
        <w:rPr>
          <w:rFonts w:ascii="Arial" w:hAnsi="Arial" w:cs="Arial"/>
          <w:color w:val="000000" w:themeColor="text1"/>
          <w:sz w:val="20"/>
          <w:szCs w:val="20"/>
        </w:rPr>
        <w:t>14</w:t>
      </w:r>
      <w:r w:rsidRPr="0066543C">
        <w:rPr>
          <w:rFonts w:ascii="Arial" w:hAnsi="Arial" w:cs="Arial"/>
          <w:color w:val="000000" w:themeColor="text1"/>
          <w:sz w:val="20"/>
          <w:szCs w:val="20"/>
        </w:rPr>
        <w:t>).</w:t>
      </w:r>
    </w:p>
    <w:p w14:paraId="3D95347C" w14:textId="0CC240B5" w:rsidR="00BC5504" w:rsidRPr="0066543C" w:rsidRDefault="00BC5504" w:rsidP="00BC5504">
      <w:pPr>
        <w:spacing w:line="360" w:lineRule="auto"/>
        <w:jc w:val="both"/>
        <w:rPr>
          <w:rFonts w:ascii="Arial" w:hAnsi="Arial" w:cs="Arial"/>
          <w:color w:val="000000" w:themeColor="text1"/>
          <w:sz w:val="24"/>
          <w:szCs w:val="24"/>
        </w:rPr>
      </w:pPr>
      <w:r w:rsidRPr="0066543C">
        <w:rPr>
          <w:rFonts w:ascii="Arial" w:hAnsi="Arial" w:cs="Arial"/>
          <w:color w:val="000000" w:themeColor="text1"/>
          <w:sz w:val="20"/>
          <w:szCs w:val="20"/>
        </w:rPr>
        <w:t xml:space="preserve">The selective BG-11 medium was effective </w:t>
      </w:r>
      <w:r w:rsidR="00131B2F" w:rsidRPr="0066543C">
        <w:rPr>
          <w:rFonts w:ascii="Arial" w:hAnsi="Arial" w:cs="Arial"/>
          <w:color w:val="000000" w:themeColor="text1"/>
          <w:sz w:val="20"/>
          <w:szCs w:val="20"/>
        </w:rPr>
        <w:t xml:space="preserve">for </w:t>
      </w:r>
      <w:r w:rsidR="00727B69" w:rsidRPr="0066543C">
        <w:rPr>
          <w:rFonts w:ascii="Arial" w:hAnsi="Arial" w:cs="Arial"/>
          <w:color w:val="000000" w:themeColor="text1"/>
          <w:sz w:val="20"/>
          <w:szCs w:val="20"/>
        </w:rPr>
        <w:t>the isolation</w:t>
      </w:r>
      <w:r w:rsidR="00131B2F" w:rsidRPr="0066543C">
        <w:rPr>
          <w:rFonts w:ascii="Arial" w:hAnsi="Arial" w:cs="Arial"/>
          <w:color w:val="000000" w:themeColor="text1"/>
          <w:sz w:val="20"/>
          <w:szCs w:val="20"/>
        </w:rPr>
        <w:t xml:space="preserve"> of the</w:t>
      </w:r>
      <w:r w:rsidRPr="0066543C">
        <w:rPr>
          <w:rFonts w:ascii="Arial" w:hAnsi="Arial" w:cs="Arial"/>
          <w:color w:val="000000" w:themeColor="text1"/>
          <w:sz w:val="20"/>
          <w:szCs w:val="20"/>
        </w:rPr>
        <w:t xml:space="preserve"> cyanobacterial strains from water samples. After 20 days of incubation, distinct colonies were formed with typical morphological characteristics including filamentous shape, sheath and pigmentation between bluish-green to dark green. </w:t>
      </w:r>
    </w:p>
    <w:p w14:paraId="543EFE47" w14:textId="1E430A87" w:rsidR="00E810EE" w:rsidRPr="0066543C" w:rsidRDefault="004A1863" w:rsidP="00E810EE">
      <w:pPr>
        <w:rPr>
          <w:rFonts w:ascii="Arial" w:hAnsi="Arial" w:cs="Arial"/>
          <w:b/>
          <w:bCs/>
          <w:color w:val="000000" w:themeColor="text1"/>
        </w:rPr>
      </w:pPr>
      <w:r w:rsidRPr="0066543C">
        <w:rPr>
          <w:rFonts w:ascii="Arial" w:hAnsi="Arial" w:cs="Arial"/>
          <w:b/>
          <w:bCs/>
          <w:color w:val="000000" w:themeColor="text1"/>
        </w:rPr>
        <w:t>CHLORPYRIFOS TOLERANCE</w:t>
      </w:r>
    </w:p>
    <w:p w14:paraId="0FADDEC2" w14:textId="77777777" w:rsidR="00E810EE" w:rsidRPr="0066543C" w:rsidRDefault="00E810EE" w:rsidP="00E810EE">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Cyanobacterial isolates exposed to different concentrations of chlorpyrifos (5, 10, 15, and 20 mg L</w:t>
      </w:r>
      <w:r w:rsidRPr="0066543C">
        <w:rPr>
          <w:rFonts w:ascii="Cambria Math" w:hAnsi="Cambria Math" w:cs="Cambria Math"/>
          <w:color w:val="000000" w:themeColor="text1"/>
          <w:sz w:val="20"/>
          <w:szCs w:val="20"/>
        </w:rPr>
        <w:t>⁻</w:t>
      </w:r>
      <w:r w:rsidRPr="0066543C">
        <w:rPr>
          <w:rFonts w:ascii="Arial" w:hAnsi="Arial" w:cs="Arial"/>
          <w:color w:val="000000" w:themeColor="text1"/>
          <w:sz w:val="20"/>
          <w:szCs w:val="20"/>
        </w:rPr>
        <w:t>¹) demonstrated variable tolerance levels. At lower concentrations (5–10 mg L</w:t>
      </w:r>
      <w:r w:rsidRPr="0066543C">
        <w:rPr>
          <w:rFonts w:ascii="Cambria Math" w:hAnsi="Cambria Math" w:cs="Cambria Math"/>
          <w:color w:val="000000" w:themeColor="text1"/>
          <w:sz w:val="20"/>
          <w:szCs w:val="20"/>
        </w:rPr>
        <w:t>⁻</w:t>
      </w:r>
      <w:r w:rsidRPr="0066543C">
        <w:rPr>
          <w:rFonts w:ascii="Arial" w:hAnsi="Arial" w:cs="Arial"/>
          <w:color w:val="000000" w:themeColor="text1"/>
          <w:sz w:val="20"/>
          <w:szCs w:val="20"/>
        </w:rPr>
        <w:t>¹), growth (measured as optical density at 750 nm and chlorophyll-a content) was only slightly reduced compared to the untreated control, indicating an adaptive capacity of the isolates. However, at 15 mg L</w:t>
      </w:r>
      <w:r w:rsidRPr="0066543C">
        <w:rPr>
          <w:rFonts w:ascii="Cambria Math" w:hAnsi="Cambria Math" w:cs="Cambria Math"/>
          <w:color w:val="000000" w:themeColor="text1"/>
          <w:sz w:val="20"/>
          <w:szCs w:val="20"/>
        </w:rPr>
        <w:t>⁻</w:t>
      </w:r>
      <w:r w:rsidRPr="0066543C">
        <w:rPr>
          <w:rFonts w:ascii="Arial" w:hAnsi="Arial" w:cs="Arial"/>
          <w:color w:val="000000" w:themeColor="text1"/>
          <w:sz w:val="20"/>
          <w:szCs w:val="20"/>
        </w:rPr>
        <w:t>¹, moderate inhibition of growth was observed, with a significant reduction in biomass accumulation and pigment content. At the highest concentration (20 mg L</w:t>
      </w:r>
      <w:r w:rsidRPr="0066543C">
        <w:rPr>
          <w:rFonts w:ascii="Cambria Math" w:hAnsi="Cambria Math" w:cs="Cambria Math"/>
          <w:color w:val="000000" w:themeColor="text1"/>
          <w:sz w:val="20"/>
          <w:szCs w:val="20"/>
        </w:rPr>
        <w:t>⁻</w:t>
      </w:r>
      <w:r w:rsidRPr="0066543C">
        <w:rPr>
          <w:rFonts w:ascii="Arial" w:hAnsi="Arial" w:cs="Arial"/>
          <w:color w:val="000000" w:themeColor="text1"/>
          <w:sz w:val="20"/>
          <w:szCs w:val="20"/>
        </w:rPr>
        <w:t>¹), most isolates exhibited pronounced growth inhibition, cell bleaching, and reduced viability, although a few strains continued to survive, suggesting inherent tolerance mechanisms.</w:t>
      </w:r>
    </w:p>
    <w:p w14:paraId="160E2F15" w14:textId="5E6E7C19" w:rsidR="008C6F8F" w:rsidRPr="0066543C" w:rsidRDefault="004A1863" w:rsidP="00BC5504">
      <w:pPr>
        <w:spacing w:line="360" w:lineRule="auto"/>
        <w:jc w:val="both"/>
        <w:rPr>
          <w:rFonts w:ascii="Arial" w:hAnsi="Arial" w:cs="Arial"/>
          <w:b/>
          <w:bCs/>
          <w:color w:val="000000" w:themeColor="text1"/>
        </w:rPr>
      </w:pPr>
      <w:r w:rsidRPr="0066543C">
        <w:rPr>
          <w:rFonts w:ascii="Arial" w:hAnsi="Arial" w:cs="Arial"/>
          <w:b/>
          <w:bCs/>
          <w:color w:val="000000" w:themeColor="text1"/>
        </w:rPr>
        <w:t>IDENTIFICATION OF ISOLATED SPECIES</w:t>
      </w:r>
    </w:p>
    <w:p w14:paraId="3B29D3D5" w14:textId="13390A51" w:rsidR="009A2A85" w:rsidRPr="0066543C" w:rsidRDefault="009A2A85" w:rsidP="009A2A85">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Molecular characterization through 16S rRNA gene amplification and sequencing validated the identity of the isolates as </w:t>
      </w:r>
      <w:r w:rsidRPr="0066543C">
        <w:rPr>
          <w:rFonts w:ascii="Arial" w:hAnsi="Arial" w:cs="Arial"/>
          <w:b/>
          <w:bCs/>
          <w:i/>
          <w:iCs/>
          <w:color w:val="000000" w:themeColor="text1"/>
          <w:sz w:val="20"/>
          <w:szCs w:val="20"/>
        </w:rPr>
        <w:t>Leptolyngbya sp.</w:t>
      </w:r>
      <w:r w:rsidRPr="0066543C">
        <w:rPr>
          <w:rFonts w:ascii="Arial" w:hAnsi="Arial" w:cs="Arial"/>
          <w:color w:val="000000" w:themeColor="text1"/>
          <w:sz w:val="20"/>
          <w:szCs w:val="20"/>
        </w:rPr>
        <w:t xml:space="preserve"> which were assigned to genera</w:t>
      </w:r>
      <w:r w:rsidRPr="0066543C">
        <w:rPr>
          <w:rFonts w:ascii="Arial" w:hAnsi="Arial" w:cs="Arial"/>
          <w:b/>
          <w:bCs/>
          <w:i/>
          <w:iCs/>
          <w:color w:val="000000" w:themeColor="text1"/>
          <w:sz w:val="20"/>
          <w:szCs w:val="20"/>
        </w:rPr>
        <w:t xml:space="preserve"> Leptolyngbya</w:t>
      </w:r>
      <w:r w:rsidRPr="0066543C">
        <w:rPr>
          <w:rFonts w:ascii="Arial" w:hAnsi="Arial" w:cs="Arial"/>
          <w:color w:val="000000" w:themeColor="text1"/>
          <w:sz w:val="20"/>
          <w:szCs w:val="20"/>
        </w:rPr>
        <w:t xml:space="preserve"> (Pham et al., 2025).</w:t>
      </w:r>
    </w:p>
    <w:p w14:paraId="46604317" w14:textId="417D88D2" w:rsidR="0000318C" w:rsidRPr="0066543C" w:rsidRDefault="00582FC9">
      <w:pPr>
        <w:rPr>
          <w:rFonts w:ascii="Arial" w:hAnsi="Arial" w:cs="Arial"/>
          <w:color w:val="000000" w:themeColor="text1"/>
          <w:sz w:val="24"/>
          <w:szCs w:val="24"/>
        </w:rPr>
      </w:pPr>
      <w:r w:rsidRPr="0066543C">
        <w:rPr>
          <w:rFonts w:ascii="Arial" w:hAnsi="Arial" w:cs="Arial"/>
          <w:noProof/>
          <w:color w:val="000000" w:themeColor="text1"/>
          <w:sz w:val="24"/>
          <w:szCs w:val="24"/>
          <w:lang w:eastAsia="en-IN"/>
        </w:rPr>
        <mc:AlternateContent>
          <mc:Choice Requires="wpg">
            <w:drawing>
              <wp:anchor distT="0" distB="0" distL="114300" distR="114300" simplePos="0" relativeHeight="251663360" behindDoc="0" locked="0" layoutInCell="1" allowOverlap="1" wp14:anchorId="720BCEB7" wp14:editId="74FBCB31">
                <wp:simplePos x="0" y="0"/>
                <wp:positionH relativeFrom="column">
                  <wp:posOffset>0</wp:posOffset>
                </wp:positionH>
                <wp:positionV relativeFrom="paragraph">
                  <wp:posOffset>292735</wp:posOffset>
                </wp:positionV>
                <wp:extent cx="4213860" cy="298450"/>
                <wp:effectExtent l="0" t="0" r="15240" b="25400"/>
                <wp:wrapNone/>
                <wp:docPr id="1630729836" name="Group 8"/>
                <wp:cNvGraphicFramePr/>
                <a:graphic xmlns:a="http://schemas.openxmlformats.org/drawingml/2006/main">
                  <a:graphicData uri="http://schemas.microsoft.com/office/word/2010/wordprocessingGroup">
                    <wpg:wgp>
                      <wpg:cNvGrpSpPr/>
                      <wpg:grpSpPr>
                        <a:xfrm>
                          <a:off x="0" y="0"/>
                          <a:ext cx="4213860" cy="298450"/>
                          <a:chOff x="0" y="0"/>
                          <a:chExt cx="4213860" cy="298450"/>
                        </a:xfrm>
                      </wpg:grpSpPr>
                      <wps:wsp>
                        <wps:cNvPr id="1617647194" name="Text Box 2"/>
                        <wps:cNvSpPr txBox="1">
                          <a:spLocks noChangeArrowheads="1"/>
                        </wps:cNvSpPr>
                        <wps:spPr bwMode="auto">
                          <a:xfrm>
                            <a:off x="0" y="7620"/>
                            <a:ext cx="341630" cy="283845"/>
                          </a:xfrm>
                          <a:prstGeom prst="rect">
                            <a:avLst/>
                          </a:prstGeom>
                          <a:solidFill>
                            <a:srgbClr val="FFFFFF"/>
                          </a:solidFill>
                          <a:ln w="9525">
                            <a:solidFill>
                              <a:srgbClr val="000000"/>
                            </a:solidFill>
                            <a:miter lim="800000"/>
                            <a:headEnd/>
                            <a:tailEnd/>
                          </a:ln>
                        </wps:spPr>
                        <wps:txbx>
                          <w:txbxContent>
                            <w:p w14:paraId="14B027F5" w14:textId="77777777" w:rsidR="0000318C" w:rsidRPr="0009740A" w:rsidRDefault="0000318C" w:rsidP="0000318C">
                              <w:pPr>
                                <w:rPr>
                                  <w:rFonts w:ascii="Times New Roman" w:hAnsi="Times New Roman" w:cs="Times New Roman"/>
                                  <w:b/>
                                  <w:bCs/>
                                </w:rPr>
                              </w:pPr>
                              <w:r w:rsidRPr="0009740A">
                                <w:rPr>
                                  <w:rFonts w:ascii="Times New Roman" w:hAnsi="Times New Roman" w:cs="Times New Roman"/>
                                  <w:b/>
                                  <w:bCs/>
                                </w:rPr>
                                <w:t>A</w:t>
                              </w:r>
                            </w:p>
                          </w:txbxContent>
                        </wps:txbx>
                        <wps:bodyPr rot="0" vert="horz" wrap="square" lIns="91440" tIns="45720" rIns="91440" bIns="45720" anchor="t" anchorCtr="0">
                          <a:noAutofit/>
                        </wps:bodyPr>
                      </wps:wsp>
                      <wps:wsp>
                        <wps:cNvPr id="1736144031" name="Text Box 2"/>
                        <wps:cNvSpPr txBox="1">
                          <a:spLocks noChangeArrowheads="1"/>
                        </wps:cNvSpPr>
                        <wps:spPr bwMode="auto">
                          <a:xfrm>
                            <a:off x="1935480" y="15240"/>
                            <a:ext cx="340995" cy="283210"/>
                          </a:xfrm>
                          <a:prstGeom prst="rect">
                            <a:avLst/>
                          </a:prstGeom>
                          <a:solidFill>
                            <a:srgbClr val="FFFFFF"/>
                          </a:solidFill>
                          <a:ln w="9525">
                            <a:solidFill>
                              <a:srgbClr val="000000"/>
                            </a:solidFill>
                            <a:miter lim="800000"/>
                            <a:headEnd/>
                            <a:tailEnd/>
                          </a:ln>
                        </wps:spPr>
                        <wps:txbx>
                          <w:txbxContent>
                            <w:p w14:paraId="44F99ABA" w14:textId="77777777" w:rsidR="0000318C" w:rsidRPr="00290FF2" w:rsidRDefault="0000318C" w:rsidP="0000318C">
                              <w:pPr>
                                <w:spacing w:line="276" w:lineRule="auto"/>
                                <w:jc w:val="both"/>
                                <w:rPr>
                                  <w:rFonts w:ascii="Times New Roman" w:hAnsi="Times New Roman" w:cs="Times New Roman"/>
                                  <w:sz w:val="28"/>
                                  <w:szCs w:val="28"/>
                                </w:rPr>
                              </w:pPr>
                              <w:r>
                                <w:rPr>
                                  <w:rFonts w:ascii="Times New Roman" w:hAnsi="Times New Roman" w:cs="Times New Roman"/>
                                  <w:b/>
                                  <w:bCs/>
                                </w:rPr>
                                <w:t>B</w:t>
                              </w:r>
                              <w:r w:rsidRPr="001D6DAE">
                                <w:rPr>
                                  <w:noProof/>
                                  <w:lang w:eastAsia="en-IN"/>
                                </w:rPr>
                                <w:drawing>
                                  <wp:inline distT="0" distB="0" distL="0" distR="0" wp14:anchorId="562CADCB" wp14:editId="0B142D33">
                                    <wp:extent cx="1767840" cy="1707418"/>
                                    <wp:effectExtent l="0" t="0" r="3810" b="7620"/>
                                    <wp:docPr id="118993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48" r="10591"/>
                                            <a:stretch>
                                              <a:fillRect/>
                                            </a:stretch>
                                          </pic:blipFill>
                                          <pic:spPr bwMode="auto">
                                            <a:xfrm rot="10800000">
                                              <a:off x="0" y="0"/>
                                              <a:ext cx="1787112" cy="17260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1D6DAE">
                                <w:rPr>
                                  <w:noProof/>
                                  <w:lang w:eastAsia="en-IN"/>
                                </w:rPr>
                                <w:drawing>
                                  <wp:inline distT="0" distB="0" distL="0" distR="0" wp14:anchorId="2016B8F3" wp14:editId="22C1F754">
                                    <wp:extent cx="1855411" cy="1717040"/>
                                    <wp:effectExtent l="0" t="0" r="0" b="0"/>
                                    <wp:docPr id="1670999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916" t="18399" r="4946"/>
                                            <a:stretch>
                                              <a:fillRect/>
                                            </a:stretch>
                                          </pic:blipFill>
                                          <pic:spPr bwMode="auto">
                                            <a:xfrm>
                                              <a:off x="0" y="0"/>
                                              <a:ext cx="1864999" cy="17259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rPr>
                                <w:t xml:space="preserve">    </w:t>
                              </w:r>
                              <w:r w:rsidRPr="001D6DAE">
                                <w:rPr>
                                  <w:noProof/>
                                  <w:lang w:eastAsia="en-IN"/>
                                </w:rPr>
                                <w:drawing>
                                  <wp:inline distT="0" distB="0" distL="0" distR="0" wp14:anchorId="063A1C13" wp14:editId="7E53AE1C">
                                    <wp:extent cx="1727903" cy="1735800"/>
                                    <wp:effectExtent l="0" t="3810" r="1905" b="1905"/>
                                    <wp:docPr id="19871794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719" t="17944" r="19931" b="10603"/>
                                            <a:stretch>
                                              <a:fillRect/>
                                            </a:stretch>
                                          </pic:blipFill>
                                          <pic:spPr bwMode="auto">
                                            <a:xfrm rot="5400000">
                                              <a:off x="0" y="0"/>
                                              <a:ext cx="1738409" cy="1746354"/>
                                            </a:xfrm>
                                            <a:prstGeom prst="rect">
                                              <a:avLst/>
                                            </a:prstGeom>
                                            <a:noFill/>
                                            <a:ln>
                                              <a:noFill/>
                                            </a:ln>
                                            <a:extLst>
                                              <a:ext uri="{53640926-AAD7-44D8-BBD7-CCE9431645EC}">
                                                <a14:shadowObscured xmlns:a14="http://schemas.microsoft.com/office/drawing/2010/main"/>
                                              </a:ext>
                                            </a:extLst>
                                          </pic:spPr>
                                        </pic:pic>
                                      </a:graphicData>
                                    </a:graphic>
                                  </wp:inline>
                                </w:drawing>
                              </w:r>
                            </w:p>
                            <w:p w14:paraId="36B1984E" w14:textId="77777777" w:rsidR="0000318C" w:rsidRPr="0009740A" w:rsidRDefault="0000318C" w:rsidP="0000318C">
                              <w:pPr>
                                <w:rPr>
                                  <w:rFonts w:ascii="Times New Roman" w:hAnsi="Times New Roman" w:cs="Times New Roman"/>
                                  <w:b/>
                                  <w:bCs/>
                                </w:rPr>
                              </w:pPr>
                            </w:p>
                          </w:txbxContent>
                        </wps:txbx>
                        <wps:bodyPr rot="0" vert="horz" wrap="square" lIns="91440" tIns="45720" rIns="91440" bIns="45720" anchor="t" anchorCtr="0">
                          <a:noAutofit/>
                        </wps:bodyPr>
                      </wps:wsp>
                      <wps:wsp>
                        <wps:cNvPr id="1639424913" name="Text Box 2"/>
                        <wps:cNvSpPr txBox="1">
                          <a:spLocks noChangeArrowheads="1"/>
                        </wps:cNvSpPr>
                        <wps:spPr bwMode="auto">
                          <a:xfrm>
                            <a:off x="3872865" y="0"/>
                            <a:ext cx="340995" cy="283210"/>
                          </a:xfrm>
                          <a:prstGeom prst="rect">
                            <a:avLst/>
                          </a:prstGeom>
                          <a:solidFill>
                            <a:srgbClr val="FFFFFF"/>
                          </a:solidFill>
                          <a:ln w="9525">
                            <a:solidFill>
                              <a:srgbClr val="000000"/>
                            </a:solidFill>
                            <a:miter lim="800000"/>
                            <a:headEnd/>
                            <a:tailEnd/>
                          </a:ln>
                        </wps:spPr>
                        <wps:txbx>
                          <w:txbxContent>
                            <w:p w14:paraId="6B4B64A0" w14:textId="77777777" w:rsidR="0000318C" w:rsidRPr="0009740A" w:rsidRDefault="0000318C" w:rsidP="0000318C">
                              <w:pPr>
                                <w:rPr>
                                  <w:rFonts w:ascii="Times New Roman" w:hAnsi="Times New Roman" w:cs="Times New Roman"/>
                                  <w:b/>
                                  <w:bCs/>
                                </w:rPr>
                              </w:pPr>
                              <w:r>
                                <w:rPr>
                                  <w:rFonts w:ascii="Times New Roman" w:hAnsi="Times New Roman" w:cs="Times New Roman"/>
                                  <w:b/>
                                  <w:bCs/>
                                </w:rPr>
                                <w:t>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20BCEB7" id="Group 8" o:spid="_x0000_s1026" style="position:absolute;margin-left:0;margin-top:23.05pt;width:331.8pt;height:23.5pt;z-index:251663360;mso-width-relative:margin" coordsize="42138,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">
                <v:shapetype id="_x0000_t202" coordsize="21600,21600" o:spt="202" path="m,l,21600r21600,l21600,xe">
                  <v:stroke joinstyle="miter"/>
                  <v:path gradientshapeok="t" o:connecttype="rect"/>
                </v:shapetype>
                <v:shape id="_x0000_s1027" type="#_x0000_t202" style="position:absolute;top:76;width:341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">
                  <v:textbox>
                    <w:txbxContent>
                      <w:p w14:paraId="14B027F5" w14:textId="77777777" w:rsidR="0000318C" w:rsidRPr="0009740A" w:rsidRDefault="0000318C" w:rsidP="0000318C">
                        <w:pPr>
                          <w:rPr>
                            <w:rFonts w:ascii="Times New Roman" w:hAnsi="Times New Roman" w:cs="Times New Roman"/>
                            <w:b/>
                            <w:bCs/>
                          </w:rPr>
                        </w:pPr>
                        <w:r w:rsidRPr="0009740A">
                          <w:rPr>
                            <w:rFonts w:ascii="Times New Roman" w:hAnsi="Times New Roman" w:cs="Times New Roman"/>
                            <w:b/>
                            <w:bCs/>
                          </w:rPr>
                          <w:t>A</w:t>
                        </w:r>
                      </w:p>
                    </w:txbxContent>
                  </v:textbox>
                </v:shape>
                <v:shape id="_x0000_s1028" type="#_x0000_t202" style="position:absolute;left:19354;top:152;width:341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">
                  <v:textbox>
                    <w:txbxContent>
                      <w:p w14:paraId="44F99ABA" w14:textId="77777777" w:rsidR="0000318C" w:rsidRPr="00290FF2" w:rsidRDefault="0000318C" w:rsidP="0000318C">
                        <w:pPr>
                          <w:spacing w:line="276" w:lineRule="auto"/>
                          <w:jc w:val="both"/>
                          <w:rPr>
                            <w:rFonts w:ascii="Times New Roman" w:hAnsi="Times New Roman" w:cs="Times New Roman"/>
                            <w:sz w:val="28"/>
                            <w:szCs w:val="28"/>
                          </w:rPr>
                        </w:pPr>
                        <w:r>
                          <w:rPr>
                            <w:rFonts w:ascii="Times New Roman" w:hAnsi="Times New Roman" w:cs="Times New Roman"/>
                            <w:b/>
                            <w:bCs/>
                          </w:rPr>
                          <w:t>B</w:t>
                        </w:r>
                        <w:r w:rsidRPr="001D6DAE">
                          <w:rPr>
                            <w:noProof/>
                            <w:lang w:eastAsia="en-IN"/>
                          </w:rPr>
                          <w:drawing>
                            <wp:inline distT="0" distB="0" distL="0" distR="0" wp14:anchorId="562CADCB" wp14:editId="0B142D33">
                              <wp:extent cx="1767840" cy="1707418"/>
                              <wp:effectExtent l="0" t="0" r="3810" b="7620"/>
                              <wp:docPr id="118993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48" r="10591"/>
                                      <a:stretch>
                                        <a:fillRect/>
                                      </a:stretch>
                                    </pic:blipFill>
                                    <pic:spPr bwMode="auto">
                                      <a:xfrm rot="10800000">
                                        <a:off x="0" y="0"/>
                                        <a:ext cx="1787112" cy="17260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Pr="001D6DAE">
                          <w:rPr>
                            <w:noProof/>
                            <w:lang w:eastAsia="en-IN"/>
                          </w:rPr>
                          <w:drawing>
                            <wp:inline distT="0" distB="0" distL="0" distR="0" wp14:anchorId="2016B8F3" wp14:editId="22C1F754">
                              <wp:extent cx="1855411" cy="1717040"/>
                              <wp:effectExtent l="0" t="0" r="0" b="0"/>
                              <wp:docPr id="1670999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916" t="18399" r="4946"/>
                                      <a:stretch>
                                        <a:fillRect/>
                                      </a:stretch>
                                    </pic:blipFill>
                                    <pic:spPr bwMode="auto">
                                      <a:xfrm>
                                        <a:off x="0" y="0"/>
                                        <a:ext cx="1864999" cy="17259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rPr>
                          <w:t xml:space="preserve">    </w:t>
                        </w:r>
                        <w:r w:rsidRPr="001D6DAE">
                          <w:rPr>
                            <w:noProof/>
                            <w:lang w:eastAsia="en-IN"/>
                          </w:rPr>
                          <w:drawing>
                            <wp:inline distT="0" distB="0" distL="0" distR="0" wp14:anchorId="063A1C13" wp14:editId="7E53AE1C">
                              <wp:extent cx="1727903" cy="1735800"/>
                              <wp:effectExtent l="0" t="3810" r="1905" b="1905"/>
                              <wp:docPr id="19871794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719" t="17944" r="19931" b="10603"/>
                                      <a:stretch>
                                        <a:fillRect/>
                                      </a:stretch>
                                    </pic:blipFill>
                                    <pic:spPr bwMode="auto">
                                      <a:xfrm rot="5400000">
                                        <a:off x="0" y="0"/>
                                        <a:ext cx="1738409" cy="1746354"/>
                                      </a:xfrm>
                                      <a:prstGeom prst="rect">
                                        <a:avLst/>
                                      </a:prstGeom>
                                      <a:noFill/>
                                      <a:ln>
                                        <a:noFill/>
                                      </a:ln>
                                      <a:extLst>
                                        <a:ext uri="{53640926-AAD7-44D8-BBD7-CCE9431645EC}">
                                          <a14:shadowObscured xmlns:a14="http://schemas.microsoft.com/office/drawing/2010/main"/>
                                        </a:ext>
                                      </a:extLst>
                                    </pic:spPr>
                                  </pic:pic>
                                </a:graphicData>
                              </a:graphic>
                            </wp:inline>
                          </w:drawing>
                        </w:r>
                      </w:p>
                      <w:p w14:paraId="36B1984E" w14:textId="77777777" w:rsidR="0000318C" w:rsidRPr="0009740A" w:rsidRDefault="0000318C" w:rsidP="0000318C">
                        <w:pPr>
                          <w:rPr>
                            <w:rFonts w:ascii="Times New Roman" w:hAnsi="Times New Roman" w:cs="Times New Roman"/>
                            <w:b/>
                            <w:bCs/>
                          </w:rPr>
                        </w:pPr>
                      </w:p>
                    </w:txbxContent>
                  </v:textbox>
                </v:shape>
                <v:shape id="_x0000_s1029" type="#_x0000_t202" style="position:absolute;left:38728;width:341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">
                  <v:textbox>
                    <w:txbxContent>
                      <w:p w14:paraId="6B4B64A0" w14:textId="77777777" w:rsidR="0000318C" w:rsidRPr="0009740A" w:rsidRDefault="0000318C" w:rsidP="0000318C">
                        <w:pPr>
                          <w:rPr>
                            <w:rFonts w:ascii="Times New Roman" w:hAnsi="Times New Roman" w:cs="Times New Roman"/>
                            <w:b/>
                            <w:bCs/>
                          </w:rPr>
                        </w:pPr>
                        <w:r>
                          <w:rPr>
                            <w:rFonts w:ascii="Times New Roman" w:hAnsi="Times New Roman" w:cs="Times New Roman"/>
                            <w:b/>
                            <w:bCs/>
                          </w:rPr>
                          <w:t>C</w:t>
                        </w:r>
                      </w:p>
                    </w:txbxContent>
                  </v:textbox>
                </v:shape>
              </v:group>
            </w:pict>
          </mc:Fallback>
        </mc:AlternateContent>
      </w:r>
    </w:p>
    <w:p w14:paraId="75FA91A9" w14:textId="4D689DE0" w:rsidR="0000318C" w:rsidRPr="0066543C" w:rsidRDefault="0000318C">
      <w:pPr>
        <w:rPr>
          <w:rFonts w:ascii="Arial" w:hAnsi="Arial" w:cs="Arial"/>
          <w:color w:val="000000" w:themeColor="text1"/>
          <w:sz w:val="24"/>
          <w:szCs w:val="24"/>
        </w:rPr>
      </w:pPr>
      <w:r w:rsidRPr="0066543C">
        <w:rPr>
          <w:rFonts w:ascii="Arial" w:hAnsi="Arial" w:cs="Arial"/>
          <w:noProof/>
          <w:color w:val="000000" w:themeColor="text1"/>
          <w:sz w:val="24"/>
          <w:szCs w:val="24"/>
          <w:lang w:eastAsia="en-IN"/>
        </w:rPr>
        <w:drawing>
          <wp:inline distT="0" distB="0" distL="0" distR="0" wp14:anchorId="69D7CC52" wp14:editId="16C659EE">
            <wp:extent cx="1767840" cy="1707418"/>
            <wp:effectExtent l="0" t="0" r="3810" b="7620"/>
            <wp:docPr id="20434490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48" r="10591"/>
                    <a:stretch>
                      <a:fillRect/>
                    </a:stretch>
                  </pic:blipFill>
                  <pic:spPr bwMode="auto">
                    <a:xfrm rot="10800000">
                      <a:off x="0" y="0"/>
                      <a:ext cx="1787112" cy="1726031"/>
                    </a:xfrm>
                    <a:prstGeom prst="rect">
                      <a:avLst/>
                    </a:prstGeom>
                    <a:noFill/>
                    <a:ln>
                      <a:noFill/>
                    </a:ln>
                    <a:extLst>
                      <a:ext uri="{53640926-AAD7-44D8-BBD7-CCE9431645EC}">
                        <a14:shadowObscured xmlns:a14="http://schemas.microsoft.com/office/drawing/2010/main"/>
                      </a:ext>
                    </a:extLst>
                  </pic:spPr>
                </pic:pic>
              </a:graphicData>
            </a:graphic>
          </wp:inline>
        </w:drawing>
      </w:r>
      <w:r w:rsidRPr="0066543C">
        <w:rPr>
          <w:rFonts w:ascii="Arial" w:hAnsi="Arial" w:cs="Arial"/>
          <w:color w:val="000000" w:themeColor="text1"/>
          <w:sz w:val="24"/>
          <w:szCs w:val="24"/>
        </w:rPr>
        <w:t xml:space="preserve">   </w:t>
      </w:r>
      <w:r w:rsidRPr="0066543C">
        <w:rPr>
          <w:rFonts w:ascii="Arial" w:hAnsi="Arial" w:cs="Arial"/>
          <w:noProof/>
          <w:color w:val="000000" w:themeColor="text1"/>
          <w:sz w:val="24"/>
          <w:szCs w:val="24"/>
          <w:lang w:eastAsia="en-IN"/>
        </w:rPr>
        <w:drawing>
          <wp:inline distT="0" distB="0" distL="0" distR="0" wp14:anchorId="5274C7C4" wp14:editId="65208EE8">
            <wp:extent cx="1855411" cy="1717040"/>
            <wp:effectExtent l="0" t="0" r="0" b="0"/>
            <wp:docPr id="139030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916" t="18399" r="4946"/>
                    <a:stretch>
                      <a:fillRect/>
                    </a:stretch>
                  </pic:blipFill>
                  <pic:spPr bwMode="auto">
                    <a:xfrm>
                      <a:off x="0" y="0"/>
                      <a:ext cx="1864999" cy="1725913"/>
                    </a:xfrm>
                    <a:prstGeom prst="rect">
                      <a:avLst/>
                    </a:prstGeom>
                    <a:noFill/>
                    <a:ln>
                      <a:noFill/>
                    </a:ln>
                    <a:extLst>
                      <a:ext uri="{53640926-AAD7-44D8-BBD7-CCE9431645EC}">
                        <a14:shadowObscured xmlns:a14="http://schemas.microsoft.com/office/drawing/2010/main"/>
                      </a:ext>
                    </a:extLst>
                  </pic:spPr>
                </pic:pic>
              </a:graphicData>
            </a:graphic>
          </wp:inline>
        </w:drawing>
      </w:r>
      <w:r w:rsidRPr="0066543C">
        <w:rPr>
          <w:rFonts w:ascii="Arial" w:hAnsi="Arial" w:cs="Arial"/>
          <w:color w:val="000000" w:themeColor="text1"/>
          <w:sz w:val="24"/>
          <w:szCs w:val="24"/>
        </w:rPr>
        <w:t xml:space="preserve"> </w:t>
      </w:r>
      <w:r w:rsidRPr="0066543C">
        <w:rPr>
          <w:rFonts w:ascii="Arial" w:hAnsi="Arial" w:cs="Arial"/>
          <w:noProof/>
          <w:color w:val="000000" w:themeColor="text1"/>
          <w:sz w:val="24"/>
          <w:szCs w:val="24"/>
        </w:rPr>
        <w:t xml:space="preserve">  </w:t>
      </w:r>
      <w:r w:rsidRPr="0066543C">
        <w:rPr>
          <w:rFonts w:ascii="Arial" w:hAnsi="Arial" w:cs="Arial"/>
          <w:noProof/>
          <w:color w:val="000000" w:themeColor="text1"/>
          <w:sz w:val="24"/>
          <w:szCs w:val="24"/>
          <w:lang w:eastAsia="en-IN"/>
        </w:rPr>
        <w:drawing>
          <wp:inline distT="0" distB="0" distL="0" distR="0" wp14:anchorId="2D1738EB" wp14:editId="6EEF52A7">
            <wp:extent cx="1727310" cy="1727095"/>
            <wp:effectExtent l="317" t="0" r="6668" b="6667"/>
            <wp:docPr id="4930985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541" t="4638" r="16092" b="14889"/>
                    <a:stretch>
                      <a:fillRect/>
                    </a:stretch>
                  </pic:blipFill>
                  <pic:spPr bwMode="auto">
                    <a:xfrm rot="5400000">
                      <a:off x="0" y="0"/>
                      <a:ext cx="1739193" cy="1738977"/>
                    </a:xfrm>
                    <a:prstGeom prst="rect">
                      <a:avLst/>
                    </a:prstGeom>
                    <a:noFill/>
                    <a:ln>
                      <a:noFill/>
                    </a:ln>
                    <a:extLst>
                      <a:ext uri="{53640926-AAD7-44D8-BBD7-CCE9431645EC}">
                        <a14:shadowObscured xmlns:a14="http://schemas.microsoft.com/office/drawing/2010/main"/>
                      </a:ext>
                    </a:extLst>
                  </pic:spPr>
                </pic:pic>
              </a:graphicData>
            </a:graphic>
          </wp:inline>
        </w:drawing>
      </w:r>
    </w:p>
    <w:p w14:paraId="28B2E51A" w14:textId="23CE4AFD" w:rsidR="0000318C" w:rsidRPr="0066543C" w:rsidRDefault="0000318C" w:rsidP="000202C8">
      <w:pPr>
        <w:spacing w:line="276" w:lineRule="auto"/>
        <w:jc w:val="both"/>
        <w:rPr>
          <w:rFonts w:ascii="Arial" w:hAnsi="Arial" w:cs="Arial"/>
          <w:b/>
          <w:bCs/>
          <w:i/>
          <w:iCs/>
          <w:color w:val="000000" w:themeColor="text1"/>
          <w:sz w:val="20"/>
          <w:szCs w:val="20"/>
        </w:rPr>
      </w:pPr>
      <w:r w:rsidRPr="0066543C">
        <w:rPr>
          <w:rFonts w:ascii="Arial" w:hAnsi="Arial" w:cs="Arial"/>
          <w:b/>
          <w:bCs/>
          <w:color w:val="000000" w:themeColor="text1"/>
          <w:sz w:val="20"/>
          <w:szCs w:val="20"/>
        </w:rPr>
        <w:t xml:space="preserve">Figure </w:t>
      </w:r>
      <w:r w:rsidR="00C71054" w:rsidRPr="0066543C">
        <w:rPr>
          <w:rFonts w:ascii="Arial" w:hAnsi="Arial" w:cs="Arial"/>
          <w:b/>
          <w:bCs/>
          <w:color w:val="000000" w:themeColor="text1"/>
          <w:sz w:val="20"/>
          <w:szCs w:val="20"/>
        </w:rPr>
        <w:t>1</w:t>
      </w:r>
      <w:r w:rsidRPr="0066543C">
        <w:rPr>
          <w:rFonts w:ascii="Arial" w:hAnsi="Arial" w:cs="Arial"/>
          <w:b/>
          <w:bCs/>
          <w:color w:val="000000" w:themeColor="text1"/>
          <w:sz w:val="20"/>
          <w:szCs w:val="20"/>
        </w:rPr>
        <w:t xml:space="preserve">: Isolation and Screening of </w:t>
      </w:r>
      <w:proofErr w:type="spellStart"/>
      <w:r w:rsidRPr="0066543C">
        <w:rPr>
          <w:rFonts w:ascii="Arial" w:hAnsi="Arial" w:cs="Arial"/>
          <w:b/>
          <w:bCs/>
          <w:i/>
          <w:iCs/>
          <w:color w:val="000000" w:themeColor="text1"/>
          <w:sz w:val="20"/>
          <w:szCs w:val="20"/>
        </w:rPr>
        <w:t>Leptolyngbya</w:t>
      </w:r>
      <w:proofErr w:type="spellEnd"/>
      <w:r w:rsidRPr="0066543C">
        <w:rPr>
          <w:rFonts w:ascii="Arial" w:hAnsi="Arial" w:cs="Arial"/>
          <w:b/>
          <w:bCs/>
          <w:i/>
          <w:iCs/>
          <w:color w:val="000000" w:themeColor="text1"/>
          <w:sz w:val="20"/>
          <w:szCs w:val="20"/>
        </w:rPr>
        <w:t xml:space="preserve"> </w:t>
      </w:r>
      <w:proofErr w:type="spellStart"/>
      <w:r w:rsidRPr="0066543C">
        <w:rPr>
          <w:rFonts w:ascii="Arial" w:hAnsi="Arial" w:cs="Arial"/>
          <w:b/>
          <w:bCs/>
          <w:i/>
          <w:iCs/>
          <w:color w:val="000000" w:themeColor="text1"/>
          <w:sz w:val="20"/>
          <w:szCs w:val="20"/>
        </w:rPr>
        <w:t>sps</w:t>
      </w:r>
      <w:proofErr w:type="spellEnd"/>
      <w:r w:rsidRPr="0066543C">
        <w:rPr>
          <w:rFonts w:ascii="Arial" w:hAnsi="Arial" w:cs="Arial"/>
          <w:b/>
          <w:bCs/>
          <w:i/>
          <w:iCs/>
          <w:color w:val="000000" w:themeColor="text1"/>
          <w:sz w:val="20"/>
          <w:szCs w:val="20"/>
        </w:rPr>
        <w:t>.</w:t>
      </w:r>
      <w:r w:rsidRPr="0066543C">
        <w:rPr>
          <w:rFonts w:ascii="Arial" w:hAnsi="Arial" w:cs="Arial"/>
          <w:b/>
          <w:bCs/>
          <w:color w:val="000000" w:themeColor="text1"/>
          <w:sz w:val="20"/>
          <w:szCs w:val="20"/>
        </w:rPr>
        <w:t xml:space="preserve"> from paddy field. A</w:t>
      </w:r>
      <w:r w:rsidR="00B964DF" w:rsidRPr="0066543C">
        <w:rPr>
          <w:rFonts w:ascii="Arial" w:hAnsi="Arial" w:cs="Arial"/>
          <w:b/>
          <w:bCs/>
          <w:color w:val="000000" w:themeColor="text1"/>
          <w:sz w:val="20"/>
          <w:szCs w:val="20"/>
        </w:rPr>
        <w:t>)</w:t>
      </w:r>
      <w:r w:rsidRPr="0066543C">
        <w:rPr>
          <w:rFonts w:ascii="Arial" w:hAnsi="Arial" w:cs="Arial"/>
          <w:b/>
          <w:bCs/>
          <w:color w:val="000000" w:themeColor="text1"/>
          <w:sz w:val="20"/>
          <w:szCs w:val="20"/>
        </w:rPr>
        <w:t xml:space="preserve"> Isolation of cyanobacteria from paddy field. B</w:t>
      </w:r>
      <w:r w:rsidR="00B964DF" w:rsidRPr="0066543C">
        <w:rPr>
          <w:rFonts w:ascii="Arial" w:hAnsi="Arial" w:cs="Arial"/>
          <w:b/>
          <w:bCs/>
          <w:color w:val="000000" w:themeColor="text1"/>
          <w:sz w:val="20"/>
          <w:szCs w:val="20"/>
        </w:rPr>
        <w:t>)</w:t>
      </w:r>
      <w:r w:rsidRPr="0066543C">
        <w:rPr>
          <w:rFonts w:ascii="Arial" w:hAnsi="Arial" w:cs="Arial"/>
          <w:b/>
          <w:bCs/>
          <w:color w:val="000000" w:themeColor="text1"/>
          <w:sz w:val="20"/>
          <w:szCs w:val="20"/>
        </w:rPr>
        <w:t xml:space="preserve"> Growth on 20 ppm Chlorpyrifos spiked media. C</w:t>
      </w:r>
      <w:r w:rsidR="00B964DF" w:rsidRPr="0066543C">
        <w:rPr>
          <w:rFonts w:ascii="Arial" w:hAnsi="Arial" w:cs="Arial"/>
          <w:b/>
          <w:bCs/>
          <w:color w:val="000000" w:themeColor="text1"/>
          <w:sz w:val="20"/>
          <w:szCs w:val="20"/>
        </w:rPr>
        <w:t>)</w:t>
      </w:r>
      <w:r w:rsidRPr="0066543C">
        <w:rPr>
          <w:rFonts w:ascii="Arial" w:hAnsi="Arial" w:cs="Arial"/>
          <w:b/>
          <w:bCs/>
          <w:color w:val="000000" w:themeColor="text1"/>
          <w:sz w:val="20"/>
          <w:szCs w:val="20"/>
        </w:rPr>
        <w:t xml:space="preserve"> Microscopic examination at 100x objective of </w:t>
      </w:r>
      <w:r w:rsidRPr="0066543C">
        <w:rPr>
          <w:rFonts w:ascii="Arial" w:hAnsi="Arial" w:cs="Arial"/>
          <w:b/>
          <w:bCs/>
          <w:i/>
          <w:iCs/>
          <w:color w:val="000000" w:themeColor="text1"/>
          <w:sz w:val="20"/>
          <w:szCs w:val="20"/>
        </w:rPr>
        <w:t>Leptolyngbya sp.</w:t>
      </w:r>
    </w:p>
    <w:tbl>
      <w:tblPr>
        <w:tblStyle w:val="TableGrid"/>
        <w:tblW w:w="0" w:type="auto"/>
        <w:jc w:val="center"/>
        <w:tblLook w:val="04A0" w:firstRow="1" w:lastRow="0" w:firstColumn="1" w:lastColumn="0" w:noHBand="0" w:noVBand="1"/>
      </w:tblPr>
      <w:tblGrid>
        <w:gridCol w:w="1555"/>
        <w:gridCol w:w="2268"/>
      </w:tblGrid>
      <w:tr w:rsidR="00333F22" w:rsidRPr="0066543C" w14:paraId="2A7B2B8C" w14:textId="77777777">
        <w:trPr>
          <w:jc w:val="center"/>
        </w:trPr>
        <w:tc>
          <w:tcPr>
            <w:tcW w:w="3823" w:type="dxa"/>
            <w:gridSpan w:val="2"/>
          </w:tcPr>
          <w:p w14:paraId="4542B088" w14:textId="253B27F6" w:rsidR="006E5B68" w:rsidRPr="0066543C" w:rsidRDefault="006E5B68" w:rsidP="006939F7">
            <w:pPr>
              <w:jc w:val="center"/>
              <w:rPr>
                <w:rFonts w:ascii="Arial" w:hAnsi="Arial" w:cs="Arial"/>
                <w:b/>
                <w:bCs/>
                <w:color w:val="000000" w:themeColor="text1"/>
                <w:sz w:val="20"/>
                <w:szCs w:val="20"/>
              </w:rPr>
            </w:pPr>
            <w:r w:rsidRPr="0066543C">
              <w:rPr>
                <w:rFonts w:ascii="Arial" w:hAnsi="Arial" w:cs="Arial"/>
                <w:b/>
                <w:bCs/>
                <w:color w:val="000000" w:themeColor="text1"/>
                <w:sz w:val="20"/>
                <w:szCs w:val="20"/>
              </w:rPr>
              <w:t>Scientific classification</w:t>
            </w:r>
          </w:p>
        </w:tc>
      </w:tr>
      <w:tr w:rsidR="00333F22" w:rsidRPr="0066543C" w14:paraId="0A7C8CA5" w14:textId="77777777">
        <w:trPr>
          <w:jc w:val="center"/>
        </w:trPr>
        <w:tc>
          <w:tcPr>
            <w:tcW w:w="1555" w:type="dxa"/>
          </w:tcPr>
          <w:p w14:paraId="5242610A" w14:textId="232024DF"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Domain</w:t>
            </w:r>
          </w:p>
        </w:tc>
        <w:tc>
          <w:tcPr>
            <w:tcW w:w="2268" w:type="dxa"/>
          </w:tcPr>
          <w:p w14:paraId="5791ABE6" w14:textId="77777777" w:rsidR="006E5B68" w:rsidRPr="0066543C" w:rsidRDefault="001228F0">
            <w:pPr>
              <w:rPr>
                <w:rFonts w:ascii="Arial" w:hAnsi="Arial" w:cs="Arial"/>
                <w:color w:val="000000" w:themeColor="text1"/>
                <w:sz w:val="20"/>
                <w:szCs w:val="20"/>
              </w:rPr>
            </w:pPr>
            <w:hyperlink r:id="rId13" w:tooltip="Bacteria" w:history="1">
              <w:r w:rsidR="006E5B68" w:rsidRPr="0066543C">
                <w:rPr>
                  <w:rStyle w:val="Hyperlink"/>
                  <w:rFonts w:ascii="Arial" w:hAnsi="Arial" w:cs="Arial"/>
                  <w:color w:val="000000" w:themeColor="text1"/>
                  <w:sz w:val="20"/>
                  <w:szCs w:val="20"/>
                </w:rPr>
                <w:t>Bacteria</w:t>
              </w:r>
            </w:hyperlink>
          </w:p>
        </w:tc>
      </w:tr>
      <w:tr w:rsidR="00333F22" w:rsidRPr="0066543C" w14:paraId="7D0B7203" w14:textId="77777777">
        <w:trPr>
          <w:jc w:val="center"/>
        </w:trPr>
        <w:tc>
          <w:tcPr>
            <w:tcW w:w="1555" w:type="dxa"/>
          </w:tcPr>
          <w:p w14:paraId="672C539B" w14:textId="08662A33"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Kingdom</w:t>
            </w:r>
          </w:p>
        </w:tc>
        <w:tc>
          <w:tcPr>
            <w:tcW w:w="2268" w:type="dxa"/>
          </w:tcPr>
          <w:p w14:paraId="2A904DF5" w14:textId="7C3455CB" w:rsidR="006E5B68" w:rsidRPr="0066543C" w:rsidRDefault="001228F0">
            <w:pPr>
              <w:rPr>
                <w:rFonts w:ascii="Arial" w:hAnsi="Arial" w:cs="Arial"/>
                <w:color w:val="000000" w:themeColor="text1"/>
                <w:sz w:val="20"/>
                <w:szCs w:val="20"/>
              </w:rPr>
            </w:pPr>
            <w:hyperlink r:id="rId14" w:tooltip="Bacteria" w:history="1">
              <w:r w:rsidR="002E75B6" w:rsidRPr="0066543C">
                <w:rPr>
                  <w:rStyle w:val="Hyperlink"/>
                  <w:rFonts w:ascii="Arial" w:hAnsi="Arial" w:cs="Arial"/>
                  <w:color w:val="000000" w:themeColor="text1"/>
                  <w:sz w:val="20"/>
                  <w:szCs w:val="20"/>
                </w:rPr>
                <w:t>Bacteria</w:t>
              </w:r>
            </w:hyperlink>
          </w:p>
        </w:tc>
      </w:tr>
      <w:tr w:rsidR="00333F22" w:rsidRPr="0066543C" w14:paraId="6F540C56" w14:textId="77777777">
        <w:trPr>
          <w:jc w:val="center"/>
        </w:trPr>
        <w:tc>
          <w:tcPr>
            <w:tcW w:w="1555" w:type="dxa"/>
          </w:tcPr>
          <w:p w14:paraId="3B21DE44" w14:textId="3096DBF5"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Phylum</w:t>
            </w:r>
          </w:p>
        </w:tc>
        <w:tc>
          <w:tcPr>
            <w:tcW w:w="2268" w:type="dxa"/>
          </w:tcPr>
          <w:p w14:paraId="1D58B63D" w14:textId="77777777" w:rsidR="006E5B68" w:rsidRPr="0066543C" w:rsidRDefault="001228F0">
            <w:pPr>
              <w:rPr>
                <w:rFonts w:ascii="Arial" w:hAnsi="Arial" w:cs="Arial"/>
                <w:color w:val="000000" w:themeColor="text1"/>
                <w:sz w:val="20"/>
                <w:szCs w:val="20"/>
              </w:rPr>
            </w:pPr>
            <w:hyperlink r:id="rId15" w:tooltip="Cyanobacteria" w:history="1">
              <w:proofErr w:type="spellStart"/>
              <w:r w:rsidR="006E5B68" w:rsidRPr="0066543C">
                <w:rPr>
                  <w:rStyle w:val="Hyperlink"/>
                  <w:rFonts w:ascii="Arial" w:hAnsi="Arial" w:cs="Arial"/>
                  <w:color w:val="000000" w:themeColor="text1"/>
                  <w:sz w:val="20"/>
                  <w:szCs w:val="20"/>
                </w:rPr>
                <w:t>Cyanobacteriota</w:t>
              </w:r>
              <w:proofErr w:type="spellEnd"/>
            </w:hyperlink>
          </w:p>
        </w:tc>
      </w:tr>
      <w:tr w:rsidR="00333F22" w:rsidRPr="0066543C" w14:paraId="1B672D18" w14:textId="77777777">
        <w:trPr>
          <w:jc w:val="center"/>
        </w:trPr>
        <w:tc>
          <w:tcPr>
            <w:tcW w:w="1555" w:type="dxa"/>
          </w:tcPr>
          <w:p w14:paraId="066A38B4" w14:textId="219BBF10"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lastRenderedPageBreak/>
              <w:t>Class</w:t>
            </w:r>
          </w:p>
        </w:tc>
        <w:tc>
          <w:tcPr>
            <w:tcW w:w="2268" w:type="dxa"/>
          </w:tcPr>
          <w:p w14:paraId="340E15CD" w14:textId="77777777" w:rsidR="006E5B68" w:rsidRPr="0066543C" w:rsidRDefault="001228F0">
            <w:pPr>
              <w:rPr>
                <w:rFonts w:ascii="Arial" w:hAnsi="Arial" w:cs="Arial"/>
                <w:color w:val="000000" w:themeColor="text1"/>
                <w:sz w:val="20"/>
                <w:szCs w:val="20"/>
              </w:rPr>
            </w:pPr>
            <w:hyperlink r:id="rId16" w:tooltip="Cyanophyceae" w:history="1">
              <w:proofErr w:type="spellStart"/>
              <w:r w:rsidR="006E5B68" w:rsidRPr="0066543C">
                <w:rPr>
                  <w:rStyle w:val="Hyperlink"/>
                  <w:rFonts w:ascii="Arial" w:hAnsi="Arial" w:cs="Arial"/>
                  <w:color w:val="000000" w:themeColor="text1"/>
                  <w:sz w:val="20"/>
                  <w:szCs w:val="20"/>
                </w:rPr>
                <w:t>Cyanophyceae</w:t>
              </w:r>
              <w:proofErr w:type="spellEnd"/>
            </w:hyperlink>
          </w:p>
        </w:tc>
      </w:tr>
      <w:tr w:rsidR="00333F22" w:rsidRPr="0066543C" w14:paraId="7879BB54" w14:textId="77777777">
        <w:trPr>
          <w:jc w:val="center"/>
        </w:trPr>
        <w:tc>
          <w:tcPr>
            <w:tcW w:w="1555" w:type="dxa"/>
          </w:tcPr>
          <w:p w14:paraId="6039C077" w14:textId="472428EC"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Order</w:t>
            </w:r>
          </w:p>
        </w:tc>
        <w:tc>
          <w:tcPr>
            <w:tcW w:w="2268" w:type="dxa"/>
          </w:tcPr>
          <w:p w14:paraId="229991C3" w14:textId="77777777" w:rsidR="006E5B68" w:rsidRPr="0066543C" w:rsidRDefault="001228F0">
            <w:pPr>
              <w:rPr>
                <w:rFonts w:ascii="Arial" w:hAnsi="Arial" w:cs="Arial"/>
                <w:color w:val="000000" w:themeColor="text1"/>
                <w:sz w:val="20"/>
                <w:szCs w:val="20"/>
              </w:rPr>
            </w:pPr>
            <w:hyperlink r:id="rId17" w:tooltip="Synechococcales" w:history="1">
              <w:proofErr w:type="spellStart"/>
              <w:r w:rsidR="006E5B68" w:rsidRPr="0066543C">
                <w:rPr>
                  <w:rStyle w:val="Hyperlink"/>
                  <w:rFonts w:ascii="Arial" w:hAnsi="Arial" w:cs="Arial"/>
                  <w:color w:val="000000" w:themeColor="text1"/>
                  <w:sz w:val="20"/>
                  <w:szCs w:val="20"/>
                </w:rPr>
                <w:t>Synechococcales</w:t>
              </w:r>
              <w:proofErr w:type="spellEnd"/>
            </w:hyperlink>
          </w:p>
        </w:tc>
      </w:tr>
      <w:tr w:rsidR="00333F22" w:rsidRPr="0066543C" w14:paraId="336DBE50" w14:textId="77777777">
        <w:trPr>
          <w:jc w:val="center"/>
        </w:trPr>
        <w:tc>
          <w:tcPr>
            <w:tcW w:w="1555" w:type="dxa"/>
          </w:tcPr>
          <w:p w14:paraId="71148F62" w14:textId="2E87E845" w:rsidR="006E5B68"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Family</w:t>
            </w:r>
          </w:p>
        </w:tc>
        <w:tc>
          <w:tcPr>
            <w:tcW w:w="2268" w:type="dxa"/>
          </w:tcPr>
          <w:p w14:paraId="3CCD84D5" w14:textId="078E7FE9" w:rsidR="006E5B68" w:rsidRPr="0066543C" w:rsidRDefault="001228F0">
            <w:pPr>
              <w:rPr>
                <w:rFonts w:ascii="Arial" w:hAnsi="Arial" w:cs="Arial"/>
                <w:color w:val="000000" w:themeColor="text1"/>
                <w:sz w:val="20"/>
                <w:szCs w:val="20"/>
              </w:rPr>
            </w:pPr>
            <w:hyperlink r:id="rId18" w:tooltip="Leptolyngbyaceae" w:history="1">
              <w:proofErr w:type="spellStart"/>
              <w:r w:rsidR="002E75B6" w:rsidRPr="0066543C">
                <w:rPr>
                  <w:rStyle w:val="Hyperlink"/>
                  <w:rFonts w:ascii="Arial" w:hAnsi="Arial" w:cs="Arial"/>
                  <w:color w:val="000000" w:themeColor="text1"/>
                  <w:sz w:val="20"/>
                  <w:szCs w:val="20"/>
                </w:rPr>
                <w:t>Leptolyngbyaceae</w:t>
              </w:r>
              <w:proofErr w:type="spellEnd"/>
            </w:hyperlink>
          </w:p>
        </w:tc>
      </w:tr>
      <w:tr w:rsidR="00333F22" w:rsidRPr="0066543C" w14:paraId="3972E77C" w14:textId="77777777">
        <w:trPr>
          <w:jc w:val="center"/>
        </w:trPr>
        <w:tc>
          <w:tcPr>
            <w:tcW w:w="1555" w:type="dxa"/>
          </w:tcPr>
          <w:p w14:paraId="142AE239" w14:textId="0CA5B3FF" w:rsidR="006E5B68" w:rsidRPr="0066543C" w:rsidRDefault="004A1863">
            <w:pPr>
              <w:rPr>
                <w:rFonts w:ascii="Arial" w:hAnsi="Arial" w:cs="Arial"/>
                <w:color w:val="000000" w:themeColor="text1"/>
                <w:sz w:val="20"/>
                <w:szCs w:val="20"/>
              </w:rPr>
            </w:pPr>
            <w:r w:rsidRPr="0066543C">
              <w:rPr>
                <w:rFonts w:ascii="Arial" w:hAnsi="Arial" w:cs="Arial"/>
                <w:color w:val="000000" w:themeColor="text1"/>
                <w:sz w:val="20"/>
                <w:szCs w:val="20"/>
              </w:rPr>
              <w:t>GENUS</w:t>
            </w:r>
          </w:p>
        </w:tc>
        <w:tc>
          <w:tcPr>
            <w:tcW w:w="2268" w:type="dxa"/>
          </w:tcPr>
          <w:p w14:paraId="4C357268" w14:textId="5C41CF0F" w:rsidR="006E5B68" w:rsidRPr="0066543C" w:rsidRDefault="004A1863">
            <w:pPr>
              <w:rPr>
                <w:rFonts w:ascii="Arial" w:hAnsi="Arial" w:cs="Arial"/>
                <w:color w:val="000000" w:themeColor="text1"/>
                <w:sz w:val="20"/>
                <w:szCs w:val="20"/>
              </w:rPr>
            </w:pPr>
            <w:r w:rsidRPr="0066543C">
              <w:rPr>
                <w:rFonts w:ascii="Arial" w:hAnsi="Arial" w:cs="Arial"/>
                <w:i/>
                <w:iCs/>
                <w:color w:val="000000" w:themeColor="text1"/>
                <w:sz w:val="20"/>
                <w:szCs w:val="20"/>
              </w:rPr>
              <w:t>LEPTOLYNGBYA</w:t>
            </w:r>
          </w:p>
        </w:tc>
      </w:tr>
      <w:tr w:rsidR="00333F22" w:rsidRPr="0066543C" w14:paraId="01598A9F" w14:textId="77777777">
        <w:trPr>
          <w:jc w:val="center"/>
        </w:trPr>
        <w:tc>
          <w:tcPr>
            <w:tcW w:w="1555" w:type="dxa"/>
          </w:tcPr>
          <w:p w14:paraId="6D3E9FB3" w14:textId="7C495B29" w:rsidR="002E75B6" w:rsidRPr="0066543C" w:rsidRDefault="006939F7">
            <w:pPr>
              <w:rPr>
                <w:rFonts w:ascii="Arial" w:hAnsi="Arial" w:cs="Arial"/>
                <w:color w:val="000000" w:themeColor="text1"/>
                <w:sz w:val="20"/>
                <w:szCs w:val="20"/>
              </w:rPr>
            </w:pPr>
            <w:r w:rsidRPr="0066543C">
              <w:rPr>
                <w:rFonts w:ascii="Arial" w:hAnsi="Arial" w:cs="Arial"/>
                <w:color w:val="000000" w:themeColor="text1"/>
                <w:sz w:val="20"/>
                <w:szCs w:val="20"/>
              </w:rPr>
              <w:t>Species</w:t>
            </w:r>
          </w:p>
        </w:tc>
        <w:tc>
          <w:tcPr>
            <w:tcW w:w="2268" w:type="dxa"/>
          </w:tcPr>
          <w:p w14:paraId="168181B4" w14:textId="4FF00A56" w:rsidR="002E75B6" w:rsidRPr="0066543C" w:rsidRDefault="002E75B6">
            <w:pPr>
              <w:rPr>
                <w:rFonts w:ascii="Arial" w:hAnsi="Arial" w:cs="Arial"/>
                <w:i/>
                <w:iCs/>
                <w:color w:val="000000" w:themeColor="text1"/>
                <w:sz w:val="20"/>
                <w:szCs w:val="20"/>
              </w:rPr>
            </w:pPr>
            <w:r w:rsidRPr="0066543C">
              <w:rPr>
                <w:rFonts w:ascii="Arial" w:hAnsi="Arial" w:cs="Arial"/>
                <w:i/>
                <w:iCs/>
                <w:color w:val="000000" w:themeColor="text1"/>
                <w:sz w:val="20"/>
                <w:szCs w:val="20"/>
              </w:rPr>
              <w:t>Leptolyngbya sp.</w:t>
            </w:r>
          </w:p>
        </w:tc>
      </w:tr>
    </w:tbl>
    <w:p w14:paraId="08274283" w14:textId="58459E0D" w:rsidR="006E5B68" w:rsidRPr="0066543C" w:rsidRDefault="006E5B68" w:rsidP="006E5B68">
      <w:pPr>
        <w:spacing w:line="360" w:lineRule="auto"/>
        <w:jc w:val="both"/>
        <w:rPr>
          <w:rFonts w:ascii="Arial" w:hAnsi="Arial" w:cs="Arial"/>
          <w:b/>
          <w:bCs/>
          <w:color w:val="000000" w:themeColor="text1"/>
          <w:sz w:val="20"/>
          <w:szCs w:val="20"/>
        </w:rPr>
      </w:pPr>
      <w:r w:rsidRPr="0066543C">
        <w:rPr>
          <w:rFonts w:ascii="Arial" w:hAnsi="Arial" w:cs="Arial"/>
          <w:b/>
          <w:bCs/>
          <w:color w:val="000000" w:themeColor="text1"/>
          <w:sz w:val="20"/>
          <w:szCs w:val="20"/>
        </w:rPr>
        <w:t xml:space="preserve">Table 1: Scientific Classification of </w:t>
      </w:r>
      <w:r w:rsidR="002E75B6" w:rsidRPr="0066543C">
        <w:rPr>
          <w:rFonts w:ascii="Arial" w:hAnsi="Arial" w:cs="Arial"/>
          <w:b/>
          <w:bCs/>
          <w:i/>
          <w:iCs/>
          <w:color w:val="000000" w:themeColor="text1"/>
          <w:sz w:val="20"/>
          <w:szCs w:val="20"/>
        </w:rPr>
        <w:t>Leptolyngbya sp</w:t>
      </w:r>
      <w:r w:rsidRPr="0066543C">
        <w:rPr>
          <w:rFonts w:ascii="Arial" w:hAnsi="Arial" w:cs="Arial"/>
          <w:b/>
          <w:bCs/>
          <w:i/>
          <w:iCs/>
          <w:color w:val="000000" w:themeColor="text1"/>
          <w:sz w:val="20"/>
          <w:szCs w:val="20"/>
        </w:rPr>
        <w:t>.</w:t>
      </w:r>
    </w:p>
    <w:p w14:paraId="165B9654" w14:textId="7C21E347" w:rsidR="00972B2B" w:rsidRPr="0066543C" w:rsidRDefault="004A1863" w:rsidP="00972B2B">
      <w:pPr>
        <w:rPr>
          <w:rFonts w:ascii="Arial" w:hAnsi="Arial" w:cs="Arial"/>
          <w:b/>
          <w:bCs/>
          <w:color w:val="000000" w:themeColor="text1"/>
        </w:rPr>
      </w:pPr>
      <w:r w:rsidRPr="0066543C">
        <w:rPr>
          <w:rFonts w:ascii="Arial" w:hAnsi="Arial" w:cs="Arial"/>
          <w:b/>
          <w:bCs/>
          <w:color w:val="000000" w:themeColor="text1"/>
        </w:rPr>
        <w:t>CHLORPYRIFOS DEGRADATION</w:t>
      </w:r>
    </w:p>
    <w:p w14:paraId="52A2E4D7" w14:textId="42A3C84F" w:rsidR="00972B2B" w:rsidRPr="0066543C" w:rsidRDefault="00972B2B" w:rsidP="00972B2B">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The cyanobacterial isolates exhibited a significant ability to degrade chlorpyrifos under laboratory conditions. Inoculated cultures </w:t>
      </w:r>
      <w:r w:rsidR="007F5DD7" w:rsidRPr="0066543C">
        <w:rPr>
          <w:rFonts w:ascii="Arial" w:hAnsi="Arial" w:cs="Arial"/>
          <w:color w:val="000000" w:themeColor="text1"/>
          <w:sz w:val="20"/>
          <w:szCs w:val="20"/>
        </w:rPr>
        <w:t>showed</w:t>
      </w:r>
      <w:r w:rsidRPr="0066543C">
        <w:rPr>
          <w:rFonts w:ascii="Arial" w:hAnsi="Arial" w:cs="Arial"/>
          <w:color w:val="000000" w:themeColor="text1"/>
          <w:sz w:val="20"/>
          <w:szCs w:val="20"/>
        </w:rPr>
        <w:t xml:space="preserve"> a gradual reduction in pesticide concentration compared to the uninoculated control. Within 20 days of incubation, more than </w:t>
      </w:r>
      <w:r w:rsidR="00DB4D30" w:rsidRPr="0066543C">
        <w:rPr>
          <w:rFonts w:ascii="Arial" w:hAnsi="Arial" w:cs="Arial"/>
          <w:color w:val="000000" w:themeColor="text1"/>
          <w:sz w:val="20"/>
          <w:szCs w:val="20"/>
        </w:rPr>
        <w:t>8</w:t>
      </w:r>
      <w:r w:rsidRPr="0066543C">
        <w:rPr>
          <w:rFonts w:ascii="Arial" w:hAnsi="Arial" w:cs="Arial"/>
          <w:color w:val="000000" w:themeColor="text1"/>
          <w:sz w:val="20"/>
          <w:szCs w:val="20"/>
        </w:rPr>
        <w:t>5% degradation of chlorpyrifos was observed in treated samples, while only minimal degradation occurred in the control.</w:t>
      </w:r>
    </w:p>
    <w:p w14:paraId="4E31DB27" w14:textId="77777777" w:rsidR="00972B2B" w:rsidRPr="0066543C" w:rsidRDefault="00972B2B" w:rsidP="00972B2B">
      <w:pPr>
        <w:spacing w:line="360" w:lineRule="auto"/>
        <w:jc w:val="both"/>
        <w:rPr>
          <w:rFonts w:ascii="Arial" w:hAnsi="Arial" w:cs="Arial"/>
          <w:b/>
          <w:bCs/>
          <w:i/>
          <w:iCs/>
          <w:color w:val="000000" w:themeColor="text1"/>
          <w:sz w:val="20"/>
          <w:szCs w:val="20"/>
        </w:rPr>
      </w:pPr>
      <w:r w:rsidRPr="0066543C">
        <w:rPr>
          <w:rFonts w:ascii="Arial" w:hAnsi="Arial" w:cs="Arial"/>
          <w:color w:val="000000" w:themeColor="text1"/>
          <w:sz w:val="20"/>
          <w:szCs w:val="20"/>
        </w:rPr>
        <w:t xml:space="preserve">Cyanobacterium </w:t>
      </w:r>
      <w:r w:rsidRPr="0066543C">
        <w:rPr>
          <w:rFonts w:ascii="Arial" w:hAnsi="Arial" w:cs="Arial"/>
          <w:i/>
          <w:iCs/>
          <w:color w:val="000000" w:themeColor="text1"/>
          <w:sz w:val="20"/>
          <w:szCs w:val="20"/>
        </w:rPr>
        <w:t xml:space="preserve">Leptolyngbya sp. </w:t>
      </w:r>
      <w:r w:rsidRPr="0066543C">
        <w:rPr>
          <w:rFonts w:ascii="Arial" w:hAnsi="Arial" w:cs="Arial"/>
          <w:color w:val="000000" w:themeColor="text1"/>
          <w:sz w:val="20"/>
          <w:szCs w:val="20"/>
        </w:rPr>
        <w:t xml:space="preserve">demonstrated the highest degradation efficiency, achieving near-complete breakdown of the pesticide within the experimental period. Growth analysis revealed that the cyanobacterial biomass increased in pesticide-amended media, indicating a possible utilization of chlorpyrifos and/or its hydrolytic products as nutrient sources. </w:t>
      </w:r>
    </w:p>
    <w:p w14:paraId="69B15935" w14:textId="77777777" w:rsidR="00972B2B" w:rsidRPr="0066543C" w:rsidRDefault="00972B2B" w:rsidP="00972B2B">
      <w:pPr>
        <w:jc w:val="both"/>
        <w:rPr>
          <w:rFonts w:ascii="Arial" w:hAnsi="Arial" w:cs="Arial"/>
          <w:b/>
          <w:bCs/>
          <w:color w:val="000000" w:themeColor="text1"/>
          <w:sz w:val="24"/>
          <w:szCs w:val="24"/>
        </w:rPr>
      </w:pPr>
    </w:p>
    <w:p w14:paraId="53B831A0" w14:textId="77777777" w:rsidR="00972B2B" w:rsidRPr="0066543C" w:rsidRDefault="00972B2B" w:rsidP="00972B2B">
      <w:pPr>
        <w:tabs>
          <w:tab w:val="left" w:pos="6636"/>
        </w:tabs>
        <w:rPr>
          <w:rFonts w:ascii="Arial" w:hAnsi="Arial" w:cs="Arial"/>
          <w:b/>
          <w:bCs/>
          <w:color w:val="000000" w:themeColor="text1"/>
          <w:sz w:val="24"/>
          <w:szCs w:val="24"/>
        </w:rPr>
      </w:pPr>
      <w:r w:rsidRPr="0066543C">
        <w:rPr>
          <w:rFonts w:ascii="Arial" w:hAnsi="Arial" w:cs="Arial"/>
          <w:noProof/>
          <w:color w:val="000000" w:themeColor="text1"/>
          <w:sz w:val="24"/>
          <w:szCs w:val="24"/>
          <w:lang w:eastAsia="en-IN"/>
        </w:rPr>
        <w:drawing>
          <wp:inline distT="0" distB="0" distL="0" distR="0" wp14:anchorId="6C9506A2" wp14:editId="3EF87266">
            <wp:extent cx="5731510" cy="1615440"/>
            <wp:effectExtent l="0" t="0" r="2540" b="3810"/>
            <wp:docPr id="8258101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10145" name=""/>
                    <pic:cNvPicPr/>
                  </pic:nvPicPr>
                  <pic:blipFill rotWithShape="1">
                    <a:blip r:embed="rId19">
                      <a:extLst>
                        <a:ext uri="{96DAC541-7B7A-43D3-8B79-37D633B846F1}">
                          <asvg:svgBlip xmlns:asvg="http://schemas.microsoft.com/office/drawing/2016/SVG/main" r:embed="rId20"/>
                        </a:ext>
                      </a:extLst>
                    </a:blip>
                    <a:srcRect b="49892"/>
                    <a:stretch>
                      <a:fillRect/>
                    </a:stretch>
                  </pic:blipFill>
                  <pic:spPr bwMode="auto">
                    <a:xfrm>
                      <a:off x="0" y="0"/>
                      <a:ext cx="5731510" cy="1615440"/>
                    </a:xfrm>
                    <a:prstGeom prst="rect">
                      <a:avLst/>
                    </a:prstGeom>
                    <a:ln>
                      <a:noFill/>
                    </a:ln>
                    <a:extLst>
                      <a:ext uri="{53640926-AAD7-44D8-BBD7-CCE9431645EC}">
                        <a14:shadowObscured xmlns:a14="http://schemas.microsoft.com/office/drawing/2010/main"/>
                      </a:ext>
                    </a:extLst>
                  </pic:spPr>
                </pic:pic>
              </a:graphicData>
            </a:graphic>
          </wp:inline>
        </w:drawing>
      </w:r>
    </w:p>
    <w:p w14:paraId="5C54AC20" w14:textId="795BFFCF" w:rsidR="00972B2B" w:rsidRDefault="00972B2B" w:rsidP="00972B2B">
      <w:pPr>
        <w:tabs>
          <w:tab w:val="left" w:pos="6636"/>
        </w:tabs>
        <w:rPr>
          <w:rFonts w:ascii="Arial" w:hAnsi="Arial" w:cs="Arial"/>
          <w:b/>
          <w:bCs/>
          <w:sz w:val="20"/>
          <w:szCs w:val="20"/>
        </w:rPr>
      </w:pPr>
      <w:r w:rsidRPr="0066543C">
        <w:rPr>
          <w:rFonts w:ascii="Arial" w:hAnsi="Arial" w:cs="Arial"/>
          <w:b/>
          <w:bCs/>
          <w:sz w:val="20"/>
          <w:szCs w:val="20"/>
        </w:rPr>
        <w:t xml:space="preserve">Figure </w:t>
      </w:r>
      <w:r w:rsidR="00E3244A">
        <w:rPr>
          <w:rFonts w:ascii="Arial" w:hAnsi="Arial" w:cs="Arial"/>
          <w:b/>
          <w:bCs/>
          <w:sz w:val="20"/>
          <w:szCs w:val="20"/>
        </w:rPr>
        <w:t>2</w:t>
      </w:r>
      <w:r w:rsidRPr="0066543C">
        <w:rPr>
          <w:rFonts w:ascii="Arial" w:hAnsi="Arial" w:cs="Arial"/>
          <w:b/>
          <w:bCs/>
          <w:sz w:val="20"/>
          <w:szCs w:val="20"/>
        </w:rPr>
        <w:t xml:space="preserve">: Degradation of chlorpyrifos </w:t>
      </w:r>
      <w:proofErr w:type="spellStart"/>
      <w:r w:rsidRPr="0066543C">
        <w:rPr>
          <w:rFonts w:ascii="Arial" w:hAnsi="Arial" w:cs="Arial"/>
          <w:b/>
          <w:bCs/>
          <w:sz w:val="20"/>
          <w:szCs w:val="20"/>
        </w:rPr>
        <w:t>uptill</w:t>
      </w:r>
      <w:proofErr w:type="spellEnd"/>
      <w:r w:rsidRPr="0066543C">
        <w:rPr>
          <w:rFonts w:ascii="Arial" w:hAnsi="Arial" w:cs="Arial"/>
          <w:b/>
          <w:bCs/>
          <w:sz w:val="20"/>
          <w:szCs w:val="20"/>
        </w:rPr>
        <w:t xml:space="preserve"> </w:t>
      </w:r>
      <w:r w:rsidR="00BF7189" w:rsidRPr="0066543C">
        <w:rPr>
          <w:rFonts w:ascii="Arial" w:hAnsi="Arial" w:cs="Arial"/>
          <w:b/>
          <w:bCs/>
          <w:sz w:val="20"/>
          <w:szCs w:val="20"/>
        </w:rPr>
        <w:t>1</w:t>
      </w:r>
      <w:r w:rsidRPr="0066543C">
        <w:rPr>
          <w:rFonts w:ascii="Arial" w:hAnsi="Arial" w:cs="Arial"/>
          <w:b/>
          <w:bCs/>
          <w:sz w:val="20"/>
          <w:szCs w:val="20"/>
        </w:rPr>
        <w:t>0 days</w:t>
      </w:r>
    </w:p>
    <w:p w14:paraId="375C4222" w14:textId="618FD8A9" w:rsidR="00972B2B" w:rsidRPr="00F9709E" w:rsidRDefault="00F9709E" w:rsidP="00F9709E">
      <w:pPr>
        <w:tabs>
          <w:tab w:val="left" w:pos="6636"/>
        </w:tabs>
        <w:jc w:val="center"/>
        <w:rPr>
          <w:rFonts w:ascii="Arial" w:hAnsi="Arial" w:cs="Arial"/>
          <w:b/>
          <w:bCs/>
          <w:sz w:val="20"/>
          <w:szCs w:val="20"/>
        </w:rPr>
      </w:pPr>
      <w:r w:rsidRPr="00F9709E">
        <w:rPr>
          <w:rFonts w:ascii="Arial" w:hAnsi="Arial" w:cs="Arial"/>
          <w:b/>
          <w:bCs/>
          <w:noProof/>
          <w:sz w:val="20"/>
          <w:szCs w:val="20"/>
          <w:lang w:eastAsia="en-IN"/>
        </w:rPr>
        <w:drawing>
          <wp:inline distT="0" distB="0" distL="0" distR="0" wp14:anchorId="04EE5359" wp14:editId="2C0F8737">
            <wp:extent cx="4572000" cy="2743200"/>
            <wp:effectExtent l="0" t="0" r="3810" b="0"/>
            <wp:docPr id="1113984530" name="Chart 1">
              <a:extLst xmlns:a="http://schemas.openxmlformats.org/drawingml/2006/main">
                <a:ext uri="{FF2B5EF4-FFF2-40B4-BE49-F238E27FC236}">
                  <a16:creationId xmlns:a16="http://schemas.microsoft.com/office/drawing/2014/main" id="{2E414EF0-7744-0552-817F-70B24EE836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61EB84" w14:textId="7480A54A" w:rsidR="00972B2B" w:rsidRPr="0066543C" w:rsidRDefault="00972B2B" w:rsidP="00972B2B">
      <w:pPr>
        <w:spacing w:line="360" w:lineRule="auto"/>
        <w:jc w:val="both"/>
        <w:rPr>
          <w:rFonts w:ascii="Arial" w:hAnsi="Arial" w:cs="Arial"/>
          <w:b/>
          <w:bCs/>
          <w:color w:val="EE0000"/>
          <w:sz w:val="20"/>
          <w:szCs w:val="20"/>
        </w:rPr>
      </w:pPr>
      <w:r w:rsidRPr="0066543C">
        <w:rPr>
          <w:rFonts w:ascii="Arial" w:hAnsi="Arial" w:cs="Arial"/>
          <w:b/>
          <w:bCs/>
          <w:color w:val="000000" w:themeColor="text1"/>
          <w:sz w:val="24"/>
          <w:szCs w:val="24"/>
        </w:rPr>
        <w:t xml:space="preserve">     </w:t>
      </w:r>
      <w:r w:rsidRPr="0066543C">
        <w:rPr>
          <w:rFonts w:ascii="Arial" w:hAnsi="Arial" w:cs="Arial"/>
          <w:b/>
          <w:bCs/>
          <w:sz w:val="20"/>
          <w:szCs w:val="20"/>
        </w:rPr>
        <w:t xml:space="preserve">Figure </w:t>
      </w:r>
      <w:r w:rsidR="00E3244A">
        <w:rPr>
          <w:rFonts w:ascii="Arial" w:hAnsi="Arial" w:cs="Arial"/>
          <w:b/>
          <w:bCs/>
          <w:sz w:val="20"/>
          <w:szCs w:val="20"/>
        </w:rPr>
        <w:t>3</w:t>
      </w:r>
      <w:r w:rsidRPr="0066543C">
        <w:rPr>
          <w:rFonts w:ascii="Arial" w:hAnsi="Arial" w:cs="Arial"/>
          <w:sz w:val="20"/>
          <w:szCs w:val="20"/>
        </w:rPr>
        <w:t xml:space="preserve">:  </w:t>
      </w:r>
      <w:r w:rsidRPr="0066543C">
        <w:rPr>
          <w:rFonts w:ascii="Arial" w:hAnsi="Arial" w:cs="Arial"/>
          <w:b/>
          <w:bCs/>
          <w:sz w:val="20"/>
          <w:szCs w:val="20"/>
        </w:rPr>
        <w:t xml:space="preserve">Graphical representation of chlorpyrifos degradation by </w:t>
      </w:r>
      <w:r w:rsidRPr="0066543C">
        <w:rPr>
          <w:rFonts w:ascii="Arial" w:hAnsi="Arial" w:cs="Arial"/>
          <w:b/>
          <w:bCs/>
          <w:i/>
          <w:iCs/>
          <w:sz w:val="20"/>
          <w:szCs w:val="20"/>
        </w:rPr>
        <w:t>Leptolyngbya sp.</w:t>
      </w:r>
      <w:r w:rsidRPr="0066543C">
        <w:rPr>
          <w:rFonts w:ascii="Arial" w:hAnsi="Arial" w:cs="Arial"/>
          <w:b/>
          <w:bCs/>
          <w:sz w:val="20"/>
          <w:szCs w:val="20"/>
        </w:rPr>
        <w:t xml:space="preserve"> </w:t>
      </w:r>
    </w:p>
    <w:p w14:paraId="1248BD8A" w14:textId="77777777" w:rsidR="002B612D" w:rsidRPr="0066543C" w:rsidRDefault="002B612D" w:rsidP="00E20DF9">
      <w:pPr>
        <w:rPr>
          <w:rFonts w:ascii="Arial" w:hAnsi="Arial" w:cs="Arial"/>
          <w:color w:val="000000" w:themeColor="text1"/>
          <w:sz w:val="24"/>
          <w:szCs w:val="24"/>
        </w:rPr>
      </w:pPr>
    </w:p>
    <w:p w14:paraId="2058DD71" w14:textId="4917F191"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SCREENING OF PGPR FOR PLANT GROWTH-PROMOTING ACTIVITIES</w:t>
      </w:r>
    </w:p>
    <w:p w14:paraId="5FA9DA63" w14:textId="7AE85986"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INDOLE ACETIC ACID PRODUCTION</w:t>
      </w:r>
    </w:p>
    <w:p w14:paraId="20B89286" w14:textId="31D0DA62" w:rsidR="00B87BCA" w:rsidRPr="0066543C" w:rsidRDefault="00B87BCA" w:rsidP="00B87BCA">
      <w:pPr>
        <w:spacing w:line="360" w:lineRule="auto"/>
        <w:jc w:val="both"/>
        <w:rPr>
          <w:rFonts w:ascii="Arial" w:hAnsi="Arial" w:cs="Arial"/>
          <w:b/>
          <w:bCs/>
          <w:i/>
          <w:iCs/>
          <w:color w:val="000000" w:themeColor="text1"/>
          <w:sz w:val="20"/>
          <w:szCs w:val="20"/>
        </w:rPr>
      </w:pPr>
      <w:r w:rsidRPr="0066543C">
        <w:rPr>
          <w:rFonts w:ascii="Arial" w:hAnsi="Arial" w:cs="Arial"/>
          <w:color w:val="000000" w:themeColor="text1"/>
          <w:sz w:val="20"/>
          <w:szCs w:val="20"/>
        </w:rPr>
        <w:t xml:space="preserve">Cyanobacterial isolates tested in this study </w:t>
      </w:r>
      <w:r w:rsidR="00B249EF" w:rsidRPr="0066543C">
        <w:rPr>
          <w:rFonts w:ascii="Arial" w:hAnsi="Arial" w:cs="Arial"/>
          <w:color w:val="000000" w:themeColor="text1"/>
          <w:sz w:val="20"/>
          <w:szCs w:val="20"/>
        </w:rPr>
        <w:t>exposed</w:t>
      </w:r>
      <w:r w:rsidRPr="0066543C">
        <w:rPr>
          <w:rFonts w:ascii="Arial" w:hAnsi="Arial" w:cs="Arial"/>
          <w:color w:val="000000" w:themeColor="text1"/>
          <w:sz w:val="20"/>
          <w:szCs w:val="20"/>
        </w:rPr>
        <w:t xml:space="preserve"> positive results for indole-3-acetic </w:t>
      </w:r>
      <w:r w:rsidR="00C96C2D" w:rsidRPr="0066543C">
        <w:rPr>
          <w:rFonts w:ascii="Arial" w:hAnsi="Arial" w:cs="Arial"/>
          <w:color w:val="000000" w:themeColor="text1"/>
          <w:sz w:val="20"/>
          <w:szCs w:val="20"/>
        </w:rPr>
        <w:t>acid production</w:t>
      </w:r>
      <w:r w:rsidR="00B249EF" w:rsidRPr="0066543C">
        <w:rPr>
          <w:rFonts w:ascii="Arial" w:hAnsi="Arial" w:cs="Arial"/>
          <w:color w:val="000000" w:themeColor="text1"/>
          <w:sz w:val="20"/>
          <w:szCs w:val="20"/>
        </w:rPr>
        <w:t xml:space="preserve"> (IAA)</w:t>
      </w:r>
      <w:r w:rsidRPr="0066543C">
        <w:rPr>
          <w:rFonts w:ascii="Arial" w:hAnsi="Arial" w:cs="Arial"/>
          <w:color w:val="000000" w:themeColor="text1"/>
          <w:sz w:val="20"/>
          <w:szCs w:val="20"/>
        </w:rPr>
        <w:t xml:space="preserve">. Upon addition of Salkowski reagent, the culture supernatants developed a distinct pink to reddish coloration, confirming the presence of </w:t>
      </w:r>
      <w:proofErr w:type="spellStart"/>
      <w:r w:rsidRPr="0066543C">
        <w:rPr>
          <w:rFonts w:ascii="Arial" w:hAnsi="Arial" w:cs="Arial"/>
          <w:color w:val="000000" w:themeColor="text1"/>
          <w:sz w:val="20"/>
          <w:szCs w:val="20"/>
        </w:rPr>
        <w:t>indolic</w:t>
      </w:r>
      <w:proofErr w:type="spellEnd"/>
      <w:r w:rsidRPr="0066543C">
        <w:rPr>
          <w:rFonts w:ascii="Arial" w:hAnsi="Arial" w:cs="Arial"/>
          <w:color w:val="000000" w:themeColor="text1"/>
          <w:sz w:val="20"/>
          <w:szCs w:val="20"/>
        </w:rPr>
        <w:t xml:space="preserve"> compounds. Absorbance measurements at 530 nm indicated measurable concentrations of IAA in all isolates, with values ranging from 5 to 8 µg mL</w:t>
      </w:r>
      <w:r w:rsidRPr="0066543C">
        <w:rPr>
          <w:rFonts w:ascii="Cambria Math" w:hAnsi="Cambria Math" w:cs="Cambria Math"/>
          <w:color w:val="000000" w:themeColor="text1"/>
          <w:sz w:val="20"/>
          <w:szCs w:val="20"/>
        </w:rPr>
        <w:t>⁻</w:t>
      </w:r>
      <w:r w:rsidRPr="0066543C">
        <w:rPr>
          <w:rFonts w:ascii="Arial" w:hAnsi="Arial" w:cs="Arial"/>
          <w:color w:val="000000" w:themeColor="text1"/>
          <w:sz w:val="20"/>
          <w:szCs w:val="20"/>
        </w:rPr>
        <w:t xml:space="preserve">¹ (mean ± SD), as determined from the standard calibration curve of authentic IAA. All this analysis confirmed that cyanobacteria isolates was </w:t>
      </w:r>
      <w:proofErr w:type="spellStart"/>
      <w:r w:rsidRPr="0066543C">
        <w:rPr>
          <w:rFonts w:ascii="Arial" w:hAnsi="Arial" w:cs="Arial"/>
          <w:color w:val="000000" w:themeColor="text1"/>
          <w:sz w:val="20"/>
          <w:szCs w:val="20"/>
        </w:rPr>
        <w:t>lacel</w:t>
      </w:r>
      <w:proofErr w:type="spellEnd"/>
      <w:r w:rsidRPr="0066543C">
        <w:rPr>
          <w:rFonts w:ascii="Arial" w:hAnsi="Arial" w:cs="Arial"/>
          <w:color w:val="000000" w:themeColor="text1"/>
          <w:sz w:val="20"/>
          <w:szCs w:val="20"/>
        </w:rPr>
        <w:t xml:space="preserve"> with attributes of plant growth promotion.</w:t>
      </w:r>
    </w:p>
    <w:p w14:paraId="70E859E8" w14:textId="336D621A" w:rsidR="00B87BCA" w:rsidRPr="0066543C" w:rsidRDefault="004A1863" w:rsidP="00B87BCA">
      <w:pPr>
        <w:spacing w:line="360" w:lineRule="auto"/>
        <w:jc w:val="both"/>
        <w:rPr>
          <w:rFonts w:ascii="Arial" w:hAnsi="Arial" w:cs="Arial"/>
          <w:b/>
          <w:bCs/>
          <w:color w:val="000000" w:themeColor="text1"/>
        </w:rPr>
      </w:pPr>
      <w:r w:rsidRPr="0066543C">
        <w:rPr>
          <w:rFonts w:ascii="Arial" w:hAnsi="Arial" w:cs="Arial"/>
          <w:b/>
          <w:bCs/>
          <w:color w:val="000000" w:themeColor="text1"/>
        </w:rPr>
        <w:t>PHOSPHATE SOLUBILIZATION</w:t>
      </w:r>
    </w:p>
    <w:p w14:paraId="1CCE0E9F" w14:textId="77777777" w:rsidR="00B87BCA" w:rsidRPr="0066543C" w:rsidRDefault="00B87BCA" w:rsidP="00B87BCA">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The isolated cyanobacterial strains were screened for their ability to solubilize inorganic phosphate on </w:t>
      </w:r>
      <w:proofErr w:type="spellStart"/>
      <w:r w:rsidRPr="0066543C">
        <w:rPr>
          <w:rFonts w:ascii="Arial" w:hAnsi="Arial" w:cs="Arial"/>
          <w:color w:val="000000" w:themeColor="text1"/>
          <w:sz w:val="20"/>
          <w:szCs w:val="20"/>
        </w:rPr>
        <w:t>Pikovskaya’s</w:t>
      </w:r>
      <w:proofErr w:type="spellEnd"/>
      <w:r w:rsidRPr="0066543C">
        <w:rPr>
          <w:rFonts w:ascii="Arial" w:hAnsi="Arial" w:cs="Arial"/>
          <w:color w:val="000000" w:themeColor="text1"/>
          <w:sz w:val="20"/>
          <w:szCs w:val="20"/>
        </w:rPr>
        <w:t xml:space="preserve"> agar medium. The finding of clear zones around bacterial aggregates based on the fact that PGPR strains capable of solubilizing insoluble phosphorus resulted in phosphate solubilization. The amount of phosphate solubilization is quantified by measuring the diameter of the clear zones or by calculating the level of soluble phosphate in the agar using spectrophotometric methods. The identified isolate showed a clear halo zone around the colonies, indicating phosphate solubilization activity, although with varying efficiencies.</w:t>
      </w:r>
    </w:p>
    <w:p w14:paraId="1252BEFD" w14:textId="3A101475" w:rsidR="002B612D" w:rsidRPr="0066543C" w:rsidRDefault="002B612D" w:rsidP="002B612D">
      <w:pPr>
        <w:jc w:val="both"/>
        <w:rPr>
          <w:rFonts w:ascii="Arial" w:hAnsi="Arial" w:cs="Arial"/>
          <w:b/>
          <w:bCs/>
          <w:color w:val="000000" w:themeColor="text1"/>
          <w:sz w:val="24"/>
          <w:szCs w:val="24"/>
        </w:rPr>
      </w:pPr>
      <w:r w:rsidRPr="0066543C">
        <w:rPr>
          <w:rFonts w:ascii="Arial" w:hAnsi="Arial" w:cs="Arial"/>
          <w:b/>
          <w:bCs/>
          <w:i/>
          <w:iCs/>
          <w:color w:val="000000" w:themeColor="text1"/>
          <w:sz w:val="24"/>
          <w:szCs w:val="24"/>
        </w:rPr>
        <w:t xml:space="preserve">   </w:t>
      </w:r>
      <w:r w:rsidR="00DC5C5F" w:rsidRPr="0066543C">
        <w:rPr>
          <w:rFonts w:ascii="Arial" w:hAnsi="Arial" w:cs="Arial"/>
          <w:noProof/>
          <w:color w:val="000000" w:themeColor="text1"/>
          <w:sz w:val="24"/>
          <w:szCs w:val="24"/>
          <w:lang w:eastAsia="en-IN"/>
        </w:rPr>
        <w:drawing>
          <wp:anchor distT="0" distB="0" distL="114300" distR="114300" simplePos="0" relativeHeight="251684864" behindDoc="0" locked="0" layoutInCell="1" allowOverlap="1" wp14:anchorId="042B091F" wp14:editId="265B3EA9">
            <wp:simplePos x="0" y="0"/>
            <wp:positionH relativeFrom="column">
              <wp:posOffset>0</wp:posOffset>
            </wp:positionH>
            <wp:positionV relativeFrom="paragraph">
              <wp:posOffset>288925</wp:posOffset>
            </wp:positionV>
            <wp:extent cx="4221480" cy="1887855"/>
            <wp:effectExtent l="0" t="0" r="7620" b="0"/>
            <wp:wrapTopAndBottom/>
            <wp:docPr id="72847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7309" name="Picture 72847309"/>
                    <pic:cNvPicPr/>
                  </pic:nvPicPr>
                  <pic:blipFill rotWithShape="1">
                    <a:blip r:embed="rId22" cstate="print">
                      <a:extLst>
                        <a:ext uri="{28A0092B-C50C-407E-A947-70E740481C1C}">
                          <a14:useLocalDpi xmlns:a14="http://schemas.microsoft.com/office/drawing/2010/main" val="0"/>
                        </a:ext>
                      </a:extLst>
                    </a:blip>
                    <a:srcRect l="2196" t="4504" r="4646"/>
                    <a:stretch>
                      <a:fillRect/>
                    </a:stretch>
                  </pic:blipFill>
                  <pic:spPr bwMode="auto">
                    <a:xfrm>
                      <a:off x="0" y="0"/>
                      <a:ext cx="4221480" cy="188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543C">
        <w:rPr>
          <w:rFonts w:ascii="Arial" w:hAnsi="Arial" w:cs="Arial"/>
          <w:b/>
          <w:bCs/>
          <w:i/>
          <w:iCs/>
          <w:color w:val="000000" w:themeColor="text1"/>
          <w:sz w:val="24"/>
          <w:szCs w:val="24"/>
        </w:rPr>
        <w:t xml:space="preserve">       </w:t>
      </w:r>
      <w:r w:rsidRPr="0066543C">
        <w:rPr>
          <w:rFonts w:ascii="Arial" w:hAnsi="Arial" w:cs="Arial"/>
          <w:b/>
          <w:bCs/>
          <w:color w:val="000000" w:themeColor="text1"/>
          <w:sz w:val="24"/>
          <w:szCs w:val="24"/>
        </w:rPr>
        <w:t xml:space="preserve">                   </w:t>
      </w:r>
    </w:p>
    <w:p w14:paraId="0B75BC6A" w14:textId="12B13577" w:rsidR="002B612D" w:rsidRPr="00F9709E" w:rsidRDefault="002B612D" w:rsidP="002B612D">
      <w:pPr>
        <w:jc w:val="both"/>
        <w:rPr>
          <w:rFonts w:ascii="Arial" w:hAnsi="Arial" w:cs="Arial"/>
          <w:b/>
          <w:bCs/>
          <w:color w:val="000000" w:themeColor="text1"/>
          <w:sz w:val="20"/>
          <w:szCs w:val="20"/>
        </w:rPr>
      </w:pPr>
      <w:r w:rsidRPr="00F9709E">
        <w:rPr>
          <w:rFonts w:ascii="Arial" w:hAnsi="Arial" w:cs="Arial"/>
          <w:b/>
          <w:bCs/>
          <w:color w:val="000000" w:themeColor="text1"/>
          <w:sz w:val="20"/>
          <w:szCs w:val="20"/>
        </w:rPr>
        <w:t>Figure</w:t>
      </w:r>
      <w:r w:rsidR="00C71054" w:rsidRPr="00F9709E">
        <w:rPr>
          <w:rFonts w:ascii="Arial" w:hAnsi="Arial" w:cs="Arial"/>
          <w:b/>
          <w:bCs/>
          <w:color w:val="000000" w:themeColor="text1"/>
          <w:sz w:val="20"/>
          <w:szCs w:val="20"/>
        </w:rPr>
        <w:t xml:space="preserve"> </w:t>
      </w:r>
      <w:r w:rsidR="00E3244A">
        <w:rPr>
          <w:rFonts w:ascii="Arial" w:hAnsi="Arial" w:cs="Arial"/>
          <w:b/>
          <w:bCs/>
          <w:color w:val="000000" w:themeColor="text1"/>
          <w:sz w:val="20"/>
          <w:szCs w:val="20"/>
        </w:rPr>
        <w:t>4</w:t>
      </w:r>
      <w:r w:rsidRPr="00F9709E">
        <w:rPr>
          <w:rFonts w:ascii="Arial" w:hAnsi="Arial" w:cs="Arial"/>
          <w:b/>
          <w:bCs/>
          <w:color w:val="000000" w:themeColor="text1"/>
          <w:sz w:val="20"/>
          <w:szCs w:val="20"/>
        </w:rPr>
        <w:t>: Phosphate solubilization test</w:t>
      </w:r>
    </w:p>
    <w:p w14:paraId="3654D55E" w14:textId="1C9270A0" w:rsidR="002B612D" w:rsidRPr="0066543C" w:rsidRDefault="002B612D" w:rsidP="00E20DF9">
      <w:pPr>
        <w:rPr>
          <w:rFonts w:ascii="Arial" w:hAnsi="Arial" w:cs="Arial"/>
          <w:color w:val="000000" w:themeColor="text1"/>
          <w:sz w:val="24"/>
          <w:szCs w:val="24"/>
        </w:rPr>
      </w:pPr>
    </w:p>
    <w:p w14:paraId="12FD0DD5" w14:textId="1197B254"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SIDEROPHORE PRODUCTION</w:t>
      </w:r>
    </w:p>
    <w:p w14:paraId="4FE9EB93" w14:textId="68C30370" w:rsidR="00B87BCA" w:rsidRPr="0066543C" w:rsidRDefault="00B87BCA" w:rsidP="00B87BCA">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The production of siderophores by the PGPR was seen using the </w:t>
      </w:r>
      <w:r w:rsidR="00B249EF" w:rsidRPr="0066543C">
        <w:rPr>
          <w:rFonts w:ascii="Arial" w:hAnsi="Arial" w:cs="Arial"/>
          <w:color w:val="000000" w:themeColor="text1"/>
          <w:sz w:val="20"/>
          <w:szCs w:val="20"/>
        </w:rPr>
        <w:t>C</w:t>
      </w:r>
      <w:r w:rsidRPr="0066543C">
        <w:rPr>
          <w:rFonts w:ascii="Arial" w:hAnsi="Arial" w:cs="Arial"/>
          <w:color w:val="000000" w:themeColor="text1"/>
          <w:sz w:val="20"/>
          <w:szCs w:val="20"/>
        </w:rPr>
        <w:t xml:space="preserve">hrome </w:t>
      </w:r>
      <w:proofErr w:type="spellStart"/>
      <w:r w:rsidR="00B249EF" w:rsidRPr="0066543C">
        <w:rPr>
          <w:rFonts w:ascii="Arial" w:hAnsi="Arial" w:cs="Arial"/>
          <w:color w:val="000000" w:themeColor="text1"/>
          <w:sz w:val="20"/>
          <w:szCs w:val="20"/>
        </w:rPr>
        <w:t>A</w:t>
      </w:r>
      <w:r w:rsidRPr="0066543C">
        <w:rPr>
          <w:rFonts w:ascii="Arial" w:hAnsi="Arial" w:cs="Arial"/>
          <w:color w:val="000000" w:themeColor="text1"/>
          <w:sz w:val="20"/>
          <w:szCs w:val="20"/>
        </w:rPr>
        <w:t>zurol</w:t>
      </w:r>
      <w:proofErr w:type="spellEnd"/>
      <w:r w:rsidRPr="0066543C">
        <w:rPr>
          <w:rFonts w:ascii="Arial" w:hAnsi="Arial" w:cs="Arial"/>
          <w:color w:val="000000" w:themeColor="text1"/>
          <w:sz w:val="20"/>
          <w:szCs w:val="20"/>
        </w:rPr>
        <w:t xml:space="preserve"> S agar </w:t>
      </w:r>
      <w:r w:rsidR="00B249EF" w:rsidRPr="0066543C">
        <w:rPr>
          <w:rFonts w:ascii="Arial" w:hAnsi="Arial" w:cs="Arial"/>
          <w:color w:val="000000" w:themeColor="text1"/>
          <w:sz w:val="20"/>
          <w:szCs w:val="20"/>
        </w:rPr>
        <w:t xml:space="preserve">(CAS) </w:t>
      </w:r>
      <w:r w:rsidRPr="0066543C">
        <w:rPr>
          <w:rFonts w:ascii="Arial" w:hAnsi="Arial" w:cs="Arial"/>
          <w:color w:val="000000" w:themeColor="text1"/>
          <w:sz w:val="20"/>
          <w:szCs w:val="20"/>
        </w:rPr>
        <w:t xml:space="preserve">plates. Formation of the orange ring around plate colonies was proof of siderophore production, which forms a complex with iron and the CAS dye. </w:t>
      </w:r>
    </w:p>
    <w:p w14:paraId="061A8EEA" w14:textId="77777777" w:rsidR="002B612D" w:rsidRPr="0066543C" w:rsidRDefault="002B612D" w:rsidP="002B612D">
      <w:pPr>
        <w:jc w:val="both"/>
        <w:rPr>
          <w:rFonts w:ascii="Arial" w:hAnsi="Arial" w:cs="Arial"/>
          <w:b/>
          <w:bCs/>
          <w:color w:val="000000" w:themeColor="text1"/>
          <w:sz w:val="24"/>
          <w:szCs w:val="24"/>
        </w:rPr>
      </w:pPr>
      <w:r w:rsidRPr="0066543C">
        <w:rPr>
          <w:rFonts w:ascii="Arial" w:hAnsi="Arial" w:cs="Arial"/>
          <w:noProof/>
          <w:color w:val="000000" w:themeColor="text1"/>
          <w:sz w:val="24"/>
          <w:szCs w:val="24"/>
          <w:lang w:eastAsia="en-IN"/>
        </w:rPr>
        <w:lastRenderedPageBreak/>
        <w:drawing>
          <wp:anchor distT="0" distB="0" distL="114300" distR="114300" simplePos="0" relativeHeight="251659264" behindDoc="0" locked="0" layoutInCell="1" allowOverlap="1" wp14:anchorId="691BE5E8" wp14:editId="318A6BED">
            <wp:simplePos x="0" y="0"/>
            <wp:positionH relativeFrom="column">
              <wp:posOffset>967740</wp:posOffset>
            </wp:positionH>
            <wp:positionV relativeFrom="paragraph">
              <wp:posOffset>312420</wp:posOffset>
            </wp:positionV>
            <wp:extent cx="3063240" cy="2456815"/>
            <wp:effectExtent l="0" t="0" r="3810" b="635"/>
            <wp:wrapTopAndBottom/>
            <wp:docPr id="21108487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48771" name="Picture 2110848771"/>
                    <pic:cNvPicPr/>
                  </pic:nvPicPr>
                  <pic:blipFill rotWithShape="1">
                    <a:blip r:embed="rId23" cstate="print">
                      <a:extLst>
                        <a:ext uri="{28A0092B-C50C-407E-A947-70E740481C1C}">
                          <a14:useLocalDpi xmlns:a14="http://schemas.microsoft.com/office/drawing/2010/main" val="0"/>
                        </a:ext>
                      </a:extLst>
                    </a:blip>
                    <a:srcRect r="37365"/>
                    <a:stretch>
                      <a:fillRect/>
                    </a:stretch>
                  </pic:blipFill>
                  <pic:spPr bwMode="auto">
                    <a:xfrm>
                      <a:off x="0" y="0"/>
                      <a:ext cx="3063240" cy="2456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6543C">
        <w:rPr>
          <w:rFonts w:ascii="Arial" w:hAnsi="Arial" w:cs="Arial"/>
          <w:b/>
          <w:bCs/>
          <w:color w:val="000000" w:themeColor="text1"/>
          <w:sz w:val="24"/>
          <w:szCs w:val="24"/>
        </w:rPr>
        <w:t xml:space="preserve">          </w:t>
      </w:r>
    </w:p>
    <w:p w14:paraId="43E952D7" w14:textId="0BB57F48" w:rsidR="002B612D" w:rsidRPr="00F9709E" w:rsidRDefault="002B612D" w:rsidP="002B612D">
      <w:pPr>
        <w:jc w:val="both"/>
        <w:rPr>
          <w:rFonts w:ascii="Arial" w:hAnsi="Arial" w:cs="Arial"/>
          <w:b/>
          <w:bCs/>
          <w:color w:val="000000" w:themeColor="text1"/>
          <w:sz w:val="20"/>
          <w:szCs w:val="20"/>
        </w:rPr>
      </w:pPr>
      <w:r w:rsidRPr="00F9709E">
        <w:rPr>
          <w:rFonts w:ascii="Arial" w:hAnsi="Arial" w:cs="Arial"/>
          <w:b/>
          <w:bCs/>
          <w:color w:val="000000" w:themeColor="text1"/>
          <w:sz w:val="20"/>
          <w:szCs w:val="20"/>
        </w:rPr>
        <w:t>Figure</w:t>
      </w:r>
      <w:r w:rsidR="00C71054" w:rsidRPr="00F9709E">
        <w:rPr>
          <w:rFonts w:ascii="Arial" w:hAnsi="Arial" w:cs="Arial"/>
          <w:b/>
          <w:bCs/>
          <w:color w:val="000000" w:themeColor="text1"/>
          <w:sz w:val="20"/>
          <w:szCs w:val="20"/>
        </w:rPr>
        <w:t xml:space="preserve"> </w:t>
      </w:r>
      <w:r w:rsidR="00E3244A">
        <w:rPr>
          <w:rFonts w:ascii="Arial" w:hAnsi="Arial" w:cs="Arial"/>
          <w:b/>
          <w:bCs/>
          <w:color w:val="000000" w:themeColor="text1"/>
          <w:sz w:val="20"/>
          <w:szCs w:val="20"/>
        </w:rPr>
        <w:t>5</w:t>
      </w:r>
      <w:r w:rsidRPr="00F9709E">
        <w:rPr>
          <w:rFonts w:ascii="Arial" w:hAnsi="Arial" w:cs="Arial"/>
          <w:b/>
          <w:bCs/>
          <w:color w:val="000000" w:themeColor="text1"/>
          <w:sz w:val="20"/>
          <w:szCs w:val="20"/>
        </w:rPr>
        <w:t>: fluorescence green colour colony on CAS media indicate positive siderophore production</w:t>
      </w:r>
    </w:p>
    <w:p w14:paraId="1B7D8BBC" w14:textId="77777777" w:rsidR="002B612D" w:rsidRPr="0066543C" w:rsidRDefault="002B612D" w:rsidP="00E20DF9">
      <w:pPr>
        <w:rPr>
          <w:rFonts w:ascii="Arial" w:hAnsi="Arial" w:cs="Arial"/>
          <w:color w:val="000000" w:themeColor="text1"/>
          <w:sz w:val="24"/>
          <w:szCs w:val="24"/>
        </w:rPr>
      </w:pPr>
    </w:p>
    <w:p w14:paraId="37BEEF4C" w14:textId="2C598A0B" w:rsidR="00E20DF9" w:rsidRPr="0066543C" w:rsidRDefault="004A1863" w:rsidP="00E20DF9">
      <w:pPr>
        <w:rPr>
          <w:rFonts w:ascii="Arial" w:hAnsi="Arial" w:cs="Arial"/>
          <w:b/>
          <w:bCs/>
          <w:color w:val="000000" w:themeColor="text1"/>
        </w:rPr>
      </w:pPr>
      <w:r w:rsidRPr="0066543C">
        <w:rPr>
          <w:rFonts w:ascii="Arial" w:hAnsi="Arial" w:cs="Arial"/>
          <w:b/>
          <w:bCs/>
          <w:color w:val="000000" w:themeColor="text1"/>
        </w:rPr>
        <w:t>HCN PRODUCTION</w:t>
      </w:r>
    </w:p>
    <w:p w14:paraId="202E4EF4" w14:textId="06C40A58" w:rsidR="00B87BCA" w:rsidRPr="0066543C" w:rsidRDefault="00B87BCA" w:rsidP="00B87BCA">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The present method analysed qualitative HCN production by PGPR and the reaction of the PGPR and picric acid with sodium hydroxide was employed to demonstrate HCN. The isolate was stabbed onto nutrient agar than were incubated for 24-48 hours at the suitable temperature. The result was authenticated when the characteristic red coloration </w:t>
      </w:r>
      <w:r w:rsidR="00580198" w:rsidRPr="0066543C">
        <w:rPr>
          <w:rFonts w:ascii="Arial" w:hAnsi="Arial" w:cs="Arial"/>
          <w:color w:val="000000" w:themeColor="text1"/>
          <w:sz w:val="20"/>
          <w:szCs w:val="20"/>
        </w:rPr>
        <w:t>was</w:t>
      </w:r>
      <w:r w:rsidRPr="0066543C">
        <w:rPr>
          <w:rFonts w:ascii="Arial" w:hAnsi="Arial" w:cs="Arial"/>
          <w:color w:val="000000" w:themeColor="text1"/>
          <w:sz w:val="20"/>
          <w:szCs w:val="20"/>
        </w:rPr>
        <w:t xml:space="preserve"> localized on a filter paper inserted on top of the gel. The present study confirmed the ability of the tested isolates to produce hydrogen cyanide (HCN), as evidenced by the positive reaction in the qualitative assay. The production of HCN by cyanobacteria is an important physiological trait, as it may contribute to their ecological competitiveness, biocontrol potential against phytopathogens, and interaction with surrounding microbial communities. While excessive accumulation of HCN can be detrimental to plants and soil biota, its controlled release is often associated with growth-promoting and protective functions in the rhizosphere. The positive results obtained in this study suggest that cyanobacterial strains with HCN-producing ability could be explored further for their dual role in plant growth promotion and natural biocontrol application.</w:t>
      </w:r>
    </w:p>
    <w:p w14:paraId="64E04272" w14:textId="29CD7C15" w:rsidR="002B612D" w:rsidRPr="0066543C" w:rsidRDefault="004F710D" w:rsidP="00F9709E">
      <w:pPr>
        <w:rPr>
          <w:rFonts w:ascii="Arial" w:hAnsi="Arial" w:cs="Arial"/>
          <w:b/>
          <w:bCs/>
          <w:color w:val="000000" w:themeColor="text1"/>
          <w:sz w:val="24"/>
          <w:szCs w:val="24"/>
        </w:rPr>
      </w:pPr>
      <w:r w:rsidRPr="0066543C">
        <w:rPr>
          <w:rFonts w:ascii="Arial" w:hAnsi="Arial" w:cs="Arial"/>
          <w:noProof/>
          <w:lang w:eastAsia="en-IN"/>
        </w:rPr>
        <w:drawing>
          <wp:anchor distT="0" distB="0" distL="114300" distR="114300" simplePos="0" relativeHeight="251661312" behindDoc="0" locked="0" layoutInCell="1" allowOverlap="1" wp14:anchorId="2E0F59CC" wp14:editId="4B1DE840">
            <wp:simplePos x="0" y="0"/>
            <wp:positionH relativeFrom="column">
              <wp:posOffset>251460</wp:posOffset>
            </wp:positionH>
            <wp:positionV relativeFrom="paragraph">
              <wp:posOffset>414655</wp:posOffset>
            </wp:positionV>
            <wp:extent cx="4587240" cy="1766570"/>
            <wp:effectExtent l="0" t="0" r="3810" b="5080"/>
            <wp:wrapTopAndBottom/>
            <wp:docPr id="264572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72578" name="Picture 2645725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7240" cy="1766570"/>
                    </a:xfrm>
                    <a:prstGeom prst="rect">
                      <a:avLst/>
                    </a:prstGeom>
                  </pic:spPr>
                </pic:pic>
              </a:graphicData>
            </a:graphic>
            <wp14:sizeRelH relativeFrom="margin">
              <wp14:pctWidth>0</wp14:pctWidth>
            </wp14:sizeRelH>
            <wp14:sizeRelV relativeFrom="margin">
              <wp14:pctHeight>0</wp14:pctHeight>
            </wp14:sizeRelV>
          </wp:anchor>
        </w:drawing>
      </w:r>
    </w:p>
    <w:p w14:paraId="0A61EE5A" w14:textId="5F1DA86E" w:rsidR="002B612D" w:rsidRPr="0066543C" w:rsidRDefault="002B612D" w:rsidP="00C71054">
      <w:pPr>
        <w:rPr>
          <w:rFonts w:ascii="Arial" w:hAnsi="Arial" w:cs="Arial"/>
          <w:b/>
          <w:bCs/>
          <w:color w:val="000000" w:themeColor="text1"/>
          <w:sz w:val="20"/>
          <w:szCs w:val="20"/>
        </w:rPr>
      </w:pPr>
      <w:r w:rsidRPr="0066543C">
        <w:rPr>
          <w:rFonts w:ascii="Arial" w:hAnsi="Arial" w:cs="Arial"/>
          <w:b/>
          <w:bCs/>
          <w:color w:val="000000" w:themeColor="text1"/>
          <w:sz w:val="20"/>
          <w:szCs w:val="20"/>
        </w:rPr>
        <w:lastRenderedPageBreak/>
        <w:t>Fig</w:t>
      </w:r>
      <w:r w:rsidR="00C71054" w:rsidRPr="0066543C">
        <w:rPr>
          <w:rFonts w:ascii="Arial" w:hAnsi="Arial" w:cs="Arial"/>
          <w:b/>
          <w:bCs/>
          <w:color w:val="000000" w:themeColor="text1"/>
          <w:sz w:val="20"/>
          <w:szCs w:val="20"/>
        </w:rPr>
        <w:t xml:space="preserve">ure </w:t>
      </w:r>
      <w:r w:rsidR="00E3244A">
        <w:rPr>
          <w:rFonts w:ascii="Arial" w:hAnsi="Arial" w:cs="Arial"/>
          <w:b/>
          <w:bCs/>
          <w:color w:val="000000" w:themeColor="text1"/>
          <w:sz w:val="20"/>
          <w:szCs w:val="20"/>
        </w:rPr>
        <w:t>6</w:t>
      </w:r>
      <w:r w:rsidR="00C71054" w:rsidRPr="0066543C">
        <w:rPr>
          <w:rFonts w:ascii="Arial" w:hAnsi="Arial" w:cs="Arial"/>
          <w:b/>
          <w:bCs/>
          <w:color w:val="000000" w:themeColor="text1"/>
          <w:sz w:val="20"/>
          <w:szCs w:val="20"/>
        </w:rPr>
        <w:t>:</w:t>
      </w:r>
      <w:r w:rsidRPr="0066543C">
        <w:rPr>
          <w:rFonts w:ascii="Arial" w:hAnsi="Arial" w:cs="Arial"/>
          <w:b/>
          <w:bCs/>
          <w:color w:val="000000" w:themeColor="text1"/>
          <w:sz w:val="20"/>
          <w:szCs w:val="20"/>
        </w:rPr>
        <w:t xml:space="preserve"> Hydrogen Cyanide (HCN) Production Test </w:t>
      </w:r>
    </w:p>
    <w:p w14:paraId="5F10CB8D" w14:textId="77777777" w:rsidR="00E810EE" w:rsidRPr="0066543C" w:rsidRDefault="00E810EE" w:rsidP="00E810EE">
      <w:pPr>
        <w:rPr>
          <w:rFonts w:ascii="Arial" w:hAnsi="Arial" w:cs="Arial"/>
          <w:b/>
          <w:bCs/>
          <w:color w:val="EE0000"/>
          <w:sz w:val="24"/>
          <w:szCs w:val="24"/>
        </w:rPr>
      </w:pPr>
    </w:p>
    <w:p w14:paraId="384F7032" w14:textId="54B60047" w:rsidR="00972B2B" w:rsidRPr="0066543C" w:rsidRDefault="00972B2B" w:rsidP="00972B2B">
      <w:pPr>
        <w:rPr>
          <w:rFonts w:ascii="Arial" w:hAnsi="Arial" w:cs="Arial"/>
          <w:b/>
          <w:bCs/>
          <w:color w:val="000000" w:themeColor="text1"/>
          <w:sz w:val="24"/>
          <w:szCs w:val="24"/>
        </w:rPr>
      </w:pPr>
      <w:r w:rsidRPr="0066543C">
        <w:rPr>
          <w:rFonts w:ascii="Arial" w:hAnsi="Arial" w:cs="Arial"/>
          <w:b/>
          <w:bCs/>
          <w:color w:val="000000" w:themeColor="text1"/>
          <w:sz w:val="24"/>
          <w:szCs w:val="24"/>
        </w:rPr>
        <w:t>Determination of antioxidants</w:t>
      </w:r>
    </w:p>
    <w:p w14:paraId="65255372" w14:textId="7308C738" w:rsidR="00B24143" w:rsidRPr="0066543C" w:rsidRDefault="00B24143" w:rsidP="00B24143">
      <w:pPr>
        <w:spacing w:line="360" w:lineRule="auto"/>
        <w:jc w:val="both"/>
        <w:rPr>
          <w:rFonts w:ascii="Arial" w:hAnsi="Arial" w:cs="Arial"/>
          <w:sz w:val="20"/>
          <w:szCs w:val="20"/>
        </w:rPr>
      </w:pPr>
      <w:r w:rsidRPr="0066543C">
        <w:rPr>
          <w:rFonts w:ascii="Arial" w:hAnsi="Arial" w:cs="Arial"/>
          <w:sz w:val="20"/>
          <w:szCs w:val="20"/>
        </w:rPr>
        <w:t>The purple colour of the DPPH solution gradually changed to yellow upon addition of the methanol fraction, indicating reduction of DPPH radicals. Increase in sample concentration showed progressive decrease in absorbance at 517 nm. The methanol fraction displayed a dose-dependent scavenging activity, similar in trend to the standard antioxidant (Ascorbic acid). At higher concentrations, the reaction mixture became visibly lighter, confirming increased free radical scavenging. The methanol fraction exhibited significant DPPH radical scavenging activity, which increased with concentration. The fraction achieved a maximum of approximately 60–65% inhibition at 100 µg/</w:t>
      </w:r>
      <w:proofErr w:type="spellStart"/>
      <w:r w:rsidRPr="0066543C">
        <w:rPr>
          <w:rFonts w:ascii="Arial" w:hAnsi="Arial" w:cs="Arial"/>
          <w:sz w:val="20"/>
          <w:szCs w:val="20"/>
        </w:rPr>
        <w:t>mL.</w:t>
      </w:r>
      <w:proofErr w:type="spellEnd"/>
      <w:r w:rsidRPr="0066543C">
        <w:rPr>
          <w:rFonts w:ascii="Arial" w:hAnsi="Arial" w:cs="Arial"/>
          <w:sz w:val="20"/>
          <w:szCs w:val="20"/>
        </w:rPr>
        <w:t xml:space="preserve"> The methanol fraction showed good antioxidant activity in the DPPH assay, demonstrating its ability to effectively neutralize free radicals in a dose-dependent manner</w:t>
      </w:r>
      <w:r w:rsidR="00AF1CD6">
        <w:rPr>
          <w:rFonts w:ascii="Arial" w:hAnsi="Arial" w:cs="Arial"/>
          <w:sz w:val="20"/>
          <w:szCs w:val="20"/>
        </w:rPr>
        <w:t xml:space="preserve"> (Anas et. Al., 2016)</w:t>
      </w:r>
      <w:r w:rsidRPr="0066543C">
        <w:rPr>
          <w:rFonts w:ascii="Arial" w:hAnsi="Arial" w:cs="Arial"/>
          <w:sz w:val="20"/>
          <w:szCs w:val="20"/>
        </w:rPr>
        <w:t>.</w:t>
      </w:r>
    </w:p>
    <w:p w14:paraId="1C2F7B28" w14:textId="1897993B" w:rsidR="006E5B68" w:rsidRPr="0066543C" w:rsidRDefault="006E5B68" w:rsidP="00E20DF9">
      <w:pPr>
        <w:rPr>
          <w:rFonts w:ascii="Arial" w:hAnsi="Arial" w:cs="Arial"/>
          <w:color w:val="000000" w:themeColor="text1"/>
          <w:sz w:val="24"/>
          <w:szCs w:val="24"/>
        </w:rPr>
      </w:pPr>
    </w:p>
    <w:p w14:paraId="745BD9E8" w14:textId="1FD3F963" w:rsidR="00C43B80" w:rsidRPr="0066543C" w:rsidRDefault="00C43B80" w:rsidP="00C43B80">
      <w:pPr>
        <w:jc w:val="center"/>
        <w:rPr>
          <w:rFonts w:ascii="Arial" w:hAnsi="Arial" w:cs="Arial"/>
          <w:color w:val="000000" w:themeColor="text1"/>
          <w:sz w:val="24"/>
          <w:szCs w:val="24"/>
        </w:rPr>
      </w:pPr>
      <w:r w:rsidRPr="0066543C">
        <w:rPr>
          <w:rFonts w:ascii="Arial" w:hAnsi="Arial" w:cs="Arial"/>
          <w:noProof/>
          <w:color w:val="000000" w:themeColor="text1"/>
          <w:sz w:val="24"/>
          <w:szCs w:val="24"/>
          <w:lang w:eastAsia="en-IN"/>
        </w:rPr>
        <w:drawing>
          <wp:inline distT="0" distB="0" distL="0" distR="0" wp14:anchorId="2212FCB8" wp14:editId="6D8EE318">
            <wp:extent cx="3927764" cy="2100695"/>
            <wp:effectExtent l="0" t="0" r="0" b="0"/>
            <wp:docPr id="1447834040" name="Chart 1">
              <a:extLst xmlns:a="http://schemas.openxmlformats.org/drawingml/2006/main">
                <a:ext uri="{FF2B5EF4-FFF2-40B4-BE49-F238E27FC236}">
                  <a16:creationId xmlns:a16="http://schemas.microsoft.com/office/drawing/2014/main" id="{2EB5A156-804F-2B86-4EB7-D48D605CE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35E827" w14:textId="3BEA65D3" w:rsidR="00E0433A" w:rsidRPr="0066543C" w:rsidRDefault="00E0433A" w:rsidP="00E20DF9">
      <w:pPr>
        <w:rPr>
          <w:rFonts w:ascii="Arial" w:hAnsi="Arial" w:cs="Arial"/>
          <w:b/>
          <w:bCs/>
          <w:color w:val="000000" w:themeColor="text1"/>
          <w:sz w:val="20"/>
          <w:szCs w:val="20"/>
        </w:rPr>
      </w:pPr>
      <w:r w:rsidRPr="0066543C">
        <w:rPr>
          <w:rFonts w:ascii="Arial" w:hAnsi="Arial" w:cs="Arial"/>
          <w:b/>
          <w:bCs/>
          <w:color w:val="000000" w:themeColor="text1"/>
          <w:sz w:val="20"/>
          <w:szCs w:val="20"/>
        </w:rPr>
        <w:t>Figure</w:t>
      </w:r>
      <w:r w:rsidR="00E3244A">
        <w:rPr>
          <w:rFonts w:ascii="Arial" w:hAnsi="Arial" w:cs="Arial"/>
          <w:b/>
          <w:bCs/>
          <w:color w:val="000000" w:themeColor="text1"/>
          <w:sz w:val="20"/>
          <w:szCs w:val="20"/>
        </w:rPr>
        <w:t xml:space="preserve"> 7</w:t>
      </w:r>
      <w:r w:rsidRPr="0066543C">
        <w:rPr>
          <w:rFonts w:ascii="Arial" w:hAnsi="Arial" w:cs="Arial"/>
          <w:b/>
          <w:bCs/>
          <w:color w:val="000000" w:themeColor="text1"/>
          <w:sz w:val="20"/>
          <w:szCs w:val="20"/>
        </w:rPr>
        <w:t>: Antioxidants properties of methanol fraction of the sampl</w:t>
      </w:r>
      <w:r w:rsidR="00B31E33" w:rsidRPr="0066543C">
        <w:rPr>
          <w:rFonts w:ascii="Arial" w:hAnsi="Arial" w:cs="Arial"/>
          <w:b/>
          <w:bCs/>
          <w:color w:val="000000" w:themeColor="text1"/>
          <w:sz w:val="20"/>
          <w:szCs w:val="20"/>
        </w:rPr>
        <w:t>es expressed as their ability to scavenge DPPH</w:t>
      </w:r>
      <w:r w:rsidR="00C43B80" w:rsidRPr="0066543C">
        <w:rPr>
          <w:rFonts w:ascii="Arial" w:hAnsi="Arial" w:cs="Arial"/>
          <w:b/>
          <w:bCs/>
          <w:color w:val="000000" w:themeColor="text1"/>
          <w:sz w:val="20"/>
          <w:szCs w:val="20"/>
        </w:rPr>
        <w:t xml:space="preserve"> (%RSA: % Radical Scavenging Activity)</w:t>
      </w:r>
    </w:p>
    <w:p w14:paraId="43042D41" w14:textId="06BD417B" w:rsidR="001E7162" w:rsidRPr="0066543C" w:rsidRDefault="005A67D8" w:rsidP="001E7162">
      <w:pPr>
        <w:spacing w:line="360" w:lineRule="auto"/>
        <w:jc w:val="both"/>
        <w:rPr>
          <w:rFonts w:ascii="Arial" w:hAnsi="Arial" w:cs="Arial"/>
          <w:b/>
          <w:bCs/>
          <w:color w:val="000000" w:themeColor="text1"/>
        </w:rPr>
      </w:pPr>
      <w:r w:rsidRPr="0066543C">
        <w:rPr>
          <w:rFonts w:ascii="Arial" w:hAnsi="Arial" w:cs="Arial"/>
          <w:b/>
          <w:bCs/>
          <w:color w:val="000000" w:themeColor="text1"/>
        </w:rPr>
        <w:t>EFFECT OF CYANOBACTERIA ON SEED GERMINATION</w:t>
      </w:r>
    </w:p>
    <w:p w14:paraId="369C35B8" w14:textId="77777777"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Cyanobacteria, functioning as natural biofertilizers and phytohormone producers, play a vital role in enhancing seed germination and early seedling establishment by improving nutrient accessibility and stimulating root and shoot development. In the present study, seeds treated with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exhibited the earliest germination, which was observed after 2 days, with seedlings attaining an average shoot height of 5.5 cm and root length of 3.0 cm within 12 days. In contrast, the control (untreated seeds) showed delayed germination, beginning only after 5 days, with seedlings achieving an average shoot height of 2.5 cm and root length of 1.5 cm after 20 days. These results clearly demonstrate the positive influence of cyanobacterial inoculation on accelerating germination, promoting seedling growth, and enhancing early root-shoot development compared to untreated controls.</w:t>
      </w:r>
    </w:p>
    <w:p w14:paraId="21C5A0CC" w14:textId="77777777" w:rsidR="00B24143" w:rsidRPr="0066543C" w:rsidRDefault="00B24143" w:rsidP="00B24143">
      <w:pPr>
        <w:spacing w:line="360" w:lineRule="auto"/>
        <w:jc w:val="center"/>
        <w:rPr>
          <w:rFonts w:ascii="Arial" w:hAnsi="Arial" w:cs="Arial"/>
          <w:color w:val="000000" w:themeColor="text1"/>
          <w:sz w:val="24"/>
          <w:szCs w:val="24"/>
        </w:rPr>
      </w:pPr>
      <w:r w:rsidRPr="0066543C">
        <w:rPr>
          <w:rFonts w:ascii="Arial" w:hAnsi="Arial" w:cs="Arial"/>
          <w:noProof/>
          <w:lang w:eastAsia="en-IN"/>
        </w:rPr>
        <w:lastRenderedPageBreak/>
        <w:drawing>
          <wp:inline distT="0" distB="0" distL="0" distR="0" wp14:anchorId="52F93B57" wp14:editId="3E664854">
            <wp:extent cx="982980" cy="1898441"/>
            <wp:effectExtent l="0" t="0" r="7620" b="6985"/>
            <wp:docPr id="723756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878" r="30645" b="3662"/>
                    <a:stretch>
                      <a:fillRect/>
                    </a:stretch>
                  </pic:blipFill>
                  <pic:spPr bwMode="auto">
                    <a:xfrm>
                      <a:off x="0" y="0"/>
                      <a:ext cx="988585" cy="1909265"/>
                    </a:xfrm>
                    <a:prstGeom prst="rect">
                      <a:avLst/>
                    </a:prstGeom>
                    <a:noFill/>
                    <a:ln>
                      <a:noFill/>
                    </a:ln>
                    <a:extLst>
                      <a:ext uri="{53640926-AAD7-44D8-BBD7-CCE9431645EC}">
                        <a14:shadowObscured xmlns:a14="http://schemas.microsoft.com/office/drawing/2010/main"/>
                      </a:ext>
                    </a:extLst>
                  </pic:spPr>
                </pic:pic>
              </a:graphicData>
            </a:graphic>
          </wp:inline>
        </w:drawing>
      </w:r>
    </w:p>
    <w:p w14:paraId="12B17525" w14:textId="7BD97963" w:rsidR="00B24143" w:rsidRPr="0066543C" w:rsidRDefault="00B24143" w:rsidP="00584822">
      <w:pPr>
        <w:spacing w:line="360" w:lineRule="auto"/>
        <w:jc w:val="both"/>
        <w:rPr>
          <w:rFonts w:ascii="Arial" w:hAnsi="Arial" w:cs="Arial"/>
          <w:b/>
          <w:bCs/>
          <w:i/>
          <w:iCs/>
          <w:color w:val="000000" w:themeColor="text1"/>
          <w:sz w:val="20"/>
          <w:szCs w:val="20"/>
        </w:rPr>
      </w:pPr>
      <w:r w:rsidRPr="0066543C">
        <w:rPr>
          <w:rFonts w:ascii="Arial" w:hAnsi="Arial" w:cs="Arial"/>
          <w:b/>
          <w:bCs/>
          <w:color w:val="000000" w:themeColor="text1"/>
          <w:sz w:val="20"/>
          <w:szCs w:val="20"/>
        </w:rPr>
        <w:t xml:space="preserve">Figure </w:t>
      </w:r>
      <w:r w:rsidR="00E3244A">
        <w:rPr>
          <w:rFonts w:ascii="Arial" w:hAnsi="Arial" w:cs="Arial"/>
          <w:b/>
          <w:bCs/>
          <w:color w:val="000000" w:themeColor="text1"/>
          <w:sz w:val="20"/>
          <w:szCs w:val="20"/>
        </w:rPr>
        <w:t>8</w:t>
      </w:r>
      <w:r w:rsidRPr="0066543C">
        <w:rPr>
          <w:rFonts w:ascii="Arial" w:hAnsi="Arial" w:cs="Arial"/>
          <w:b/>
          <w:bCs/>
          <w:color w:val="000000" w:themeColor="text1"/>
          <w:sz w:val="20"/>
          <w:szCs w:val="20"/>
        </w:rPr>
        <w:t xml:space="preserve">: Effect of cyanobacteria on seed germination as Control (C) and treatment with </w:t>
      </w:r>
      <w:proofErr w:type="spellStart"/>
      <w:r w:rsidRPr="0066543C">
        <w:rPr>
          <w:rFonts w:ascii="Arial" w:hAnsi="Arial" w:cs="Arial"/>
          <w:b/>
          <w:bCs/>
          <w:i/>
          <w:iCs/>
          <w:color w:val="000000" w:themeColor="text1"/>
          <w:sz w:val="20"/>
          <w:szCs w:val="20"/>
        </w:rPr>
        <w:t>Leptolyngbya</w:t>
      </w:r>
      <w:proofErr w:type="spellEnd"/>
      <w:r w:rsidRPr="0066543C">
        <w:rPr>
          <w:rFonts w:ascii="Arial" w:hAnsi="Arial" w:cs="Arial"/>
          <w:b/>
          <w:bCs/>
          <w:i/>
          <w:iCs/>
          <w:color w:val="000000" w:themeColor="text1"/>
          <w:sz w:val="20"/>
          <w:szCs w:val="20"/>
        </w:rPr>
        <w:t xml:space="preserve"> sp.</w:t>
      </w:r>
      <w:r w:rsidRPr="0066543C">
        <w:rPr>
          <w:rFonts w:ascii="Arial" w:hAnsi="Arial" w:cs="Arial"/>
          <w:b/>
          <w:bCs/>
          <w:color w:val="000000" w:themeColor="text1"/>
          <w:sz w:val="20"/>
          <w:szCs w:val="20"/>
        </w:rPr>
        <w:t xml:space="preserve"> (TN)</w:t>
      </w:r>
    </w:p>
    <w:p w14:paraId="2FCD628A" w14:textId="77777777" w:rsidR="00584822" w:rsidRPr="0066543C" w:rsidRDefault="00584822" w:rsidP="00584822">
      <w:pPr>
        <w:spacing w:line="360" w:lineRule="auto"/>
        <w:jc w:val="both"/>
        <w:rPr>
          <w:rFonts w:ascii="Arial" w:hAnsi="Arial" w:cs="Arial"/>
          <w:b/>
          <w:bCs/>
          <w:i/>
          <w:iCs/>
          <w:color w:val="000000" w:themeColor="text1"/>
          <w:sz w:val="20"/>
          <w:szCs w:val="20"/>
        </w:rPr>
      </w:pPr>
    </w:p>
    <w:tbl>
      <w:tblPr>
        <w:tblStyle w:val="TableGrid"/>
        <w:tblW w:w="5382" w:type="dxa"/>
        <w:jc w:val="center"/>
        <w:tblLayout w:type="fixed"/>
        <w:tblLook w:val="04A0" w:firstRow="1" w:lastRow="0" w:firstColumn="1" w:lastColumn="0" w:noHBand="0" w:noVBand="1"/>
      </w:tblPr>
      <w:tblGrid>
        <w:gridCol w:w="2426"/>
        <w:gridCol w:w="1538"/>
        <w:gridCol w:w="1418"/>
      </w:tblGrid>
      <w:tr w:rsidR="00B24143" w:rsidRPr="0066543C" w14:paraId="0FB83EFE" w14:textId="77777777" w:rsidTr="00584822">
        <w:trPr>
          <w:trHeight w:val="699"/>
          <w:jc w:val="center"/>
        </w:trPr>
        <w:tc>
          <w:tcPr>
            <w:tcW w:w="2426" w:type="dxa"/>
            <w:tcBorders>
              <w:top w:val="single" w:sz="4" w:space="0" w:color="auto"/>
              <w:left w:val="single" w:sz="4" w:space="0" w:color="auto"/>
              <w:bottom w:val="single" w:sz="4" w:space="0" w:color="auto"/>
              <w:right w:val="single" w:sz="4" w:space="0" w:color="auto"/>
            </w:tcBorders>
            <w:hideMark/>
          </w:tcPr>
          <w:p w14:paraId="3CE7D01A" w14:textId="77777777" w:rsidR="00B24143" w:rsidRPr="0066543C" w:rsidRDefault="00B24143" w:rsidP="007F5DD7">
            <w:pPr>
              <w:spacing w:after="160" w:line="278" w:lineRule="auto"/>
              <w:jc w:val="center"/>
              <w:rPr>
                <w:rFonts w:ascii="Arial" w:hAnsi="Arial" w:cs="Arial"/>
                <w:b/>
                <w:bCs/>
                <w:color w:val="000000" w:themeColor="text1"/>
                <w:sz w:val="20"/>
                <w:szCs w:val="20"/>
              </w:rPr>
            </w:pPr>
            <w:r w:rsidRPr="0066543C">
              <w:rPr>
                <w:rFonts w:ascii="Arial" w:hAnsi="Arial" w:cs="Arial"/>
                <w:b/>
                <w:bCs/>
                <w:color w:val="000000" w:themeColor="text1"/>
                <w:sz w:val="20"/>
                <w:szCs w:val="20"/>
              </w:rPr>
              <w:t>Sample/Parameter</w:t>
            </w:r>
          </w:p>
        </w:tc>
        <w:tc>
          <w:tcPr>
            <w:tcW w:w="1538" w:type="dxa"/>
            <w:tcBorders>
              <w:top w:val="single" w:sz="4" w:space="0" w:color="auto"/>
              <w:left w:val="single" w:sz="4" w:space="0" w:color="auto"/>
              <w:bottom w:val="single" w:sz="4" w:space="0" w:color="auto"/>
              <w:right w:val="single" w:sz="4" w:space="0" w:color="auto"/>
            </w:tcBorders>
          </w:tcPr>
          <w:p w14:paraId="2427501C" w14:textId="77777777" w:rsidR="00B24143" w:rsidRPr="0066543C" w:rsidRDefault="00B24143" w:rsidP="007F5DD7">
            <w:pPr>
              <w:spacing w:after="160" w:line="278" w:lineRule="auto"/>
              <w:jc w:val="center"/>
              <w:rPr>
                <w:rFonts w:ascii="Arial" w:hAnsi="Arial" w:cs="Arial"/>
                <w:b/>
                <w:bCs/>
                <w:color w:val="000000" w:themeColor="text1"/>
                <w:sz w:val="20"/>
                <w:szCs w:val="20"/>
              </w:rPr>
            </w:pPr>
            <w:r w:rsidRPr="0066543C">
              <w:rPr>
                <w:rFonts w:ascii="Arial" w:hAnsi="Arial" w:cs="Arial"/>
                <w:b/>
                <w:bCs/>
                <w:color w:val="000000" w:themeColor="text1"/>
                <w:sz w:val="20"/>
                <w:szCs w:val="20"/>
              </w:rPr>
              <w:t>Control</w:t>
            </w:r>
          </w:p>
        </w:tc>
        <w:tc>
          <w:tcPr>
            <w:tcW w:w="1418" w:type="dxa"/>
            <w:tcBorders>
              <w:top w:val="single" w:sz="4" w:space="0" w:color="auto"/>
              <w:left w:val="single" w:sz="4" w:space="0" w:color="auto"/>
              <w:bottom w:val="single" w:sz="4" w:space="0" w:color="auto"/>
              <w:right w:val="single" w:sz="4" w:space="0" w:color="auto"/>
            </w:tcBorders>
          </w:tcPr>
          <w:p w14:paraId="07896066" w14:textId="77777777" w:rsidR="00584822" w:rsidRPr="0066543C" w:rsidRDefault="00B24143" w:rsidP="007F5DD7">
            <w:pPr>
              <w:spacing w:after="160" w:line="278" w:lineRule="auto"/>
              <w:rPr>
                <w:rFonts w:ascii="Arial" w:hAnsi="Arial" w:cs="Arial"/>
                <w:b/>
                <w:bCs/>
                <w:color w:val="000000" w:themeColor="text1"/>
                <w:sz w:val="20"/>
                <w:szCs w:val="20"/>
              </w:rPr>
            </w:pPr>
            <w:r w:rsidRPr="0066543C">
              <w:rPr>
                <w:rFonts w:ascii="Arial" w:hAnsi="Arial" w:cs="Arial"/>
                <w:b/>
                <w:bCs/>
                <w:color w:val="000000" w:themeColor="text1"/>
                <w:sz w:val="20"/>
                <w:szCs w:val="20"/>
              </w:rPr>
              <w:t>Treatment</w:t>
            </w:r>
          </w:p>
          <w:p w14:paraId="133913C6" w14:textId="3C43DD6E" w:rsidR="00B24143" w:rsidRPr="0066543C" w:rsidRDefault="00B24143" w:rsidP="00584822">
            <w:pPr>
              <w:spacing w:after="160" w:line="278" w:lineRule="auto"/>
              <w:jc w:val="center"/>
              <w:rPr>
                <w:rFonts w:ascii="Arial" w:hAnsi="Arial" w:cs="Arial"/>
                <w:b/>
                <w:bCs/>
                <w:color w:val="000000" w:themeColor="text1"/>
                <w:sz w:val="20"/>
                <w:szCs w:val="20"/>
              </w:rPr>
            </w:pPr>
            <w:r w:rsidRPr="0066543C">
              <w:rPr>
                <w:rFonts w:ascii="Arial" w:hAnsi="Arial" w:cs="Arial"/>
                <w:b/>
                <w:bCs/>
                <w:color w:val="000000" w:themeColor="text1"/>
                <w:sz w:val="20"/>
                <w:szCs w:val="20"/>
              </w:rPr>
              <w:t>(TN)</w:t>
            </w:r>
          </w:p>
        </w:tc>
      </w:tr>
      <w:tr w:rsidR="00B24143" w:rsidRPr="0066543C" w14:paraId="4AE65813" w14:textId="77777777" w:rsidTr="00584822">
        <w:trPr>
          <w:jc w:val="center"/>
        </w:trPr>
        <w:tc>
          <w:tcPr>
            <w:tcW w:w="2426" w:type="dxa"/>
            <w:tcBorders>
              <w:top w:val="single" w:sz="4" w:space="0" w:color="auto"/>
              <w:left w:val="single" w:sz="4" w:space="0" w:color="auto"/>
              <w:bottom w:val="single" w:sz="4" w:space="0" w:color="auto"/>
              <w:right w:val="single" w:sz="4" w:space="0" w:color="auto"/>
            </w:tcBorders>
            <w:hideMark/>
          </w:tcPr>
          <w:p w14:paraId="2A554242"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Seedlings height (cm)</w:t>
            </w:r>
          </w:p>
        </w:tc>
        <w:tc>
          <w:tcPr>
            <w:tcW w:w="1538" w:type="dxa"/>
            <w:tcBorders>
              <w:top w:val="single" w:sz="4" w:space="0" w:color="auto"/>
              <w:left w:val="single" w:sz="4" w:space="0" w:color="auto"/>
              <w:bottom w:val="single" w:sz="4" w:space="0" w:color="auto"/>
              <w:right w:val="single" w:sz="4" w:space="0" w:color="auto"/>
            </w:tcBorders>
          </w:tcPr>
          <w:p w14:paraId="23DBA95B" w14:textId="77777777" w:rsidR="00B24143" w:rsidRPr="0066543C" w:rsidRDefault="00B24143" w:rsidP="00497C5F">
            <w:pPr>
              <w:spacing w:after="160" w:line="278" w:lineRule="auto"/>
              <w:ind w:left="166"/>
              <w:rPr>
                <w:rFonts w:ascii="Arial" w:hAnsi="Arial" w:cs="Arial"/>
                <w:color w:val="000000" w:themeColor="text1"/>
                <w:sz w:val="20"/>
                <w:szCs w:val="20"/>
              </w:rPr>
            </w:pPr>
            <w:r w:rsidRPr="0066543C">
              <w:rPr>
                <w:rFonts w:ascii="Arial" w:hAnsi="Arial" w:cs="Arial"/>
                <w:color w:val="000000" w:themeColor="text1"/>
                <w:sz w:val="20"/>
                <w:szCs w:val="20"/>
              </w:rPr>
              <w:t>2.5</w:t>
            </w:r>
          </w:p>
        </w:tc>
        <w:tc>
          <w:tcPr>
            <w:tcW w:w="1418" w:type="dxa"/>
            <w:tcBorders>
              <w:top w:val="single" w:sz="4" w:space="0" w:color="auto"/>
              <w:left w:val="single" w:sz="4" w:space="0" w:color="auto"/>
              <w:bottom w:val="single" w:sz="4" w:space="0" w:color="auto"/>
              <w:right w:val="single" w:sz="4" w:space="0" w:color="auto"/>
            </w:tcBorders>
          </w:tcPr>
          <w:p w14:paraId="3CFCD78F"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5.5</w:t>
            </w:r>
          </w:p>
        </w:tc>
      </w:tr>
      <w:tr w:rsidR="00B24143" w:rsidRPr="0066543C" w14:paraId="729204D9" w14:textId="77777777" w:rsidTr="00584822">
        <w:trPr>
          <w:jc w:val="center"/>
        </w:trPr>
        <w:tc>
          <w:tcPr>
            <w:tcW w:w="2426" w:type="dxa"/>
            <w:tcBorders>
              <w:top w:val="single" w:sz="4" w:space="0" w:color="auto"/>
              <w:left w:val="single" w:sz="4" w:space="0" w:color="auto"/>
              <w:bottom w:val="single" w:sz="4" w:space="0" w:color="auto"/>
              <w:right w:val="single" w:sz="4" w:space="0" w:color="auto"/>
            </w:tcBorders>
            <w:hideMark/>
          </w:tcPr>
          <w:p w14:paraId="01CDA38D"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Root length (cm)</w:t>
            </w:r>
          </w:p>
        </w:tc>
        <w:tc>
          <w:tcPr>
            <w:tcW w:w="1538" w:type="dxa"/>
            <w:tcBorders>
              <w:top w:val="single" w:sz="4" w:space="0" w:color="auto"/>
              <w:left w:val="single" w:sz="4" w:space="0" w:color="auto"/>
              <w:bottom w:val="single" w:sz="4" w:space="0" w:color="auto"/>
              <w:right w:val="single" w:sz="4" w:space="0" w:color="auto"/>
            </w:tcBorders>
          </w:tcPr>
          <w:p w14:paraId="4908191C" w14:textId="77777777" w:rsidR="00B24143" w:rsidRPr="0066543C" w:rsidRDefault="00B24143" w:rsidP="00497C5F">
            <w:pPr>
              <w:spacing w:after="160" w:line="278" w:lineRule="auto"/>
              <w:ind w:left="238"/>
              <w:rPr>
                <w:rFonts w:ascii="Arial" w:hAnsi="Arial" w:cs="Arial"/>
                <w:color w:val="000000" w:themeColor="text1"/>
                <w:sz w:val="20"/>
                <w:szCs w:val="20"/>
              </w:rPr>
            </w:pPr>
            <w:r w:rsidRPr="0066543C">
              <w:rPr>
                <w:rFonts w:ascii="Arial" w:hAnsi="Arial" w:cs="Arial"/>
                <w:color w:val="000000" w:themeColor="text1"/>
                <w:sz w:val="20"/>
                <w:szCs w:val="20"/>
              </w:rPr>
              <w:t>1.5</w:t>
            </w:r>
          </w:p>
        </w:tc>
        <w:tc>
          <w:tcPr>
            <w:tcW w:w="1418" w:type="dxa"/>
            <w:tcBorders>
              <w:top w:val="single" w:sz="4" w:space="0" w:color="auto"/>
              <w:left w:val="single" w:sz="4" w:space="0" w:color="auto"/>
              <w:bottom w:val="single" w:sz="4" w:space="0" w:color="auto"/>
              <w:right w:val="single" w:sz="4" w:space="0" w:color="auto"/>
            </w:tcBorders>
          </w:tcPr>
          <w:p w14:paraId="56B82C8D"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3.0</w:t>
            </w:r>
          </w:p>
        </w:tc>
      </w:tr>
      <w:tr w:rsidR="00B24143" w:rsidRPr="0066543C" w14:paraId="6E0E1296" w14:textId="77777777" w:rsidTr="00584822">
        <w:trPr>
          <w:jc w:val="center"/>
        </w:trPr>
        <w:tc>
          <w:tcPr>
            <w:tcW w:w="2426" w:type="dxa"/>
            <w:tcBorders>
              <w:top w:val="single" w:sz="4" w:space="0" w:color="auto"/>
              <w:left w:val="single" w:sz="4" w:space="0" w:color="auto"/>
              <w:bottom w:val="single" w:sz="4" w:space="0" w:color="auto"/>
              <w:right w:val="single" w:sz="4" w:space="0" w:color="auto"/>
            </w:tcBorders>
            <w:hideMark/>
          </w:tcPr>
          <w:p w14:paraId="66D0DAB0"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Period of germination times</w:t>
            </w:r>
          </w:p>
        </w:tc>
        <w:tc>
          <w:tcPr>
            <w:tcW w:w="1538" w:type="dxa"/>
            <w:tcBorders>
              <w:top w:val="single" w:sz="4" w:space="0" w:color="auto"/>
              <w:left w:val="single" w:sz="4" w:space="0" w:color="auto"/>
              <w:bottom w:val="single" w:sz="4" w:space="0" w:color="auto"/>
              <w:right w:val="single" w:sz="4" w:space="0" w:color="auto"/>
            </w:tcBorders>
          </w:tcPr>
          <w:p w14:paraId="75627477" w14:textId="77777777" w:rsidR="00B24143" w:rsidRPr="0066543C" w:rsidRDefault="00B24143" w:rsidP="00497C5F">
            <w:pPr>
              <w:spacing w:after="160" w:line="278" w:lineRule="auto"/>
              <w:ind w:left="266"/>
              <w:rPr>
                <w:rFonts w:ascii="Arial" w:hAnsi="Arial" w:cs="Arial"/>
                <w:color w:val="000000" w:themeColor="text1"/>
                <w:sz w:val="20"/>
                <w:szCs w:val="20"/>
              </w:rPr>
            </w:pPr>
            <w:r w:rsidRPr="0066543C">
              <w:rPr>
                <w:rFonts w:ascii="Arial" w:hAnsi="Arial" w:cs="Arial"/>
                <w:color w:val="000000" w:themeColor="text1"/>
                <w:sz w:val="20"/>
                <w:szCs w:val="20"/>
              </w:rPr>
              <w:t>20</w:t>
            </w:r>
          </w:p>
        </w:tc>
        <w:tc>
          <w:tcPr>
            <w:tcW w:w="1418" w:type="dxa"/>
            <w:tcBorders>
              <w:top w:val="single" w:sz="4" w:space="0" w:color="auto"/>
              <w:left w:val="single" w:sz="4" w:space="0" w:color="auto"/>
              <w:bottom w:val="single" w:sz="4" w:space="0" w:color="auto"/>
              <w:right w:val="single" w:sz="4" w:space="0" w:color="auto"/>
            </w:tcBorders>
          </w:tcPr>
          <w:p w14:paraId="5D1AF3F6"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12</w:t>
            </w:r>
          </w:p>
        </w:tc>
      </w:tr>
      <w:tr w:rsidR="00B24143" w:rsidRPr="0066543C" w14:paraId="5B99D344" w14:textId="77777777" w:rsidTr="00584822">
        <w:trPr>
          <w:jc w:val="center"/>
        </w:trPr>
        <w:tc>
          <w:tcPr>
            <w:tcW w:w="2426" w:type="dxa"/>
            <w:tcBorders>
              <w:top w:val="single" w:sz="4" w:space="0" w:color="auto"/>
              <w:left w:val="single" w:sz="4" w:space="0" w:color="auto"/>
              <w:bottom w:val="single" w:sz="4" w:space="0" w:color="auto"/>
              <w:right w:val="single" w:sz="4" w:space="0" w:color="auto"/>
            </w:tcBorders>
            <w:hideMark/>
          </w:tcPr>
          <w:p w14:paraId="2CEBE5C0"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Germination rate (%)</w:t>
            </w:r>
          </w:p>
        </w:tc>
        <w:tc>
          <w:tcPr>
            <w:tcW w:w="1538" w:type="dxa"/>
            <w:tcBorders>
              <w:top w:val="single" w:sz="4" w:space="0" w:color="auto"/>
              <w:left w:val="single" w:sz="4" w:space="0" w:color="auto"/>
              <w:bottom w:val="single" w:sz="4" w:space="0" w:color="auto"/>
              <w:right w:val="single" w:sz="4" w:space="0" w:color="auto"/>
            </w:tcBorders>
          </w:tcPr>
          <w:p w14:paraId="70D9C7E5" w14:textId="77777777" w:rsidR="00B24143" w:rsidRPr="0066543C" w:rsidRDefault="00B24143" w:rsidP="00497C5F">
            <w:pPr>
              <w:spacing w:after="160" w:line="278" w:lineRule="auto"/>
              <w:ind w:left="348"/>
              <w:rPr>
                <w:rFonts w:ascii="Arial" w:hAnsi="Arial" w:cs="Arial"/>
                <w:color w:val="000000" w:themeColor="text1"/>
                <w:sz w:val="20"/>
                <w:szCs w:val="20"/>
              </w:rPr>
            </w:pPr>
            <w:r w:rsidRPr="0066543C">
              <w:rPr>
                <w:rFonts w:ascii="Arial" w:hAnsi="Arial" w:cs="Arial"/>
                <w:color w:val="000000" w:themeColor="text1"/>
                <w:sz w:val="20"/>
                <w:szCs w:val="20"/>
              </w:rPr>
              <w:t>46</w:t>
            </w:r>
          </w:p>
        </w:tc>
        <w:tc>
          <w:tcPr>
            <w:tcW w:w="1418" w:type="dxa"/>
            <w:tcBorders>
              <w:top w:val="single" w:sz="4" w:space="0" w:color="auto"/>
              <w:left w:val="single" w:sz="4" w:space="0" w:color="auto"/>
              <w:bottom w:val="single" w:sz="4" w:space="0" w:color="auto"/>
              <w:right w:val="single" w:sz="4" w:space="0" w:color="auto"/>
            </w:tcBorders>
          </w:tcPr>
          <w:p w14:paraId="6DD69187" w14:textId="77777777" w:rsidR="00B24143" w:rsidRPr="0066543C" w:rsidRDefault="00B24143" w:rsidP="00497C5F">
            <w:pPr>
              <w:spacing w:after="160" w:line="278" w:lineRule="auto"/>
              <w:rPr>
                <w:rFonts w:ascii="Arial" w:hAnsi="Arial" w:cs="Arial"/>
                <w:color w:val="000000" w:themeColor="text1"/>
                <w:sz w:val="20"/>
                <w:szCs w:val="20"/>
              </w:rPr>
            </w:pPr>
            <w:r w:rsidRPr="0066543C">
              <w:rPr>
                <w:rFonts w:ascii="Arial" w:hAnsi="Arial" w:cs="Arial"/>
                <w:color w:val="000000" w:themeColor="text1"/>
                <w:sz w:val="20"/>
                <w:szCs w:val="20"/>
              </w:rPr>
              <w:t>91</w:t>
            </w:r>
          </w:p>
        </w:tc>
      </w:tr>
    </w:tbl>
    <w:p w14:paraId="3D0EB021" w14:textId="77777777" w:rsidR="00584822" w:rsidRPr="0066543C" w:rsidRDefault="00584822" w:rsidP="00584822">
      <w:pPr>
        <w:rPr>
          <w:rFonts w:ascii="Arial" w:hAnsi="Arial" w:cs="Arial"/>
          <w:b/>
          <w:bCs/>
          <w:color w:val="000000" w:themeColor="text1"/>
          <w:sz w:val="20"/>
          <w:szCs w:val="20"/>
        </w:rPr>
      </w:pPr>
      <w:r w:rsidRPr="0066543C">
        <w:rPr>
          <w:rFonts w:ascii="Arial" w:hAnsi="Arial" w:cs="Arial"/>
          <w:b/>
          <w:bCs/>
          <w:color w:val="000000" w:themeColor="text1"/>
          <w:sz w:val="20"/>
          <w:szCs w:val="20"/>
        </w:rPr>
        <w:t xml:space="preserve">Table 2: Effect of </w:t>
      </w:r>
      <w:r w:rsidRPr="0066543C">
        <w:rPr>
          <w:rFonts w:ascii="Arial" w:hAnsi="Arial" w:cs="Arial"/>
          <w:b/>
          <w:bCs/>
          <w:i/>
          <w:iCs/>
          <w:color w:val="000000" w:themeColor="text1"/>
          <w:sz w:val="20"/>
          <w:szCs w:val="20"/>
        </w:rPr>
        <w:t>Leptolyngbya sp.</w:t>
      </w:r>
      <w:r w:rsidRPr="0066543C">
        <w:rPr>
          <w:rFonts w:ascii="Arial" w:hAnsi="Arial" w:cs="Arial"/>
          <w:b/>
          <w:bCs/>
          <w:color w:val="000000" w:themeColor="text1"/>
          <w:sz w:val="20"/>
          <w:szCs w:val="20"/>
        </w:rPr>
        <w:t xml:space="preserve"> on germination of rice seeds</w:t>
      </w:r>
    </w:p>
    <w:p w14:paraId="472277D3" w14:textId="77777777" w:rsidR="00B24143" w:rsidRPr="0066543C" w:rsidRDefault="00B24143" w:rsidP="00B24143">
      <w:pPr>
        <w:jc w:val="both"/>
        <w:rPr>
          <w:rFonts w:ascii="Arial" w:hAnsi="Arial" w:cs="Arial"/>
          <w:b/>
          <w:bCs/>
        </w:rPr>
      </w:pPr>
      <w:r w:rsidRPr="0066543C">
        <w:rPr>
          <w:rFonts w:ascii="Arial" w:hAnsi="Arial" w:cs="Arial"/>
          <w:b/>
          <w:bCs/>
        </w:rPr>
        <w:t>EFFECT OF CYANOBACTERIA ON RICE PLANT GROWTH (POT ASSAY)</w:t>
      </w:r>
    </w:p>
    <w:p w14:paraId="105BADF3" w14:textId="77777777" w:rsidR="00B24143" w:rsidRPr="0066543C" w:rsidRDefault="00B24143" w:rsidP="00B24143">
      <w:pPr>
        <w:spacing w:line="360" w:lineRule="auto"/>
        <w:jc w:val="both"/>
        <w:rPr>
          <w:rFonts w:ascii="Arial" w:hAnsi="Arial" w:cs="Arial"/>
          <w:b/>
          <w:bCs/>
          <w:i/>
          <w:iCs/>
          <w:sz w:val="20"/>
          <w:szCs w:val="20"/>
        </w:rPr>
      </w:pPr>
      <w:r w:rsidRPr="0066543C">
        <w:rPr>
          <w:rFonts w:ascii="Arial" w:hAnsi="Arial" w:cs="Arial"/>
          <w:sz w:val="20"/>
          <w:szCs w:val="20"/>
        </w:rPr>
        <w:t>The data demonstrate that cyanobacterial inoculation enhanced rice growth and soil moisture compared to the uninoculated control. Treatment with cyanobacteria resulted in significant increases in plant height, root length, and the biomass of shoots and roots. Specifically, plant height increased by 77% in TN, while root length improved by 62%. Fresh and dry weights of shoots and roots also showed substantial enhancement, indicating improved overall plant vigor.</w:t>
      </w:r>
    </w:p>
    <w:p w14:paraId="282D0404" w14:textId="77777777" w:rsidR="00B24143" w:rsidRPr="0066543C" w:rsidRDefault="00B24143" w:rsidP="00B24143">
      <w:pPr>
        <w:spacing w:line="360" w:lineRule="auto"/>
        <w:jc w:val="both"/>
        <w:rPr>
          <w:rFonts w:ascii="Arial" w:hAnsi="Arial" w:cs="Arial"/>
          <w:sz w:val="20"/>
          <w:szCs w:val="20"/>
        </w:rPr>
      </w:pPr>
      <w:r w:rsidRPr="0066543C">
        <w:rPr>
          <w:rFonts w:ascii="Arial" w:hAnsi="Arial" w:cs="Arial"/>
          <w:sz w:val="20"/>
          <w:szCs w:val="20"/>
        </w:rPr>
        <w:t>Soil moisture content increased from 24.1% in the control to 31% in TN, indicating improved soil water retention under cyanobacterial treatment. Overall, both cyanobacterial treatments promoted growth and physiological development. TN showed higher efficacy in certain parameters in most traits, underscoring the potential of cyanobacteria as effective biofertilizers for sustainable rice cultivation.</w:t>
      </w:r>
    </w:p>
    <w:p w14:paraId="61FFE4E5" w14:textId="1F8D74C4" w:rsidR="00B24143" w:rsidRPr="0066543C" w:rsidRDefault="00B24143" w:rsidP="00B24143">
      <w:pPr>
        <w:jc w:val="both"/>
        <w:rPr>
          <w:rFonts w:ascii="Arial" w:hAnsi="Arial" w:cs="Arial"/>
        </w:rPr>
      </w:pPr>
    </w:p>
    <w:p w14:paraId="30FCFE0F" w14:textId="4F45BEE5" w:rsidR="00B24143" w:rsidRPr="0066543C" w:rsidRDefault="00980E4B" w:rsidP="00B24143">
      <w:pPr>
        <w:jc w:val="both"/>
        <w:rPr>
          <w:rFonts w:ascii="Arial" w:hAnsi="Arial" w:cs="Arial"/>
        </w:rPr>
      </w:pPr>
      <w:r w:rsidRPr="0066543C">
        <w:rPr>
          <w:rFonts w:ascii="Arial" w:hAnsi="Arial" w:cs="Arial"/>
          <w:noProof/>
          <w:lang w:eastAsia="en-IN"/>
        </w:rPr>
        <w:lastRenderedPageBreak/>
        <mc:AlternateContent>
          <mc:Choice Requires="wpg">
            <w:drawing>
              <wp:anchor distT="0" distB="0" distL="114300" distR="114300" simplePos="0" relativeHeight="251673600" behindDoc="0" locked="0" layoutInCell="1" allowOverlap="1" wp14:anchorId="74F1A28B" wp14:editId="2CB8BC63">
                <wp:simplePos x="0" y="0"/>
                <wp:positionH relativeFrom="column">
                  <wp:posOffset>670560</wp:posOffset>
                </wp:positionH>
                <wp:positionV relativeFrom="paragraph">
                  <wp:posOffset>0</wp:posOffset>
                </wp:positionV>
                <wp:extent cx="3568065" cy="250825"/>
                <wp:effectExtent l="0" t="0" r="13335" b="15875"/>
                <wp:wrapNone/>
                <wp:docPr id="836063677" name="Group 12"/>
                <wp:cNvGraphicFramePr/>
                <a:graphic xmlns:a="http://schemas.openxmlformats.org/drawingml/2006/main">
                  <a:graphicData uri="http://schemas.microsoft.com/office/word/2010/wordprocessingGroup">
                    <wpg:wgp>
                      <wpg:cNvGrpSpPr/>
                      <wpg:grpSpPr>
                        <a:xfrm>
                          <a:off x="0" y="0"/>
                          <a:ext cx="3568065" cy="250825"/>
                          <a:chOff x="-68580" y="0"/>
                          <a:chExt cx="3568177" cy="250862"/>
                        </a:xfrm>
                      </wpg:grpSpPr>
                      <wps:wsp>
                        <wps:cNvPr id="275196239" name="Text Box 2"/>
                        <wps:cNvSpPr txBox="1">
                          <a:spLocks noChangeArrowheads="1"/>
                        </wps:cNvSpPr>
                        <wps:spPr bwMode="auto">
                          <a:xfrm>
                            <a:off x="-68580" y="0"/>
                            <a:ext cx="251012" cy="246529"/>
                          </a:xfrm>
                          <a:prstGeom prst="rect">
                            <a:avLst/>
                          </a:prstGeom>
                          <a:solidFill>
                            <a:srgbClr val="FFFFFF"/>
                          </a:solidFill>
                          <a:ln w="9525">
                            <a:solidFill>
                              <a:srgbClr val="000000"/>
                            </a:solidFill>
                            <a:miter lim="800000"/>
                            <a:headEnd/>
                            <a:tailEnd/>
                          </a:ln>
                        </wps:spPr>
                        <wps:txbx>
                          <w:txbxContent>
                            <w:p w14:paraId="40716285" w14:textId="77777777" w:rsidR="00B24143" w:rsidRPr="0009740A" w:rsidRDefault="00B24143" w:rsidP="00B24143">
                              <w:pPr>
                                <w:rPr>
                                  <w:rFonts w:ascii="Times New Roman" w:hAnsi="Times New Roman" w:cs="Times New Roman"/>
                                  <w:b/>
                                  <w:bCs/>
                                </w:rPr>
                              </w:pPr>
                              <w:r w:rsidRPr="0009740A">
                                <w:rPr>
                                  <w:rFonts w:ascii="Times New Roman" w:hAnsi="Times New Roman" w:cs="Times New Roman"/>
                                  <w:b/>
                                  <w:bCs/>
                                </w:rPr>
                                <w:t>A</w:t>
                              </w:r>
                            </w:p>
                          </w:txbxContent>
                        </wps:txbx>
                        <wps:bodyPr rot="0" vert="horz" wrap="square" lIns="91440" tIns="45720" rIns="91440" bIns="45720" anchor="t" anchorCtr="0">
                          <a:noAutofit/>
                        </wps:bodyPr>
                      </wps:wsp>
                      <wps:wsp>
                        <wps:cNvPr id="1833234836" name="Text Box 2"/>
                        <wps:cNvSpPr txBox="1">
                          <a:spLocks noChangeArrowheads="1"/>
                        </wps:cNvSpPr>
                        <wps:spPr bwMode="auto">
                          <a:xfrm>
                            <a:off x="1061410" y="0"/>
                            <a:ext cx="255494" cy="246380"/>
                          </a:xfrm>
                          <a:prstGeom prst="rect">
                            <a:avLst/>
                          </a:prstGeom>
                          <a:solidFill>
                            <a:srgbClr val="FFFFFF"/>
                          </a:solidFill>
                          <a:ln w="9525">
                            <a:solidFill>
                              <a:srgbClr val="000000"/>
                            </a:solidFill>
                            <a:miter lim="800000"/>
                            <a:headEnd/>
                            <a:tailEnd/>
                          </a:ln>
                        </wps:spPr>
                        <wps:txbx>
                          <w:txbxContent>
                            <w:p w14:paraId="58DD502C"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wps:wsp>
                        <wps:cNvPr id="1086240965" name="Text Box 2"/>
                        <wps:cNvSpPr txBox="1">
                          <a:spLocks noChangeArrowheads="1"/>
                        </wps:cNvSpPr>
                        <wps:spPr bwMode="auto">
                          <a:xfrm>
                            <a:off x="2529392" y="4482"/>
                            <a:ext cx="255270" cy="246380"/>
                          </a:xfrm>
                          <a:prstGeom prst="rect">
                            <a:avLst/>
                          </a:prstGeom>
                          <a:solidFill>
                            <a:srgbClr val="FFFFFF"/>
                          </a:solidFill>
                          <a:ln w="9525">
                            <a:solidFill>
                              <a:srgbClr val="000000"/>
                            </a:solidFill>
                            <a:miter lim="800000"/>
                            <a:headEnd/>
                            <a:tailEnd/>
                          </a:ln>
                        </wps:spPr>
                        <wps:txbx>
                          <w:txbxContent>
                            <w:p w14:paraId="3D59893E"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C</w:t>
                              </w:r>
                            </w:p>
                          </w:txbxContent>
                        </wps:txbx>
                        <wps:bodyPr rot="0" vert="horz" wrap="square" lIns="91440" tIns="45720" rIns="91440" bIns="45720" anchor="t" anchorCtr="0">
                          <a:noAutofit/>
                        </wps:bodyPr>
                      </wps:wsp>
                      <wps:wsp>
                        <wps:cNvPr id="425120041" name="Text Box 2"/>
                        <wps:cNvSpPr txBox="1">
                          <a:spLocks noChangeArrowheads="1"/>
                        </wps:cNvSpPr>
                        <wps:spPr bwMode="auto">
                          <a:xfrm>
                            <a:off x="3244327" y="0"/>
                            <a:ext cx="255270" cy="246380"/>
                          </a:xfrm>
                          <a:prstGeom prst="rect">
                            <a:avLst/>
                          </a:prstGeom>
                          <a:solidFill>
                            <a:srgbClr val="FFFFFF"/>
                          </a:solidFill>
                          <a:ln w="9525">
                            <a:solidFill>
                              <a:srgbClr val="000000"/>
                            </a:solidFill>
                            <a:miter lim="800000"/>
                            <a:headEnd/>
                            <a:tailEnd/>
                          </a:ln>
                        </wps:spPr>
                        <wps:txbx>
                          <w:txbxContent>
                            <w:p w14:paraId="2EF2E086"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D</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4F1A28B" id="Group 12" o:spid="_x0000_s1030" style="position:absolute;left:0;text-align:left;margin-left:52.8pt;margin-top:0;width:280.95pt;height:19.75pt;z-index:251673600;mso-width-relative:margin" coordorigin="-685" coordsize="35681,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">
                <v:shape id="_x0000_s1031" type="#_x0000_t202" style="position:absolute;left:-685;width:2509;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">
                  <v:textbox>
                    <w:txbxContent>
                      <w:p w14:paraId="40716285" w14:textId="77777777" w:rsidR="00B24143" w:rsidRPr="0009740A" w:rsidRDefault="00B24143" w:rsidP="00B24143">
                        <w:pPr>
                          <w:rPr>
                            <w:rFonts w:ascii="Times New Roman" w:hAnsi="Times New Roman" w:cs="Times New Roman"/>
                            <w:b/>
                            <w:bCs/>
                          </w:rPr>
                        </w:pPr>
                        <w:r w:rsidRPr="0009740A">
                          <w:rPr>
                            <w:rFonts w:ascii="Times New Roman" w:hAnsi="Times New Roman" w:cs="Times New Roman"/>
                            <w:b/>
                            <w:bCs/>
                          </w:rPr>
                          <w:t>A</w:t>
                        </w:r>
                      </w:p>
                    </w:txbxContent>
                  </v:textbox>
                </v:shape>
                <v:shape id="_x0000_s1032" type="#_x0000_t202" style="position:absolute;left:10614;width:255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">
                  <v:textbox>
                    <w:txbxContent>
                      <w:p w14:paraId="58DD502C"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B</w:t>
                        </w:r>
                      </w:p>
                    </w:txbxContent>
                  </v:textbox>
                </v:shape>
                <v:shape id="_x0000_s1033" type="#_x0000_t202" style="position:absolute;left:25293;top:44;width:255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">
                  <v:textbox>
                    <w:txbxContent>
                      <w:p w14:paraId="3D59893E"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C</w:t>
                        </w:r>
                      </w:p>
                    </w:txbxContent>
                  </v:textbox>
                </v:shape>
                <v:shape id="_x0000_s1034" type="#_x0000_t202" style="position:absolute;left:32443;width:255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">
                  <v:textbox>
                    <w:txbxContent>
                      <w:p w14:paraId="2EF2E086" w14:textId="77777777" w:rsidR="00B24143" w:rsidRPr="0009740A" w:rsidRDefault="00B24143" w:rsidP="00B24143">
                        <w:pPr>
                          <w:rPr>
                            <w:rFonts w:ascii="Times New Roman" w:hAnsi="Times New Roman" w:cs="Times New Roman"/>
                            <w:b/>
                            <w:bCs/>
                          </w:rPr>
                        </w:pPr>
                        <w:r>
                          <w:rPr>
                            <w:rFonts w:ascii="Times New Roman" w:hAnsi="Times New Roman" w:cs="Times New Roman"/>
                            <w:b/>
                            <w:bCs/>
                          </w:rPr>
                          <w:t>D</w:t>
                        </w:r>
                      </w:p>
                    </w:txbxContent>
                  </v:textbox>
                </v:shape>
              </v:group>
            </w:pict>
          </mc:Fallback>
        </mc:AlternateContent>
      </w:r>
      <w:r w:rsidR="00CA4C59">
        <w:rPr>
          <w:rFonts w:ascii="Arial" w:hAnsi="Arial" w:cs="Arial"/>
          <w:noProof/>
        </w:rPr>
        <w:t xml:space="preserve">                </w:t>
      </w:r>
      <w:r w:rsidR="00B24143" w:rsidRPr="0066543C">
        <w:rPr>
          <w:rFonts w:ascii="Arial" w:hAnsi="Arial" w:cs="Arial"/>
          <w:noProof/>
        </w:rPr>
        <w:t xml:space="preserve"> </w:t>
      </w:r>
      <w:r w:rsidR="00B24143" w:rsidRPr="0066543C">
        <w:rPr>
          <w:rFonts w:ascii="Arial" w:hAnsi="Arial" w:cs="Arial"/>
          <w:noProof/>
          <w:lang w:eastAsia="en-IN"/>
        </w:rPr>
        <w:drawing>
          <wp:inline distT="0" distB="0" distL="0" distR="0" wp14:anchorId="0D4D9C9B" wp14:editId="757DA8C4">
            <wp:extent cx="861060" cy="2143648"/>
            <wp:effectExtent l="0" t="0" r="0" b="9525"/>
            <wp:docPr id="1216167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7987"/>
                    <a:stretch>
                      <a:fillRect/>
                    </a:stretch>
                  </pic:blipFill>
                  <pic:spPr bwMode="auto">
                    <a:xfrm>
                      <a:off x="0" y="0"/>
                      <a:ext cx="881202" cy="2193792"/>
                    </a:xfrm>
                    <a:prstGeom prst="rect">
                      <a:avLst/>
                    </a:prstGeom>
                    <a:noFill/>
                    <a:ln>
                      <a:noFill/>
                    </a:ln>
                    <a:extLst>
                      <a:ext uri="{53640926-AAD7-44D8-BBD7-CCE9431645EC}">
                        <a14:shadowObscured xmlns:a14="http://schemas.microsoft.com/office/drawing/2010/main"/>
                      </a:ext>
                    </a:extLst>
                  </pic:spPr>
                </pic:pic>
              </a:graphicData>
            </a:graphic>
          </wp:inline>
        </w:drawing>
      </w:r>
      <w:r w:rsidR="00B24143" w:rsidRPr="0066543C">
        <w:rPr>
          <w:rFonts w:ascii="Arial" w:hAnsi="Arial" w:cs="Arial"/>
        </w:rPr>
        <w:t xml:space="preserve">       </w:t>
      </w:r>
      <w:r w:rsidR="00B24143" w:rsidRPr="0066543C">
        <w:rPr>
          <w:rFonts w:ascii="Arial" w:hAnsi="Arial" w:cs="Arial"/>
          <w:noProof/>
          <w:lang w:eastAsia="en-IN"/>
        </w:rPr>
        <w:drawing>
          <wp:inline distT="0" distB="0" distL="0" distR="0" wp14:anchorId="70C06BD3" wp14:editId="20F56AFA">
            <wp:extent cx="822960" cy="2149157"/>
            <wp:effectExtent l="0" t="0" r="0" b="3810"/>
            <wp:docPr id="11017230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3265"/>
                    <a:stretch>
                      <a:fillRect/>
                    </a:stretch>
                  </pic:blipFill>
                  <pic:spPr bwMode="auto">
                    <a:xfrm>
                      <a:off x="0" y="0"/>
                      <a:ext cx="844862" cy="2206354"/>
                    </a:xfrm>
                    <a:prstGeom prst="rect">
                      <a:avLst/>
                    </a:prstGeom>
                    <a:noFill/>
                    <a:ln>
                      <a:noFill/>
                    </a:ln>
                    <a:extLst>
                      <a:ext uri="{53640926-AAD7-44D8-BBD7-CCE9431645EC}">
                        <a14:shadowObscured xmlns:a14="http://schemas.microsoft.com/office/drawing/2010/main"/>
                      </a:ext>
                    </a:extLst>
                  </pic:spPr>
                </pic:pic>
              </a:graphicData>
            </a:graphic>
          </wp:inline>
        </w:drawing>
      </w:r>
      <w:r w:rsidR="00B24143" w:rsidRPr="0066543C">
        <w:rPr>
          <w:rFonts w:ascii="Arial" w:hAnsi="Arial" w:cs="Arial"/>
        </w:rPr>
        <w:t xml:space="preserve">        </w:t>
      </w:r>
      <w:r w:rsidR="00B24143" w:rsidRPr="0066543C">
        <w:rPr>
          <w:rFonts w:ascii="Arial" w:hAnsi="Arial" w:cs="Arial"/>
          <w:noProof/>
          <w:lang w:eastAsia="en-IN"/>
        </w:rPr>
        <w:drawing>
          <wp:inline distT="0" distB="0" distL="0" distR="0" wp14:anchorId="0215ACE6" wp14:editId="1496B040">
            <wp:extent cx="784860" cy="2146121"/>
            <wp:effectExtent l="0" t="0" r="0" b="6985"/>
            <wp:docPr id="2062937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4981"/>
                    <a:stretch>
                      <a:fillRect/>
                    </a:stretch>
                  </pic:blipFill>
                  <pic:spPr bwMode="auto">
                    <a:xfrm>
                      <a:off x="0" y="0"/>
                      <a:ext cx="795720" cy="2175817"/>
                    </a:xfrm>
                    <a:prstGeom prst="rect">
                      <a:avLst/>
                    </a:prstGeom>
                    <a:noFill/>
                    <a:ln>
                      <a:noFill/>
                    </a:ln>
                    <a:extLst>
                      <a:ext uri="{53640926-AAD7-44D8-BBD7-CCE9431645EC}">
                        <a14:shadowObscured xmlns:a14="http://schemas.microsoft.com/office/drawing/2010/main"/>
                      </a:ext>
                    </a:extLst>
                  </pic:spPr>
                </pic:pic>
              </a:graphicData>
            </a:graphic>
          </wp:inline>
        </w:drawing>
      </w:r>
      <w:r w:rsidR="00B24143" w:rsidRPr="0066543C">
        <w:rPr>
          <w:rFonts w:ascii="Arial" w:hAnsi="Arial" w:cs="Arial"/>
        </w:rPr>
        <w:t xml:space="preserve">       </w:t>
      </w:r>
      <w:r w:rsidR="00B24143" w:rsidRPr="0066543C">
        <w:rPr>
          <w:rFonts w:ascii="Arial" w:hAnsi="Arial" w:cs="Arial"/>
          <w:noProof/>
          <w:lang w:eastAsia="en-IN"/>
        </w:rPr>
        <w:drawing>
          <wp:inline distT="0" distB="0" distL="0" distR="0" wp14:anchorId="73F43FAC" wp14:editId="7C3B91B5">
            <wp:extent cx="762000" cy="2148840"/>
            <wp:effectExtent l="0" t="0" r="0" b="3810"/>
            <wp:docPr id="776590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6708"/>
                    <a:stretch>
                      <a:fillRect/>
                    </a:stretch>
                  </pic:blipFill>
                  <pic:spPr bwMode="auto">
                    <a:xfrm>
                      <a:off x="0" y="0"/>
                      <a:ext cx="785983" cy="2216471"/>
                    </a:xfrm>
                    <a:prstGeom prst="rect">
                      <a:avLst/>
                    </a:prstGeom>
                    <a:noFill/>
                    <a:ln>
                      <a:noFill/>
                    </a:ln>
                    <a:extLst>
                      <a:ext uri="{53640926-AAD7-44D8-BBD7-CCE9431645EC}">
                        <a14:shadowObscured xmlns:a14="http://schemas.microsoft.com/office/drawing/2010/main"/>
                      </a:ext>
                    </a:extLst>
                  </pic:spPr>
                </pic:pic>
              </a:graphicData>
            </a:graphic>
          </wp:inline>
        </w:drawing>
      </w:r>
    </w:p>
    <w:p w14:paraId="74AB4942" w14:textId="297BFD32" w:rsidR="00B24143" w:rsidRPr="0066543C" w:rsidRDefault="00B24143" w:rsidP="00B24143">
      <w:pPr>
        <w:jc w:val="both"/>
        <w:rPr>
          <w:rFonts w:ascii="Arial" w:hAnsi="Arial" w:cs="Arial"/>
          <w:b/>
          <w:bCs/>
          <w:sz w:val="20"/>
          <w:szCs w:val="20"/>
        </w:rPr>
      </w:pPr>
      <w:r w:rsidRPr="0066543C">
        <w:rPr>
          <w:rFonts w:ascii="Arial" w:hAnsi="Arial" w:cs="Arial"/>
          <w:b/>
          <w:bCs/>
          <w:sz w:val="20"/>
          <w:szCs w:val="20"/>
        </w:rPr>
        <w:t xml:space="preserve">Figure </w:t>
      </w:r>
      <w:r w:rsidR="00E3244A">
        <w:rPr>
          <w:rFonts w:ascii="Arial" w:hAnsi="Arial" w:cs="Arial"/>
          <w:b/>
          <w:bCs/>
          <w:sz w:val="20"/>
          <w:szCs w:val="20"/>
        </w:rPr>
        <w:t>9</w:t>
      </w:r>
      <w:r w:rsidRPr="0066543C">
        <w:rPr>
          <w:rFonts w:ascii="Arial" w:hAnsi="Arial" w:cs="Arial"/>
          <w:b/>
          <w:bCs/>
          <w:sz w:val="20"/>
          <w:szCs w:val="20"/>
        </w:rPr>
        <w:t xml:space="preserve">: Effect of </w:t>
      </w:r>
      <w:proofErr w:type="spellStart"/>
      <w:r w:rsidRPr="0066543C">
        <w:rPr>
          <w:rFonts w:ascii="Arial" w:hAnsi="Arial" w:cs="Arial"/>
          <w:b/>
          <w:bCs/>
          <w:i/>
          <w:iCs/>
          <w:sz w:val="20"/>
          <w:szCs w:val="20"/>
        </w:rPr>
        <w:t>Leptolyngbya</w:t>
      </w:r>
      <w:proofErr w:type="spellEnd"/>
      <w:r w:rsidRPr="0066543C">
        <w:rPr>
          <w:rFonts w:ascii="Arial" w:hAnsi="Arial" w:cs="Arial"/>
          <w:b/>
          <w:bCs/>
          <w:i/>
          <w:iCs/>
          <w:sz w:val="20"/>
          <w:szCs w:val="20"/>
        </w:rPr>
        <w:t xml:space="preserve"> sp</w:t>
      </w:r>
      <w:r w:rsidRPr="0066543C">
        <w:rPr>
          <w:rFonts w:ascii="Arial" w:hAnsi="Arial" w:cs="Arial"/>
          <w:b/>
          <w:bCs/>
          <w:sz w:val="20"/>
          <w:szCs w:val="20"/>
        </w:rPr>
        <w:t>. on the growth of shoot and root length of Rice plant on A) 5</w:t>
      </w:r>
      <w:r w:rsidRPr="0066543C">
        <w:rPr>
          <w:rFonts w:ascii="Arial" w:hAnsi="Arial" w:cs="Arial"/>
          <w:b/>
          <w:bCs/>
          <w:sz w:val="20"/>
          <w:szCs w:val="20"/>
          <w:vertAlign w:val="superscript"/>
        </w:rPr>
        <w:t>th</w:t>
      </w:r>
      <w:r w:rsidRPr="0066543C">
        <w:rPr>
          <w:rFonts w:ascii="Arial" w:hAnsi="Arial" w:cs="Arial"/>
          <w:b/>
          <w:bCs/>
          <w:sz w:val="20"/>
          <w:szCs w:val="20"/>
        </w:rPr>
        <w:t xml:space="preserve"> day B) 10</w:t>
      </w:r>
      <w:r w:rsidRPr="0066543C">
        <w:rPr>
          <w:rFonts w:ascii="Arial" w:hAnsi="Arial" w:cs="Arial"/>
          <w:b/>
          <w:bCs/>
          <w:sz w:val="20"/>
          <w:szCs w:val="20"/>
          <w:vertAlign w:val="superscript"/>
        </w:rPr>
        <w:t>th</w:t>
      </w:r>
      <w:r w:rsidRPr="0066543C">
        <w:rPr>
          <w:rFonts w:ascii="Arial" w:hAnsi="Arial" w:cs="Arial"/>
          <w:b/>
          <w:bCs/>
          <w:sz w:val="20"/>
          <w:szCs w:val="20"/>
        </w:rPr>
        <w:t xml:space="preserve"> day C)15</w:t>
      </w:r>
      <w:r w:rsidRPr="0066543C">
        <w:rPr>
          <w:rFonts w:ascii="Arial" w:hAnsi="Arial" w:cs="Arial"/>
          <w:b/>
          <w:bCs/>
          <w:sz w:val="20"/>
          <w:szCs w:val="20"/>
          <w:vertAlign w:val="superscript"/>
        </w:rPr>
        <w:t>th</w:t>
      </w:r>
      <w:r w:rsidRPr="0066543C">
        <w:rPr>
          <w:rFonts w:ascii="Arial" w:hAnsi="Arial" w:cs="Arial"/>
          <w:b/>
          <w:bCs/>
          <w:sz w:val="20"/>
          <w:szCs w:val="20"/>
        </w:rPr>
        <w:t xml:space="preserve"> day D) 20</w:t>
      </w:r>
      <w:r w:rsidRPr="0066543C">
        <w:rPr>
          <w:rFonts w:ascii="Arial" w:hAnsi="Arial" w:cs="Arial"/>
          <w:b/>
          <w:bCs/>
          <w:sz w:val="20"/>
          <w:szCs w:val="20"/>
          <w:vertAlign w:val="superscript"/>
        </w:rPr>
        <w:t>th</w:t>
      </w:r>
      <w:r w:rsidRPr="0066543C">
        <w:rPr>
          <w:rFonts w:ascii="Arial" w:hAnsi="Arial" w:cs="Arial"/>
          <w:b/>
          <w:bCs/>
          <w:sz w:val="20"/>
          <w:szCs w:val="20"/>
        </w:rPr>
        <w:t xml:space="preserve"> day </w:t>
      </w:r>
      <w:r w:rsidRPr="0066543C">
        <w:rPr>
          <w:rFonts w:ascii="Arial" w:hAnsi="Arial" w:cs="Arial"/>
          <w:b/>
          <w:bCs/>
          <w:color w:val="000000" w:themeColor="text1"/>
          <w:sz w:val="20"/>
          <w:szCs w:val="20"/>
        </w:rPr>
        <w:t xml:space="preserve">as Control (C), Treatment with </w:t>
      </w:r>
      <w:r w:rsidRPr="0066543C">
        <w:rPr>
          <w:rFonts w:ascii="Arial" w:hAnsi="Arial" w:cs="Arial"/>
          <w:b/>
          <w:bCs/>
          <w:i/>
          <w:iCs/>
          <w:color w:val="000000" w:themeColor="text1"/>
          <w:sz w:val="20"/>
          <w:szCs w:val="20"/>
        </w:rPr>
        <w:t>Leptolyngbya sp</w:t>
      </w:r>
      <w:r w:rsidRPr="0066543C">
        <w:rPr>
          <w:rFonts w:ascii="Arial" w:hAnsi="Arial" w:cs="Arial"/>
          <w:b/>
          <w:bCs/>
          <w:color w:val="000000" w:themeColor="text1"/>
          <w:sz w:val="20"/>
          <w:szCs w:val="20"/>
        </w:rPr>
        <w:t>. (TN).</w:t>
      </w:r>
      <w:r w:rsidRPr="0066543C">
        <w:rPr>
          <w:rFonts w:ascii="Arial" w:hAnsi="Arial" w:cs="Arial"/>
          <w:b/>
          <w:bCs/>
          <w:sz w:val="20"/>
          <w:szCs w:val="20"/>
        </w:rPr>
        <w:t xml:space="preserve"> (All the images are representative of average triplicate results)</w:t>
      </w:r>
    </w:p>
    <w:p w14:paraId="6A265193" w14:textId="77777777" w:rsidR="00B24143" w:rsidRPr="0066543C" w:rsidRDefault="00B24143" w:rsidP="00B24143">
      <w:pPr>
        <w:jc w:val="both"/>
        <w:rPr>
          <w:rFonts w:ascii="Arial" w:hAnsi="Arial" w:cs="Arial"/>
        </w:rPr>
      </w:pPr>
    </w:p>
    <w:tbl>
      <w:tblPr>
        <w:tblStyle w:val="TableGrid"/>
        <w:tblW w:w="0" w:type="auto"/>
        <w:jc w:val="center"/>
        <w:tblLayout w:type="fixed"/>
        <w:tblLook w:val="04A0" w:firstRow="1" w:lastRow="0" w:firstColumn="1" w:lastColumn="0" w:noHBand="0" w:noVBand="1"/>
      </w:tblPr>
      <w:tblGrid>
        <w:gridCol w:w="2699"/>
        <w:gridCol w:w="1271"/>
        <w:gridCol w:w="1417"/>
        <w:gridCol w:w="2126"/>
      </w:tblGrid>
      <w:tr w:rsidR="00B24143" w:rsidRPr="0066543C" w14:paraId="0242398E"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3851CC6F"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Sample</w:t>
            </w:r>
          </w:p>
        </w:tc>
        <w:tc>
          <w:tcPr>
            <w:tcW w:w="1271" w:type="dxa"/>
            <w:tcBorders>
              <w:top w:val="single" w:sz="4" w:space="0" w:color="auto"/>
              <w:left w:val="single" w:sz="4" w:space="0" w:color="auto"/>
              <w:bottom w:val="single" w:sz="4" w:space="0" w:color="auto"/>
              <w:right w:val="single" w:sz="4" w:space="0" w:color="auto"/>
            </w:tcBorders>
            <w:hideMark/>
          </w:tcPr>
          <w:p w14:paraId="351C89A1"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Control</w:t>
            </w:r>
          </w:p>
        </w:tc>
        <w:tc>
          <w:tcPr>
            <w:tcW w:w="1417" w:type="dxa"/>
            <w:tcBorders>
              <w:top w:val="single" w:sz="4" w:space="0" w:color="auto"/>
              <w:left w:val="single" w:sz="4" w:space="0" w:color="auto"/>
              <w:bottom w:val="single" w:sz="4" w:space="0" w:color="auto"/>
              <w:right w:val="single" w:sz="4" w:space="0" w:color="auto"/>
            </w:tcBorders>
            <w:hideMark/>
          </w:tcPr>
          <w:p w14:paraId="22D8AE05"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Treatment</w:t>
            </w:r>
          </w:p>
          <w:p w14:paraId="6D98C90F"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(TN)</w:t>
            </w:r>
          </w:p>
        </w:tc>
        <w:tc>
          <w:tcPr>
            <w:tcW w:w="2126" w:type="dxa"/>
            <w:tcBorders>
              <w:top w:val="single" w:sz="4" w:space="0" w:color="auto"/>
              <w:left w:val="single" w:sz="4" w:space="0" w:color="auto"/>
              <w:bottom w:val="single" w:sz="4" w:space="0" w:color="auto"/>
              <w:right w:val="single" w:sz="4" w:space="0" w:color="auto"/>
            </w:tcBorders>
            <w:hideMark/>
          </w:tcPr>
          <w:p w14:paraId="19663D16"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Ratio control/TN%)</w:t>
            </w:r>
          </w:p>
        </w:tc>
      </w:tr>
      <w:tr w:rsidR="00B24143" w:rsidRPr="0066543C" w14:paraId="3D681F5A"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41A6B7C8"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Plant height (cm)</w:t>
            </w:r>
          </w:p>
        </w:tc>
        <w:tc>
          <w:tcPr>
            <w:tcW w:w="1271" w:type="dxa"/>
            <w:tcBorders>
              <w:top w:val="single" w:sz="4" w:space="0" w:color="auto"/>
              <w:left w:val="single" w:sz="4" w:space="0" w:color="auto"/>
              <w:bottom w:val="single" w:sz="4" w:space="0" w:color="auto"/>
              <w:right w:val="single" w:sz="4" w:space="0" w:color="auto"/>
            </w:tcBorders>
            <w:hideMark/>
          </w:tcPr>
          <w:p w14:paraId="33E53A2B"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13.5</w:t>
            </w:r>
          </w:p>
        </w:tc>
        <w:tc>
          <w:tcPr>
            <w:tcW w:w="1417" w:type="dxa"/>
            <w:tcBorders>
              <w:top w:val="single" w:sz="4" w:space="0" w:color="auto"/>
              <w:left w:val="single" w:sz="4" w:space="0" w:color="auto"/>
              <w:bottom w:val="single" w:sz="4" w:space="0" w:color="auto"/>
              <w:right w:val="single" w:sz="4" w:space="0" w:color="auto"/>
            </w:tcBorders>
            <w:hideMark/>
          </w:tcPr>
          <w:p w14:paraId="7BF54B2D"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17.5</w:t>
            </w:r>
          </w:p>
        </w:tc>
        <w:tc>
          <w:tcPr>
            <w:tcW w:w="2126" w:type="dxa"/>
            <w:tcBorders>
              <w:top w:val="single" w:sz="4" w:space="0" w:color="auto"/>
              <w:left w:val="single" w:sz="4" w:space="0" w:color="auto"/>
              <w:bottom w:val="single" w:sz="4" w:space="0" w:color="auto"/>
              <w:right w:val="single" w:sz="4" w:space="0" w:color="auto"/>
            </w:tcBorders>
            <w:hideMark/>
          </w:tcPr>
          <w:p w14:paraId="0C51E91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77</w:t>
            </w:r>
          </w:p>
        </w:tc>
      </w:tr>
      <w:tr w:rsidR="00B24143" w:rsidRPr="0066543C" w14:paraId="2FA33CE2" w14:textId="77777777" w:rsidTr="00980E4B">
        <w:trPr>
          <w:trHeight w:val="1016"/>
          <w:jc w:val="center"/>
        </w:trPr>
        <w:tc>
          <w:tcPr>
            <w:tcW w:w="2699" w:type="dxa"/>
            <w:tcBorders>
              <w:top w:val="single" w:sz="4" w:space="0" w:color="auto"/>
              <w:left w:val="single" w:sz="4" w:space="0" w:color="auto"/>
              <w:bottom w:val="single" w:sz="4" w:space="0" w:color="auto"/>
              <w:right w:val="single" w:sz="4" w:space="0" w:color="auto"/>
            </w:tcBorders>
            <w:hideMark/>
          </w:tcPr>
          <w:p w14:paraId="5E878D2B"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Root length (cm)</w:t>
            </w:r>
          </w:p>
        </w:tc>
        <w:tc>
          <w:tcPr>
            <w:tcW w:w="1271" w:type="dxa"/>
            <w:tcBorders>
              <w:top w:val="single" w:sz="4" w:space="0" w:color="auto"/>
              <w:left w:val="single" w:sz="4" w:space="0" w:color="auto"/>
              <w:bottom w:val="single" w:sz="4" w:space="0" w:color="auto"/>
              <w:right w:val="single" w:sz="4" w:space="0" w:color="auto"/>
            </w:tcBorders>
            <w:hideMark/>
          </w:tcPr>
          <w:p w14:paraId="113FA3C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3.2</w:t>
            </w:r>
          </w:p>
        </w:tc>
        <w:tc>
          <w:tcPr>
            <w:tcW w:w="1417" w:type="dxa"/>
            <w:tcBorders>
              <w:top w:val="single" w:sz="4" w:space="0" w:color="auto"/>
              <w:left w:val="single" w:sz="4" w:space="0" w:color="auto"/>
              <w:bottom w:val="single" w:sz="4" w:space="0" w:color="auto"/>
              <w:right w:val="single" w:sz="4" w:space="0" w:color="auto"/>
            </w:tcBorders>
          </w:tcPr>
          <w:p w14:paraId="517AFE7B"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5.1</w:t>
            </w:r>
          </w:p>
          <w:p w14:paraId="768191D1" w14:textId="77777777" w:rsidR="00B24143" w:rsidRPr="0066543C" w:rsidRDefault="00B24143" w:rsidP="00497C5F">
            <w:pPr>
              <w:spacing w:after="160" w:line="278" w:lineRule="auto"/>
              <w:jc w:val="center"/>
              <w:rPr>
                <w:rFonts w:ascii="Arial" w:hAnsi="Arial" w:cs="Arial"/>
                <w:sz w:val="20"/>
                <w:szCs w:val="20"/>
              </w:rPr>
            </w:pPr>
          </w:p>
          <w:p w14:paraId="63C3F6A9" w14:textId="77777777" w:rsidR="00B24143" w:rsidRPr="0066543C" w:rsidRDefault="00B24143" w:rsidP="00497C5F">
            <w:pPr>
              <w:spacing w:after="160" w:line="278" w:lineRule="auto"/>
              <w:jc w:val="cente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14:paraId="6FDA956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62</w:t>
            </w:r>
          </w:p>
        </w:tc>
      </w:tr>
      <w:tr w:rsidR="00B24143" w:rsidRPr="0066543C" w14:paraId="3FBF24D9"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24636C44"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fresh shoot(g)</w:t>
            </w:r>
          </w:p>
        </w:tc>
        <w:tc>
          <w:tcPr>
            <w:tcW w:w="1271" w:type="dxa"/>
            <w:tcBorders>
              <w:top w:val="single" w:sz="4" w:space="0" w:color="auto"/>
              <w:left w:val="single" w:sz="4" w:space="0" w:color="auto"/>
              <w:bottom w:val="single" w:sz="4" w:space="0" w:color="auto"/>
              <w:right w:val="single" w:sz="4" w:space="0" w:color="auto"/>
            </w:tcBorders>
            <w:hideMark/>
          </w:tcPr>
          <w:p w14:paraId="153D2F1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0.16</w:t>
            </w:r>
          </w:p>
        </w:tc>
        <w:tc>
          <w:tcPr>
            <w:tcW w:w="1417" w:type="dxa"/>
            <w:tcBorders>
              <w:top w:val="single" w:sz="4" w:space="0" w:color="auto"/>
              <w:left w:val="single" w:sz="4" w:space="0" w:color="auto"/>
              <w:bottom w:val="single" w:sz="4" w:space="0" w:color="auto"/>
              <w:right w:val="single" w:sz="4" w:space="0" w:color="auto"/>
            </w:tcBorders>
            <w:hideMark/>
          </w:tcPr>
          <w:p w14:paraId="67445CA5"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0.25</w:t>
            </w:r>
          </w:p>
        </w:tc>
        <w:tc>
          <w:tcPr>
            <w:tcW w:w="2126" w:type="dxa"/>
            <w:tcBorders>
              <w:top w:val="single" w:sz="4" w:space="0" w:color="auto"/>
              <w:left w:val="single" w:sz="4" w:space="0" w:color="auto"/>
              <w:bottom w:val="single" w:sz="4" w:space="0" w:color="auto"/>
              <w:right w:val="single" w:sz="4" w:space="0" w:color="auto"/>
            </w:tcBorders>
            <w:hideMark/>
          </w:tcPr>
          <w:p w14:paraId="44A3173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64</w:t>
            </w:r>
          </w:p>
        </w:tc>
      </w:tr>
      <w:tr w:rsidR="00B24143" w:rsidRPr="0066543C" w14:paraId="0ED77333"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22F580AF"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dry shoot (g)</w:t>
            </w:r>
          </w:p>
        </w:tc>
        <w:tc>
          <w:tcPr>
            <w:tcW w:w="1271" w:type="dxa"/>
            <w:tcBorders>
              <w:top w:val="single" w:sz="4" w:space="0" w:color="auto"/>
              <w:left w:val="single" w:sz="4" w:space="0" w:color="auto"/>
              <w:bottom w:val="single" w:sz="4" w:space="0" w:color="auto"/>
              <w:right w:val="single" w:sz="4" w:space="0" w:color="auto"/>
            </w:tcBorders>
            <w:hideMark/>
          </w:tcPr>
          <w:p w14:paraId="3F5689F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0.05</w:t>
            </w:r>
          </w:p>
        </w:tc>
        <w:tc>
          <w:tcPr>
            <w:tcW w:w="1417" w:type="dxa"/>
            <w:tcBorders>
              <w:top w:val="single" w:sz="4" w:space="0" w:color="auto"/>
              <w:left w:val="single" w:sz="4" w:space="0" w:color="auto"/>
              <w:bottom w:val="single" w:sz="4" w:space="0" w:color="auto"/>
              <w:right w:val="single" w:sz="4" w:space="0" w:color="auto"/>
            </w:tcBorders>
            <w:hideMark/>
          </w:tcPr>
          <w:p w14:paraId="75F7EB7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0.11</w:t>
            </w:r>
          </w:p>
        </w:tc>
        <w:tc>
          <w:tcPr>
            <w:tcW w:w="2126" w:type="dxa"/>
            <w:tcBorders>
              <w:top w:val="single" w:sz="4" w:space="0" w:color="auto"/>
              <w:left w:val="single" w:sz="4" w:space="0" w:color="auto"/>
              <w:bottom w:val="single" w:sz="4" w:space="0" w:color="auto"/>
              <w:right w:val="single" w:sz="4" w:space="0" w:color="auto"/>
            </w:tcBorders>
            <w:hideMark/>
          </w:tcPr>
          <w:p w14:paraId="43116EE1"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45</w:t>
            </w:r>
          </w:p>
        </w:tc>
      </w:tr>
      <w:tr w:rsidR="00B24143" w:rsidRPr="0066543C" w14:paraId="1EAF5C3B"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7A6B2D9C"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fresh root (g)</w:t>
            </w:r>
          </w:p>
        </w:tc>
        <w:tc>
          <w:tcPr>
            <w:tcW w:w="1271" w:type="dxa"/>
            <w:tcBorders>
              <w:top w:val="single" w:sz="4" w:space="0" w:color="auto"/>
              <w:left w:val="single" w:sz="4" w:space="0" w:color="auto"/>
              <w:bottom w:val="single" w:sz="4" w:space="0" w:color="auto"/>
              <w:right w:val="single" w:sz="4" w:space="0" w:color="auto"/>
            </w:tcBorders>
            <w:hideMark/>
          </w:tcPr>
          <w:p w14:paraId="7CC1C1D0"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0.24</w:t>
            </w:r>
          </w:p>
        </w:tc>
        <w:tc>
          <w:tcPr>
            <w:tcW w:w="1417" w:type="dxa"/>
            <w:tcBorders>
              <w:top w:val="single" w:sz="4" w:space="0" w:color="auto"/>
              <w:left w:val="single" w:sz="4" w:space="0" w:color="auto"/>
              <w:bottom w:val="single" w:sz="4" w:space="0" w:color="auto"/>
              <w:right w:val="single" w:sz="4" w:space="0" w:color="auto"/>
            </w:tcBorders>
            <w:hideMark/>
          </w:tcPr>
          <w:p w14:paraId="30354A6A"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0.42</w:t>
            </w:r>
          </w:p>
        </w:tc>
        <w:tc>
          <w:tcPr>
            <w:tcW w:w="2126" w:type="dxa"/>
            <w:tcBorders>
              <w:top w:val="single" w:sz="4" w:space="0" w:color="auto"/>
              <w:left w:val="single" w:sz="4" w:space="0" w:color="auto"/>
              <w:bottom w:val="single" w:sz="4" w:space="0" w:color="auto"/>
              <w:right w:val="single" w:sz="4" w:space="0" w:color="auto"/>
            </w:tcBorders>
            <w:hideMark/>
          </w:tcPr>
          <w:p w14:paraId="0774961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57</w:t>
            </w:r>
          </w:p>
        </w:tc>
      </w:tr>
      <w:tr w:rsidR="00B24143" w:rsidRPr="0066543C" w14:paraId="74313DF2"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487215C8"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dry root (g)</w:t>
            </w:r>
          </w:p>
        </w:tc>
        <w:tc>
          <w:tcPr>
            <w:tcW w:w="1271" w:type="dxa"/>
            <w:tcBorders>
              <w:top w:val="single" w:sz="4" w:space="0" w:color="auto"/>
              <w:left w:val="single" w:sz="4" w:space="0" w:color="auto"/>
              <w:bottom w:val="single" w:sz="4" w:space="0" w:color="auto"/>
              <w:right w:val="single" w:sz="4" w:space="0" w:color="auto"/>
            </w:tcBorders>
            <w:hideMark/>
          </w:tcPr>
          <w:p w14:paraId="5BBA650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0.065</w:t>
            </w:r>
          </w:p>
        </w:tc>
        <w:tc>
          <w:tcPr>
            <w:tcW w:w="1417" w:type="dxa"/>
            <w:tcBorders>
              <w:top w:val="single" w:sz="4" w:space="0" w:color="auto"/>
              <w:left w:val="single" w:sz="4" w:space="0" w:color="auto"/>
              <w:bottom w:val="single" w:sz="4" w:space="0" w:color="auto"/>
              <w:right w:val="single" w:sz="4" w:space="0" w:color="auto"/>
            </w:tcBorders>
            <w:hideMark/>
          </w:tcPr>
          <w:p w14:paraId="18C2D9C5"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0.16</w:t>
            </w:r>
          </w:p>
        </w:tc>
        <w:tc>
          <w:tcPr>
            <w:tcW w:w="2126" w:type="dxa"/>
            <w:tcBorders>
              <w:top w:val="single" w:sz="4" w:space="0" w:color="auto"/>
              <w:left w:val="single" w:sz="4" w:space="0" w:color="auto"/>
              <w:bottom w:val="single" w:sz="4" w:space="0" w:color="auto"/>
              <w:right w:val="single" w:sz="4" w:space="0" w:color="auto"/>
            </w:tcBorders>
            <w:hideMark/>
          </w:tcPr>
          <w:p w14:paraId="062929B2"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40</w:t>
            </w:r>
          </w:p>
        </w:tc>
      </w:tr>
      <w:tr w:rsidR="00B24143" w:rsidRPr="0066543C" w14:paraId="0DFDA8AD" w14:textId="77777777" w:rsidTr="00980E4B">
        <w:trPr>
          <w:jc w:val="center"/>
        </w:trPr>
        <w:tc>
          <w:tcPr>
            <w:tcW w:w="2699" w:type="dxa"/>
            <w:tcBorders>
              <w:top w:val="single" w:sz="4" w:space="0" w:color="auto"/>
              <w:left w:val="single" w:sz="4" w:space="0" w:color="auto"/>
              <w:bottom w:val="single" w:sz="4" w:space="0" w:color="auto"/>
              <w:right w:val="single" w:sz="4" w:space="0" w:color="auto"/>
            </w:tcBorders>
            <w:hideMark/>
          </w:tcPr>
          <w:p w14:paraId="2022542B"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Moisture</w:t>
            </w:r>
          </w:p>
          <w:p w14:paraId="6003B4C9"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t>
            </w:r>
          </w:p>
        </w:tc>
        <w:tc>
          <w:tcPr>
            <w:tcW w:w="1271" w:type="dxa"/>
            <w:tcBorders>
              <w:top w:val="single" w:sz="4" w:space="0" w:color="auto"/>
              <w:left w:val="single" w:sz="4" w:space="0" w:color="auto"/>
              <w:bottom w:val="single" w:sz="4" w:space="0" w:color="auto"/>
              <w:right w:val="single" w:sz="4" w:space="0" w:color="auto"/>
            </w:tcBorders>
            <w:hideMark/>
          </w:tcPr>
          <w:p w14:paraId="093B6195"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24.1</w:t>
            </w:r>
          </w:p>
        </w:tc>
        <w:tc>
          <w:tcPr>
            <w:tcW w:w="1417" w:type="dxa"/>
            <w:tcBorders>
              <w:top w:val="single" w:sz="4" w:space="0" w:color="auto"/>
              <w:left w:val="single" w:sz="4" w:space="0" w:color="auto"/>
              <w:bottom w:val="single" w:sz="4" w:space="0" w:color="auto"/>
              <w:right w:val="single" w:sz="4" w:space="0" w:color="auto"/>
            </w:tcBorders>
            <w:hideMark/>
          </w:tcPr>
          <w:p w14:paraId="461B4D72"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32.0</w:t>
            </w:r>
          </w:p>
        </w:tc>
        <w:tc>
          <w:tcPr>
            <w:tcW w:w="2126" w:type="dxa"/>
            <w:tcBorders>
              <w:top w:val="single" w:sz="4" w:space="0" w:color="auto"/>
              <w:left w:val="single" w:sz="4" w:space="0" w:color="auto"/>
              <w:bottom w:val="single" w:sz="4" w:space="0" w:color="auto"/>
              <w:right w:val="single" w:sz="4" w:space="0" w:color="auto"/>
            </w:tcBorders>
            <w:hideMark/>
          </w:tcPr>
          <w:p w14:paraId="2076F0B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75</w:t>
            </w:r>
          </w:p>
        </w:tc>
      </w:tr>
    </w:tbl>
    <w:p w14:paraId="573CA28E" w14:textId="77777777" w:rsidR="00B24143" w:rsidRPr="0066543C" w:rsidRDefault="00B24143" w:rsidP="00B24143">
      <w:pPr>
        <w:jc w:val="both"/>
        <w:rPr>
          <w:rFonts w:ascii="Arial" w:hAnsi="Arial" w:cs="Arial"/>
          <w:sz w:val="20"/>
          <w:szCs w:val="20"/>
        </w:rPr>
      </w:pPr>
      <w:r w:rsidRPr="0066543C">
        <w:rPr>
          <w:rFonts w:ascii="Arial" w:hAnsi="Arial" w:cs="Arial"/>
          <w:b/>
          <w:bCs/>
          <w:sz w:val="20"/>
          <w:szCs w:val="20"/>
        </w:rPr>
        <w:t xml:space="preserve">Table 3. Effects of </w:t>
      </w:r>
      <w:r w:rsidRPr="0066543C">
        <w:rPr>
          <w:rFonts w:ascii="Arial" w:hAnsi="Arial" w:cs="Arial"/>
          <w:b/>
          <w:bCs/>
          <w:i/>
          <w:iCs/>
          <w:color w:val="000000" w:themeColor="text1"/>
          <w:sz w:val="20"/>
          <w:szCs w:val="20"/>
        </w:rPr>
        <w:t>Leptolyngbya sp.</w:t>
      </w:r>
      <w:r w:rsidRPr="0066543C">
        <w:rPr>
          <w:rFonts w:ascii="Arial" w:hAnsi="Arial" w:cs="Arial"/>
          <w:b/>
          <w:bCs/>
          <w:sz w:val="20"/>
          <w:szCs w:val="20"/>
        </w:rPr>
        <w:t xml:space="preserve"> on rice plant </w:t>
      </w:r>
      <w:r w:rsidRPr="0066543C">
        <w:rPr>
          <w:rFonts w:ascii="Arial" w:hAnsi="Arial" w:cs="Arial"/>
          <w:b/>
          <w:bCs/>
          <w:color w:val="000000" w:themeColor="text1"/>
          <w:sz w:val="20"/>
          <w:szCs w:val="20"/>
        </w:rPr>
        <w:t xml:space="preserve">as Control (C) and treatment with </w:t>
      </w:r>
      <w:r w:rsidRPr="0066543C">
        <w:rPr>
          <w:rFonts w:ascii="Arial" w:hAnsi="Arial" w:cs="Arial"/>
          <w:b/>
          <w:bCs/>
          <w:i/>
          <w:iCs/>
          <w:color w:val="000000" w:themeColor="text1"/>
          <w:sz w:val="20"/>
          <w:szCs w:val="20"/>
        </w:rPr>
        <w:t>Leptolyngbya sp.</w:t>
      </w:r>
      <w:r w:rsidRPr="0066543C">
        <w:rPr>
          <w:rFonts w:ascii="Arial" w:hAnsi="Arial" w:cs="Arial"/>
          <w:b/>
          <w:bCs/>
          <w:color w:val="000000" w:themeColor="text1"/>
          <w:sz w:val="20"/>
          <w:szCs w:val="20"/>
        </w:rPr>
        <w:t xml:space="preserve"> (TN).</w:t>
      </w:r>
    </w:p>
    <w:p w14:paraId="26792376" w14:textId="34FA4E98" w:rsidR="00B24143" w:rsidRPr="0066543C" w:rsidRDefault="00B24143" w:rsidP="00B24143">
      <w:pPr>
        <w:jc w:val="both"/>
        <w:rPr>
          <w:rFonts w:ascii="Arial" w:hAnsi="Arial" w:cs="Arial"/>
          <w:b/>
          <w:bCs/>
          <w:sz w:val="24"/>
          <w:szCs w:val="24"/>
          <w:lang w:bidi="en-IN"/>
        </w:rPr>
      </w:pPr>
    </w:p>
    <w:tbl>
      <w:tblPr>
        <w:tblStyle w:val="TableGrid"/>
        <w:tblW w:w="0" w:type="auto"/>
        <w:jc w:val="center"/>
        <w:tblLook w:val="04A0" w:firstRow="1" w:lastRow="0" w:firstColumn="1" w:lastColumn="0" w:noHBand="0" w:noVBand="1"/>
      </w:tblPr>
      <w:tblGrid>
        <w:gridCol w:w="2689"/>
        <w:gridCol w:w="1275"/>
        <w:gridCol w:w="1418"/>
        <w:gridCol w:w="2126"/>
      </w:tblGrid>
      <w:tr w:rsidR="00B24143" w:rsidRPr="0066543C" w14:paraId="1AA49623"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10523D9D"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Sample</w:t>
            </w:r>
          </w:p>
        </w:tc>
        <w:tc>
          <w:tcPr>
            <w:tcW w:w="1275" w:type="dxa"/>
            <w:tcBorders>
              <w:top w:val="single" w:sz="4" w:space="0" w:color="auto"/>
              <w:left w:val="single" w:sz="4" w:space="0" w:color="auto"/>
              <w:bottom w:val="single" w:sz="4" w:space="0" w:color="auto"/>
              <w:right w:val="single" w:sz="4" w:space="0" w:color="auto"/>
            </w:tcBorders>
            <w:hideMark/>
          </w:tcPr>
          <w:p w14:paraId="3E12580C"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Control</w:t>
            </w:r>
          </w:p>
        </w:tc>
        <w:tc>
          <w:tcPr>
            <w:tcW w:w="1418" w:type="dxa"/>
            <w:tcBorders>
              <w:top w:val="single" w:sz="4" w:space="0" w:color="auto"/>
              <w:left w:val="single" w:sz="4" w:space="0" w:color="auto"/>
              <w:bottom w:val="single" w:sz="4" w:space="0" w:color="auto"/>
              <w:right w:val="single" w:sz="4" w:space="0" w:color="auto"/>
            </w:tcBorders>
            <w:hideMark/>
          </w:tcPr>
          <w:p w14:paraId="60C89E0C"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Treatment (TN)</w:t>
            </w:r>
          </w:p>
        </w:tc>
        <w:tc>
          <w:tcPr>
            <w:tcW w:w="2126" w:type="dxa"/>
            <w:tcBorders>
              <w:top w:val="single" w:sz="4" w:space="0" w:color="auto"/>
              <w:left w:val="single" w:sz="4" w:space="0" w:color="auto"/>
              <w:bottom w:val="single" w:sz="4" w:space="0" w:color="auto"/>
              <w:right w:val="single" w:sz="4" w:space="0" w:color="auto"/>
            </w:tcBorders>
            <w:hideMark/>
          </w:tcPr>
          <w:p w14:paraId="0B641C76"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 of increase or decrease by TN compared to control</w:t>
            </w:r>
          </w:p>
        </w:tc>
      </w:tr>
      <w:tr w:rsidR="00B24143" w:rsidRPr="0066543C" w14:paraId="61978ABE"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37208A31"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Plant height(cm)</w:t>
            </w:r>
          </w:p>
        </w:tc>
        <w:tc>
          <w:tcPr>
            <w:tcW w:w="1275" w:type="dxa"/>
            <w:tcBorders>
              <w:top w:val="single" w:sz="4" w:space="0" w:color="auto"/>
              <w:left w:val="single" w:sz="4" w:space="0" w:color="auto"/>
              <w:bottom w:val="single" w:sz="4" w:space="0" w:color="auto"/>
              <w:right w:val="single" w:sz="4" w:space="0" w:color="auto"/>
            </w:tcBorders>
            <w:hideMark/>
          </w:tcPr>
          <w:p w14:paraId="76624C9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13.5</w:t>
            </w:r>
          </w:p>
        </w:tc>
        <w:tc>
          <w:tcPr>
            <w:tcW w:w="1418" w:type="dxa"/>
            <w:tcBorders>
              <w:top w:val="single" w:sz="4" w:space="0" w:color="auto"/>
              <w:left w:val="single" w:sz="4" w:space="0" w:color="auto"/>
              <w:bottom w:val="single" w:sz="4" w:space="0" w:color="auto"/>
              <w:right w:val="single" w:sz="4" w:space="0" w:color="auto"/>
            </w:tcBorders>
            <w:hideMark/>
          </w:tcPr>
          <w:p w14:paraId="3421586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16.5</w:t>
            </w:r>
          </w:p>
        </w:tc>
        <w:tc>
          <w:tcPr>
            <w:tcW w:w="2126" w:type="dxa"/>
            <w:tcBorders>
              <w:top w:val="single" w:sz="4" w:space="0" w:color="auto"/>
              <w:left w:val="single" w:sz="4" w:space="0" w:color="auto"/>
              <w:bottom w:val="single" w:sz="4" w:space="0" w:color="auto"/>
              <w:right w:val="single" w:sz="4" w:space="0" w:color="auto"/>
            </w:tcBorders>
            <w:hideMark/>
          </w:tcPr>
          <w:p w14:paraId="7E496AEA"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40</w:t>
            </w:r>
          </w:p>
        </w:tc>
      </w:tr>
      <w:tr w:rsidR="00B24143" w:rsidRPr="0066543C" w14:paraId="639D0C4E"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0DB27F0E"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Root length (cm)</w:t>
            </w:r>
          </w:p>
        </w:tc>
        <w:tc>
          <w:tcPr>
            <w:tcW w:w="1275" w:type="dxa"/>
            <w:tcBorders>
              <w:top w:val="single" w:sz="4" w:space="0" w:color="auto"/>
              <w:left w:val="single" w:sz="4" w:space="0" w:color="auto"/>
              <w:bottom w:val="single" w:sz="4" w:space="0" w:color="auto"/>
              <w:right w:val="single" w:sz="4" w:space="0" w:color="auto"/>
            </w:tcBorders>
            <w:hideMark/>
          </w:tcPr>
          <w:p w14:paraId="13C1025F"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3.2</w:t>
            </w:r>
          </w:p>
        </w:tc>
        <w:tc>
          <w:tcPr>
            <w:tcW w:w="1418" w:type="dxa"/>
            <w:tcBorders>
              <w:top w:val="single" w:sz="4" w:space="0" w:color="auto"/>
              <w:left w:val="single" w:sz="4" w:space="0" w:color="auto"/>
              <w:bottom w:val="single" w:sz="4" w:space="0" w:color="auto"/>
              <w:right w:val="single" w:sz="4" w:space="0" w:color="auto"/>
            </w:tcBorders>
            <w:hideMark/>
          </w:tcPr>
          <w:p w14:paraId="6E84B885"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4.2</w:t>
            </w:r>
          </w:p>
        </w:tc>
        <w:tc>
          <w:tcPr>
            <w:tcW w:w="2126" w:type="dxa"/>
            <w:tcBorders>
              <w:top w:val="single" w:sz="4" w:space="0" w:color="auto"/>
              <w:left w:val="single" w:sz="4" w:space="0" w:color="auto"/>
              <w:bottom w:val="single" w:sz="4" w:space="0" w:color="auto"/>
              <w:right w:val="single" w:sz="4" w:space="0" w:color="auto"/>
            </w:tcBorders>
            <w:hideMark/>
          </w:tcPr>
          <w:p w14:paraId="74A7C77D"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49</w:t>
            </w:r>
          </w:p>
        </w:tc>
      </w:tr>
      <w:tr w:rsidR="00B24143" w:rsidRPr="0066543C" w14:paraId="4749149C"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1AEDFCF5"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fresh shoot (g)</w:t>
            </w:r>
          </w:p>
        </w:tc>
        <w:tc>
          <w:tcPr>
            <w:tcW w:w="1275" w:type="dxa"/>
            <w:tcBorders>
              <w:top w:val="single" w:sz="4" w:space="0" w:color="auto"/>
              <w:left w:val="single" w:sz="4" w:space="0" w:color="auto"/>
              <w:bottom w:val="single" w:sz="4" w:space="0" w:color="auto"/>
              <w:right w:val="single" w:sz="4" w:space="0" w:color="auto"/>
            </w:tcBorders>
            <w:hideMark/>
          </w:tcPr>
          <w:p w14:paraId="370DF6B5"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0.16</w:t>
            </w:r>
          </w:p>
        </w:tc>
        <w:tc>
          <w:tcPr>
            <w:tcW w:w="1418" w:type="dxa"/>
            <w:tcBorders>
              <w:top w:val="single" w:sz="4" w:space="0" w:color="auto"/>
              <w:left w:val="single" w:sz="4" w:space="0" w:color="auto"/>
              <w:bottom w:val="single" w:sz="4" w:space="0" w:color="auto"/>
              <w:right w:val="single" w:sz="4" w:space="0" w:color="auto"/>
            </w:tcBorders>
            <w:hideMark/>
          </w:tcPr>
          <w:p w14:paraId="2DBE3DF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0.20</w:t>
            </w:r>
          </w:p>
        </w:tc>
        <w:tc>
          <w:tcPr>
            <w:tcW w:w="2126" w:type="dxa"/>
            <w:tcBorders>
              <w:top w:val="single" w:sz="4" w:space="0" w:color="auto"/>
              <w:left w:val="single" w:sz="4" w:space="0" w:color="auto"/>
              <w:bottom w:val="single" w:sz="4" w:space="0" w:color="auto"/>
              <w:right w:val="single" w:sz="4" w:space="0" w:color="auto"/>
            </w:tcBorders>
            <w:hideMark/>
          </w:tcPr>
          <w:p w14:paraId="765C201E"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42</w:t>
            </w:r>
          </w:p>
        </w:tc>
      </w:tr>
      <w:tr w:rsidR="00B24143" w:rsidRPr="0066543C" w14:paraId="3B45188B"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59A88C4C"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lastRenderedPageBreak/>
              <w:t>Weight of dry shoot (g)</w:t>
            </w:r>
          </w:p>
        </w:tc>
        <w:tc>
          <w:tcPr>
            <w:tcW w:w="1275" w:type="dxa"/>
            <w:tcBorders>
              <w:top w:val="single" w:sz="4" w:space="0" w:color="auto"/>
              <w:left w:val="single" w:sz="4" w:space="0" w:color="auto"/>
              <w:bottom w:val="single" w:sz="4" w:space="0" w:color="auto"/>
              <w:right w:val="single" w:sz="4" w:space="0" w:color="auto"/>
            </w:tcBorders>
            <w:hideMark/>
          </w:tcPr>
          <w:p w14:paraId="321B2178"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0.05</w:t>
            </w:r>
          </w:p>
        </w:tc>
        <w:tc>
          <w:tcPr>
            <w:tcW w:w="1418" w:type="dxa"/>
            <w:tcBorders>
              <w:top w:val="single" w:sz="4" w:space="0" w:color="auto"/>
              <w:left w:val="single" w:sz="4" w:space="0" w:color="auto"/>
              <w:bottom w:val="single" w:sz="4" w:space="0" w:color="auto"/>
              <w:right w:val="single" w:sz="4" w:space="0" w:color="auto"/>
            </w:tcBorders>
            <w:hideMark/>
          </w:tcPr>
          <w:p w14:paraId="55DFB49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0.10</w:t>
            </w:r>
          </w:p>
        </w:tc>
        <w:tc>
          <w:tcPr>
            <w:tcW w:w="2126" w:type="dxa"/>
            <w:tcBorders>
              <w:top w:val="single" w:sz="4" w:space="0" w:color="auto"/>
              <w:left w:val="single" w:sz="4" w:space="0" w:color="auto"/>
              <w:bottom w:val="single" w:sz="4" w:space="0" w:color="auto"/>
              <w:right w:val="single" w:sz="4" w:space="0" w:color="auto"/>
            </w:tcBorders>
            <w:hideMark/>
          </w:tcPr>
          <w:p w14:paraId="0220B17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97</w:t>
            </w:r>
          </w:p>
        </w:tc>
      </w:tr>
      <w:tr w:rsidR="00B24143" w:rsidRPr="0066543C" w14:paraId="37E2085E"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64CB5F11"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fresh root (g)</w:t>
            </w:r>
          </w:p>
        </w:tc>
        <w:tc>
          <w:tcPr>
            <w:tcW w:w="1275" w:type="dxa"/>
            <w:tcBorders>
              <w:top w:val="single" w:sz="4" w:space="0" w:color="auto"/>
              <w:left w:val="single" w:sz="4" w:space="0" w:color="auto"/>
              <w:bottom w:val="single" w:sz="4" w:space="0" w:color="auto"/>
              <w:right w:val="single" w:sz="4" w:space="0" w:color="auto"/>
            </w:tcBorders>
            <w:hideMark/>
          </w:tcPr>
          <w:p w14:paraId="690B0676"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0.24</w:t>
            </w:r>
          </w:p>
        </w:tc>
        <w:tc>
          <w:tcPr>
            <w:tcW w:w="1418" w:type="dxa"/>
            <w:tcBorders>
              <w:top w:val="single" w:sz="4" w:space="0" w:color="auto"/>
              <w:left w:val="single" w:sz="4" w:space="0" w:color="auto"/>
              <w:bottom w:val="single" w:sz="4" w:space="0" w:color="auto"/>
              <w:right w:val="single" w:sz="4" w:space="0" w:color="auto"/>
            </w:tcBorders>
            <w:hideMark/>
          </w:tcPr>
          <w:p w14:paraId="6703BD4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0.40</w:t>
            </w:r>
          </w:p>
        </w:tc>
        <w:tc>
          <w:tcPr>
            <w:tcW w:w="2126" w:type="dxa"/>
            <w:tcBorders>
              <w:top w:val="single" w:sz="4" w:space="0" w:color="auto"/>
              <w:left w:val="single" w:sz="4" w:space="0" w:color="auto"/>
              <w:bottom w:val="single" w:sz="4" w:space="0" w:color="auto"/>
              <w:right w:val="single" w:sz="4" w:space="0" w:color="auto"/>
            </w:tcBorders>
            <w:hideMark/>
          </w:tcPr>
          <w:p w14:paraId="1582040C"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70</w:t>
            </w:r>
          </w:p>
        </w:tc>
      </w:tr>
      <w:tr w:rsidR="00B24143" w:rsidRPr="0066543C" w14:paraId="05C9E088" w14:textId="77777777" w:rsidTr="00980E4B">
        <w:trPr>
          <w:jc w:val="center"/>
        </w:trPr>
        <w:tc>
          <w:tcPr>
            <w:tcW w:w="2689" w:type="dxa"/>
            <w:tcBorders>
              <w:top w:val="single" w:sz="4" w:space="0" w:color="auto"/>
              <w:left w:val="single" w:sz="4" w:space="0" w:color="auto"/>
              <w:bottom w:val="single" w:sz="4" w:space="0" w:color="auto"/>
              <w:right w:val="single" w:sz="4" w:space="0" w:color="auto"/>
            </w:tcBorders>
            <w:hideMark/>
          </w:tcPr>
          <w:p w14:paraId="7567C6FA" w14:textId="77777777" w:rsidR="00B24143" w:rsidRPr="0066543C" w:rsidRDefault="00B24143" w:rsidP="00497C5F">
            <w:pPr>
              <w:spacing w:after="160" w:line="278" w:lineRule="auto"/>
              <w:jc w:val="center"/>
              <w:rPr>
                <w:rFonts w:ascii="Arial" w:hAnsi="Arial" w:cs="Arial"/>
                <w:b/>
                <w:bCs/>
                <w:sz w:val="20"/>
                <w:szCs w:val="20"/>
              </w:rPr>
            </w:pPr>
            <w:r w:rsidRPr="0066543C">
              <w:rPr>
                <w:rFonts w:ascii="Arial" w:hAnsi="Arial" w:cs="Arial"/>
                <w:b/>
                <w:bCs/>
                <w:sz w:val="20"/>
                <w:szCs w:val="20"/>
              </w:rPr>
              <w:t>Weight of dry root (g)</w:t>
            </w:r>
          </w:p>
        </w:tc>
        <w:tc>
          <w:tcPr>
            <w:tcW w:w="1275" w:type="dxa"/>
            <w:tcBorders>
              <w:top w:val="single" w:sz="4" w:space="0" w:color="auto"/>
              <w:left w:val="single" w:sz="4" w:space="0" w:color="auto"/>
              <w:bottom w:val="single" w:sz="4" w:space="0" w:color="auto"/>
              <w:right w:val="single" w:sz="4" w:space="0" w:color="auto"/>
            </w:tcBorders>
            <w:hideMark/>
          </w:tcPr>
          <w:p w14:paraId="294953F1"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0.065</w:t>
            </w:r>
          </w:p>
        </w:tc>
        <w:tc>
          <w:tcPr>
            <w:tcW w:w="1418" w:type="dxa"/>
            <w:tcBorders>
              <w:top w:val="single" w:sz="4" w:space="0" w:color="auto"/>
              <w:left w:val="single" w:sz="4" w:space="0" w:color="auto"/>
              <w:bottom w:val="single" w:sz="4" w:space="0" w:color="auto"/>
              <w:right w:val="single" w:sz="4" w:space="0" w:color="auto"/>
            </w:tcBorders>
            <w:hideMark/>
          </w:tcPr>
          <w:p w14:paraId="7D260669"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0.14</w:t>
            </w:r>
          </w:p>
        </w:tc>
        <w:tc>
          <w:tcPr>
            <w:tcW w:w="2126" w:type="dxa"/>
            <w:tcBorders>
              <w:top w:val="single" w:sz="4" w:space="0" w:color="auto"/>
              <w:left w:val="single" w:sz="4" w:space="0" w:color="auto"/>
              <w:bottom w:val="single" w:sz="4" w:space="0" w:color="auto"/>
              <w:right w:val="single" w:sz="4" w:space="0" w:color="auto"/>
            </w:tcBorders>
            <w:hideMark/>
          </w:tcPr>
          <w:p w14:paraId="36D0DD63" w14:textId="77777777" w:rsidR="00B24143" w:rsidRPr="0066543C" w:rsidRDefault="00B24143" w:rsidP="00497C5F">
            <w:pPr>
              <w:spacing w:after="160" w:line="278" w:lineRule="auto"/>
              <w:jc w:val="center"/>
              <w:rPr>
                <w:rFonts w:ascii="Arial" w:hAnsi="Arial" w:cs="Arial"/>
                <w:sz w:val="20"/>
                <w:szCs w:val="20"/>
              </w:rPr>
            </w:pPr>
            <w:r w:rsidRPr="0066543C">
              <w:rPr>
                <w:rFonts w:ascii="Arial" w:hAnsi="Arial" w:cs="Arial"/>
                <w:sz w:val="20"/>
                <w:szCs w:val="20"/>
              </w:rPr>
              <w:t>112</w:t>
            </w:r>
          </w:p>
        </w:tc>
      </w:tr>
    </w:tbl>
    <w:p w14:paraId="2CB77269" w14:textId="533A69B1" w:rsidR="00B24143" w:rsidRPr="0066543C" w:rsidRDefault="000827D9" w:rsidP="00B24143">
      <w:pPr>
        <w:jc w:val="both"/>
        <w:rPr>
          <w:rFonts w:ascii="Arial" w:hAnsi="Arial" w:cs="Arial"/>
          <w:b/>
          <w:bCs/>
          <w:color w:val="000000" w:themeColor="text1"/>
          <w:sz w:val="20"/>
          <w:szCs w:val="20"/>
        </w:rPr>
      </w:pPr>
      <w:r w:rsidRPr="0066543C">
        <w:rPr>
          <w:rFonts w:ascii="Arial" w:hAnsi="Arial" w:cs="Arial"/>
          <w:noProof/>
          <w:lang w:eastAsia="en-IN"/>
        </w:rPr>
        <mc:AlternateContent>
          <mc:Choice Requires="wps">
            <w:drawing>
              <wp:anchor distT="0" distB="0" distL="114300" distR="114300" simplePos="0" relativeHeight="251680768" behindDoc="0" locked="0" layoutInCell="1" allowOverlap="1" wp14:anchorId="7EBFA9B8" wp14:editId="7E8B4E46">
                <wp:simplePos x="0" y="0"/>
                <wp:positionH relativeFrom="column">
                  <wp:posOffset>876877</wp:posOffset>
                </wp:positionH>
                <wp:positionV relativeFrom="paragraph">
                  <wp:posOffset>614045</wp:posOffset>
                </wp:positionV>
                <wp:extent cx="340995" cy="283210"/>
                <wp:effectExtent l="0" t="0" r="20955" b="21590"/>
                <wp:wrapNone/>
                <wp:docPr id="1693835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83210"/>
                        </a:xfrm>
                        <a:prstGeom prst="rect">
                          <a:avLst/>
                        </a:prstGeom>
                        <a:solidFill>
                          <a:srgbClr val="FFFFFF"/>
                        </a:solidFill>
                        <a:ln w="9525">
                          <a:solidFill>
                            <a:srgbClr val="000000"/>
                          </a:solidFill>
                          <a:miter lim="800000"/>
                          <a:headEnd/>
                          <a:tailEnd/>
                        </a:ln>
                      </wps:spPr>
                      <wps:txbx>
                        <w:txbxContent>
                          <w:p w14:paraId="1EBE33AB" w14:textId="77777777" w:rsidR="006C23A6" w:rsidRPr="0009740A" w:rsidRDefault="006C23A6" w:rsidP="006C23A6">
                            <w:pPr>
                              <w:rPr>
                                <w:rFonts w:ascii="Times New Roman" w:hAnsi="Times New Roman" w:cs="Times New Roman"/>
                                <w:b/>
                                <w:bCs/>
                              </w:rPr>
                            </w:pPr>
                            <w:r w:rsidRPr="0009740A">
                              <w:rPr>
                                <w:rFonts w:ascii="Times New Roman" w:hAnsi="Times New Roman" w:cs="Times New Roman"/>
                                <w:b/>
                                <w:bCs/>
                              </w:rPr>
                              <w:t>A</w:t>
                            </w:r>
                          </w:p>
                        </w:txbxContent>
                      </wps:txbx>
                      <wps:bodyPr rot="0" vert="horz" wrap="square" lIns="91440" tIns="45720" rIns="91440" bIns="45720" anchor="t" anchorCtr="0">
                        <a:noAutofit/>
                      </wps:bodyPr>
                    </wps:wsp>
                  </a:graphicData>
                </a:graphic>
              </wp:anchor>
            </w:drawing>
          </mc:Choice>
          <mc:Fallback>
            <w:pict>
              <v:shape w14:anchorId="7EBFA9B8" id="Text Box 2" o:spid="_x0000_s1035" type="#_x0000_t202" style="position:absolute;left:0;text-align:left;margin-left:69.05pt;margin-top:48.35pt;width:26.85pt;height:22.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">
                <v:textbox>
                  <w:txbxContent>
                    <w:p w14:paraId="1EBE33AB" w14:textId="77777777" w:rsidR="006C23A6" w:rsidRPr="0009740A" w:rsidRDefault="006C23A6" w:rsidP="006C23A6">
                      <w:pPr>
                        <w:rPr>
                          <w:rFonts w:ascii="Times New Roman" w:hAnsi="Times New Roman" w:cs="Times New Roman"/>
                          <w:b/>
                          <w:bCs/>
                        </w:rPr>
                      </w:pPr>
                      <w:r w:rsidRPr="0009740A">
                        <w:rPr>
                          <w:rFonts w:ascii="Times New Roman" w:hAnsi="Times New Roman" w:cs="Times New Roman"/>
                          <w:b/>
                          <w:bCs/>
                        </w:rPr>
                        <w:t>A</w:t>
                      </w:r>
                    </w:p>
                  </w:txbxContent>
                </v:textbox>
              </v:shape>
            </w:pict>
          </mc:Fallback>
        </mc:AlternateContent>
      </w:r>
      <w:r w:rsidRPr="0066543C">
        <w:rPr>
          <w:rFonts w:ascii="Arial" w:hAnsi="Arial" w:cs="Arial"/>
          <w:noProof/>
          <w:lang w:eastAsia="en-IN"/>
        </w:rPr>
        <w:drawing>
          <wp:anchor distT="0" distB="0" distL="114300" distR="114300" simplePos="0" relativeHeight="251675648" behindDoc="0" locked="0" layoutInCell="1" allowOverlap="1" wp14:anchorId="4C0F743C" wp14:editId="37B243F4">
            <wp:simplePos x="0" y="0"/>
            <wp:positionH relativeFrom="column">
              <wp:posOffset>892810</wp:posOffset>
            </wp:positionH>
            <wp:positionV relativeFrom="paragraph">
              <wp:posOffset>619818</wp:posOffset>
            </wp:positionV>
            <wp:extent cx="1641475" cy="1371600"/>
            <wp:effectExtent l="190500" t="190500" r="187325" b="190500"/>
            <wp:wrapTopAndBottom/>
            <wp:docPr id="1432855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1475" cy="1371600"/>
                    </a:xfrm>
                    <a:prstGeom prst="rect">
                      <a:avLst/>
                    </a:prstGeom>
                    <a:ln>
                      <a:solidFill>
                        <a:schemeClr val="tx1"/>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6543C">
        <w:rPr>
          <w:rFonts w:ascii="Arial" w:hAnsi="Arial" w:cs="Arial"/>
          <w:noProof/>
          <w:lang w:eastAsia="en-IN"/>
        </w:rPr>
        <mc:AlternateContent>
          <mc:Choice Requires="wps">
            <w:drawing>
              <wp:anchor distT="0" distB="0" distL="114300" distR="114300" simplePos="0" relativeHeight="251682816" behindDoc="0" locked="0" layoutInCell="1" allowOverlap="1" wp14:anchorId="4AAAC04E" wp14:editId="646571A8">
                <wp:simplePos x="0" y="0"/>
                <wp:positionH relativeFrom="column">
                  <wp:posOffset>3269615</wp:posOffset>
                </wp:positionH>
                <wp:positionV relativeFrom="paragraph">
                  <wp:posOffset>609658</wp:posOffset>
                </wp:positionV>
                <wp:extent cx="340995" cy="283210"/>
                <wp:effectExtent l="0" t="0" r="20955" b="21590"/>
                <wp:wrapNone/>
                <wp:docPr id="53215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83210"/>
                        </a:xfrm>
                        <a:prstGeom prst="rect">
                          <a:avLst/>
                        </a:prstGeom>
                        <a:solidFill>
                          <a:srgbClr val="FFFFFF"/>
                        </a:solidFill>
                        <a:ln w="9525">
                          <a:solidFill>
                            <a:srgbClr val="000000"/>
                          </a:solidFill>
                          <a:miter lim="800000"/>
                          <a:headEnd/>
                          <a:tailEnd/>
                        </a:ln>
                      </wps:spPr>
                      <wps:txbx>
                        <w:txbxContent>
                          <w:p w14:paraId="78765742" w14:textId="67A1BD64" w:rsidR="006C23A6" w:rsidRPr="0009740A" w:rsidRDefault="006C23A6" w:rsidP="006C23A6">
                            <w:pPr>
                              <w:rPr>
                                <w:rFonts w:ascii="Times New Roman" w:hAnsi="Times New Roman" w:cs="Times New Roman"/>
                                <w:b/>
                                <w:bCs/>
                              </w:rPr>
                            </w:pPr>
                            <w:r>
                              <w:rPr>
                                <w:rFonts w:ascii="Times New Roman" w:hAnsi="Times New Roman" w:cs="Times New Roman"/>
                                <w:b/>
                                <w:bCs/>
                              </w:rPr>
                              <w:t>B</w:t>
                            </w:r>
                          </w:p>
                        </w:txbxContent>
                      </wps:txbx>
                      <wps:bodyPr rot="0" vert="horz" wrap="square" lIns="91440" tIns="45720" rIns="91440" bIns="45720" anchor="t" anchorCtr="0">
                        <a:noAutofit/>
                      </wps:bodyPr>
                    </wps:wsp>
                  </a:graphicData>
                </a:graphic>
              </wp:anchor>
            </w:drawing>
          </mc:Choice>
          <mc:Fallback>
            <w:pict>
              <v:shape w14:anchorId="4AAAC04E" id="_x0000_s1036" type="#_x0000_t202" style="position:absolute;left:0;text-align:left;margin-left:257.45pt;margin-top:48pt;width:26.85pt;height:22.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">
                <v:textbox>
                  <w:txbxContent>
                    <w:p w14:paraId="78765742" w14:textId="67A1BD64" w:rsidR="006C23A6" w:rsidRPr="0009740A" w:rsidRDefault="006C23A6" w:rsidP="006C23A6">
                      <w:pPr>
                        <w:rPr>
                          <w:rFonts w:ascii="Times New Roman" w:hAnsi="Times New Roman" w:cs="Times New Roman"/>
                          <w:b/>
                          <w:bCs/>
                        </w:rPr>
                      </w:pPr>
                      <w:r>
                        <w:rPr>
                          <w:rFonts w:ascii="Times New Roman" w:hAnsi="Times New Roman" w:cs="Times New Roman"/>
                          <w:b/>
                          <w:bCs/>
                        </w:rPr>
                        <w:t>B</w:t>
                      </w:r>
                    </w:p>
                  </w:txbxContent>
                </v:textbox>
              </v:shape>
            </w:pict>
          </mc:Fallback>
        </mc:AlternateContent>
      </w:r>
      <w:r w:rsidRPr="0066543C">
        <w:rPr>
          <w:rFonts w:ascii="Arial" w:hAnsi="Arial" w:cs="Arial"/>
          <w:noProof/>
          <w:lang w:eastAsia="en-IN"/>
        </w:rPr>
        <w:drawing>
          <wp:anchor distT="0" distB="0" distL="114300" distR="114300" simplePos="0" relativeHeight="251677696" behindDoc="0" locked="0" layoutInCell="1" allowOverlap="1" wp14:anchorId="5B4EBEB3" wp14:editId="02F58358">
            <wp:simplePos x="0" y="0"/>
            <wp:positionH relativeFrom="column">
              <wp:posOffset>3270250</wp:posOffset>
            </wp:positionH>
            <wp:positionV relativeFrom="paragraph">
              <wp:posOffset>627322</wp:posOffset>
            </wp:positionV>
            <wp:extent cx="1562100" cy="1416050"/>
            <wp:effectExtent l="19050" t="19050" r="19050" b="12700"/>
            <wp:wrapTopAndBottom/>
            <wp:docPr id="1238915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100" cy="1416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24143" w:rsidRPr="0066543C">
        <w:rPr>
          <w:rFonts w:ascii="Arial" w:hAnsi="Arial" w:cs="Arial"/>
          <w:b/>
          <w:bCs/>
          <w:sz w:val="20"/>
          <w:szCs w:val="20"/>
          <w:lang w:bidi="en-IN"/>
        </w:rPr>
        <w:t xml:space="preserve">Table 4. Comparative study of the effects of </w:t>
      </w:r>
      <w:r w:rsidR="00B24143" w:rsidRPr="0066543C">
        <w:rPr>
          <w:rFonts w:ascii="Arial" w:hAnsi="Arial" w:cs="Arial"/>
          <w:b/>
          <w:bCs/>
          <w:i/>
          <w:iCs/>
          <w:color w:val="000000" w:themeColor="text1"/>
          <w:sz w:val="20"/>
          <w:szCs w:val="20"/>
        </w:rPr>
        <w:t>Leptolyngbya sp.</w:t>
      </w:r>
      <w:r w:rsidR="00B24143" w:rsidRPr="0066543C">
        <w:rPr>
          <w:rFonts w:ascii="Arial" w:hAnsi="Arial" w:cs="Arial"/>
          <w:b/>
          <w:bCs/>
          <w:sz w:val="20"/>
          <w:szCs w:val="20"/>
          <w:lang w:bidi="en-IN"/>
        </w:rPr>
        <w:t xml:space="preserve"> inoculant on rice plant and soil </w:t>
      </w:r>
      <w:r w:rsidR="00B24143" w:rsidRPr="0066543C">
        <w:rPr>
          <w:rFonts w:ascii="Arial" w:hAnsi="Arial" w:cs="Arial"/>
          <w:b/>
          <w:bCs/>
          <w:color w:val="000000" w:themeColor="text1"/>
          <w:sz w:val="20"/>
          <w:szCs w:val="20"/>
        </w:rPr>
        <w:t xml:space="preserve">as Control (C) and treatment with </w:t>
      </w:r>
      <w:r w:rsidR="00B24143" w:rsidRPr="0066543C">
        <w:rPr>
          <w:rFonts w:ascii="Arial" w:hAnsi="Arial" w:cs="Arial"/>
          <w:b/>
          <w:bCs/>
          <w:i/>
          <w:iCs/>
          <w:color w:val="000000" w:themeColor="text1"/>
          <w:sz w:val="20"/>
          <w:szCs w:val="20"/>
        </w:rPr>
        <w:t>Leptolyngbya sp.</w:t>
      </w:r>
      <w:r w:rsidR="00B24143" w:rsidRPr="0066543C">
        <w:rPr>
          <w:rFonts w:ascii="Arial" w:hAnsi="Arial" w:cs="Arial"/>
          <w:b/>
          <w:bCs/>
          <w:color w:val="000000" w:themeColor="text1"/>
          <w:sz w:val="20"/>
          <w:szCs w:val="20"/>
        </w:rPr>
        <w:t xml:space="preserve"> (TN).</w:t>
      </w:r>
    </w:p>
    <w:p w14:paraId="4841D914" w14:textId="5DB76755" w:rsidR="006C23A6" w:rsidRPr="0066543C" w:rsidRDefault="006C23A6" w:rsidP="00B24143">
      <w:pPr>
        <w:jc w:val="both"/>
        <w:rPr>
          <w:rFonts w:ascii="Arial" w:hAnsi="Arial" w:cs="Arial"/>
          <w:b/>
          <w:bCs/>
        </w:rPr>
      </w:pPr>
    </w:p>
    <w:p w14:paraId="68429F62" w14:textId="7FB870C3" w:rsidR="00B24143" w:rsidRPr="0066543C" w:rsidRDefault="00B24143" w:rsidP="00B24143">
      <w:pPr>
        <w:jc w:val="both"/>
        <w:rPr>
          <w:rFonts w:ascii="Arial" w:hAnsi="Arial" w:cs="Arial"/>
          <w:b/>
          <w:bCs/>
          <w:sz w:val="20"/>
          <w:szCs w:val="20"/>
        </w:rPr>
      </w:pPr>
      <w:r w:rsidRPr="0066543C">
        <w:rPr>
          <w:rFonts w:ascii="Arial" w:hAnsi="Arial" w:cs="Arial"/>
          <w:b/>
          <w:bCs/>
          <w:sz w:val="20"/>
          <w:szCs w:val="20"/>
        </w:rPr>
        <w:t>Figure 1</w:t>
      </w:r>
      <w:r w:rsidR="00E3244A">
        <w:rPr>
          <w:rFonts w:ascii="Arial" w:hAnsi="Arial" w:cs="Arial"/>
          <w:b/>
          <w:bCs/>
          <w:sz w:val="20"/>
          <w:szCs w:val="20"/>
        </w:rPr>
        <w:t>0.</w:t>
      </w:r>
      <w:r w:rsidRPr="0066543C">
        <w:rPr>
          <w:rFonts w:ascii="Arial" w:hAnsi="Arial" w:cs="Arial"/>
          <w:b/>
          <w:bCs/>
          <w:sz w:val="20"/>
          <w:szCs w:val="20"/>
        </w:rPr>
        <w:t xml:space="preserve"> </w:t>
      </w:r>
      <w:r w:rsidR="006E1CF1" w:rsidRPr="0066543C">
        <w:rPr>
          <w:rFonts w:ascii="Arial" w:hAnsi="Arial" w:cs="Arial"/>
          <w:b/>
          <w:bCs/>
          <w:sz w:val="20"/>
          <w:szCs w:val="20"/>
        </w:rPr>
        <w:t xml:space="preserve">Pot assay after three weeks </w:t>
      </w:r>
      <w:r w:rsidRPr="0066543C">
        <w:rPr>
          <w:rFonts w:ascii="Arial" w:hAnsi="Arial" w:cs="Arial"/>
          <w:b/>
          <w:bCs/>
          <w:sz w:val="20"/>
          <w:szCs w:val="20"/>
        </w:rPr>
        <w:t>A) Control pot (without cyanobacteria), B) Treatment pot (T</w:t>
      </w:r>
      <w:r w:rsidR="00584822" w:rsidRPr="0066543C">
        <w:rPr>
          <w:rFonts w:ascii="Arial" w:hAnsi="Arial" w:cs="Arial"/>
          <w:b/>
          <w:bCs/>
          <w:sz w:val="20"/>
          <w:szCs w:val="20"/>
        </w:rPr>
        <w:t>N</w:t>
      </w:r>
      <w:r w:rsidRPr="0066543C">
        <w:rPr>
          <w:rFonts w:ascii="Arial" w:hAnsi="Arial" w:cs="Arial"/>
          <w:b/>
          <w:bCs/>
          <w:sz w:val="20"/>
          <w:szCs w:val="20"/>
        </w:rPr>
        <w:t xml:space="preserve">) with </w:t>
      </w:r>
      <w:r w:rsidRPr="0066543C">
        <w:rPr>
          <w:rFonts w:ascii="Arial" w:hAnsi="Arial" w:cs="Arial"/>
          <w:b/>
          <w:bCs/>
          <w:i/>
          <w:iCs/>
          <w:sz w:val="20"/>
          <w:szCs w:val="20"/>
        </w:rPr>
        <w:t>Leptolyngbya sp</w:t>
      </w:r>
      <w:r w:rsidRPr="0066543C">
        <w:rPr>
          <w:rFonts w:ascii="Arial" w:hAnsi="Arial" w:cs="Arial"/>
          <w:b/>
          <w:bCs/>
          <w:sz w:val="20"/>
          <w:szCs w:val="20"/>
        </w:rPr>
        <w:t>.</w:t>
      </w:r>
      <w:r w:rsidR="006C23A6" w:rsidRPr="0066543C">
        <w:rPr>
          <w:rFonts w:ascii="Arial" w:hAnsi="Arial" w:cs="Arial"/>
          <w:b/>
          <w:bCs/>
          <w:sz w:val="20"/>
          <w:szCs w:val="20"/>
        </w:rPr>
        <w:t xml:space="preserve"> </w:t>
      </w:r>
    </w:p>
    <w:p w14:paraId="542B0084" w14:textId="77777777" w:rsidR="00B24143" w:rsidRPr="0066543C" w:rsidRDefault="00B24143" w:rsidP="00B24143">
      <w:pPr>
        <w:jc w:val="both"/>
        <w:rPr>
          <w:rFonts w:ascii="Arial" w:hAnsi="Arial" w:cs="Arial"/>
          <w:b/>
          <w:bCs/>
          <w:color w:val="000000" w:themeColor="text1"/>
          <w:sz w:val="20"/>
          <w:szCs w:val="20"/>
        </w:rPr>
      </w:pPr>
    </w:p>
    <w:p w14:paraId="14ACF80B" w14:textId="77777777" w:rsidR="00B24143" w:rsidRPr="0066543C" w:rsidRDefault="00B24143" w:rsidP="00B24143">
      <w:pPr>
        <w:spacing w:line="360" w:lineRule="auto"/>
        <w:jc w:val="both"/>
        <w:rPr>
          <w:rFonts w:ascii="Arial" w:hAnsi="Arial" w:cs="Arial"/>
          <w:b/>
          <w:bCs/>
          <w:color w:val="000000" w:themeColor="text1"/>
        </w:rPr>
      </w:pPr>
      <w:r w:rsidRPr="0066543C">
        <w:rPr>
          <w:rFonts w:ascii="Arial" w:hAnsi="Arial" w:cs="Arial"/>
          <w:b/>
          <w:bCs/>
          <w:color w:val="000000" w:themeColor="text1"/>
        </w:rPr>
        <w:t>DISCUSSION</w:t>
      </w:r>
    </w:p>
    <w:p w14:paraId="4AB485ED" w14:textId="77777777"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In this study, cyanobacteria (Blue-Green Algae, BGA) were isolated, identified, and mass-multiplied for use as inoculum in a pot experiment with rice. Soil pH, moisture, and cyanobacterial population were monitored across four seasons. The highest values for pH (6.8), soil moisture (43%), and cyanobacterial population (12–20 CFU/50 mL on A and B media) were recorded in spring, while the lowest values (pH 6.2, moisture 34%, 4–5 CFU/50 mL) were observed in winter (Pham et al.,2025).</w:t>
      </w:r>
    </w:p>
    <w:p w14:paraId="0A82BD54" w14:textId="62A3DC38"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Rice seeds treated with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exhibited faster germination compared to the control. Pot culture results demonstrated significant improvements in plant growth parameters: plant height increased by 40%, root length by 49%, fresh leaf and stem weight by 40%, fresh root weight by 49%, dry leaf and stem weight by 20%, dry root weight by 112%, and soil moisture by 75%. Statistical analysis revealed significant differences (P &lt; 0.05) between BGA-treated pots and the control, highlighting the efficacy of cyanobacterial inoculation in promoting rice growth and improving soil conditions </w:t>
      </w:r>
      <w:r w:rsidR="0049774C">
        <w:rPr>
          <w:rFonts w:ascii="Arial" w:hAnsi="Arial" w:cs="Arial"/>
          <w:color w:val="000000" w:themeColor="text1"/>
          <w:sz w:val="20"/>
          <w:szCs w:val="20"/>
        </w:rPr>
        <w:t>(</w:t>
      </w:r>
      <w:r w:rsidRPr="0066543C">
        <w:rPr>
          <w:rFonts w:ascii="Arial" w:hAnsi="Arial" w:cs="Arial"/>
          <w:color w:val="000000" w:themeColor="text1"/>
          <w:sz w:val="20"/>
          <w:szCs w:val="20"/>
        </w:rPr>
        <w:t>Subhashini &amp; Kaushik, 2013).</w:t>
      </w:r>
    </w:p>
    <w:p w14:paraId="54A5E607" w14:textId="5C91A8F5"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have emerged as versatile microorganisms capable of performing dual roles in sustainable agriculture: bioremediation of environmental pollutants and biofertilization of crops (Prasanna et al., 2016; Singh et al., 2016). </w:t>
      </w:r>
      <w:r w:rsidRPr="0066543C">
        <w:rPr>
          <w:rFonts w:ascii="Arial" w:hAnsi="Arial" w:cs="Arial"/>
          <w:sz w:val="20"/>
          <w:szCs w:val="20"/>
        </w:rPr>
        <w:t>In the context of organophosphorus (OP) compound contamination, the isolated cyanobacteria were found to be tolerant and was found to degrade OP residues, thereby reducing their persistence in soil and water</w:t>
      </w:r>
      <w:r w:rsidRPr="0066543C">
        <w:rPr>
          <w:rFonts w:ascii="Arial" w:hAnsi="Arial" w:cs="Arial"/>
          <w:color w:val="000000" w:themeColor="text1"/>
          <w:sz w:val="20"/>
          <w:szCs w:val="20"/>
        </w:rPr>
        <w:t xml:space="preserve"> (Tang et at., 2024; El-Sayed et al.,2022). </w:t>
      </w:r>
      <w:r w:rsidRPr="0066543C">
        <w:rPr>
          <w:rFonts w:ascii="Arial" w:hAnsi="Arial" w:cs="Arial"/>
          <w:sz w:val="20"/>
          <w:szCs w:val="20"/>
        </w:rPr>
        <w:t>The isolates demonstrated growth in media supplemented with chlorpyrifos, indicating their inherent tolerance to pesticide stress (Tang et al., 2024</w:t>
      </w:r>
      <w:r w:rsidR="0049774C">
        <w:rPr>
          <w:rFonts w:ascii="Arial" w:hAnsi="Arial" w:cs="Arial"/>
          <w:sz w:val="20"/>
          <w:szCs w:val="20"/>
        </w:rPr>
        <w:t xml:space="preserve">; </w:t>
      </w:r>
      <w:r w:rsidR="0049774C" w:rsidRPr="0066543C">
        <w:rPr>
          <w:rFonts w:ascii="Arial" w:hAnsi="Arial" w:cs="Arial"/>
          <w:sz w:val="20"/>
          <w:szCs w:val="20"/>
        </w:rPr>
        <w:t>Singh &amp; Khattar, 2011</w:t>
      </w:r>
      <w:r w:rsidRPr="0066543C">
        <w:rPr>
          <w:rFonts w:ascii="Arial" w:hAnsi="Arial" w:cs="Arial"/>
          <w:sz w:val="20"/>
          <w:szCs w:val="20"/>
        </w:rPr>
        <w:t xml:space="preserve">). This resilience may be attributed to their adaptive enzymatic systems and metabolic plasticity, which allow them to utilize </w:t>
      </w:r>
      <w:r w:rsidRPr="0066543C">
        <w:rPr>
          <w:rFonts w:ascii="Arial" w:hAnsi="Arial" w:cs="Arial"/>
          <w:sz w:val="20"/>
          <w:szCs w:val="20"/>
        </w:rPr>
        <w:lastRenderedPageBreak/>
        <w:t xml:space="preserve">xenobiotic compounds as alternative carbon or phosphorus sources under limited nutrient conditions </w:t>
      </w:r>
      <w:r w:rsidRPr="0066543C">
        <w:rPr>
          <w:rFonts w:ascii="Arial" w:hAnsi="Arial" w:cs="Arial"/>
          <w:color w:val="000000" w:themeColor="text1"/>
          <w:sz w:val="20"/>
          <w:szCs w:val="20"/>
        </w:rPr>
        <w:t xml:space="preserve">(Kumar et al., 2018; Ibrahim et al., 2014). Their enzymatic treatments, including </w:t>
      </w:r>
      <w:proofErr w:type="spellStart"/>
      <w:r w:rsidRPr="0066543C">
        <w:rPr>
          <w:rFonts w:ascii="Arial" w:hAnsi="Arial" w:cs="Arial"/>
          <w:color w:val="000000" w:themeColor="text1"/>
          <w:sz w:val="20"/>
          <w:szCs w:val="20"/>
        </w:rPr>
        <w:t>phosphotriesterases</w:t>
      </w:r>
      <w:proofErr w:type="spellEnd"/>
      <w:r w:rsidRPr="0066543C">
        <w:rPr>
          <w:rFonts w:ascii="Arial" w:hAnsi="Arial" w:cs="Arial"/>
          <w:color w:val="000000" w:themeColor="text1"/>
          <w:sz w:val="20"/>
          <w:szCs w:val="20"/>
        </w:rPr>
        <w:t xml:space="preserve"> and hydrolases, facilitates the breakdown of complex organophosphates into less toxic compounds, mitigating their ecological and human health risks in the environment (Ibrahim et al., 2014; Singh &amp; Khattar, 2011). The present study demonstrates that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inoculation can enhance OP degradation, confirming their potential as eco-friendly bioremediation agents (Kumar et al., 2018).</w:t>
      </w:r>
    </w:p>
    <w:p w14:paraId="7B768251" w14:textId="1A5D3FBF"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Beyond pollutant degradation,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also contribute to the plant growth promotion through several PGPR traits. The production of phytohormones such as indole acetic acid (IAA), siderophore secretion, phosphate solubilization, hydrogen cyanide (HCN) production, and ammonia release improves nutrient availability, root development, and overall plant potency (Santini et al.,2021; Singh et al., 2016; Prasanna et al.,2013). In rice and other crop systems, these traits lead to increased germination rates, higher biomass accretion, and improved root-shoot enhancements, which were observed in the current study. The dual benefits of cyanobacteria—reducing OP toxicity while enhancing soil fertility—make them suitable candidates for integrated sustainable agriculture practices (</w:t>
      </w:r>
      <w:r w:rsidR="00403FEE">
        <w:rPr>
          <w:rFonts w:ascii="Arial" w:hAnsi="Arial" w:cs="Arial"/>
          <w:color w:val="000000" w:themeColor="text1"/>
          <w:sz w:val="20"/>
          <w:szCs w:val="20"/>
        </w:rPr>
        <w:t xml:space="preserve">Roque et al., 2023; </w:t>
      </w:r>
      <w:r w:rsidR="00EE7F03">
        <w:rPr>
          <w:rFonts w:ascii="Arial" w:hAnsi="Arial" w:cs="Arial"/>
          <w:color w:val="000000" w:themeColor="text1"/>
          <w:sz w:val="20"/>
          <w:szCs w:val="20"/>
        </w:rPr>
        <w:t xml:space="preserve">Pattanaik &amp; Singh, 2020; </w:t>
      </w:r>
      <w:r w:rsidRPr="0066543C">
        <w:rPr>
          <w:rFonts w:ascii="Arial" w:hAnsi="Arial" w:cs="Arial"/>
          <w:color w:val="000000" w:themeColor="text1"/>
          <w:sz w:val="20"/>
          <w:szCs w:val="20"/>
        </w:rPr>
        <w:t>Singh et al., 2016;</w:t>
      </w:r>
      <w:r w:rsidR="00AA46BC">
        <w:rPr>
          <w:rFonts w:ascii="Arial" w:hAnsi="Arial" w:cs="Arial"/>
          <w:color w:val="000000" w:themeColor="text1"/>
          <w:sz w:val="20"/>
          <w:szCs w:val="20"/>
        </w:rPr>
        <w:t xml:space="preserve"> Ansari et al., 2015;</w:t>
      </w:r>
      <w:r w:rsidRPr="0066543C">
        <w:rPr>
          <w:rFonts w:ascii="Arial" w:hAnsi="Arial" w:cs="Arial"/>
          <w:color w:val="000000" w:themeColor="text1"/>
          <w:sz w:val="20"/>
          <w:szCs w:val="20"/>
        </w:rPr>
        <w:t xml:space="preserve"> Prasanna et al., 2013).</w:t>
      </w:r>
    </w:p>
    <w:p w14:paraId="0C724D39" w14:textId="77777777"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Moreover, </w:t>
      </w:r>
      <w:r w:rsidRPr="0066543C">
        <w:rPr>
          <w:rFonts w:ascii="Arial" w:hAnsi="Arial" w:cs="Arial"/>
          <w:i/>
          <w:iCs/>
          <w:color w:val="000000" w:themeColor="text1"/>
          <w:sz w:val="20"/>
          <w:szCs w:val="20"/>
        </w:rPr>
        <w:t xml:space="preserve">Leptolyngbya sp. </w:t>
      </w:r>
      <w:r w:rsidRPr="0066543C">
        <w:rPr>
          <w:rFonts w:ascii="Arial" w:hAnsi="Arial" w:cs="Arial"/>
          <w:color w:val="000000" w:themeColor="text1"/>
          <w:sz w:val="20"/>
          <w:szCs w:val="20"/>
        </w:rPr>
        <w:t xml:space="preserve"> contribute to soil health by fixing atmospheric nitrogen, improving moisture retention, and subsidiary microbial diversity (</w:t>
      </w:r>
      <w:proofErr w:type="spellStart"/>
      <w:r w:rsidRPr="0066543C">
        <w:rPr>
          <w:rFonts w:ascii="Arial" w:hAnsi="Arial" w:cs="Arial"/>
          <w:color w:val="000000" w:themeColor="text1"/>
          <w:sz w:val="20"/>
          <w:szCs w:val="20"/>
        </w:rPr>
        <w:t>Tharindi</w:t>
      </w:r>
      <w:proofErr w:type="spellEnd"/>
      <w:r w:rsidRPr="0066543C">
        <w:rPr>
          <w:rFonts w:ascii="Arial" w:hAnsi="Arial" w:cs="Arial"/>
          <w:color w:val="000000" w:themeColor="text1"/>
          <w:sz w:val="20"/>
          <w:szCs w:val="20"/>
        </w:rPr>
        <w:t xml:space="preserve"> et al., 2019; </w:t>
      </w:r>
      <w:proofErr w:type="spellStart"/>
      <w:r w:rsidRPr="0066543C">
        <w:rPr>
          <w:rFonts w:ascii="Arial" w:hAnsi="Arial" w:cs="Arial"/>
          <w:color w:val="000000" w:themeColor="text1"/>
          <w:sz w:val="20"/>
          <w:szCs w:val="20"/>
        </w:rPr>
        <w:t>Chittapun</w:t>
      </w:r>
      <w:proofErr w:type="spellEnd"/>
      <w:r w:rsidRPr="0066543C">
        <w:rPr>
          <w:rFonts w:ascii="Arial" w:hAnsi="Arial" w:cs="Arial"/>
          <w:color w:val="000000" w:themeColor="text1"/>
          <w:sz w:val="20"/>
          <w:szCs w:val="20"/>
        </w:rPr>
        <w:t xml:space="preserve"> &amp; </w:t>
      </w:r>
      <w:proofErr w:type="spellStart"/>
      <w:r w:rsidRPr="0066543C">
        <w:rPr>
          <w:rFonts w:ascii="Arial" w:hAnsi="Arial" w:cs="Arial"/>
          <w:color w:val="000000" w:themeColor="text1"/>
          <w:sz w:val="20"/>
          <w:szCs w:val="20"/>
        </w:rPr>
        <w:t>Charoenrat</w:t>
      </w:r>
      <w:proofErr w:type="spellEnd"/>
      <w:r w:rsidRPr="0066543C">
        <w:rPr>
          <w:rFonts w:ascii="Arial" w:hAnsi="Arial" w:cs="Arial"/>
          <w:color w:val="000000" w:themeColor="text1"/>
          <w:sz w:val="20"/>
          <w:szCs w:val="20"/>
        </w:rPr>
        <w:t>, 2015). Their resilience under diverse environmental conditions allows their application across diverse agro-ecosystems. The synergistic effect of OP degradation and PGPR activity suggests that cyanobacteria could serve as both bio-remediators and biofertilizers, thereby reducing dependency on chemical fertilizers and mitigating pesticide-induced soil toxicity (El-Sayed et al., 2022).</w:t>
      </w:r>
    </w:p>
    <w:p w14:paraId="1809377C" w14:textId="77777777" w:rsidR="00B24143" w:rsidRPr="0066543C" w:rsidRDefault="00B24143" w:rsidP="00B24143">
      <w:pPr>
        <w:spacing w:line="360" w:lineRule="auto"/>
        <w:jc w:val="both"/>
        <w:rPr>
          <w:rFonts w:ascii="Arial" w:hAnsi="Arial" w:cs="Arial"/>
          <w:color w:val="000000" w:themeColor="text1"/>
          <w:sz w:val="20"/>
          <w:szCs w:val="20"/>
        </w:rPr>
      </w:pP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offer a promising, eco-friendly strategy for simultaneously addressing soil contamination by organophosphorus compounds and enhancing the crop productivity through biofertilization. Future studies should focus on strain optimization, field-level validation and integration with other microbial consortia to maximize their efficiency in real-world agricultural systems (Rana et al., 2020).</w:t>
      </w:r>
    </w:p>
    <w:p w14:paraId="34FE6A0B" w14:textId="70F3C36C" w:rsidR="00B87BCA" w:rsidRPr="0066543C" w:rsidRDefault="00B24143" w:rsidP="00B87BCA">
      <w:pPr>
        <w:tabs>
          <w:tab w:val="left" w:pos="6636"/>
        </w:tabs>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The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demonstrated growth in media supplemented with chlorpyrifos, signifying their inherent tolerance to pesticide stress. This resilience may be attributed to their adaptive enzymatic systems and metabolic plasticity, which allow them to utilize xenobiotic compounds as alternative carbon or phosphorus sources under inadequate nutrient conditions (Kumar et al., 2018; Ibrahim et al., 2014).</w:t>
      </w:r>
    </w:p>
    <w:p w14:paraId="1F370882" w14:textId="0BD01FCC" w:rsidR="00B87BCA" w:rsidRPr="0066543C" w:rsidRDefault="005A67D8" w:rsidP="00B87BCA">
      <w:pPr>
        <w:spacing w:line="360" w:lineRule="auto"/>
        <w:jc w:val="both"/>
        <w:rPr>
          <w:rFonts w:ascii="Arial" w:hAnsi="Arial" w:cs="Arial"/>
          <w:b/>
          <w:bCs/>
          <w:color w:val="000000" w:themeColor="text1"/>
        </w:rPr>
      </w:pPr>
      <w:r w:rsidRPr="0066543C">
        <w:rPr>
          <w:rFonts w:ascii="Arial" w:hAnsi="Arial" w:cs="Arial"/>
          <w:b/>
          <w:bCs/>
          <w:color w:val="000000" w:themeColor="text1"/>
        </w:rPr>
        <w:t>CONCLUSION</w:t>
      </w:r>
    </w:p>
    <w:p w14:paraId="2AC72B79" w14:textId="4B2C3B64" w:rsidR="00B62FE2" w:rsidRPr="0066543C" w:rsidRDefault="00B87BCA" w:rsidP="00957D96">
      <w:pPr>
        <w:spacing w:line="360" w:lineRule="auto"/>
        <w:jc w:val="both"/>
        <w:rPr>
          <w:rFonts w:ascii="Arial" w:hAnsi="Arial" w:cs="Arial"/>
          <w:color w:val="000000" w:themeColor="text1"/>
          <w:sz w:val="20"/>
          <w:szCs w:val="20"/>
        </w:rPr>
      </w:pPr>
      <w:r w:rsidRPr="0066543C">
        <w:rPr>
          <w:rFonts w:ascii="Arial" w:hAnsi="Arial" w:cs="Arial"/>
          <w:color w:val="000000" w:themeColor="text1"/>
          <w:sz w:val="20"/>
          <w:szCs w:val="20"/>
        </w:rPr>
        <w:t xml:space="preserve">In the present study, </w:t>
      </w:r>
      <w:r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isolated</w:t>
      </w:r>
      <w:r w:rsidR="00486C0A" w:rsidRPr="0066543C">
        <w:rPr>
          <w:rFonts w:ascii="Arial" w:hAnsi="Arial" w:cs="Arial"/>
          <w:color w:val="000000" w:themeColor="text1"/>
          <w:sz w:val="20"/>
          <w:szCs w:val="20"/>
        </w:rPr>
        <w:t xml:space="preserve"> from</w:t>
      </w:r>
      <w:r w:rsidRPr="0066543C">
        <w:rPr>
          <w:rFonts w:ascii="Arial" w:hAnsi="Arial" w:cs="Arial"/>
          <w:color w:val="000000" w:themeColor="text1"/>
          <w:sz w:val="20"/>
          <w:szCs w:val="20"/>
        </w:rPr>
        <w:t xml:space="preserve"> rice field showed that BGA have positive effects simultaneously on rice plant and soil properties. Sao et al., (2015) reported similar results in their study. </w:t>
      </w:r>
      <w:r w:rsidR="009D23B8" w:rsidRPr="0066543C">
        <w:rPr>
          <w:rFonts w:ascii="Arial" w:hAnsi="Arial" w:cs="Arial"/>
          <w:i/>
          <w:iCs/>
          <w:color w:val="000000" w:themeColor="text1"/>
          <w:sz w:val="20"/>
          <w:szCs w:val="20"/>
        </w:rPr>
        <w:t>Leptolyngbya sp.</w:t>
      </w:r>
      <w:r w:rsidRPr="0066543C">
        <w:rPr>
          <w:rFonts w:ascii="Arial" w:hAnsi="Arial" w:cs="Arial"/>
          <w:color w:val="000000" w:themeColor="text1"/>
          <w:sz w:val="20"/>
          <w:szCs w:val="20"/>
        </w:rPr>
        <w:t xml:space="preserve"> inoculants exhibited better performance over control and in relation to improving rice growth and positive changes of soil properties. Chemical fertilizers </w:t>
      </w:r>
      <w:r w:rsidR="00F311E9" w:rsidRPr="0066543C">
        <w:rPr>
          <w:rFonts w:ascii="Arial" w:hAnsi="Arial" w:cs="Arial"/>
          <w:color w:val="000000" w:themeColor="text1"/>
          <w:sz w:val="20"/>
          <w:szCs w:val="20"/>
        </w:rPr>
        <w:t>widely</w:t>
      </w:r>
      <w:r w:rsidRPr="0066543C">
        <w:rPr>
          <w:rFonts w:ascii="Arial" w:hAnsi="Arial" w:cs="Arial"/>
          <w:color w:val="000000" w:themeColor="text1"/>
          <w:sz w:val="20"/>
          <w:szCs w:val="20"/>
        </w:rPr>
        <w:t xml:space="preserve"> used </w:t>
      </w:r>
      <w:r w:rsidRPr="0066543C">
        <w:rPr>
          <w:rFonts w:ascii="Arial" w:hAnsi="Arial" w:cs="Arial"/>
          <w:color w:val="000000" w:themeColor="text1"/>
          <w:sz w:val="20"/>
          <w:szCs w:val="20"/>
        </w:rPr>
        <w:lastRenderedPageBreak/>
        <w:t xml:space="preserve">throughout most of agricultural causes huge ecological and environmental problems. Biofertilizers, organic fertilizers and other microbial products can overcome these problems because of they are viable components of a healthy and pleasant ecosystem. Cyanobacterial can play a crucial role in enhancing and repairing of soil fertility as biofertilizers and </w:t>
      </w:r>
      <w:r w:rsidR="00F311E9" w:rsidRPr="0066543C">
        <w:rPr>
          <w:rFonts w:ascii="Arial" w:hAnsi="Arial" w:cs="Arial"/>
          <w:color w:val="000000" w:themeColor="text1"/>
          <w:sz w:val="20"/>
          <w:szCs w:val="20"/>
        </w:rPr>
        <w:t>augment</w:t>
      </w:r>
      <w:r w:rsidRPr="0066543C">
        <w:rPr>
          <w:rFonts w:ascii="Arial" w:hAnsi="Arial" w:cs="Arial"/>
          <w:color w:val="000000" w:themeColor="text1"/>
          <w:sz w:val="20"/>
          <w:szCs w:val="20"/>
        </w:rPr>
        <w:t xml:space="preserve"> the growth and yield of crops particularly rice. In today’s world, considerable progress has been made in the development of cyanobacteria-based biofertilizers technology although Bangladesh stands behind regarding this issue. It was demonstrated that this technology can be a powerful means of enriching the soil fertility and increasing rice crop yields. However, the technology needs to be improved further for better exploitation under sustainable agricultural systems. Efficient high quality inoculants production and extensive field studies should be given priority in this regard. </w:t>
      </w:r>
    </w:p>
    <w:p w14:paraId="5EF2D17E" w14:textId="462A0407" w:rsidR="00957D96" w:rsidRPr="0066543C" w:rsidRDefault="005A67D8" w:rsidP="00957D96">
      <w:pPr>
        <w:jc w:val="both"/>
        <w:rPr>
          <w:rFonts w:ascii="Arial" w:hAnsi="Arial" w:cs="Arial"/>
          <w:b/>
          <w:bCs/>
        </w:rPr>
      </w:pPr>
      <w:r w:rsidRPr="0066543C">
        <w:rPr>
          <w:rFonts w:ascii="Arial" w:hAnsi="Arial" w:cs="Arial"/>
          <w:b/>
          <w:bCs/>
        </w:rPr>
        <w:t>REFERENCES:</w:t>
      </w:r>
    </w:p>
    <w:p w14:paraId="55F81C52" w14:textId="77777777" w:rsidR="00A24BE3" w:rsidRP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hAnsi="Arial" w:cs="Arial"/>
          <w:color w:val="000000" w:themeColor="text1"/>
          <w:sz w:val="20"/>
          <w:szCs w:val="20"/>
        </w:rPr>
        <w:t xml:space="preserve">Anas, A., </w:t>
      </w:r>
      <w:proofErr w:type="spellStart"/>
      <w:r w:rsidRPr="00A24BE3">
        <w:rPr>
          <w:rFonts w:ascii="Arial" w:hAnsi="Arial" w:cs="Arial"/>
          <w:color w:val="000000" w:themeColor="text1"/>
          <w:sz w:val="20"/>
          <w:szCs w:val="20"/>
        </w:rPr>
        <w:t>Vinothkumar</w:t>
      </w:r>
      <w:proofErr w:type="spellEnd"/>
      <w:r w:rsidRPr="00A24BE3">
        <w:rPr>
          <w:rFonts w:ascii="Arial" w:hAnsi="Arial" w:cs="Arial"/>
          <w:color w:val="000000" w:themeColor="text1"/>
          <w:sz w:val="20"/>
          <w:szCs w:val="20"/>
        </w:rPr>
        <w:t xml:space="preserve">, S., Gupta, S., Jasmin, C., Joseph, V., Parameswaran, P. S., &amp; Nair, S. (2016). Evaluation of antioxidant and cytotoxic properties of cyanobacteria, </w:t>
      </w:r>
      <w:proofErr w:type="spellStart"/>
      <w:r w:rsidRPr="00A24BE3">
        <w:rPr>
          <w:rFonts w:ascii="Arial" w:hAnsi="Arial" w:cs="Arial"/>
          <w:color w:val="000000" w:themeColor="text1"/>
          <w:sz w:val="20"/>
          <w:szCs w:val="20"/>
        </w:rPr>
        <w:t>Limnothrix</w:t>
      </w:r>
      <w:proofErr w:type="spellEnd"/>
      <w:r w:rsidRPr="00A24BE3">
        <w:rPr>
          <w:rFonts w:ascii="Arial" w:hAnsi="Arial" w:cs="Arial"/>
          <w:color w:val="000000" w:themeColor="text1"/>
          <w:sz w:val="20"/>
          <w:szCs w:val="20"/>
        </w:rPr>
        <w:t xml:space="preserve"> sp. and </w:t>
      </w:r>
      <w:proofErr w:type="spellStart"/>
      <w:r w:rsidRPr="00A24BE3">
        <w:rPr>
          <w:rFonts w:ascii="Arial" w:hAnsi="Arial" w:cs="Arial"/>
          <w:color w:val="000000" w:themeColor="text1"/>
          <w:sz w:val="20"/>
          <w:szCs w:val="20"/>
        </w:rPr>
        <w:t>Leptolyngbya</w:t>
      </w:r>
      <w:proofErr w:type="spellEnd"/>
      <w:r w:rsidRPr="00A24BE3">
        <w:rPr>
          <w:rFonts w:ascii="Arial" w:hAnsi="Arial" w:cs="Arial"/>
          <w:color w:val="000000" w:themeColor="text1"/>
          <w:sz w:val="20"/>
          <w:szCs w:val="20"/>
        </w:rPr>
        <w:t xml:space="preserve"> sp. from Arabian Sea. Journal of Microbiology Biotechnology and Food Sciences, 6(3), 956-960. </w:t>
      </w:r>
      <w:hyperlink r:id="rId33" w:history="1">
        <w:r w:rsidRPr="000B6FBD">
          <w:rPr>
            <w:rStyle w:val="Hyperlink"/>
            <w:rFonts w:ascii="Arial" w:hAnsi="Arial" w:cs="Arial"/>
            <w:sz w:val="20"/>
            <w:szCs w:val="20"/>
          </w:rPr>
          <w:t>https://doi.org/10.15414/jmbfs.2016/17.6.3.956-960</w:t>
        </w:r>
      </w:hyperlink>
      <w:r>
        <w:rPr>
          <w:rFonts w:ascii="Arial" w:hAnsi="Arial" w:cs="Arial"/>
          <w:color w:val="000000" w:themeColor="text1"/>
          <w:sz w:val="20"/>
          <w:szCs w:val="20"/>
        </w:rPr>
        <w:t xml:space="preserve"> </w:t>
      </w:r>
    </w:p>
    <w:p w14:paraId="1D5267C4" w14:textId="77777777" w:rsidR="00A24BE3" w:rsidRP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hAnsi="Arial" w:cs="Arial"/>
          <w:color w:val="000000" w:themeColor="text1"/>
          <w:sz w:val="20"/>
          <w:szCs w:val="20"/>
        </w:rPr>
        <w:t xml:space="preserve">Ansari, M. F., </w:t>
      </w:r>
      <w:proofErr w:type="spellStart"/>
      <w:r w:rsidRPr="00A24BE3">
        <w:rPr>
          <w:rFonts w:ascii="Arial" w:hAnsi="Arial" w:cs="Arial"/>
          <w:color w:val="000000" w:themeColor="text1"/>
          <w:sz w:val="20"/>
          <w:szCs w:val="20"/>
        </w:rPr>
        <w:t>Tipre</w:t>
      </w:r>
      <w:proofErr w:type="spellEnd"/>
      <w:r w:rsidRPr="00A24BE3">
        <w:rPr>
          <w:rFonts w:ascii="Arial" w:hAnsi="Arial" w:cs="Arial"/>
          <w:color w:val="000000" w:themeColor="text1"/>
          <w:sz w:val="20"/>
          <w:szCs w:val="20"/>
        </w:rPr>
        <w:t xml:space="preserve">, D. R., &amp; Dave, S. R. (2015). Exploring the multi-trait plant growth promotion capability of commercial liquid biofertilizers isolates. International Journal of Life Sciences, 9(3), 24-37. </w:t>
      </w:r>
      <w:hyperlink r:id="rId34" w:history="1">
        <w:r w:rsidRPr="000B6FBD">
          <w:rPr>
            <w:rStyle w:val="Hyperlink"/>
            <w:rFonts w:ascii="Arial" w:hAnsi="Arial" w:cs="Arial"/>
            <w:sz w:val="20"/>
            <w:szCs w:val="20"/>
          </w:rPr>
          <w:t>https://doi.org/10.3126/ijls.v9i3.12463</w:t>
        </w:r>
      </w:hyperlink>
      <w:r>
        <w:rPr>
          <w:rFonts w:ascii="Arial" w:hAnsi="Arial" w:cs="Arial"/>
          <w:color w:val="000000" w:themeColor="text1"/>
          <w:sz w:val="20"/>
          <w:szCs w:val="20"/>
        </w:rPr>
        <w:t xml:space="preserve"> </w:t>
      </w:r>
    </w:p>
    <w:p w14:paraId="6B270D45" w14:textId="77777777" w:rsid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eastAsia="Times New Roman" w:hAnsi="Arial" w:cs="Arial"/>
          <w:kern w:val="0"/>
          <w:sz w:val="20"/>
          <w:szCs w:val="20"/>
          <w:lang w:eastAsia="en-IN"/>
          <w14:ligatures w14:val="none"/>
        </w:rPr>
        <w:t xml:space="preserve">Mali, H., Shah, C., Patel, D. H., Trivedi, U., &amp; Subramanian, R. B. (2022). Degradation insight of organophosphate pesticide chlorpyrifos through novel intermediate 2,6-dihydroxypyridine by Arthrobacter sp. HM01. Bioresources and Bioprocessing, 9(1), 31. </w:t>
      </w:r>
      <w:hyperlink r:id="rId35" w:history="1">
        <w:r w:rsidRPr="000B6FBD">
          <w:rPr>
            <w:rStyle w:val="Hyperlink"/>
            <w:rFonts w:ascii="Arial" w:eastAsia="Times New Roman" w:hAnsi="Arial" w:cs="Arial"/>
            <w:kern w:val="0"/>
            <w:sz w:val="20"/>
            <w:szCs w:val="20"/>
            <w:lang w:eastAsia="en-IN"/>
            <w14:ligatures w14:val="none"/>
          </w:rPr>
          <w:t>https://doi.org/10.1186/s40643-022-00515-5</w:t>
        </w:r>
      </w:hyperlink>
      <w:r>
        <w:rPr>
          <w:rFonts w:ascii="Arial" w:eastAsia="Times New Roman" w:hAnsi="Arial" w:cs="Arial"/>
          <w:kern w:val="0"/>
          <w:sz w:val="20"/>
          <w:szCs w:val="20"/>
          <w:lang w:eastAsia="en-IN"/>
          <w14:ligatures w14:val="none"/>
        </w:rPr>
        <w:t xml:space="preserve"> </w:t>
      </w:r>
    </w:p>
    <w:p w14:paraId="20D7CCC7" w14:textId="77777777" w:rsid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proofErr w:type="spellStart"/>
      <w:r w:rsidRPr="00A24BE3">
        <w:rPr>
          <w:rFonts w:ascii="Arial" w:eastAsia="Times New Roman" w:hAnsi="Arial" w:cs="Arial"/>
          <w:kern w:val="0"/>
          <w:sz w:val="20"/>
          <w:szCs w:val="20"/>
          <w:lang w:eastAsia="en-IN"/>
          <w14:ligatures w14:val="none"/>
        </w:rPr>
        <w:t>Chittapun</w:t>
      </w:r>
      <w:proofErr w:type="spellEnd"/>
      <w:r w:rsidRPr="00A24BE3">
        <w:rPr>
          <w:rFonts w:ascii="Arial" w:eastAsia="Times New Roman" w:hAnsi="Arial" w:cs="Arial"/>
          <w:kern w:val="0"/>
          <w:sz w:val="20"/>
          <w:szCs w:val="20"/>
          <w:lang w:eastAsia="en-IN"/>
          <w14:ligatures w14:val="none"/>
        </w:rPr>
        <w:t xml:space="preserve">, S., &amp; </w:t>
      </w:r>
      <w:proofErr w:type="spellStart"/>
      <w:r w:rsidRPr="00A24BE3">
        <w:rPr>
          <w:rFonts w:ascii="Arial" w:eastAsia="Times New Roman" w:hAnsi="Arial" w:cs="Arial"/>
          <w:kern w:val="0"/>
          <w:sz w:val="20"/>
          <w:szCs w:val="20"/>
          <w:lang w:eastAsia="en-IN"/>
          <w14:ligatures w14:val="none"/>
        </w:rPr>
        <w:t>Charoenrat</w:t>
      </w:r>
      <w:proofErr w:type="spellEnd"/>
      <w:r w:rsidRPr="00A24BE3">
        <w:rPr>
          <w:rFonts w:ascii="Arial" w:eastAsia="Times New Roman" w:hAnsi="Arial" w:cs="Arial"/>
          <w:kern w:val="0"/>
          <w:sz w:val="20"/>
          <w:szCs w:val="20"/>
          <w:lang w:eastAsia="en-IN"/>
          <w14:ligatures w14:val="none"/>
        </w:rPr>
        <w:t>, T. (2015). Isolation and growth of N</w:t>
      </w:r>
      <w:r w:rsidRPr="00A24BE3">
        <w:rPr>
          <w:rFonts w:ascii="Cambria Math" w:eastAsia="Times New Roman" w:hAnsi="Cambria Math" w:cs="Cambria Math"/>
          <w:kern w:val="0"/>
          <w:sz w:val="20"/>
          <w:szCs w:val="20"/>
          <w:lang w:eastAsia="en-IN"/>
          <w14:ligatures w14:val="none"/>
        </w:rPr>
        <w:t>₂</w:t>
      </w:r>
      <w:r w:rsidRPr="00A24BE3">
        <w:rPr>
          <w:rFonts w:ascii="Arial" w:eastAsia="Times New Roman" w:hAnsi="Arial" w:cs="Arial"/>
          <w:kern w:val="0"/>
          <w:sz w:val="20"/>
          <w:szCs w:val="20"/>
          <w:lang w:eastAsia="en-IN"/>
          <w14:ligatures w14:val="none"/>
        </w:rPr>
        <w:t xml:space="preserve">-fixing cyanobacteria from organic agricultural areas in </w:t>
      </w:r>
      <w:proofErr w:type="spellStart"/>
      <w:r w:rsidRPr="00A24BE3">
        <w:rPr>
          <w:rFonts w:ascii="Arial" w:eastAsia="Times New Roman" w:hAnsi="Arial" w:cs="Arial"/>
          <w:kern w:val="0"/>
          <w:sz w:val="20"/>
          <w:szCs w:val="20"/>
          <w:lang w:eastAsia="en-IN"/>
          <w14:ligatures w14:val="none"/>
        </w:rPr>
        <w:t>Sanamchaikate</w:t>
      </w:r>
      <w:proofErr w:type="spellEnd"/>
      <w:r w:rsidRPr="00A24BE3">
        <w:rPr>
          <w:rFonts w:ascii="Arial" w:eastAsia="Times New Roman" w:hAnsi="Arial" w:cs="Arial"/>
          <w:kern w:val="0"/>
          <w:sz w:val="20"/>
          <w:szCs w:val="20"/>
          <w:lang w:eastAsia="en-IN"/>
          <w14:ligatures w14:val="none"/>
        </w:rPr>
        <w:t xml:space="preserve">, </w:t>
      </w:r>
      <w:proofErr w:type="spellStart"/>
      <w:r w:rsidRPr="00A24BE3">
        <w:rPr>
          <w:rFonts w:ascii="Arial" w:eastAsia="Times New Roman" w:hAnsi="Arial" w:cs="Arial"/>
          <w:kern w:val="0"/>
          <w:sz w:val="20"/>
          <w:szCs w:val="20"/>
          <w:lang w:eastAsia="en-IN"/>
          <w14:ligatures w14:val="none"/>
        </w:rPr>
        <w:t>Chachoeng</w:t>
      </w:r>
      <w:proofErr w:type="spellEnd"/>
      <w:r w:rsidRPr="00A24BE3">
        <w:rPr>
          <w:rFonts w:ascii="Arial" w:eastAsia="Times New Roman" w:hAnsi="Arial" w:cs="Arial"/>
          <w:kern w:val="0"/>
          <w:sz w:val="20"/>
          <w:szCs w:val="20"/>
          <w:lang w:eastAsia="en-IN"/>
          <w14:ligatures w14:val="none"/>
        </w:rPr>
        <w:t xml:space="preserve">-Sao Province, Thailand. Thammasat International Journal of Science and Technology, 20(2), 28-37. </w:t>
      </w:r>
      <w:hyperlink r:id="rId36" w:history="1">
        <w:r w:rsidRPr="000B6FBD">
          <w:rPr>
            <w:rStyle w:val="Hyperlink"/>
            <w:rFonts w:ascii="Arial" w:eastAsia="Times New Roman" w:hAnsi="Arial" w:cs="Arial"/>
            <w:kern w:val="0"/>
            <w:sz w:val="20"/>
            <w:szCs w:val="20"/>
            <w:lang w:eastAsia="en-IN"/>
            <w14:ligatures w14:val="none"/>
          </w:rPr>
          <w:t>https://he02.tci-thaijo.org/index.php/TIJSAT/article/view/39000</w:t>
        </w:r>
      </w:hyperlink>
      <w:r>
        <w:rPr>
          <w:rFonts w:ascii="Arial" w:eastAsia="Times New Roman" w:hAnsi="Arial" w:cs="Arial"/>
          <w:kern w:val="0"/>
          <w:sz w:val="20"/>
          <w:szCs w:val="20"/>
          <w:lang w:eastAsia="en-IN"/>
          <w14:ligatures w14:val="none"/>
        </w:rPr>
        <w:t xml:space="preserve"> </w:t>
      </w:r>
    </w:p>
    <w:p w14:paraId="7FB69526" w14:textId="77777777" w:rsid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proofErr w:type="spellStart"/>
      <w:r w:rsidRPr="00A24BE3">
        <w:rPr>
          <w:rFonts w:ascii="Arial" w:eastAsia="Times New Roman" w:hAnsi="Arial" w:cs="Arial"/>
          <w:kern w:val="0"/>
          <w:sz w:val="20"/>
          <w:szCs w:val="20"/>
          <w:lang w:eastAsia="en-IN"/>
          <w14:ligatures w14:val="none"/>
        </w:rPr>
        <w:t>Touliabah</w:t>
      </w:r>
      <w:proofErr w:type="spellEnd"/>
      <w:r w:rsidRPr="00A24BE3">
        <w:rPr>
          <w:rFonts w:ascii="Arial" w:eastAsia="Times New Roman" w:hAnsi="Arial" w:cs="Arial"/>
          <w:kern w:val="0"/>
          <w:sz w:val="20"/>
          <w:szCs w:val="20"/>
          <w:lang w:eastAsia="en-IN"/>
          <w14:ligatures w14:val="none"/>
        </w:rPr>
        <w:t>, H. E.-S., El-</w:t>
      </w:r>
      <w:proofErr w:type="spellStart"/>
      <w:r w:rsidRPr="00A24BE3">
        <w:rPr>
          <w:rFonts w:ascii="Arial" w:eastAsia="Times New Roman" w:hAnsi="Arial" w:cs="Arial"/>
          <w:kern w:val="0"/>
          <w:sz w:val="20"/>
          <w:szCs w:val="20"/>
          <w:lang w:eastAsia="en-IN"/>
          <w14:ligatures w14:val="none"/>
        </w:rPr>
        <w:t>Sheekh</w:t>
      </w:r>
      <w:proofErr w:type="spellEnd"/>
      <w:r w:rsidRPr="00A24BE3">
        <w:rPr>
          <w:rFonts w:ascii="Arial" w:eastAsia="Times New Roman" w:hAnsi="Arial" w:cs="Arial"/>
          <w:kern w:val="0"/>
          <w:sz w:val="20"/>
          <w:szCs w:val="20"/>
          <w:lang w:eastAsia="en-IN"/>
          <w14:ligatures w14:val="none"/>
        </w:rPr>
        <w:t>, M. M., Ismail, M. M., &amp; El-</w:t>
      </w:r>
      <w:proofErr w:type="spellStart"/>
      <w:r w:rsidRPr="00A24BE3">
        <w:rPr>
          <w:rFonts w:ascii="Arial" w:eastAsia="Times New Roman" w:hAnsi="Arial" w:cs="Arial"/>
          <w:kern w:val="0"/>
          <w:sz w:val="20"/>
          <w:szCs w:val="20"/>
          <w:lang w:eastAsia="en-IN"/>
          <w14:ligatures w14:val="none"/>
        </w:rPr>
        <w:t>Kassas</w:t>
      </w:r>
      <w:proofErr w:type="spellEnd"/>
      <w:r w:rsidRPr="00A24BE3">
        <w:rPr>
          <w:rFonts w:ascii="Arial" w:eastAsia="Times New Roman" w:hAnsi="Arial" w:cs="Arial"/>
          <w:kern w:val="0"/>
          <w:sz w:val="20"/>
          <w:szCs w:val="20"/>
          <w:lang w:eastAsia="en-IN"/>
          <w14:ligatures w14:val="none"/>
        </w:rPr>
        <w:t xml:space="preserve">, H. (2022). A review of microalgae- and cyanobacteria-based biodegradation of organic pollutants. Molecules, 27(3), 1141. </w:t>
      </w:r>
      <w:hyperlink r:id="rId37" w:history="1">
        <w:r w:rsidRPr="000B6FBD">
          <w:rPr>
            <w:rStyle w:val="Hyperlink"/>
            <w:rFonts w:ascii="Arial" w:eastAsia="Times New Roman" w:hAnsi="Arial" w:cs="Arial"/>
            <w:kern w:val="0"/>
            <w:sz w:val="20"/>
            <w:szCs w:val="20"/>
            <w:lang w:eastAsia="en-IN"/>
            <w14:ligatures w14:val="none"/>
          </w:rPr>
          <w:t>https://doi.org/10.3390/molecules27031141</w:t>
        </w:r>
      </w:hyperlink>
      <w:r>
        <w:rPr>
          <w:rFonts w:ascii="Arial" w:eastAsia="Times New Roman" w:hAnsi="Arial" w:cs="Arial"/>
          <w:kern w:val="0"/>
          <w:sz w:val="20"/>
          <w:szCs w:val="20"/>
          <w:lang w:eastAsia="en-IN"/>
          <w14:ligatures w14:val="none"/>
        </w:rPr>
        <w:t xml:space="preserve"> </w:t>
      </w:r>
    </w:p>
    <w:p w14:paraId="25AF3EF9" w14:textId="77777777" w:rsid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proofErr w:type="spellStart"/>
      <w:r w:rsidRPr="00A24BE3">
        <w:rPr>
          <w:rFonts w:ascii="Arial" w:eastAsia="Times New Roman" w:hAnsi="Arial" w:cs="Arial"/>
          <w:kern w:val="0"/>
          <w:sz w:val="20"/>
          <w:szCs w:val="20"/>
          <w:lang w:eastAsia="en-IN"/>
          <w14:ligatures w14:val="none"/>
        </w:rPr>
        <w:t>Giesy</w:t>
      </w:r>
      <w:proofErr w:type="spellEnd"/>
      <w:r w:rsidRPr="00A24BE3">
        <w:rPr>
          <w:rFonts w:ascii="Arial" w:eastAsia="Times New Roman" w:hAnsi="Arial" w:cs="Arial"/>
          <w:kern w:val="0"/>
          <w:sz w:val="20"/>
          <w:szCs w:val="20"/>
          <w:lang w:eastAsia="en-IN"/>
          <w14:ligatures w14:val="none"/>
        </w:rPr>
        <w:t xml:space="preserve">, J. P., Solomon, K. R., &amp; Mackay, D. (2014). Evaluation of evidence that the organophosphorus insecticide chlorpyrifos is a potential persistent organic pollutant (POP) or persistent, </w:t>
      </w:r>
      <w:proofErr w:type="spellStart"/>
      <w:r w:rsidRPr="00A24BE3">
        <w:rPr>
          <w:rFonts w:ascii="Arial" w:eastAsia="Times New Roman" w:hAnsi="Arial" w:cs="Arial"/>
          <w:kern w:val="0"/>
          <w:sz w:val="20"/>
          <w:szCs w:val="20"/>
          <w:lang w:eastAsia="en-IN"/>
          <w14:ligatures w14:val="none"/>
        </w:rPr>
        <w:t>bioaccumulative</w:t>
      </w:r>
      <w:proofErr w:type="spellEnd"/>
      <w:r w:rsidRPr="00A24BE3">
        <w:rPr>
          <w:rFonts w:ascii="Arial" w:eastAsia="Times New Roman" w:hAnsi="Arial" w:cs="Arial"/>
          <w:kern w:val="0"/>
          <w:sz w:val="20"/>
          <w:szCs w:val="20"/>
          <w:lang w:eastAsia="en-IN"/>
          <w14:ligatures w14:val="none"/>
        </w:rPr>
        <w:t xml:space="preserve">, and toxic (PBT). Environmental Sciences Europe, 26(1), 29. </w:t>
      </w:r>
      <w:hyperlink r:id="rId38" w:history="1">
        <w:r w:rsidRPr="000B6FBD">
          <w:rPr>
            <w:rStyle w:val="Hyperlink"/>
            <w:rFonts w:ascii="Arial" w:eastAsia="Times New Roman" w:hAnsi="Arial" w:cs="Arial"/>
            <w:kern w:val="0"/>
            <w:sz w:val="20"/>
            <w:szCs w:val="20"/>
            <w:lang w:eastAsia="en-IN"/>
            <w14:ligatures w14:val="none"/>
          </w:rPr>
          <w:t>https://doi.org/10.1186/s12302-014-0029-y</w:t>
        </w:r>
      </w:hyperlink>
      <w:r>
        <w:rPr>
          <w:rFonts w:ascii="Arial" w:eastAsia="Times New Roman" w:hAnsi="Arial" w:cs="Arial"/>
          <w:kern w:val="0"/>
          <w:sz w:val="20"/>
          <w:szCs w:val="20"/>
          <w:lang w:eastAsia="en-IN"/>
          <w14:ligatures w14:val="none"/>
        </w:rPr>
        <w:t xml:space="preserve"> </w:t>
      </w:r>
    </w:p>
    <w:p w14:paraId="61A820E8" w14:textId="77777777" w:rsidR="00A24BE3" w:rsidRPr="00A24BE3" w:rsidRDefault="00A24BE3" w:rsidP="00805BEA">
      <w:pPr>
        <w:pStyle w:val="ListParagraph"/>
        <w:numPr>
          <w:ilvl w:val="0"/>
          <w:numId w:val="2"/>
        </w:numPr>
        <w:spacing w:before="100" w:beforeAutospacing="1" w:after="100" w:afterAutospacing="1" w:line="240" w:lineRule="auto"/>
        <w:jc w:val="both"/>
        <w:rPr>
          <w:rFonts w:ascii="Arial" w:hAnsi="Arial" w:cs="Arial"/>
          <w:sz w:val="20"/>
          <w:szCs w:val="20"/>
        </w:rPr>
      </w:pPr>
      <w:r w:rsidRPr="00A24BE3">
        <w:rPr>
          <w:rFonts w:ascii="Arial" w:eastAsia="Times New Roman" w:hAnsi="Arial" w:cs="Arial"/>
          <w:kern w:val="0"/>
          <w:sz w:val="20"/>
          <w:szCs w:val="20"/>
          <w:lang w:eastAsia="en-IN"/>
          <w14:ligatures w14:val="none"/>
        </w:rPr>
        <w:t>Ibrahim, W. M., Karam, M. A., El-</w:t>
      </w:r>
      <w:proofErr w:type="spellStart"/>
      <w:r w:rsidRPr="00A24BE3">
        <w:rPr>
          <w:rFonts w:ascii="Arial" w:eastAsia="Times New Roman" w:hAnsi="Arial" w:cs="Arial"/>
          <w:kern w:val="0"/>
          <w:sz w:val="20"/>
          <w:szCs w:val="20"/>
          <w:lang w:eastAsia="en-IN"/>
          <w14:ligatures w14:val="none"/>
        </w:rPr>
        <w:t>Shahat</w:t>
      </w:r>
      <w:proofErr w:type="spellEnd"/>
      <w:r w:rsidRPr="00A24BE3">
        <w:rPr>
          <w:rFonts w:ascii="Arial" w:eastAsia="Times New Roman" w:hAnsi="Arial" w:cs="Arial"/>
          <w:kern w:val="0"/>
          <w:sz w:val="20"/>
          <w:szCs w:val="20"/>
          <w:lang w:eastAsia="en-IN"/>
          <w14:ligatures w14:val="none"/>
        </w:rPr>
        <w:t xml:space="preserve">, R. M., &amp; </w:t>
      </w:r>
      <w:proofErr w:type="spellStart"/>
      <w:r w:rsidRPr="00A24BE3">
        <w:rPr>
          <w:rFonts w:ascii="Arial" w:eastAsia="Times New Roman" w:hAnsi="Arial" w:cs="Arial"/>
          <w:kern w:val="0"/>
          <w:sz w:val="20"/>
          <w:szCs w:val="20"/>
          <w:lang w:eastAsia="en-IN"/>
          <w14:ligatures w14:val="none"/>
        </w:rPr>
        <w:t>Adway</w:t>
      </w:r>
      <w:proofErr w:type="spellEnd"/>
      <w:r w:rsidRPr="00A24BE3">
        <w:rPr>
          <w:rFonts w:ascii="Arial" w:eastAsia="Times New Roman" w:hAnsi="Arial" w:cs="Arial"/>
          <w:kern w:val="0"/>
          <w:sz w:val="20"/>
          <w:szCs w:val="20"/>
          <w:lang w:eastAsia="en-IN"/>
          <w14:ligatures w14:val="none"/>
        </w:rPr>
        <w:t xml:space="preserve">, A. A. (2014). Biodegradation and utilization of organophosphorus pesticide malathion by cyanobacteria. BioMed Research International. </w:t>
      </w:r>
      <w:hyperlink r:id="rId39" w:history="1">
        <w:r w:rsidRPr="000B6FBD">
          <w:rPr>
            <w:rStyle w:val="Hyperlink"/>
            <w:rFonts w:ascii="Arial" w:eastAsia="Times New Roman" w:hAnsi="Arial" w:cs="Arial"/>
            <w:kern w:val="0"/>
            <w:sz w:val="20"/>
            <w:szCs w:val="20"/>
            <w:lang w:eastAsia="en-IN"/>
            <w14:ligatures w14:val="none"/>
          </w:rPr>
          <w:t>https://doi.org/10.1155/2014/392682</w:t>
        </w:r>
      </w:hyperlink>
      <w:r>
        <w:rPr>
          <w:rFonts w:ascii="Arial" w:eastAsia="Times New Roman" w:hAnsi="Arial" w:cs="Arial"/>
          <w:kern w:val="0"/>
          <w:sz w:val="20"/>
          <w:szCs w:val="20"/>
          <w:lang w:eastAsia="en-IN"/>
          <w14:ligatures w14:val="none"/>
        </w:rPr>
        <w:t xml:space="preserve"> </w:t>
      </w:r>
    </w:p>
    <w:p w14:paraId="4B022041" w14:textId="77777777" w:rsidR="00A24BE3" w:rsidRPr="00A24BE3" w:rsidRDefault="00A24BE3" w:rsidP="00805BEA">
      <w:pPr>
        <w:pStyle w:val="ListParagraph"/>
        <w:numPr>
          <w:ilvl w:val="0"/>
          <w:numId w:val="2"/>
        </w:numPr>
        <w:spacing w:line="240" w:lineRule="auto"/>
        <w:jc w:val="both"/>
        <w:rPr>
          <w:rFonts w:ascii="Arial" w:hAnsi="Arial" w:cs="Arial"/>
          <w:sz w:val="20"/>
          <w:szCs w:val="20"/>
        </w:rPr>
      </w:pPr>
      <w:r w:rsidRPr="00A24BE3">
        <w:rPr>
          <w:rFonts w:ascii="Arial" w:eastAsia="Times New Roman" w:hAnsi="Arial" w:cs="Arial"/>
          <w:kern w:val="0"/>
          <w:sz w:val="20"/>
          <w:szCs w:val="20"/>
          <w:lang w:eastAsia="en-IN"/>
          <w14:ligatures w14:val="none"/>
        </w:rPr>
        <w:t xml:space="preserve">Kumar, S., Kaushik, G., Dar, M. A., </w:t>
      </w:r>
      <w:proofErr w:type="spellStart"/>
      <w:r w:rsidRPr="00A24BE3">
        <w:rPr>
          <w:rFonts w:ascii="Arial" w:eastAsia="Times New Roman" w:hAnsi="Arial" w:cs="Arial"/>
          <w:kern w:val="0"/>
          <w:sz w:val="20"/>
          <w:szCs w:val="20"/>
          <w:lang w:eastAsia="en-IN"/>
          <w14:ligatures w14:val="none"/>
        </w:rPr>
        <w:t>Nimesh</w:t>
      </w:r>
      <w:proofErr w:type="spellEnd"/>
      <w:r w:rsidRPr="00A24BE3">
        <w:rPr>
          <w:rFonts w:ascii="Arial" w:eastAsia="Times New Roman" w:hAnsi="Arial" w:cs="Arial"/>
          <w:kern w:val="0"/>
          <w:sz w:val="20"/>
          <w:szCs w:val="20"/>
          <w:lang w:eastAsia="en-IN"/>
          <w14:ligatures w14:val="none"/>
        </w:rPr>
        <w:t>, S., López-</w:t>
      </w:r>
      <w:proofErr w:type="spellStart"/>
      <w:r w:rsidRPr="00A24BE3">
        <w:rPr>
          <w:rFonts w:ascii="Arial" w:eastAsia="Times New Roman" w:hAnsi="Arial" w:cs="Arial"/>
          <w:kern w:val="0"/>
          <w:sz w:val="20"/>
          <w:szCs w:val="20"/>
          <w:lang w:eastAsia="en-IN"/>
          <w14:ligatures w14:val="none"/>
        </w:rPr>
        <w:t>Chuken</w:t>
      </w:r>
      <w:proofErr w:type="spellEnd"/>
      <w:r w:rsidRPr="00A24BE3">
        <w:rPr>
          <w:rFonts w:ascii="Arial" w:eastAsia="Times New Roman" w:hAnsi="Arial" w:cs="Arial"/>
          <w:kern w:val="0"/>
          <w:sz w:val="20"/>
          <w:szCs w:val="20"/>
          <w:lang w:eastAsia="en-IN"/>
          <w14:ligatures w14:val="none"/>
        </w:rPr>
        <w:t xml:space="preserve">, U. J., &amp; Villarreal-Chiu, J. F. (2018). Microbial degradation of organophosphate pesticides: A review. Pedosphere, 28(2), 190–208. </w:t>
      </w:r>
      <w:hyperlink r:id="rId40" w:history="1">
        <w:r w:rsidRPr="000B6FBD">
          <w:rPr>
            <w:rStyle w:val="Hyperlink"/>
            <w:rFonts w:ascii="Arial" w:eastAsia="Times New Roman" w:hAnsi="Arial" w:cs="Arial"/>
            <w:kern w:val="0"/>
            <w:sz w:val="20"/>
            <w:szCs w:val="20"/>
            <w:lang w:eastAsia="en-IN"/>
            <w14:ligatures w14:val="none"/>
          </w:rPr>
          <w:t>https://doi.org/10.1016/S1002-0160(18)60017-7</w:t>
        </w:r>
      </w:hyperlink>
      <w:r>
        <w:rPr>
          <w:rFonts w:ascii="Arial" w:eastAsia="Times New Roman" w:hAnsi="Arial" w:cs="Arial"/>
          <w:kern w:val="0"/>
          <w:sz w:val="20"/>
          <w:szCs w:val="20"/>
          <w:lang w:eastAsia="en-IN"/>
          <w14:ligatures w14:val="none"/>
        </w:rPr>
        <w:t xml:space="preserve"> </w:t>
      </w:r>
    </w:p>
    <w:p w14:paraId="3F2AF9A9" w14:textId="77777777" w:rsidR="00A24BE3" w:rsidRP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proofErr w:type="spellStart"/>
      <w:r w:rsidRPr="00A24BE3">
        <w:rPr>
          <w:rFonts w:ascii="Arial" w:hAnsi="Arial" w:cs="Arial"/>
          <w:sz w:val="20"/>
          <w:szCs w:val="20"/>
        </w:rPr>
        <w:t>Oo</w:t>
      </w:r>
      <w:proofErr w:type="spellEnd"/>
      <w:r w:rsidRPr="00A24BE3">
        <w:rPr>
          <w:rFonts w:ascii="Arial" w:hAnsi="Arial" w:cs="Arial"/>
          <w:sz w:val="20"/>
          <w:szCs w:val="20"/>
        </w:rPr>
        <w:t xml:space="preserve">, K. T., Win, T. T., </w:t>
      </w:r>
      <w:proofErr w:type="spellStart"/>
      <w:r w:rsidRPr="00A24BE3">
        <w:rPr>
          <w:rFonts w:ascii="Arial" w:hAnsi="Arial" w:cs="Arial"/>
          <w:sz w:val="20"/>
          <w:szCs w:val="20"/>
        </w:rPr>
        <w:t>Khai</w:t>
      </w:r>
      <w:proofErr w:type="spellEnd"/>
      <w:r w:rsidRPr="00A24BE3">
        <w:rPr>
          <w:rFonts w:ascii="Arial" w:hAnsi="Arial" w:cs="Arial"/>
          <w:sz w:val="20"/>
          <w:szCs w:val="20"/>
        </w:rPr>
        <w:t xml:space="preserve">, A. A., &amp; Fu, P. C. (2020). Isolation, screening and molecular characterization of multifunctional plant growth promoting rhizobacteria for a sustainable agriculture. American Journal of Plant Sciences, 11(6), 773-792. </w:t>
      </w:r>
      <w:hyperlink r:id="rId41" w:history="1">
        <w:r w:rsidRPr="000B6FBD">
          <w:rPr>
            <w:rStyle w:val="Hyperlink"/>
            <w:rFonts w:ascii="Arial" w:hAnsi="Arial" w:cs="Arial"/>
            <w:sz w:val="20"/>
            <w:szCs w:val="20"/>
          </w:rPr>
          <w:t>https://doi.org/10.4236/ajps.2020.116055</w:t>
        </w:r>
      </w:hyperlink>
      <w:r>
        <w:rPr>
          <w:rFonts w:ascii="Arial" w:hAnsi="Arial" w:cs="Arial"/>
          <w:sz w:val="20"/>
          <w:szCs w:val="20"/>
        </w:rPr>
        <w:t xml:space="preserve"> </w:t>
      </w:r>
    </w:p>
    <w:p w14:paraId="6965836A" w14:textId="77777777" w:rsidR="00A24BE3" w:rsidRP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proofErr w:type="spellStart"/>
      <w:r w:rsidRPr="00A24BE3">
        <w:rPr>
          <w:rFonts w:ascii="Arial" w:hAnsi="Arial" w:cs="Arial"/>
          <w:sz w:val="20"/>
          <w:szCs w:val="20"/>
        </w:rPr>
        <w:t>Pattnaik</w:t>
      </w:r>
      <w:proofErr w:type="spellEnd"/>
      <w:r w:rsidRPr="00A24BE3">
        <w:rPr>
          <w:rFonts w:ascii="Arial" w:hAnsi="Arial" w:cs="Arial"/>
          <w:sz w:val="20"/>
          <w:szCs w:val="20"/>
        </w:rPr>
        <w:t xml:space="preserve">, S., &amp; Singh, L. (2020). Cyanobacteria Bioactive Compound, their Production and Extraction with Pharmaceutical Applications – A Review. International Journal of Current Microbiology and Applied Sciences. </w:t>
      </w:r>
      <w:hyperlink r:id="rId42" w:history="1">
        <w:r w:rsidRPr="000B6FBD">
          <w:rPr>
            <w:rStyle w:val="Hyperlink"/>
            <w:rFonts w:ascii="Arial" w:hAnsi="Arial" w:cs="Arial"/>
            <w:sz w:val="20"/>
            <w:szCs w:val="20"/>
          </w:rPr>
          <w:t>https://doi.org/10.20546/ijcmas.2020.906.402</w:t>
        </w:r>
      </w:hyperlink>
      <w:r>
        <w:rPr>
          <w:rFonts w:ascii="Arial" w:hAnsi="Arial" w:cs="Arial"/>
          <w:sz w:val="20"/>
          <w:szCs w:val="20"/>
        </w:rPr>
        <w:t xml:space="preserve"> </w:t>
      </w:r>
    </w:p>
    <w:p w14:paraId="47398DB7" w14:textId="77777777" w:rsid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eastAsia="Times New Roman" w:hAnsi="Arial" w:cs="Arial"/>
          <w:kern w:val="0"/>
          <w:sz w:val="20"/>
          <w:szCs w:val="20"/>
          <w:lang w:eastAsia="en-IN"/>
          <w14:ligatures w14:val="none"/>
        </w:rPr>
        <w:t xml:space="preserve">Pham, H. T. L., Ngo, T. T., Tran, T. V., Duong, T. A., Tran, L. D., Tran, A. T. T., Nguyen, V. T. H., &amp; Nguyen, S. V. (2025). Classification of </w:t>
      </w:r>
      <w:proofErr w:type="spellStart"/>
      <w:r w:rsidRPr="00A24BE3">
        <w:rPr>
          <w:rFonts w:ascii="Arial" w:eastAsia="Times New Roman" w:hAnsi="Arial" w:cs="Arial"/>
          <w:kern w:val="0"/>
          <w:sz w:val="20"/>
          <w:szCs w:val="20"/>
          <w:lang w:eastAsia="en-IN"/>
          <w14:ligatures w14:val="none"/>
        </w:rPr>
        <w:t>Nostoc</w:t>
      </w:r>
      <w:proofErr w:type="spellEnd"/>
      <w:r w:rsidRPr="00A24BE3">
        <w:rPr>
          <w:rFonts w:ascii="Arial" w:eastAsia="Times New Roman" w:hAnsi="Arial" w:cs="Arial"/>
          <w:kern w:val="0"/>
          <w:sz w:val="20"/>
          <w:szCs w:val="20"/>
          <w:lang w:eastAsia="en-IN"/>
          <w14:ligatures w14:val="none"/>
        </w:rPr>
        <w:t xml:space="preserve">-like cyanobacteria isolated from paddy soil into </w:t>
      </w:r>
      <w:proofErr w:type="spellStart"/>
      <w:r w:rsidRPr="00A24BE3">
        <w:rPr>
          <w:rFonts w:ascii="Arial" w:eastAsia="Times New Roman" w:hAnsi="Arial" w:cs="Arial"/>
          <w:kern w:val="0"/>
          <w:sz w:val="20"/>
          <w:szCs w:val="20"/>
          <w:lang w:eastAsia="en-IN"/>
          <w14:ligatures w14:val="none"/>
        </w:rPr>
        <w:t>Aliinostoc</w:t>
      </w:r>
      <w:proofErr w:type="spellEnd"/>
      <w:r w:rsidRPr="00A24BE3">
        <w:rPr>
          <w:rFonts w:ascii="Arial" w:eastAsia="Times New Roman" w:hAnsi="Arial" w:cs="Arial"/>
          <w:kern w:val="0"/>
          <w:sz w:val="20"/>
          <w:szCs w:val="20"/>
          <w:lang w:eastAsia="en-IN"/>
          <w14:ligatures w14:val="none"/>
        </w:rPr>
        <w:t xml:space="preserve">, </w:t>
      </w:r>
      <w:proofErr w:type="spellStart"/>
      <w:r w:rsidRPr="00A24BE3">
        <w:rPr>
          <w:rFonts w:ascii="Arial" w:eastAsia="Times New Roman" w:hAnsi="Arial" w:cs="Arial"/>
          <w:kern w:val="0"/>
          <w:sz w:val="20"/>
          <w:szCs w:val="20"/>
          <w:lang w:eastAsia="en-IN"/>
          <w14:ligatures w14:val="none"/>
        </w:rPr>
        <w:t>Aulosira</w:t>
      </w:r>
      <w:proofErr w:type="spellEnd"/>
      <w:r w:rsidRPr="00A24BE3">
        <w:rPr>
          <w:rFonts w:ascii="Arial" w:eastAsia="Times New Roman" w:hAnsi="Arial" w:cs="Arial"/>
          <w:kern w:val="0"/>
          <w:sz w:val="20"/>
          <w:szCs w:val="20"/>
          <w:lang w:eastAsia="en-IN"/>
          <w14:ligatures w14:val="none"/>
        </w:rPr>
        <w:t xml:space="preserve">, and </w:t>
      </w:r>
      <w:proofErr w:type="spellStart"/>
      <w:r w:rsidRPr="00A24BE3">
        <w:rPr>
          <w:rFonts w:ascii="Arial" w:eastAsia="Times New Roman" w:hAnsi="Arial" w:cs="Arial"/>
          <w:kern w:val="0"/>
          <w:sz w:val="20"/>
          <w:szCs w:val="20"/>
          <w:lang w:eastAsia="en-IN"/>
          <w14:ligatures w14:val="none"/>
        </w:rPr>
        <w:t>Desmonostoc</w:t>
      </w:r>
      <w:proofErr w:type="spellEnd"/>
      <w:r w:rsidRPr="00A24BE3">
        <w:rPr>
          <w:rFonts w:ascii="Arial" w:eastAsia="Times New Roman" w:hAnsi="Arial" w:cs="Arial"/>
          <w:kern w:val="0"/>
          <w:sz w:val="20"/>
          <w:szCs w:val="20"/>
          <w:lang w:eastAsia="en-IN"/>
          <w14:ligatures w14:val="none"/>
        </w:rPr>
        <w:t xml:space="preserve">. Frontiers in Microbiology, 16, 1581725. </w:t>
      </w:r>
      <w:hyperlink r:id="rId43" w:history="1">
        <w:r w:rsidRPr="000B6FBD">
          <w:rPr>
            <w:rStyle w:val="Hyperlink"/>
            <w:rFonts w:ascii="Arial" w:eastAsia="Times New Roman" w:hAnsi="Arial" w:cs="Arial"/>
            <w:kern w:val="0"/>
            <w:sz w:val="20"/>
            <w:szCs w:val="20"/>
            <w:lang w:eastAsia="en-IN"/>
            <w14:ligatures w14:val="none"/>
          </w:rPr>
          <w:t>https://doi.org/10.3389/fmicb.2025.1581725</w:t>
        </w:r>
      </w:hyperlink>
      <w:r>
        <w:rPr>
          <w:rFonts w:ascii="Arial" w:eastAsia="Times New Roman" w:hAnsi="Arial" w:cs="Arial"/>
          <w:kern w:val="0"/>
          <w:sz w:val="20"/>
          <w:szCs w:val="20"/>
          <w:lang w:eastAsia="en-IN"/>
          <w14:ligatures w14:val="none"/>
        </w:rPr>
        <w:t xml:space="preserve"> </w:t>
      </w:r>
    </w:p>
    <w:p w14:paraId="28FB9621" w14:textId="416B2A10" w:rsidR="00957D96" w:rsidRPr="0066543C" w:rsidRDefault="00957D96"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66543C">
        <w:rPr>
          <w:rFonts w:ascii="Arial" w:eastAsia="Times New Roman" w:hAnsi="Arial" w:cs="Arial"/>
          <w:kern w:val="0"/>
          <w:sz w:val="20"/>
          <w:szCs w:val="20"/>
          <w:lang w:eastAsia="en-IN"/>
          <w14:ligatures w14:val="none"/>
        </w:rPr>
        <w:t xml:space="preserve">Prasanna, R., Joshi, M., Rana, A., Shivay, Y. S., &amp; Nain, L. (2013). Cyanobacteria as potential options for improving productivity and sustainability of rice–wheat cropping systems. </w:t>
      </w:r>
      <w:r w:rsidRPr="0066543C">
        <w:rPr>
          <w:rFonts w:ascii="Arial" w:eastAsia="Times New Roman" w:hAnsi="Arial" w:cs="Arial"/>
          <w:i/>
          <w:iCs/>
          <w:kern w:val="0"/>
          <w:sz w:val="20"/>
          <w:szCs w:val="20"/>
          <w:lang w:eastAsia="en-IN"/>
          <w14:ligatures w14:val="none"/>
        </w:rPr>
        <w:t>Soil Biology and Biochemistry, 65,</w:t>
      </w:r>
      <w:r w:rsidRPr="0066543C">
        <w:rPr>
          <w:rFonts w:ascii="Arial" w:eastAsia="Times New Roman" w:hAnsi="Arial" w:cs="Arial"/>
          <w:kern w:val="0"/>
          <w:sz w:val="20"/>
          <w:szCs w:val="20"/>
          <w:lang w:eastAsia="en-IN"/>
          <w14:ligatures w14:val="none"/>
        </w:rPr>
        <w:t xml:space="preserve"> 29–36. </w:t>
      </w:r>
      <w:hyperlink r:id="rId44" w:tgtFrame="_new" w:history="1">
        <w:r w:rsidRPr="0066543C">
          <w:rPr>
            <w:rFonts w:ascii="Arial" w:eastAsia="Times New Roman" w:hAnsi="Arial" w:cs="Arial"/>
            <w:color w:val="0000FF"/>
            <w:kern w:val="0"/>
            <w:sz w:val="20"/>
            <w:szCs w:val="20"/>
            <w:u w:val="single"/>
            <w:lang w:eastAsia="en-IN"/>
            <w14:ligatures w14:val="none"/>
          </w:rPr>
          <w:t>https://doi.org/10.1016/j.soilbio.2013.05.001</w:t>
        </w:r>
      </w:hyperlink>
    </w:p>
    <w:p w14:paraId="7647AE28" w14:textId="77777777" w:rsid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eastAsia="Times New Roman" w:hAnsi="Arial" w:cs="Arial"/>
          <w:kern w:val="0"/>
          <w:sz w:val="20"/>
          <w:szCs w:val="20"/>
          <w:lang w:eastAsia="en-IN"/>
          <w14:ligatures w14:val="none"/>
        </w:rPr>
        <w:lastRenderedPageBreak/>
        <w:t xml:space="preserve">Prasanna, R., Kumar, A., Singh, R. N., &amp; Singh, P. K. (2016). Cyanobacteria as potential options for environmental sustainability—Promises and challenges. Indian Journal of Microbiology. </w:t>
      </w:r>
      <w:hyperlink r:id="rId45" w:history="1">
        <w:r w:rsidRPr="000B6FBD">
          <w:rPr>
            <w:rStyle w:val="Hyperlink"/>
            <w:rFonts w:ascii="Arial" w:eastAsia="Times New Roman" w:hAnsi="Arial" w:cs="Arial"/>
            <w:kern w:val="0"/>
            <w:sz w:val="20"/>
            <w:szCs w:val="20"/>
            <w:lang w:eastAsia="en-IN"/>
            <w14:ligatures w14:val="none"/>
          </w:rPr>
          <w:t>https://doi.org/10.1007/s12088-016-0585-2</w:t>
        </w:r>
      </w:hyperlink>
      <w:r>
        <w:rPr>
          <w:rFonts w:ascii="Arial" w:eastAsia="Times New Roman" w:hAnsi="Arial" w:cs="Arial"/>
          <w:kern w:val="0"/>
          <w:sz w:val="20"/>
          <w:szCs w:val="20"/>
          <w:lang w:eastAsia="en-IN"/>
          <w14:ligatures w14:val="none"/>
        </w:rPr>
        <w:t xml:space="preserve"> </w:t>
      </w:r>
    </w:p>
    <w:p w14:paraId="6D4FCA0D" w14:textId="77777777" w:rsid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eastAsia="Times New Roman" w:hAnsi="Arial" w:cs="Arial"/>
          <w:kern w:val="0"/>
          <w:sz w:val="20"/>
          <w:szCs w:val="20"/>
          <w:lang w:eastAsia="en-IN"/>
          <w14:ligatures w14:val="none"/>
        </w:rPr>
        <w:t xml:space="preserve">Rana, A., Joshi, M., Prasanna, R., </w:t>
      </w:r>
      <w:proofErr w:type="spellStart"/>
      <w:r w:rsidRPr="00A24BE3">
        <w:rPr>
          <w:rFonts w:ascii="Arial" w:eastAsia="Times New Roman" w:hAnsi="Arial" w:cs="Arial"/>
          <w:kern w:val="0"/>
          <w:sz w:val="20"/>
          <w:szCs w:val="20"/>
          <w:lang w:eastAsia="en-IN"/>
          <w14:ligatures w14:val="none"/>
        </w:rPr>
        <w:t>Shivay</w:t>
      </w:r>
      <w:proofErr w:type="spellEnd"/>
      <w:r w:rsidRPr="00A24BE3">
        <w:rPr>
          <w:rFonts w:ascii="Arial" w:eastAsia="Times New Roman" w:hAnsi="Arial" w:cs="Arial"/>
          <w:kern w:val="0"/>
          <w:sz w:val="20"/>
          <w:szCs w:val="20"/>
          <w:lang w:eastAsia="en-IN"/>
          <w14:ligatures w14:val="none"/>
        </w:rPr>
        <w:t xml:space="preserve">, Y. S., &amp; Nain, L. (2020). Bioinoculants from cyanobacteria and PGPR: A potential biotechnological option for enhancing sustainable agriculture. Indian Journal of Microbiology, 60(1), 25–34. </w:t>
      </w:r>
      <w:hyperlink r:id="rId46" w:history="1">
        <w:r w:rsidRPr="000B6FBD">
          <w:rPr>
            <w:rStyle w:val="Hyperlink"/>
            <w:rFonts w:ascii="Arial" w:eastAsia="Times New Roman" w:hAnsi="Arial" w:cs="Arial"/>
            <w:kern w:val="0"/>
            <w:sz w:val="20"/>
            <w:szCs w:val="20"/>
            <w:lang w:eastAsia="en-IN"/>
            <w14:ligatures w14:val="none"/>
          </w:rPr>
          <w:t>https://doi.org/10.1007/s12088-019-00825-5</w:t>
        </w:r>
      </w:hyperlink>
      <w:r>
        <w:rPr>
          <w:rFonts w:ascii="Arial" w:eastAsia="Times New Roman" w:hAnsi="Arial" w:cs="Arial"/>
          <w:kern w:val="0"/>
          <w:sz w:val="20"/>
          <w:szCs w:val="20"/>
          <w:lang w:eastAsia="en-IN"/>
          <w14:ligatures w14:val="none"/>
        </w:rPr>
        <w:t xml:space="preserve"> </w:t>
      </w:r>
    </w:p>
    <w:p w14:paraId="238D5738" w14:textId="77777777" w:rsid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eastAsia="Times New Roman" w:hAnsi="Arial" w:cs="Arial"/>
          <w:kern w:val="0"/>
          <w:sz w:val="20"/>
          <w:szCs w:val="20"/>
          <w:lang w:eastAsia="en-IN"/>
          <w14:ligatures w14:val="none"/>
        </w:rPr>
        <w:t xml:space="preserve">Roque, J., Brito, Â., Rocha, M., </w:t>
      </w:r>
      <w:proofErr w:type="spellStart"/>
      <w:r w:rsidRPr="00A24BE3">
        <w:rPr>
          <w:rFonts w:ascii="Arial" w:eastAsia="Times New Roman" w:hAnsi="Arial" w:cs="Arial"/>
          <w:kern w:val="0"/>
          <w:sz w:val="20"/>
          <w:szCs w:val="20"/>
          <w:lang w:eastAsia="en-IN"/>
          <w14:ligatures w14:val="none"/>
        </w:rPr>
        <w:t>Pissarra</w:t>
      </w:r>
      <w:proofErr w:type="spellEnd"/>
      <w:r w:rsidRPr="00A24BE3">
        <w:rPr>
          <w:rFonts w:ascii="Arial" w:eastAsia="Times New Roman" w:hAnsi="Arial" w:cs="Arial"/>
          <w:kern w:val="0"/>
          <w:sz w:val="20"/>
          <w:szCs w:val="20"/>
          <w:lang w:eastAsia="en-IN"/>
          <w14:ligatures w14:val="none"/>
        </w:rPr>
        <w:t xml:space="preserve">, J., Nunes, T., </w:t>
      </w:r>
      <w:proofErr w:type="spellStart"/>
      <w:r w:rsidRPr="00A24BE3">
        <w:rPr>
          <w:rFonts w:ascii="Arial" w:eastAsia="Times New Roman" w:hAnsi="Arial" w:cs="Arial"/>
          <w:kern w:val="0"/>
          <w:sz w:val="20"/>
          <w:szCs w:val="20"/>
          <w:lang w:eastAsia="en-IN"/>
          <w14:ligatures w14:val="none"/>
        </w:rPr>
        <w:t>Bessa</w:t>
      </w:r>
      <w:proofErr w:type="spellEnd"/>
      <w:r w:rsidRPr="00A24BE3">
        <w:rPr>
          <w:rFonts w:ascii="Arial" w:eastAsia="Times New Roman" w:hAnsi="Arial" w:cs="Arial"/>
          <w:kern w:val="0"/>
          <w:sz w:val="20"/>
          <w:szCs w:val="20"/>
          <w:lang w:eastAsia="en-IN"/>
          <w14:ligatures w14:val="none"/>
        </w:rPr>
        <w:t xml:space="preserve">, M., Vieira, J. P., &amp; </w:t>
      </w:r>
      <w:proofErr w:type="spellStart"/>
      <w:r w:rsidRPr="00A24BE3">
        <w:rPr>
          <w:rFonts w:ascii="Arial" w:eastAsia="Times New Roman" w:hAnsi="Arial" w:cs="Arial"/>
          <w:kern w:val="0"/>
          <w:sz w:val="20"/>
          <w:szCs w:val="20"/>
          <w:lang w:eastAsia="en-IN"/>
          <w14:ligatures w14:val="none"/>
        </w:rPr>
        <w:t>Tamagnini</w:t>
      </w:r>
      <w:proofErr w:type="spellEnd"/>
      <w:r w:rsidRPr="00A24BE3">
        <w:rPr>
          <w:rFonts w:ascii="Arial" w:eastAsia="Times New Roman" w:hAnsi="Arial" w:cs="Arial"/>
          <w:kern w:val="0"/>
          <w:sz w:val="20"/>
          <w:szCs w:val="20"/>
          <w:lang w:eastAsia="en-IN"/>
          <w14:ligatures w14:val="none"/>
        </w:rPr>
        <w:t xml:space="preserve">, P. (2023). Isolation and characterization of soil cyanobacteria and microalgae and evaluation of their potential as plant </w:t>
      </w:r>
      <w:proofErr w:type="spellStart"/>
      <w:r w:rsidRPr="00A24BE3">
        <w:rPr>
          <w:rFonts w:ascii="Arial" w:eastAsia="Times New Roman" w:hAnsi="Arial" w:cs="Arial"/>
          <w:kern w:val="0"/>
          <w:sz w:val="20"/>
          <w:szCs w:val="20"/>
          <w:lang w:eastAsia="en-IN"/>
          <w14:ligatures w14:val="none"/>
        </w:rPr>
        <w:t>biostimulants</w:t>
      </w:r>
      <w:proofErr w:type="spellEnd"/>
      <w:r w:rsidRPr="00A24BE3">
        <w:rPr>
          <w:rFonts w:ascii="Arial" w:eastAsia="Times New Roman" w:hAnsi="Arial" w:cs="Arial"/>
          <w:kern w:val="0"/>
          <w:sz w:val="20"/>
          <w:szCs w:val="20"/>
          <w:lang w:eastAsia="en-IN"/>
          <w14:ligatures w14:val="none"/>
        </w:rPr>
        <w:t xml:space="preserve">. Plant and Soil. </w:t>
      </w:r>
      <w:hyperlink r:id="rId47" w:history="1">
        <w:r w:rsidRPr="000B6FBD">
          <w:rPr>
            <w:rStyle w:val="Hyperlink"/>
            <w:rFonts w:ascii="Arial" w:eastAsia="Times New Roman" w:hAnsi="Arial" w:cs="Arial"/>
            <w:kern w:val="0"/>
            <w:sz w:val="20"/>
            <w:szCs w:val="20"/>
            <w:lang w:eastAsia="en-IN"/>
            <w14:ligatures w14:val="none"/>
          </w:rPr>
          <w:t>https://doi.org/10.1007/s11104-023-06217-x</w:t>
        </w:r>
      </w:hyperlink>
      <w:r>
        <w:rPr>
          <w:rFonts w:ascii="Arial" w:eastAsia="Times New Roman" w:hAnsi="Arial" w:cs="Arial"/>
          <w:kern w:val="0"/>
          <w:sz w:val="20"/>
          <w:szCs w:val="20"/>
          <w:lang w:eastAsia="en-IN"/>
          <w14:ligatures w14:val="none"/>
        </w:rPr>
        <w:t xml:space="preserve"> </w:t>
      </w:r>
    </w:p>
    <w:p w14:paraId="0EA94E19" w14:textId="77777777" w:rsid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eastAsia="Times New Roman" w:hAnsi="Arial" w:cs="Arial"/>
          <w:kern w:val="0"/>
          <w:sz w:val="20"/>
          <w:szCs w:val="20"/>
          <w:lang w:eastAsia="en-IN"/>
          <w14:ligatures w14:val="none"/>
        </w:rPr>
        <w:t xml:space="preserve">Santini, G., Biondi, N., </w:t>
      </w:r>
      <w:proofErr w:type="spellStart"/>
      <w:r w:rsidRPr="00A24BE3">
        <w:rPr>
          <w:rFonts w:ascii="Arial" w:eastAsia="Times New Roman" w:hAnsi="Arial" w:cs="Arial"/>
          <w:kern w:val="0"/>
          <w:sz w:val="20"/>
          <w:szCs w:val="20"/>
          <w:lang w:eastAsia="en-IN"/>
          <w14:ligatures w14:val="none"/>
        </w:rPr>
        <w:t>Rodolfi</w:t>
      </w:r>
      <w:proofErr w:type="spellEnd"/>
      <w:r w:rsidRPr="00A24BE3">
        <w:rPr>
          <w:rFonts w:ascii="Arial" w:eastAsia="Times New Roman" w:hAnsi="Arial" w:cs="Arial"/>
          <w:kern w:val="0"/>
          <w:sz w:val="20"/>
          <w:szCs w:val="20"/>
          <w:lang w:eastAsia="en-IN"/>
          <w14:ligatures w14:val="none"/>
        </w:rPr>
        <w:t xml:space="preserve">, L., &amp; </w:t>
      </w:r>
      <w:proofErr w:type="spellStart"/>
      <w:r w:rsidRPr="00A24BE3">
        <w:rPr>
          <w:rFonts w:ascii="Arial" w:eastAsia="Times New Roman" w:hAnsi="Arial" w:cs="Arial"/>
          <w:kern w:val="0"/>
          <w:sz w:val="20"/>
          <w:szCs w:val="20"/>
          <w:lang w:eastAsia="en-IN"/>
          <w14:ligatures w14:val="none"/>
        </w:rPr>
        <w:t>Tredici</w:t>
      </w:r>
      <w:proofErr w:type="spellEnd"/>
      <w:r w:rsidRPr="00A24BE3">
        <w:rPr>
          <w:rFonts w:ascii="Arial" w:eastAsia="Times New Roman" w:hAnsi="Arial" w:cs="Arial"/>
          <w:kern w:val="0"/>
          <w:sz w:val="20"/>
          <w:szCs w:val="20"/>
          <w:lang w:eastAsia="en-IN"/>
          <w14:ligatures w14:val="none"/>
        </w:rPr>
        <w:t xml:space="preserve">, M. R. (2021). Plant </w:t>
      </w:r>
      <w:proofErr w:type="spellStart"/>
      <w:r w:rsidRPr="00A24BE3">
        <w:rPr>
          <w:rFonts w:ascii="Arial" w:eastAsia="Times New Roman" w:hAnsi="Arial" w:cs="Arial"/>
          <w:kern w:val="0"/>
          <w:sz w:val="20"/>
          <w:szCs w:val="20"/>
          <w:lang w:eastAsia="en-IN"/>
          <w14:ligatures w14:val="none"/>
        </w:rPr>
        <w:t>biostimulants</w:t>
      </w:r>
      <w:proofErr w:type="spellEnd"/>
      <w:r w:rsidRPr="00A24BE3">
        <w:rPr>
          <w:rFonts w:ascii="Arial" w:eastAsia="Times New Roman" w:hAnsi="Arial" w:cs="Arial"/>
          <w:kern w:val="0"/>
          <w:sz w:val="20"/>
          <w:szCs w:val="20"/>
          <w:lang w:eastAsia="en-IN"/>
          <w14:ligatures w14:val="none"/>
        </w:rPr>
        <w:t xml:space="preserve"> from cyanobacteria: An emerging strategy to improve yields and sustainability in agriculture. Plants, 10(4), 643. </w:t>
      </w:r>
      <w:hyperlink r:id="rId48" w:history="1">
        <w:r w:rsidRPr="000B6FBD">
          <w:rPr>
            <w:rStyle w:val="Hyperlink"/>
            <w:rFonts w:ascii="Arial" w:eastAsia="Times New Roman" w:hAnsi="Arial" w:cs="Arial"/>
            <w:kern w:val="0"/>
            <w:sz w:val="20"/>
            <w:szCs w:val="20"/>
            <w:lang w:eastAsia="en-IN"/>
            <w14:ligatures w14:val="none"/>
          </w:rPr>
          <w:t>https://doi.org/10.3390/plants10040643</w:t>
        </w:r>
      </w:hyperlink>
      <w:r>
        <w:rPr>
          <w:rFonts w:ascii="Arial" w:eastAsia="Times New Roman" w:hAnsi="Arial" w:cs="Arial"/>
          <w:kern w:val="0"/>
          <w:sz w:val="20"/>
          <w:szCs w:val="20"/>
          <w:lang w:eastAsia="en-IN"/>
          <w14:ligatures w14:val="none"/>
        </w:rPr>
        <w:t xml:space="preserve"> </w:t>
      </w:r>
    </w:p>
    <w:p w14:paraId="1A8D7943" w14:textId="6FF00C10" w:rsidR="00A24BE3" w:rsidRPr="00A24BE3" w:rsidRDefault="00A24BE3" w:rsidP="00FF597F">
      <w:pPr>
        <w:pStyle w:val="ListParagraph"/>
        <w:numPr>
          <w:ilvl w:val="0"/>
          <w:numId w:val="2"/>
        </w:numPr>
        <w:spacing w:after="0" w:line="276" w:lineRule="auto"/>
        <w:jc w:val="both"/>
        <w:rPr>
          <w:rFonts w:ascii="Arial" w:eastAsia="Times New Roman" w:hAnsi="Arial" w:cs="Arial"/>
          <w:color w:val="000000"/>
          <w:sz w:val="20"/>
          <w:szCs w:val="20"/>
          <w:lang w:eastAsia="en-IN"/>
        </w:rPr>
      </w:pPr>
      <w:r w:rsidRPr="00A24BE3">
        <w:rPr>
          <w:rFonts w:ascii="Arial" w:eastAsia="Times New Roman" w:hAnsi="Arial" w:cs="Arial"/>
          <w:kern w:val="0"/>
          <w:sz w:val="20"/>
          <w:szCs w:val="20"/>
          <w:lang w:eastAsia="en-IN"/>
          <w14:ligatures w14:val="none"/>
        </w:rPr>
        <w:t xml:space="preserve">Sao, S., &amp; Samuel, K. (2015). Study of Cyanobacteria as biofertilizer from the rice field. World Journal of Pharmaceutical Research, 4(3), 1696-1706. </w:t>
      </w:r>
      <w:hyperlink r:id="rId49" w:history="1">
        <w:r w:rsidRPr="000B6FBD">
          <w:rPr>
            <w:rStyle w:val="Hyperlink"/>
            <w:rFonts w:ascii="Arial" w:eastAsia="Times New Roman" w:hAnsi="Arial" w:cs="Arial"/>
            <w:kern w:val="0"/>
            <w:sz w:val="20"/>
            <w:szCs w:val="20"/>
            <w:lang w:eastAsia="en-IN"/>
            <w14:ligatures w14:val="none"/>
          </w:rPr>
          <w:t>https://www.wjpr.net/download/article/1425090923.pdf</w:t>
        </w:r>
      </w:hyperlink>
    </w:p>
    <w:p w14:paraId="73D77CC3" w14:textId="77777777" w:rsidR="00A24BE3" w:rsidRP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eastAsia="Times New Roman" w:hAnsi="Arial" w:cs="Arial"/>
          <w:color w:val="000000"/>
          <w:sz w:val="20"/>
          <w:szCs w:val="20"/>
          <w:lang w:eastAsia="en-IN"/>
        </w:rPr>
        <w:t xml:space="preserve">Singh, V. K., Singh, S. K., Singh, P. K., Verma, H., Pandey, K. D., Singh, P. K., &amp; Kumar, A. (2020). Impact of pesticides applications on the growth and function of cyanobacteria. In P. K. Singh, A. Kumar, V. K. Singh, &amp; A. K. </w:t>
      </w:r>
      <w:proofErr w:type="spellStart"/>
      <w:r w:rsidRPr="00A24BE3">
        <w:rPr>
          <w:rFonts w:ascii="Arial" w:eastAsia="Times New Roman" w:hAnsi="Arial" w:cs="Arial"/>
          <w:color w:val="000000"/>
          <w:sz w:val="20"/>
          <w:szCs w:val="20"/>
          <w:lang w:eastAsia="en-IN"/>
        </w:rPr>
        <w:t>Shrivistava</w:t>
      </w:r>
      <w:proofErr w:type="spellEnd"/>
      <w:r w:rsidRPr="00A24BE3">
        <w:rPr>
          <w:rFonts w:ascii="Arial" w:eastAsia="Times New Roman" w:hAnsi="Arial" w:cs="Arial"/>
          <w:color w:val="000000"/>
          <w:sz w:val="20"/>
          <w:szCs w:val="20"/>
          <w:lang w:eastAsia="en-IN"/>
        </w:rPr>
        <w:t xml:space="preserve"> (Eds.), Advances in Cyanobacterial Biology (pp. 151-162). Academic Press. </w:t>
      </w:r>
      <w:hyperlink r:id="rId50" w:history="1">
        <w:r w:rsidRPr="000B6FBD">
          <w:rPr>
            <w:rStyle w:val="Hyperlink"/>
            <w:rFonts w:ascii="Arial" w:eastAsia="Times New Roman" w:hAnsi="Arial" w:cs="Arial"/>
            <w:sz w:val="20"/>
            <w:szCs w:val="20"/>
            <w:lang w:eastAsia="en-IN"/>
          </w:rPr>
          <w:t>https://doi.org/10.1016/B978-0-12-819311-2.00010-3</w:t>
        </w:r>
      </w:hyperlink>
      <w:r>
        <w:rPr>
          <w:rFonts w:ascii="Arial" w:eastAsia="Times New Roman" w:hAnsi="Arial" w:cs="Arial"/>
          <w:color w:val="000000"/>
          <w:sz w:val="20"/>
          <w:szCs w:val="20"/>
          <w:lang w:eastAsia="en-IN"/>
        </w:rPr>
        <w:t xml:space="preserve"> </w:t>
      </w:r>
    </w:p>
    <w:p w14:paraId="7E5107EC" w14:textId="016DFEE0" w:rsidR="00957D96" w:rsidRPr="0066543C" w:rsidRDefault="00957D96"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66543C">
        <w:rPr>
          <w:rFonts w:ascii="Arial" w:eastAsia="Times New Roman" w:hAnsi="Arial" w:cs="Arial"/>
          <w:kern w:val="0"/>
          <w:sz w:val="20"/>
          <w:szCs w:val="20"/>
          <w:lang w:eastAsia="en-IN"/>
          <w14:ligatures w14:val="none"/>
        </w:rPr>
        <w:t xml:space="preserve">Scientific Reports. (2022). Characterization of cyanobacterial isolates from freshwater and Egyptian lakes. </w:t>
      </w:r>
      <w:r w:rsidRPr="0066543C">
        <w:rPr>
          <w:rFonts w:ascii="Arial" w:eastAsia="Times New Roman" w:hAnsi="Arial" w:cs="Arial"/>
          <w:i/>
          <w:iCs/>
          <w:kern w:val="0"/>
          <w:sz w:val="20"/>
          <w:szCs w:val="20"/>
          <w:lang w:eastAsia="en-IN"/>
          <w14:ligatures w14:val="none"/>
        </w:rPr>
        <w:t>Scientific Reports, 12,</w:t>
      </w:r>
      <w:r w:rsidRPr="0066543C">
        <w:rPr>
          <w:rFonts w:ascii="Arial" w:eastAsia="Times New Roman" w:hAnsi="Arial" w:cs="Arial"/>
          <w:kern w:val="0"/>
          <w:sz w:val="20"/>
          <w:szCs w:val="20"/>
          <w:lang w:eastAsia="en-IN"/>
          <w14:ligatures w14:val="none"/>
        </w:rPr>
        <w:t xml:space="preserve"> 13678. </w:t>
      </w:r>
      <w:hyperlink r:id="rId51" w:tgtFrame="_new" w:history="1">
        <w:r w:rsidRPr="0066543C">
          <w:rPr>
            <w:rFonts w:ascii="Arial" w:eastAsia="Times New Roman" w:hAnsi="Arial" w:cs="Arial"/>
            <w:color w:val="0000FF"/>
            <w:kern w:val="0"/>
            <w:sz w:val="20"/>
            <w:szCs w:val="20"/>
            <w:u w:val="single"/>
            <w:lang w:eastAsia="en-IN"/>
            <w14:ligatures w14:val="none"/>
          </w:rPr>
          <w:t>https://doi.org/10.1038/s41598-022-13678-2</w:t>
        </w:r>
      </w:hyperlink>
    </w:p>
    <w:p w14:paraId="70DAB5A3" w14:textId="0E8D52B1" w:rsidR="00A24BE3" w:rsidRP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eastAsia="Times New Roman" w:hAnsi="Arial" w:cs="Arial"/>
          <w:kern w:val="0"/>
          <w:sz w:val="20"/>
          <w:szCs w:val="20"/>
          <w:lang w:eastAsia="en-IN"/>
          <w14:ligatures w14:val="none"/>
        </w:rPr>
        <w:t xml:space="preserve">Singh, D. P., &amp; </w:t>
      </w:r>
      <w:proofErr w:type="spellStart"/>
      <w:r w:rsidRPr="00A24BE3">
        <w:rPr>
          <w:rFonts w:ascii="Arial" w:eastAsia="Times New Roman" w:hAnsi="Arial" w:cs="Arial"/>
          <w:kern w:val="0"/>
          <w:sz w:val="20"/>
          <w:szCs w:val="20"/>
          <w:lang w:eastAsia="en-IN"/>
          <w14:ligatures w14:val="none"/>
        </w:rPr>
        <w:t>Khattar</w:t>
      </w:r>
      <w:proofErr w:type="spellEnd"/>
      <w:r w:rsidRPr="00A24BE3">
        <w:rPr>
          <w:rFonts w:ascii="Arial" w:eastAsia="Times New Roman" w:hAnsi="Arial" w:cs="Arial"/>
          <w:kern w:val="0"/>
          <w:sz w:val="20"/>
          <w:szCs w:val="20"/>
          <w:lang w:eastAsia="en-IN"/>
          <w14:ligatures w14:val="none"/>
        </w:rPr>
        <w:t xml:space="preserve">, J. I. S. (2011). Chlorpyrifos degradation by the cyanobacterium </w:t>
      </w:r>
      <w:proofErr w:type="spellStart"/>
      <w:r w:rsidRPr="00A24BE3">
        <w:rPr>
          <w:rFonts w:ascii="Arial" w:eastAsia="Times New Roman" w:hAnsi="Arial" w:cs="Arial"/>
          <w:kern w:val="0"/>
          <w:sz w:val="20"/>
          <w:szCs w:val="20"/>
          <w:lang w:eastAsia="en-IN"/>
          <w14:ligatures w14:val="none"/>
        </w:rPr>
        <w:t>Synechocystis</w:t>
      </w:r>
      <w:proofErr w:type="spellEnd"/>
      <w:r w:rsidRPr="00A24BE3">
        <w:rPr>
          <w:rFonts w:ascii="Arial" w:eastAsia="Times New Roman" w:hAnsi="Arial" w:cs="Arial"/>
          <w:kern w:val="0"/>
          <w:sz w:val="20"/>
          <w:szCs w:val="20"/>
          <w:lang w:eastAsia="en-IN"/>
          <w14:ligatures w14:val="none"/>
        </w:rPr>
        <w:t xml:space="preserve"> sp. strain PUPCCC-64: tolerance and biodegradation studies. Environmental Monitoring and Assessment. </w:t>
      </w:r>
      <w:hyperlink r:id="rId52" w:history="1">
        <w:r w:rsidRPr="000B6FBD">
          <w:rPr>
            <w:rStyle w:val="Hyperlink"/>
            <w:rFonts w:ascii="Arial" w:eastAsia="Times New Roman" w:hAnsi="Arial" w:cs="Arial"/>
            <w:kern w:val="0"/>
            <w:sz w:val="20"/>
            <w:szCs w:val="20"/>
            <w:lang w:eastAsia="en-IN"/>
            <w14:ligatures w14:val="none"/>
          </w:rPr>
          <w:t>https://doi.org/10.1007/s10661-011-2107-</w:t>
        </w:r>
        <w:r w:rsidRPr="000B6FBD">
          <w:rPr>
            <w:rStyle w:val="Hyperlink"/>
            <w:lang w:eastAsia="en-IN"/>
          </w:rPr>
          <w:t>1</w:t>
        </w:r>
      </w:hyperlink>
    </w:p>
    <w:p w14:paraId="3F0F85AC" w14:textId="77777777" w:rsidR="00A24BE3" w:rsidRP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t xml:space="preserve">Singh, J. S., Kumar, A., Rai, A. N., &amp; Singh, D. P. (2016). Cyanobacteria: A Precious Bio-resource in Agriculture, Ecosystem, and Environmental Sustainability. Frontiers in Microbiology, 7, 529. </w:t>
      </w:r>
      <w:hyperlink r:id="rId53" w:history="1">
        <w:r w:rsidRPr="000B6FBD">
          <w:rPr>
            <w:rStyle w:val="Hyperlink"/>
          </w:rPr>
          <w:t>https://doi.org/10.3389/fmicb.2016.00529</w:t>
        </w:r>
      </w:hyperlink>
      <w:r>
        <w:t xml:space="preserve"> </w:t>
      </w:r>
    </w:p>
    <w:p w14:paraId="00E385D1" w14:textId="24ADEAA5" w:rsidR="00957D96" w:rsidRPr="0066543C" w:rsidRDefault="00957D96"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66543C">
        <w:rPr>
          <w:rFonts w:ascii="Arial" w:eastAsia="Times New Roman" w:hAnsi="Arial" w:cs="Arial"/>
          <w:kern w:val="0"/>
          <w:sz w:val="20"/>
          <w:szCs w:val="20"/>
          <w:lang w:eastAsia="en-IN"/>
          <w14:ligatures w14:val="none"/>
        </w:rPr>
        <w:t xml:space="preserve">Subhashini, D. V., &amp; Kaushik, B. D. (2013). Cyanobacterial biofertilizers for rice crops. </w:t>
      </w:r>
      <w:r w:rsidRPr="0066543C">
        <w:rPr>
          <w:rFonts w:ascii="Arial" w:eastAsia="Times New Roman" w:hAnsi="Arial" w:cs="Arial"/>
          <w:i/>
          <w:iCs/>
          <w:kern w:val="0"/>
          <w:sz w:val="20"/>
          <w:szCs w:val="20"/>
          <w:lang w:eastAsia="en-IN"/>
          <w14:ligatures w14:val="none"/>
        </w:rPr>
        <w:t>Current Science, 105</w:t>
      </w:r>
      <w:r w:rsidRPr="0066543C">
        <w:rPr>
          <w:rFonts w:ascii="Arial" w:eastAsia="Times New Roman" w:hAnsi="Arial" w:cs="Arial"/>
          <w:kern w:val="0"/>
          <w:sz w:val="20"/>
          <w:szCs w:val="20"/>
          <w:lang w:eastAsia="en-IN"/>
          <w14:ligatures w14:val="none"/>
        </w:rPr>
        <w:t>(4), 507–508.</w:t>
      </w:r>
    </w:p>
    <w:p w14:paraId="1DE66CDF" w14:textId="77777777" w:rsidR="00A24BE3" w:rsidRDefault="00A24BE3" w:rsidP="00805BEA">
      <w:pPr>
        <w:pStyle w:val="ListParagraph"/>
        <w:numPr>
          <w:ilvl w:val="0"/>
          <w:numId w:val="2"/>
        </w:numPr>
        <w:spacing w:before="100" w:beforeAutospacing="1" w:after="100" w:afterAutospacing="1" w:line="240" w:lineRule="auto"/>
        <w:jc w:val="both"/>
        <w:rPr>
          <w:rFonts w:ascii="Arial" w:eastAsia="Times New Roman" w:hAnsi="Arial" w:cs="Arial"/>
          <w:kern w:val="0"/>
          <w:sz w:val="20"/>
          <w:szCs w:val="20"/>
          <w:lang w:eastAsia="en-IN"/>
          <w14:ligatures w14:val="none"/>
        </w:rPr>
      </w:pPr>
      <w:r w:rsidRPr="00A24BE3">
        <w:rPr>
          <w:rFonts w:ascii="Arial" w:eastAsia="Times New Roman" w:hAnsi="Arial" w:cs="Arial"/>
          <w:kern w:val="0"/>
          <w:sz w:val="20"/>
          <w:szCs w:val="20"/>
          <w:lang w:eastAsia="en-IN"/>
          <w14:ligatures w14:val="none"/>
        </w:rPr>
        <w:t xml:space="preserve">Tang, S., Li, Y., Zhu, Z., Wang, Y., Peng, Y., Zhang, J., </w:t>
      </w:r>
      <w:proofErr w:type="spellStart"/>
      <w:r w:rsidRPr="00A24BE3">
        <w:rPr>
          <w:rFonts w:ascii="Arial" w:eastAsia="Times New Roman" w:hAnsi="Arial" w:cs="Arial"/>
          <w:kern w:val="0"/>
          <w:sz w:val="20"/>
          <w:szCs w:val="20"/>
          <w:lang w:eastAsia="en-IN"/>
          <w14:ligatures w14:val="none"/>
        </w:rPr>
        <w:t>Nong</w:t>
      </w:r>
      <w:proofErr w:type="spellEnd"/>
      <w:r w:rsidRPr="00A24BE3">
        <w:rPr>
          <w:rFonts w:ascii="Arial" w:eastAsia="Times New Roman" w:hAnsi="Arial" w:cs="Arial"/>
          <w:kern w:val="0"/>
          <w:sz w:val="20"/>
          <w:szCs w:val="20"/>
          <w:lang w:eastAsia="en-IN"/>
          <w14:ligatures w14:val="none"/>
        </w:rPr>
        <w:t xml:space="preserve">, P., Pan, S., Fan, Y., &amp; Zhu, Y. (2024). Biotransformation of Chlorpyrifos </w:t>
      </w:r>
      <w:proofErr w:type="spellStart"/>
      <w:r w:rsidRPr="00A24BE3">
        <w:rPr>
          <w:rFonts w:ascii="Arial" w:eastAsia="Times New Roman" w:hAnsi="Arial" w:cs="Arial"/>
          <w:kern w:val="0"/>
          <w:sz w:val="20"/>
          <w:szCs w:val="20"/>
          <w:lang w:eastAsia="en-IN"/>
          <w14:ligatures w14:val="none"/>
        </w:rPr>
        <w:t>Shewanella</w:t>
      </w:r>
      <w:proofErr w:type="spellEnd"/>
      <w:r w:rsidRPr="00A24BE3">
        <w:rPr>
          <w:rFonts w:ascii="Arial" w:eastAsia="Times New Roman" w:hAnsi="Arial" w:cs="Arial"/>
          <w:kern w:val="0"/>
          <w:sz w:val="20"/>
          <w:szCs w:val="20"/>
          <w:lang w:eastAsia="en-IN"/>
          <w14:ligatures w14:val="none"/>
        </w:rPr>
        <w:t xml:space="preserve"> </w:t>
      </w:r>
      <w:proofErr w:type="spellStart"/>
      <w:r w:rsidRPr="00A24BE3">
        <w:rPr>
          <w:rFonts w:ascii="Arial" w:eastAsia="Times New Roman" w:hAnsi="Arial" w:cs="Arial"/>
          <w:kern w:val="0"/>
          <w:sz w:val="20"/>
          <w:szCs w:val="20"/>
          <w:lang w:eastAsia="en-IN"/>
          <w14:ligatures w14:val="none"/>
        </w:rPr>
        <w:t>oneidensis</w:t>
      </w:r>
      <w:proofErr w:type="spellEnd"/>
      <w:r w:rsidRPr="00A24BE3">
        <w:rPr>
          <w:rFonts w:ascii="Arial" w:eastAsia="Times New Roman" w:hAnsi="Arial" w:cs="Arial"/>
          <w:kern w:val="0"/>
          <w:sz w:val="20"/>
          <w:szCs w:val="20"/>
          <w:lang w:eastAsia="en-IN"/>
          <w14:ligatures w14:val="none"/>
        </w:rPr>
        <w:t xml:space="preserve"> MR-1 in the Presence of Goethite: Experimental Optimization and Degradation Products. Toxics, 12(6), 402. </w:t>
      </w:r>
      <w:hyperlink r:id="rId54" w:history="1">
        <w:r w:rsidRPr="000B6FBD">
          <w:rPr>
            <w:rStyle w:val="Hyperlink"/>
            <w:rFonts w:ascii="Arial" w:eastAsia="Times New Roman" w:hAnsi="Arial" w:cs="Arial"/>
            <w:kern w:val="0"/>
            <w:sz w:val="20"/>
            <w:szCs w:val="20"/>
            <w:lang w:eastAsia="en-IN"/>
            <w14:ligatures w14:val="none"/>
          </w:rPr>
          <w:t>https://doi.org/10.3390/toxics12060402</w:t>
        </w:r>
      </w:hyperlink>
      <w:r>
        <w:rPr>
          <w:rFonts w:ascii="Arial" w:eastAsia="Times New Roman" w:hAnsi="Arial" w:cs="Arial"/>
          <w:kern w:val="0"/>
          <w:sz w:val="20"/>
          <w:szCs w:val="20"/>
          <w:lang w:eastAsia="en-IN"/>
          <w14:ligatures w14:val="none"/>
        </w:rPr>
        <w:t xml:space="preserve"> </w:t>
      </w:r>
    </w:p>
    <w:p w14:paraId="089DEA06" w14:textId="77777777" w:rsidR="00A24BE3" w:rsidRPr="00A24BE3" w:rsidRDefault="00A24BE3" w:rsidP="000A2DE2">
      <w:pPr>
        <w:pStyle w:val="ListParagraph"/>
        <w:numPr>
          <w:ilvl w:val="0"/>
          <w:numId w:val="2"/>
        </w:numPr>
        <w:spacing w:after="0" w:line="276" w:lineRule="auto"/>
        <w:jc w:val="both"/>
        <w:rPr>
          <w:rFonts w:ascii="Arial" w:eastAsia="Times New Roman" w:hAnsi="Arial" w:cs="Arial"/>
          <w:color w:val="000000"/>
          <w:sz w:val="20"/>
          <w:szCs w:val="20"/>
          <w:lang w:eastAsia="en-IN"/>
        </w:rPr>
      </w:pPr>
      <w:proofErr w:type="spellStart"/>
      <w:r w:rsidRPr="00A24BE3">
        <w:rPr>
          <w:rFonts w:ascii="Arial" w:eastAsia="Times New Roman" w:hAnsi="Arial" w:cs="Arial"/>
          <w:kern w:val="0"/>
          <w:sz w:val="20"/>
          <w:szCs w:val="20"/>
          <w:lang w:eastAsia="en-IN"/>
          <w14:ligatures w14:val="none"/>
        </w:rPr>
        <w:t>Tharindi</w:t>
      </w:r>
      <w:proofErr w:type="spellEnd"/>
      <w:r w:rsidRPr="00A24BE3">
        <w:rPr>
          <w:rFonts w:ascii="Arial" w:eastAsia="Times New Roman" w:hAnsi="Arial" w:cs="Arial"/>
          <w:kern w:val="0"/>
          <w:sz w:val="20"/>
          <w:szCs w:val="20"/>
          <w:lang w:eastAsia="en-IN"/>
          <w14:ligatures w14:val="none"/>
        </w:rPr>
        <w:t xml:space="preserve">, P. W. M., </w:t>
      </w:r>
      <w:proofErr w:type="spellStart"/>
      <w:r w:rsidRPr="00A24BE3">
        <w:rPr>
          <w:rFonts w:ascii="Arial" w:eastAsia="Times New Roman" w:hAnsi="Arial" w:cs="Arial"/>
          <w:kern w:val="0"/>
          <w:sz w:val="20"/>
          <w:szCs w:val="20"/>
          <w:lang w:eastAsia="en-IN"/>
          <w14:ligatures w14:val="none"/>
        </w:rPr>
        <w:t>Balasooriya</w:t>
      </w:r>
      <w:proofErr w:type="spellEnd"/>
      <w:r w:rsidRPr="00A24BE3">
        <w:rPr>
          <w:rFonts w:ascii="Arial" w:eastAsia="Times New Roman" w:hAnsi="Arial" w:cs="Arial"/>
          <w:kern w:val="0"/>
          <w:sz w:val="20"/>
          <w:szCs w:val="20"/>
          <w:lang w:eastAsia="en-IN"/>
          <w14:ligatures w14:val="none"/>
        </w:rPr>
        <w:t xml:space="preserve">, W. K., </w:t>
      </w:r>
      <w:proofErr w:type="spellStart"/>
      <w:r w:rsidRPr="00A24BE3">
        <w:rPr>
          <w:rFonts w:ascii="Arial" w:eastAsia="Times New Roman" w:hAnsi="Arial" w:cs="Arial"/>
          <w:kern w:val="0"/>
          <w:sz w:val="20"/>
          <w:szCs w:val="20"/>
          <w:lang w:eastAsia="en-IN"/>
          <w14:ligatures w14:val="none"/>
        </w:rPr>
        <w:t>Suganthan</w:t>
      </w:r>
      <w:proofErr w:type="spellEnd"/>
      <w:r w:rsidRPr="00A24BE3">
        <w:rPr>
          <w:rFonts w:ascii="Arial" w:eastAsia="Times New Roman" w:hAnsi="Arial" w:cs="Arial"/>
          <w:kern w:val="0"/>
          <w:sz w:val="20"/>
          <w:szCs w:val="20"/>
          <w:lang w:eastAsia="en-IN"/>
          <w14:ligatures w14:val="none"/>
        </w:rPr>
        <w:t xml:space="preserve">, B., &amp; </w:t>
      </w:r>
      <w:proofErr w:type="spellStart"/>
      <w:r w:rsidRPr="00A24BE3">
        <w:rPr>
          <w:rFonts w:ascii="Arial" w:eastAsia="Times New Roman" w:hAnsi="Arial" w:cs="Arial"/>
          <w:kern w:val="0"/>
          <w:sz w:val="20"/>
          <w:szCs w:val="20"/>
          <w:lang w:eastAsia="en-IN"/>
          <w14:ligatures w14:val="none"/>
        </w:rPr>
        <w:t>Vivehananthan</w:t>
      </w:r>
      <w:proofErr w:type="spellEnd"/>
      <w:r w:rsidRPr="00A24BE3">
        <w:rPr>
          <w:rFonts w:ascii="Arial" w:eastAsia="Times New Roman" w:hAnsi="Arial" w:cs="Arial"/>
          <w:kern w:val="0"/>
          <w:sz w:val="20"/>
          <w:szCs w:val="20"/>
          <w:lang w:eastAsia="en-IN"/>
          <w14:ligatures w14:val="none"/>
        </w:rPr>
        <w:t xml:space="preserve">, K. (2016). Isolation and Identification of Culturable Cyanobacteria from Paddy Soils of the Intermediate Zone of Sri Lanka. Proceedings of the 15th Agricultural Research Symposium. </w:t>
      </w:r>
      <w:hyperlink r:id="rId55" w:history="1">
        <w:r w:rsidRPr="000B6FBD">
          <w:rPr>
            <w:rStyle w:val="Hyperlink"/>
            <w:rFonts w:ascii="Arial" w:eastAsia="Times New Roman" w:hAnsi="Arial" w:cs="Arial"/>
            <w:kern w:val="0"/>
            <w:sz w:val="20"/>
            <w:szCs w:val="20"/>
            <w:lang w:eastAsia="en-IN"/>
            <w14:ligatures w14:val="none"/>
          </w:rPr>
          <w:t>https://www.researchgate.net/publication/337300000_Isolation_and_Identification_of_Culturable_Cyanobacteria_from_Paddy_Soils_of_the_Intermediate_Zone_of_Sri_Lanka</w:t>
        </w:r>
      </w:hyperlink>
      <w:r>
        <w:rPr>
          <w:rFonts w:ascii="Arial" w:eastAsia="Times New Roman" w:hAnsi="Arial" w:cs="Arial"/>
          <w:kern w:val="0"/>
          <w:sz w:val="20"/>
          <w:szCs w:val="20"/>
          <w:lang w:eastAsia="en-IN"/>
          <w14:ligatures w14:val="none"/>
        </w:rPr>
        <w:t xml:space="preserve"> </w:t>
      </w:r>
    </w:p>
    <w:p w14:paraId="11E39A35" w14:textId="77777777" w:rsidR="00A24BE3" w:rsidRPr="00A24BE3" w:rsidRDefault="00A24BE3" w:rsidP="00805BEA">
      <w:pPr>
        <w:pStyle w:val="ListParagraph"/>
        <w:numPr>
          <w:ilvl w:val="0"/>
          <w:numId w:val="2"/>
        </w:numPr>
        <w:spacing w:line="240" w:lineRule="auto"/>
        <w:jc w:val="both"/>
        <w:rPr>
          <w:rFonts w:ascii="Arial" w:hAnsi="Arial" w:cs="Arial"/>
          <w:sz w:val="20"/>
          <w:szCs w:val="20"/>
        </w:rPr>
      </w:pPr>
      <w:r w:rsidRPr="00A24BE3">
        <w:rPr>
          <w:rFonts w:ascii="Arial" w:eastAsia="Times New Roman" w:hAnsi="Arial" w:cs="Arial"/>
          <w:color w:val="000000"/>
          <w:sz w:val="20"/>
          <w:szCs w:val="20"/>
          <w:lang w:eastAsia="en-IN"/>
        </w:rPr>
        <w:t xml:space="preserve">Vijayan, N. P., Ali, S. H., </w:t>
      </w:r>
      <w:proofErr w:type="spellStart"/>
      <w:r w:rsidRPr="00A24BE3">
        <w:rPr>
          <w:rFonts w:ascii="Arial" w:eastAsia="Times New Roman" w:hAnsi="Arial" w:cs="Arial"/>
          <w:color w:val="000000"/>
          <w:sz w:val="20"/>
          <w:szCs w:val="20"/>
          <w:lang w:eastAsia="en-IN"/>
        </w:rPr>
        <w:t>Madathilkovilakathu</w:t>
      </w:r>
      <w:proofErr w:type="spellEnd"/>
      <w:r w:rsidRPr="00A24BE3">
        <w:rPr>
          <w:rFonts w:ascii="Arial" w:eastAsia="Times New Roman" w:hAnsi="Arial" w:cs="Arial"/>
          <w:color w:val="000000"/>
          <w:sz w:val="20"/>
          <w:szCs w:val="20"/>
          <w:lang w:eastAsia="en-IN"/>
        </w:rPr>
        <w:t xml:space="preserve">, H., &amp; </w:t>
      </w:r>
      <w:proofErr w:type="spellStart"/>
      <w:r w:rsidRPr="00A24BE3">
        <w:rPr>
          <w:rFonts w:ascii="Arial" w:eastAsia="Times New Roman" w:hAnsi="Arial" w:cs="Arial"/>
          <w:color w:val="000000"/>
          <w:sz w:val="20"/>
          <w:szCs w:val="20"/>
          <w:lang w:eastAsia="en-IN"/>
        </w:rPr>
        <w:t>Abdulhameed</w:t>
      </w:r>
      <w:proofErr w:type="spellEnd"/>
      <w:r w:rsidRPr="00A24BE3">
        <w:rPr>
          <w:rFonts w:ascii="Arial" w:eastAsia="Times New Roman" w:hAnsi="Arial" w:cs="Arial"/>
          <w:color w:val="000000"/>
          <w:sz w:val="20"/>
          <w:szCs w:val="20"/>
          <w:lang w:eastAsia="en-IN"/>
        </w:rPr>
        <w:t xml:space="preserve">, S. (2020). Chlorpyrifos-degrading cyanobacterium – </w:t>
      </w:r>
      <w:proofErr w:type="spellStart"/>
      <w:r w:rsidRPr="00A24BE3">
        <w:rPr>
          <w:rFonts w:ascii="Arial" w:eastAsia="Times New Roman" w:hAnsi="Arial" w:cs="Arial"/>
          <w:color w:val="000000"/>
          <w:sz w:val="20"/>
          <w:szCs w:val="20"/>
          <w:lang w:eastAsia="en-IN"/>
        </w:rPr>
        <w:t>Coleofasciculus</w:t>
      </w:r>
      <w:proofErr w:type="spellEnd"/>
      <w:r w:rsidRPr="00A24BE3">
        <w:rPr>
          <w:rFonts w:ascii="Arial" w:eastAsia="Times New Roman" w:hAnsi="Arial" w:cs="Arial"/>
          <w:color w:val="000000"/>
          <w:sz w:val="20"/>
          <w:szCs w:val="20"/>
          <w:lang w:eastAsia="en-IN"/>
        </w:rPr>
        <w:t xml:space="preserve"> </w:t>
      </w:r>
      <w:proofErr w:type="spellStart"/>
      <w:r w:rsidRPr="00A24BE3">
        <w:rPr>
          <w:rFonts w:ascii="Arial" w:eastAsia="Times New Roman" w:hAnsi="Arial" w:cs="Arial"/>
          <w:color w:val="000000"/>
          <w:sz w:val="20"/>
          <w:szCs w:val="20"/>
          <w:lang w:eastAsia="en-IN"/>
        </w:rPr>
        <w:t>chthonoplastes</w:t>
      </w:r>
      <w:proofErr w:type="spellEnd"/>
      <w:r w:rsidRPr="00A24BE3">
        <w:rPr>
          <w:rFonts w:ascii="Arial" w:eastAsia="Times New Roman" w:hAnsi="Arial" w:cs="Arial"/>
          <w:color w:val="000000"/>
          <w:sz w:val="20"/>
          <w:szCs w:val="20"/>
          <w:lang w:eastAsia="en-IN"/>
        </w:rPr>
        <w:t xml:space="preserve"> isolated from paddy field. International Journal of Environmental Studies, 77(2), 307–317. </w:t>
      </w:r>
      <w:hyperlink r:id="rId56" w:history="1">
        <w:r w:rsidRPr="000B6FBD">
          <w:rPr>
            <w:rStyle w:val="Hyperlink"/>
            <w:rFonts w:ascii="Arial" w:eastAsia="Times New Roman" w:hAnsi="Arial" w:cs="Arial"/>
            <w:sz w:val="20"/>
            <w:szCs w:val="20"/>
            <w:lang w:eastAsia="en-IN"/>
          </w:rPr>
          <w:t>https://doi.org/10.1080/00207233.2020.1739391</w:t>
        </w:r>
      </w:hyperlink>
      <w:r>
        <w:rPr>
          <w:rFonts w:ascii="Arial" w:eastAsia="Times New Roman" w:hAnsi="Arial" w:cs="Arial"/>
          <w:color w:val="000000"/>
          <w:sz w:val="20"/>
          <w:szCs w:val="20"/>
          <w:lang w:eastAsia="en-IN"/>
        </w:rPr>
        <w:t xml:space="preserve"> </w:t>
      </w:r>
    </w:p>
    <w:p w14:paraId="1604EC56" w14:textId="3575C0DA" w:rsidR="00957D96" w:rsidRPr="0066543C" w:rsidRDefault="00A24BE3" w:rsidP="00A24BE3">
      <w:pPr>
        <w:pStyle w:val="ListParagraph"/>
        <w:numPr>
          <w:ilvl w:val="0"/>
          <w:numId w:val="2"/>
        </w:numPr>
        <w:spacing w:line="240" w:lineRule="auto"/>
        <w:jc w:val="both"/>
        <w:rPr>
          <w:rFonts w:ascii="Arial" w:hAnsi="Arial" w:cs="Arial"/>
          <w:sz w:val="20"/>
          <w:szCs w:val="20"/>
        </w:rPr>
      </w:pPr>
      <w:proofErr w:type="spellStart"/>
      <w:r w:rsidRPr="00A24BE3">
        <w:rPr>
          <w:rFonts w:ascii="Arial" w:hAnsi="Arial" w:cs="Arial"/>
          <w:sz w:val="20"/>
          <w:szCs w:val="20"/>
        </w:rPr>
        <w:t>Waday</w:t>
      </w:r>
      <w:proofErr w:type="spellEnd"/>
      <w:r w:rsidRPr="00A24BE3">
        <w:rPr>
          <w:rFonts w:ascii="Arial" w:hAnsi="Arial" w:cs="Arial"/>
          <w:sz w:val="20"/>
          <w:szCs w:val="20"/>
        </w:rPr>
        <w:t xml:space="preserve">, Y. A., </w:t>
      </w:r>
      <w:proofErr w:type="spellStart"/>
      <w:r w:rsidRPr="00A24BE3">
        <w:rPr>
          <w:rFonts w:ascii="Arial" w:hAnsi="Arial" w:cs="Arial"/>
          <w:sz w:val="20"/>
          <w:szCs w:val="20"/>
        </w:rPr>
        <w:t>Girma</w:t>
      </w:r>
      <w:proofErr w:type="spellEnd"/>
      <w:r w:rsidRPr="00A24BE3">
        <w:rPr>
          <w:rFonts w:ascii="Arial" w:hAnsi="Arial" w:cs="Arial"/>
          <w:sz w:val="20"/>
          <w:szCs w:val="20"/>
        </w:rPr>
        <w:t xml:space="preserve"> </w:t>
      </w:r>
      <w:proofErr w:type="spellStart"/>
      <w:r w:rsidRPr="00A24BE3">
        <w:rPr>
          <w:rFonts w:ascii="Arial" w:hAnsi="Arial" w:cs="Arial"/>
          <w:sz w:val="20"/>
          <w:szCs w:val="20"/>
        </w:rPr>
        <w:t>Aklilu</w:t>
      </w:r>
      <w:proofErr w:type="spellEnd"/>
      <w:r w:rsidRPr="00A24BE3">
        <w:rPr>
          <w:rFonts w:ascii="Arial" w:hAnsi="Arial" w:cs="Arial"/>
          <w:sz w:val="20"/>
          <w:szCs w:val="20"/>
        </w:rPr>
        <w:t xml:space="preserve">, E., </w:t>
      </w:r>
      <w:proofErr w:type="spellStart"/>
      <w:r w:rsidRPr="00A24BE3">
        <w:rPr>
          <w:rFonts w:ascii="Arial" w:hAnsi="Arial" w:cs="Arial"/>
          <w:sz w:val="20"/>
          <w:szCs w:val="20"/>
        </w:rPr>
        <w:t>Bultum</w:t>
      </w:r>
      <w:proofErr w:type="spellEnd"/>
      <w:r w:rsidRPr="00A24BE3">
        <w:rPr>
          <w:rFonts w:ascii="Arial" w:hAnsi="Arial" w:cs="Arial"/>
          <w:sz w:val="20"/>
          <w:szCs w:val="20"/>
        </w:rPr>
        <w:t xml:space="preserve">, M. S., </w:t>
      </w:r>
      <w:proofErr w:type="spellStart"/>
      <w:r w:rsidRPr="00A24BE3">
        <w:rPr>
          <w:rFonts w:ascii="Arial" w:hAnsi="Arial" w:cs="Arial"/>
          <w:sz w:val="20"/>
          <w:szCs w:val="20"/>
        </w:rPr>
        <w:t>Ramayya</w:t>
      </w:r>
      <w:proofErr w:type="spellEnd"/>
      <w:r w:rsidRPr="00A24BE3">
        <w:rPr>
          <w:rFonts w:ascii="Arial" w:hAnsi="Arial" w:cs="Arial"/>
          <w:sz w:val="20"/>
          <w:szCs w:val="20"/>
        </w:rPr>
        <w:t xml:space="preserve"> </w:t>
      </w:r>
      <w:proofErr w:type="spellStart"/>
      <w:r w:rsidRPr="00A24BE3">
        <w:rPr>
          <w:rFonts w:ascii="Arial" w:hAnsi="Arial" w:cs="Arial"/>
          <w:sz w:val="20"/>
          <w:szCs w:val="20"/>
        </w:rPr>
        <w:t>Ancha</w:t>
      </w:r>
      <w:proofErr w:type="spellEnd"/>
      <w:r w:rsidRPr="00A24BE3">
        <w:rPr>
          <w:rFonts w:ascii="Arial" w:hAnsi="Arial" w:cs="Arial"/>
          <w:sz w:val="20"/>
          <w:szCs w:val="20"/>
        </w:rPr>
        <w:t xml:space="preserve">, V., &amp; </w:t>
      </w:r>
      <w:proofErr w:type="spellStart"/>
      <w:r w:rsidRPr="00A24BE3">
        <w:rPr>
          <w:rFonts w:ascii="Arial" w:hAnsi="Arial" w:cs="Arial"/>
          <w:sz w:val="20"/>
          <w:szCs w:val="20"/>
        </w:rPr>
        <w:t>Beyene</w:t>
      </w:r>
      <w:proofErr w:type="spellEnd"/>
      <w:r w:rsidRPr="00A24BE3">
        <w:rPr>
          <w:rFonts w:ascii="Arial" w:hAnsi="Arial" w:cs="Arial"/>
          <w:sz w:val="20"/>
          <w:szCs w:val="20"/>
        </w:rPr>
        <w:t xml:space="preserve">, D. (2022). Isolation and Characterization of Plant Growth-Promoting Rhizobacteria from Coffee Plantation Soils and Its Influence on Maize Growth. Applied and Environmental Soil Science, 2022, 5115875. </w:t>
      </w:r>
      <w:hyperlink r:id="rId57" w:history="1">
        <w:r w:rsidRPr="000B6FBD">
          <w:rPr>
            <w:rStyle w:val="Hyperlink"/>
            <w:rFonts w:ascii="Arial" w:hAnsi="Arial" w:cs="Arial"/>
            <w:sz w:val="20"/>
            <w:szCs w:val="20"/>
          </w:rPr>
          <w:t>https://doi.org/10.1155/2022/5115875</w:t>
        </w:r>
      </w:hyperlink>
      <w:r>
        <w:rPr>
          <w:rFonts w:ascii="Arial" w:hAnsi="Arial" w:cs="Arial"/>
          <w:sz w:val="20"/>
          <w:szCs w:val="20"/>
        </w:rPr>
        <w:t xml:space="preserve"> </w:t>
      </w:r>
    </w:p>
    <w:sectPr w:rsidR="00957D96" w:rsidRPr="0066543C" w:rsidSect="003665FA">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357F8" w14:textId="77777777" w:rsidR="001228F0" w:rsidRDefault="001228F0" w:rsidP="002662DD">
      <w:pPr>
        <w:spacing w:after="0" w:line="240" w:lineRule="auto"/>
      </w:pPr>
      <w:r>
        <w:separator/>
      </w:r>
    </w:p>
  </w:endnote>
  <w:endnote w:type="continuationSeparator" w:id="0">
    <w:p w14:paraId="60FB2ED5" w14:textId="77777777" w:rsidR="001228F0" w:rsidRDefault="001228F0" w:rsidP="00266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4F487" w14:textId="77777777" w:rsidR="000927A5" w:rsidRDefault="000927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56DCB" w14:textId="77777777" w:rsidR="000927A5" w:rsidRDefault="000927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E8903" w14:textId="77777777" w:rsidR="000927A5" w:rsidRDefault="00092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637CC6" w14:textId="77777777" w:rsidR="001228F0" w:rsidRDefault="001228F0" w:rsidP="002662DD">
      <w:pPr>
        <w:spacing w:after="0" w:line="240" w:lineRule="auto"/>
      </w:pPr>
      <w:r>
        <w:separator/>
      </w:r>
    </w:p>
  </w:footnote>
  <w:footnote w:type="continuationSeparator" w:id="0">
    <w:p w14:paraId="04E0B14E" w14:textId="77777777" w:rsidR="001228F0" w:rsidRDefault="001228F0" w:rsidP="00266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C9CCB" w14:textId="24141872" w:rsidR="000927A5" w:rsidRDefault="000927A5">
    <w:pPr>
      <w:pStyle w:val="Header"/>
    </w:pPr>
    <w:r>
      <w:rPr>
        <w:noProof/>
      </w:rPr>
      <w:pict w14:anchorId="7C640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0673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722BD" w14:textId="09AE806D" w:rsidR="000927A5" w:rsidRDefault="000927A5">
    <w:pPr>
      <w:pStyle w:val="Header"/>
    </w:pPr>
    <w:r>
      <w:rPr>
        <w:noProof/>
      </w:rPr>
      <w:pict w14:anchorId="7E75D6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0673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C57DE" w14:textId="769E1301" w:rsidR="000927A5" w:rsidRDefault="000927A5">
    <w:pPr>
      <w:pStyle w:val="Header"/>
    </w:pPr>
    <w:r>
      <w:rPr>
        <w:noProof/>
      </w:rPr>
      <w:pict w14:anchorId="4F512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0673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46F3E"/>
    <w:multiLevelType w:val="hybridMultilevel"/>
    <w:tmpl w:val="6DBE7F44"/>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ADF3D91"/>
    <w:multiLevelType w:val="hybridMultilevel"/>
    <w:tmpl w:val="EEF83AEE"/>
    <w:lvl w:ilvl="0" w:tplc="7C08C52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8743CE4"/>
    <w:multiLevelType w:val="hybridMultilevel"/>
    <w:tmpl w:val="8E40A4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5EA3EFA"/>
    <w:multiLevelType w:val="hybridMultilevel"/>
    <w:tmpl w:val="9216F244"/>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2AC2919"/>
    <w:multiLevelType w:val="hybridMultilevel"/>
    <w:tmpl w:val="BC7A05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E7A6609"/>
    <w:multiLevelType w:val="multilevel"/>
    <w:tmpl w:val="78B2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05BC"/>
    <w:rsid w:val="0000318C"/>
    <w:rsid w:val="000202C8"/>
    <w:rsid w:val="00027035"/>
    <w:rsid w:val="00050C81"/>
    <w:rsid w:val="00077D9E"/>
    <w:rsid w:val="000827D9"/>
    <w:rsid w:val="00082A08"/>
    <w:rsid w:val="000851E4"/>
    <w:rsid w:val="000866F9"/>
    <w:rsid w:val="00091F0C"/>
    <w:rsid w:val="000927A5"/>
    <w:rsid w:val="000A2DE2"/>
    <w:rsid w:val="000B6919"/>
    <w:rsid w:val="000C2094"/>
    <w:rsid w:val="000D5368"/>
    <w:rsid w:val="000E2E96"/>
    <w:rsid w:val="001146F5"/>
    <w:rsid w:val="001213E2"/>
    <w:rsid w:val="00122693"/>
    <w:rsid w:val="001228F0"/>
    <w:rsid w:val="00124642"/>
    <w:rsid w:val="0012628E"/>
    <w:rsid w:val="00131B2F"/>
    <w:rsid w:val="001821F1"/>
    <w:rsid w:val="00194794"/>
    <w:rsid w:val="001A021F"/>
    <w:rsid w:val="001A48E1"/>
    <w:rsid w:val="001C3081"/>
    <w:rsid w:val="001E7162"/>
    <w:rsid w:val="001F4BA7"/>
    <w:rsid w:val="00206278"/>
    <w:rsid w:val="00214D73"/>
    <w:rsid w:val="002229F6"/>
    <w:rsid w:val="002326AF"/>
    <w:rsid w:val="002359A6"/>
    <w:rsid w:val="00265273"/>
    <w:rsid w:val="00265C13"/>
    <w:rsid w:val="002662DD"/>
    <w:rsid w:val="0028084E"/>
    <w:rsid w:val="0029221F"/>
    <w:rsid w:val="002A054B"/>
    <w:rsid w:val="002A71A3"/>
    <w:rsid w:val="002B000B"/>
    <w:rsid w:val="002B01C6"/>
    <w:rsid w:val="002B612D"/>
    <w:rsid w:val="002C7202"/>
    <w:rsid w:val="002D08BD"/>
    <w:rsid w:val="002E0215"/>
    <w:rsid w:val="002E75B6"/>
    <w:rsid w:val="002F7CD9"/>
    <w:rsid w:val="003103D9"/>
    <w:rsid w:val="003156F1"/>
    <w:rsid w:val="00324D0D"/>
    <w:rsid w:val="00333F22"/>
    <w:rsid w:val="003665FA"/>
    <w:rsid w:val="00383CF3"/>
    <w:rsid w:val="00387AD6"/>
    <w:rsid w:val="003A685B"/>
    <w:rsid w:val="003B0F8B"/>
    <w:rsid w:val="003B7606"/>
    <w:rsid w:val="003C6008"/>
    <w:rsid w:val="003E7444"/>
    <w:rsid w:val="003F0680"/>
    <w:rsid w:val="003F59EA"/>
    <w:rsid w:val="00403FEE"/>
    <w:rsid w:val="00421AB0"/>
    <w:rsid w:val="00432130"/>
    <w:rsid w:val="00456264"/>
    <w:rsid w:val="00482169"/>
    <w:rsid w:val="00486C0A"/>
    <w:rsid w:val="0049774C"/>
    <w:rsid w:val="004A1863"/>
    <w:rsid w:val="004A4E94"/>
    <w:rsid w:val="004A5C1E"/>
    <w:rsid w:val="004C11DD"/>
    <w:rsid w:val="004C1CC1"/>
    <w:rsid w:val="004C2989"/>
    <w:rsid w:val="004E4E4E"/>
    <w:rsid w:val="004F1FA8"/>
    <w:rsid w:val="004F710D"/>
    <w:rsid w:val="00502BD4"/>
    <w:rsid w:val="005172F4"/>
    <w:rsid w:val="00580198"/>
    <w:rsid w:val="00582FC9"/>
    <w:rsid w:val="00584822"/>
    <w:rsid w:val="005A67D8"/>
    <w:rsid w:val="005B796B"/>
    <w:rsid w:val="005C0FE7"/>
    <w:rsid w:val="005E785C"/>
    <w:rsid w:val="005F2EC7"/>
    <w:rsid w:val="0060108D"/>
    <w:rsid w:val="006307BC"/>
    <w:rsid w:val="0066543C"/>
    <w:rsid w:val="00684B25"/>
    <w:rsid w:val="00684BCC"/>
    <w:rsid w:val="0068722A"/>
    <w:rsid w:val="006914D4"/>
    <w:rsid w:val="006939F7"/>
    <w:rsid w:val="006A1CA1"/>
    <w:rsid w:val="006C23A6"/>
    <w:rsid w:val="006C5C50"/>
    <w:rsid w:val="006C7981"/>
    <w:rsid w:val="006D7DAB"/>
    <w:rsid w:val="006E1419"/>
    <w:rsid w:val="006E1CF1"/>
    <w:rsid w:val="006E5B68"/>
    <w:rsid w:val="006F1E7C"/>
    <w:rsid w:val="007220FE"/>
    <w:rsid w:val="00725C49"/>
    <w:rsid w:val="00727B69"/>
    <w:rsid w:val="007417CF"/>
    <w:rsid w:val="0074604F"/>
    <w:rsid w:val="0076684C"/>
    <w:rsid w:val="007758F2"/>
    <w:rsid w:val="007A5AD7"/>
    <w:rsid w:val="007B64E9"/>
    <w:rsid w:val="007C400F"/>
    <w:rsid w:val="007F5DD7"/>
    <w:rsid w:val="007F7D7C"/>
    <w:rsid w:val="00805BEA"/>
    <w:rsid w:val="008205BC"/>
    <w:rsid w:val="00826078"/>
    <w:rsid w:val="008360D7"/>
    <w:rsid w:val="00874F15"/>
    <w:rsid w:val="008956DF"/>
    <w:rsid w:val="00896F35"/>
    <w:rsid w:val="008A2CAF"/>
    <w:rsid w:val="008A4D48"/>
    <w:rsid w:val="008A65FB"/>
    <w:rsid w:val="008C6F8F"/>
    <w:rsid w:val="008D2061"/>
    <w:rsid w:val="008D2578"/>
    <w:rsid w:val="008D6B3A"/>
    <w:rsid w:val="008E794A"/>
    <w:rsid w:val="009204B6"/>
    <w:rsid w:val="00941FCF"/>
    <w:rsid w:val="00946D8D"/>
    <w:rsid w:val="0095236C"/>
    <w:rsid w:val="00957D96"/>
    <w:rsid w:val="00960FCD"/>
    <w:rsid w:val="00963186"/>
    <w:rsid w:val="00972B2B"/>
    <w:rsid w:val="00977496"/>
    <w:rsid w:val="00980E4B"/>
    <w:rsid w:val="009A2A85"/>
    <w:rsid w:val="009A7E4E"/>
    <w:rsid w:val="009B38A5"/>
    <w:rsid w:val="009C61DA"/>
    <w:rsid w:val="009D23B8"/>
    <w:rsid w:val="009E00C4"/>
    <w:rsid w:val="009E02AB"/>
    <w:rsid w:val="00A04E8E"/>
    <w:rsid w:val="00A24BE3"/>
    <w:rsid w:val="00A459A2"/>
    <w:rsid w:val="00A50235"/>
    <w:rsid w:val="00A5413A"/>
    <w:rsid w:val="00A72765"/>
    <w:rsid w:val="00A77BFB"/>
    <w:rsid w:val="00AA46BC"/>
    <w:rsid w:val="00AF1CD6"/>
    <w:rsid w:val="00B24143"/>
    <w:rsid w:val="00B249EF"/>
    <w:rsid w:val="00B31E33"/>
    <w:rsid w:val="00B427A6"/>
    <w:rsid w:val="00B62FE2"/>
    <w:rsid w:val="00B7093F"/>
    <w:rsid w:val="00B87BCA"/>
    <w:rsid w:val="00B964DF"/>
    <w:rsid w:val="00BA2550"/>
    <w:rsid w:val="00BC46E2"/>
    <w:rsid w:val="00BC5504"/>
    <w:rsid w:val="00BF0225"/>
    <w:rsid w:val="00BF7189"/>
    <w:rsid w:val="00BF729B"/>
    <w:rsid w:val="00C11BAE"/>
    <w:rsid w:val="00C35615"/>
    <w:rsid w:val="00C43B80"/>
    <w:rsid w:val="00C54557"/>
    <w:rsid w:val="00C56601"/>
    <w:rsid w:val="00C61DE8"/>
    <w:rsid w:val="00C66A8C"/>
    <w:rsid w:val="00C67BF7"/>
    <w:rsid w:val="00C71054"/>
    <w:rsid w:val="00C85574"/>
    <w:rsid w:val="00C92866"/>
    <w:rsid w:val="00C95279"/>
    <w:rsid w:val="00C96C2D"/>
    <w:rsid w:val="00CA4C59"/>
    <w:rsid w:val="00CB024A"/>
    <w:rsid w:val="00CC29B6"/>
    <w:rsid w:val="00D01C0D"/>
    <w:rsid w:val="00D04E26"/>
    <w:rsid w:val="00D06191"/>
    <w:rsid w:val="00D0753C"/>
    <w:rsid w:val="00D07AB2"/>
    <w:rsid w:val="00D313BA"/>
    <w:rsid w:val="00D40F90"/>
    <w:rsid w:val="00D47FD6"/>
    <w:rsid w:val="00D531AB"/>
    <w:rsid w:val="00D53536"/>
    <w:rsid w:val="00D63AF5"/>
    <w:rsid w:val="00D825AD"/>
    <w:rsid w:val="00D9152C"/>
    <w:rsid w:val="00DB4D30"/>
    <w:rsid w:val="00DC062C"/>
    <w:rsid w:val="00DC5C5F"/>
    <w:rsid w:val="00DD32CE"/>
    <w:rsid w:val="00E0433A"/>
    <w:rsid w:val="00E1083D"/>
    <w:rsid w:val="00E20DF9"/>
    <w:rsid w:val="00E3244A"/>
    <w:rsid w:val="00E355AA"/>
    <w:rsid w:val="00E41F31"/>
    <w:rsid w:val="00E67B8C"/>
    <w:rsid w:val="00E77655"/>
    <w:rsid w:val="00E810EE"/>
    <w:rsid w:val="00E81345"/>
    <w:rsid w:val="00E818C9"/>
    <w:rsid w:val="00E966C3"/>
    <w:rsid w:val="00EA15AA"/>
    <w:rsid w:val="00EB4826"/>
    <w:rsid w:val="00ED758D"/>
    <w:rsid w:val="00EE49D4"/>
    <w:rsid w:val="00EE7F03"/>
    <w:rsid w:val="00F16019"/>
    <w:rsid w:val="00F311E9"/>
    <w:rsid w:val="00F330C7"/>
    <w:rsid w:val="00F532C8"/>
    <w:rsid w:val="00F66AA6"/>
    <w:rsid w:val="00F732BB"/>
    <w:rsid w:val="00F92401"/>
    <w:rsid w:val="00F94E63"/>
    <w:rsid w:val="00F9709E"/>
    <w:rsid w:val="00FA7FDF"/>
    <w:rsid w:val="00FD041B"/>
    <w:rsid w:val="00FF374E"/>
    <w:rsid w:val="00FF4530"/>
    <w:rsid w:val="00FF597F"/>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D9C4396"/>
  <w15:docId w15:val="{040ABC98-E483-46C3-806C-C7BAC6A7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5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05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05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05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05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05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05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05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05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5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05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05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05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05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05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05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05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05BC"/>
    <w:rPr>
      <w:rFonts w:eastAsiaTheme="majorEastAsia" w:cstheme="majorBidi"/>
      <w:color w:val="272727" w:themeColor="text1" w:themeTint="D8"/>
    </w:rPr>
  </w:style>
  <w:style w:type="paragraph" w:styleId="Title">
    <w:name w:val="Title"/>
    <w:basedOn w:val="Normal"/>
    <w:next w:val="Normal"/>
    <w:link w:val="TitleChar"/>
    <w:uiPriority w:val="10"/>
    <w:qFormat/>
    <w:rsid w:val="008205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5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05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05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05BC"/>
    <w:pPr>
      <w:spacing w:before="160"/>
      <w:jc w:val="center"/>
    </w:pPr>
    <w:rPr>
      <w:i/>
      <w:iCs/>
      <w:color w:val="404040" w:themeColor="text1" w:themeTint="BF"/>
    </w:rPr>
  </w:style>
  <w:style w:type="character" w:customStyle="1" w:styleId="QuoteChar">
    <w:name w:val="Quote Char"/>
    <w:basedOn w:val="DefaultParagraphFont"/>
    <w:link w:val="Quote"/>
    <w:uiPriority w:val="29"/>
    <w:rsid w:val="008205BC"/>
    <w:rPr>
      <w:i/>
      <w:iCs/>
      <w:color w:val="404040" w:themeColor="text1" w:themeTint="BF"/>
    </w:rPr>
  </w:style>
  <w:style w:type="paragraph" w:styleId="ListParagraph">
    <w:name w:val="List Paragraph"/>
    <w:basedOn w:val="Normal"/>
    <w:uiPriority w:val="34"/>
    <w:qFormat/>
    <w:rsid w:val="008205BC"/>
    <w:pPr>
      <w:ind w:left="720"/>
      <w:contextualSpacing/>
    </w:pPr>
  </w:style>
  <w:style w:type="character" w:styleId="IntenseEmphasis">
    <w:name w:val="Intense Emphasis"/>
    <w:basedOn w:val="DefaultParagraphFont"/>
    <w:uiPriority w:val="21"/>
    <w:qFormat/>
    <w:rsid w:val="008205BC"/>
    <w:rPr>
      <w:i/>
      <w:iCs/>
      <w:color w:val="2F5496" w:themeColor="accent1" w:themeShade="BF"/>
    </w:rPr>
  </w:style>
  <w:style w:type="paragraph" w:styleId="IntenseQuote">
    <w:name w:val="Intense Quote"/>
    <w:basedOn w:val="Normal"/>
    <w:next w:val="Normal"/>
    <w:link w:val="IntenseQuoteChar"/>
    <w:uiPriority w:val="30"/>
    <w:qFormat/>
    <w:rsid w:val="008205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05BC"/>
    <w:rPr>
      <w:i/>
      <w:iCs/>
      <w:color w:val="2F5496" w:themeColor="accent1" w:themeShade="BF"/>
    </w:rPr>
  </w:style>
  <w:style w:type="character" w:styleId="IntenseReference">
    <w:name w:val="Intense Reference"/>
    <w:basedOn w:val="DefaultParagraphFont"/>
    <w:uiPriority w:val="32"/>
    <w:qFormat/>
    <w:rsid w:val="008205BC"/>
    <w:rPr>
      <w:b/>
      <w:bCs/>
      <w:smallCaps/>
      <w:color w:val="2F5496" w:themeColor="accent1" w:themeShade="BF"/>
      <w:spacing w:val="5"/>
    </w:rPr>
  </w:style>
  <w:style w:type="character" w:styleId="Hyperlink">
    <w:name w:val="Hyperlink"/>
    <w:basedOn w:val="DefaultParagraphFont"/>
    <w:uiPriority w:val="99"/>
    <w:unhideWhenUsed/>
    <w:rsid w:val="008205BC"/>
    <w:rPr>
      <w:color w:val="0563C1" w:themeColor="hyperlink"/>
      <w:u w:val="single"/>
    </w:rPr>
  </w:style>
  <w:style w:type="table" w:styleId="TableGrid">
    <w:name w:val="Table Grid"/>
    <w:basedOn w:val="TableNormal"/>
    <w:uiPriority w:val="39"/>
    <w:rsid w:val="002B612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E75B6"/>
    <w:rPr>
      <w:color w:val="605E5C"/>
      <w:shd w:val="clear" w:color="auto" w:fill="E1DFDD"/>
    </w:rPr>
  </w:style>
  <w:style w:type="paragraph" w:styleId="NormalWeb">
    <w:name w:val="Normal (Web)"/>
    <w:basedOn w:val="Normal"/>
    <w:uiPriority w:val="99"/>
    <w:semiHidden/>
    <w:unhideWhenUsed/>
    <w:rsid w:val="000B691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07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53C"/>
    <w:rPr>
      <w:rFonts w:ascii="Tahoma" w:hAnsi="Tahoma" w:cs="Tahoma"/>
      <w:sz w:val="16"/>
      <w:szCs w:val="16"/>
    </w:rPr>
  </w:style>
  <w:style w:type="paragraph" w:styleId="Header">
    <w:name w:val="header"/>
    <w:basedOn w:val="Normal"/>
    <w:link w:val="HeaderChar"/>
    <w:uiPriority w:val="99"/>
    <w:unhideWhenUsed/>
    <w:rsid w:val="002662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2DD"/>
  </w:style>
  <w:style w:type="paragraph" w:styleId="Footer">
    <w:name w:val="footer"/>
    <w:basedOn w:val="Normal"/>
    <w:link w:val="FooterChar"/>
    <w:uiPriority w:val="99"/>
    <w:unhideWhenUsed/>
    <w:rsid w:val="002662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2DD"/>
  </w:style>
  <w:style w:type="character" w:customStyle="1" w:styleId="UnresolvedMention2">
    <w:name w:val="Unresolved Mention2"/>
    <w:basedOn w:val="DefaultParagraphFont"/>
    <w:uiPriority w:val="99"/>
    <w:semiHidden/>
    <w:unhideWhenUsed/>
    <w:rsid w:val="002662DD"/>
    <w:rPr>
      <w:color w:val="605E5C"/>
      <w:shd w:val="clear" w:color="auto" w:fill="E1DFDD"/>
    </w:rPr>
  </w:style>
  <w:style w:type="character" w:customStyle="1" w:styleId="cf01">
    <w:name w:val="cf01"/>
    <w:basedOn w:val="DefaultParagraphFont"/>
    <w:rsid w:val="00A50235"/>
    <w:rPr>
      <w:rFonts w:ascii="Consolas" w:hAnsi="Consolas" w:hint="default"/>
      <w:sz w:val="22"/>
      <w:szCs w:val="22"/>
    </w:rPr>
  </w:style>
  <w:style w:type="character" w:styleId="UnresolvedMention">
    <w:name w:val="Unresolved Mention"/>
    <w:basedOn w:val="DefaultParagraphFont"/>
    <w:uiPriority w:val="99"/>
    <w:semiHidden/>
    <w:unhideWhenUsed/>
    <w:rsid w:val="00A24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chart" Target="charts/chart1.xml"/><Relationship Id="rId34" Type="http://schemas.openxmlformats.org/officeDocument/2006/relationships/hyperlink" Target="https://doi.org/10.3126/ijls.v9i3.12463" TargetMode="External"/><Relationship Id="rId42" Type="http://schemas.openxmlformats.org/officeDocument/2006/relationships/hyperlink" Target="https://doi.org/10.20546/ijcmas.2020.906.402" TargetMode="External"/><Relationship Id="rId47" Type="http://schemas.openxmlformats.org/officeDocument/2006/relationships/hyperlink" Target="https://doi.org/10.1007/s11104-023-06217-x" TargetMode="External"/><Relationship Id="rId50" Type="http://schemas.openxmlformats.org/officeDocument/2006/relationships/hyperlink" Target="https://doi.org/10.1016/B978-0-12-819311-2.00010-3" TargetMode="External"/><Relationship Id="rId55" Type="http://schemas.openxmlformats.org/officeDocument/2006/relationships/hyperlink" Target="https://www.researchgate.net/publication/337300000_Isolation_and_Identification_of_Culturable_Cyanobacteria_from_Paddy_Soils_of_the_Intermediate_Zone_of_Sri_Lanka" TargetMode="External"/><Relationship Id="rId63"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n.wikipedia.org/wiki/Cyanophyceae" TargetMode="External"/><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yperlink" Target="https://doi.org/10.3390/molecules27031141" TargetMode="External"/><Relationship Id="rId40" Type="http://schemas.openxmlformats.org/officeDocument/2006/relationships/hyperlink" Target="https://doi.org/10.1016/S1002-0160(18)60017-7" TargetMode="External"/><Relationship Id="rId45" Type="http://schemas.openxmlformats.org/officeDocument/2006/relationships/hyperlink" Target="https://doi.org/10.1007/s12088-016-0585-2" TargetMode="External"/><Relationship Id="rId53" Type="http://schemas.openxmlformats.org/officeDocument/2006/relationships/hyperlink" Target="https://doi.org/10.3389/fmicb.2016.00529" TargetMode="External"/><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7.png"/><Relationship Id="rId14" Type="http://schemas.openxmlformats.org/officeDocument/2006/relationships/hyperlink" Target="https://en.wikipedia.org/wiki/Bacteria"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doi.org/10.1186/s40643-022-00515-5" TargetMode="External"/><Relationship Id="rId43" Type="http://schemas.openxmlformats.org/officeDocument/2006/relationships/hyperlink" Target="https://doi.org/10.3389/fmicb.2025.1581725" TargetMode="External"/><Relationship Id="rId48" Type="http://schemas.openxmlformats.org/officeDocument/2006/relationships/hyperlink" Target="https://doi.org/10.3390/plants10040643" TargetMode="External"/><Relationship Id="rId56" Type="http://schemas.openxmlformats.org/officeDocument/2006/relationships/hyperlink" Target="https://doi.org/10.1080/00207233.2020.1739391"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doi.org/10.1038/s41598-022-13678-2"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n.wikipedia.org/wiki/Synechococcales" TargetMode="External"/><Relationship Id="rId25" Type="http://schemas.openxmlformats.org/officeDocument/2006/relationships/chart" Target="charts/chart2.xml"/><Relationship Id="rId33" Type="http://schemas.openxmlformats.org/officeDocument/2006/relationships/hyperlink" Target="https://doi.org/10.15414/jmbfs.2016/17.6.3.956-960" TargetMode="External"/><Relationship Id="rId38" Type="http://schemas.openxmlformats.org/officeDocument/2006/relationships/hyperlink" Target="https://doi.org/10.1186/s12302-014-0029-y" TargetMode="External"/><Relationship Id="rId46" Type="http://schemas.openxmlformats.org/officeDocument/2006/relationships/hyperlink" Target="https://doi.org/10.1007/s12088-019-00825-5" TargetMode="External"/><Relationship Id="rId59" Type="http://schemas.openxmlformats.org/officeDocument/2006/relationships/header" Target="header2.xml"/><Relationship Id="rId20" Type="http://schemas.openxmlformats.org/officeDocument/2006/relationships/image" Target="media/image8.svg"/><Relationship Id="rId41" Type="http://schemas.openxmlformats.org/officeDocument/2006/relationships/hyperlink" Target="https://doi.org/10.4236/ajps.2020.116055" TargetMode="External"/><Relationship Id="rId54" Type="http://schemas.openxmlformats.org/officeDocument/2006/relationships/hyperlink" Target="https://doi.org/10.3390/toxics12060402"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Cyanobacteria"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s://he02.tci-thaijo.org/index.php/TIJSAT/article/view/39000" TargetMode="External"/><Relationship Id="rId49" Type="http://schemas.openxmlformats.org/officeDocument/2006/relationships/hyperlink" Target="https://www.wjpr.net/download/article/1425090923.pdf" TargetMode="External"/><Relationship Id="rId57" Type="http://schemas.openxmlformats.org/officeDocument/2006/relationships/hyperlink" Target="https://doi.org/10.1155/2022/5115875" TargetMode="External"/><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hyperlink" Target="https://doi.org/10.1016/j.soilbio.2013.05.001" TargetMode="External"/><Relationship Id="rId52" Type="http://schemas.openxmlformats.org/officeDocument/2006/relationships/hyperlink" Target="https://doi.org/10.1007/s10661-011-2107-1"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en.wikipedia.org/wiki/Bacteria" TargetMode="External"/><Relationship Id="rId18" Type="http://schemas.openxmlformats.org/officeDocument/2006/relationships/hyperlink" Target="https://en.wikipedia.org/wiki/Leptolyngbyaceae" TargetMode="External"/><Relationship Id="rId39" Type="http://schemas.openxmlformats.org/officeDocument/2006/relationships/hyperlink" Target="https://doi.org/10.1155/2014/39268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Nishant%20Burade\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ishant\Downloads\DP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c:f>
              <c:strCache>
                <c:ptCount val="1"/>
                <c:pt idx="0">
                  <c:v>Control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Sheet1!$C$1:$G$1</c:f>
              <c:strCache>
                <c:ptCount val="5"/>
                <c:pt idx="0">
                  <c:v>Day 0</c:v>
                </c:pt>
                <c:pt idx="1">
                  <c:v>Day 5</c:v>
                </c:pt>
                <c:pt idx="2">
                  <c:v>Day 10</c:v>
                </c:pt>
                <c:pt idx="3">
                  <c:v>Day 15</c:v>
                </c:pt>
                <c:pt idx="4">
                  <c:v>Day 20</c:v>
                </c:pt>
              </c:strCache>
            </c:strRef>
          </c:cat>
          <c:val>
            <c:numRef>
              <c:f>Sheet1!$C$2:$G$2</c:f>
              <c:numCache>
                <c:formatCode>General</c:formatCode>
                <c:ptCount val="5"/>
                <c:pt idx="0">
                  <c:v>7.8E-2</c:v>
                </c:pt>
                <c:pt idx="1">
                  <c:v>8.7999999999999995E-2</c:v>
                </c:pt>
                <c:pt idx="2">
                  <c:v>9.1999999999999998E-2</c:v>
                </c:pt>
                <c:pt idx="3">
                  <c:v>7.3999999999999996E-2</c:v>
                </c:pt>
                <c:pt idx="4">
                  <c:v>7.0000000000000007E-2</c:v>
                </c:pt>
              </c:numCache>
            </c:numRef>
          </c:val>
          <c:smooth val="0"/>
          <c:extLst>
            <c:ext xmlns:c16="http://schemas.microsoft.com/office/drawing/2014/chart" uri="{C3380CC4-5D6E-409C-BE32-E72D297353CC}">
              <c16:uniqueId val="{00000000-E15D-4EE2-BE5C-FC4A4CAE260E}"/>
            </c:ext>
          </c:extLst>
        </c:ser>
        <c:ser>
          <c:idx val="1"/>
          <c:order val="1"/>
          <c:tx>
            <c:strRef>
              <c:f>Sheet1!$B$3</c:f>
              <c:strCache>
                <c:ptCount val="1"/>
                <c:pt idx="0">
                  <c:v>5 ppm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Sheet1!$C$1:$G$1</c:f>
              <c:strCache>
                <c:ptCount val="5"/>
                <c:pt idx="0">
                  <c:v>Day 0</c:v>
                </c:pt>
                <c:pt idx="1">
                  <c:v>Day 5</c:v>
                </c:pt>
                <c:pt idx="2">
                  <c:v>Day 10</c:v>
                </c:pt>
                <c:pt idx="3">
                  <c:v>Day 15</c:v>
                </c:pt>
                <c:pt idx="4">
                  <c:v>Day 20</c:v>
                </c:pt>
              </c:strCache>
            </c:strRef>
          </c:cat>
          <c:val>
            <c:numRef>
              <c:f>Sheet1!$C$3:$G$3</c:f>
              <c:numCache>
                <c:formatCode>General</c:formatCode>
                <c:ptCount val="5"/>
                <c:pt idx="0">
                  <c:v>0.08</c:v>
                </c:pt>
                <c:pt idx="1">
                  <c:v>0.09</c:v>
                </c:pt>
                <c:pt idx="2">
                  <c:v>9.2999999999999999E-2</c:v>
                </c:pt>
                <c:pt idx="3">
                  <c:v>8.7999999999999995E-2</c:v>
                </c:pt>
                <c:pt idx="4">
                  <c:v>6.5000000000000002E-2</c:v>
                </c:pt>
              </c:numCache>
            </c:numRef>
          </c:val>
          <c:smooth val="0"/>
          <c:extLst>
            <c:ext xmlns:c16="http://schemas.microsoft.com/office/drawing/2014/chart" uri="{C3380CC4-5D6E-409C-BE32-E72D297353CC}">
              <c16:uniqueId val="{00000001-E15D-4EE2-BE5C-FC4A4CAE260E}"/>
            </c:ext>
          </c:extLst>
        </c:ser>
        <c:ser>
          <c:idx val="2"/>
          <c:order val="2"/>
          <c:tx>
            <c:strRef>
              <c:f>Sheet1!$B$4</c:f>
              <c:strCache>
                <c:ptCount val="1"/>
                <c:pt idx="0">
                  <c:v>10ppm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Sheet1!$C$1:$G$1</c:f>
              <c:strCache>
                <c:ptCount val="5"/>
                <c:pt idx="0">
                  <c:v>Day 0</c:v>
                </c:pt>
                <c:pt idx="1">
                  <c:v>Day 5</c:v>
                </c:pt>
                <c:pt idx="2">
                  <c:v>Day 10</c:v>
                </c:pt>
                <c:pt idx="3">
                  <c:v>Day 15</c:v>
                </c:pt>
                <c:pt idx="4">
                  <c:v>Day 20</c:v>
                </c:pt>
              </c:strCache>
            </c:strRef>
          </c:cat>
          <c:val>
            <c:numRef>
              <c:f>Sheet1!$C$4:$G$4</c:f>
              <c:numCache>
                <c:formatCode>General</c:formatCode>
                <c:ptCount val="5"/>
                <c:pt idx="0">
                  <c:v>6.9000000000000006E-2</c:v>
                </c:pt>
                <c:pt idx="1">
                  <c:v>7.0000000000000007E-2</c:v>
                </c:pt>
                <c:pt idx="2">
                  <c:v>7.2999999999999995E-2</c:v>
                </c:pt>
                <c:pt idx="3">
                  <c:v>0.09</c:v>
                </c:pt>
                <c:pt idx="4">
                  <c:v>0.10100000000000001</c:v>
                </c:pt>
              </c:numCache>
            </c:numRef>
          </c:val>
          <c:smooth val="0"/>
          <c:extLst>
            <c:ext xmlns:c16="http://schemas.microsoft.com/office/drawing/2014/chart" uri="{C3380CC4-5D6E-409C-BE32-E72D297353CC}">
              <c16:uniqueId val="{00000002-E15D-4EE2-BE5C-FC4A4CAE260E}"/>
            </c:ext>
          </c:extLst>
        </c:ser>
        <c:ser>
          <c:idx val="3"/>
          <c:order val="3"/>
          <c:tx>
            <c:strRef>
              <c:f>Sheet1!$B$5</c:f>
              <c:strCache>
                <c:ptCount val="1"/>
                <c:pt idx="0">
                  <c:v>15 ppm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Sheet1!$C$1:$G$1</c:f>
              <c:strCache>
                <c:ptCount val="5"/>
                <c:pt idx="0">
                  <c:v>Day 0</c:v>
                </c:pt>
                <c:pt idx="1">
                  <c:v>Day 5</c:v>
                </c:pt>
                <c:pt idx="2">
                  <c:v>Day 10</c:v>
                </c:pt>
                <c:pt idx="3">
                  <c:v>Day 15</c:v>
                </c:pt>
                <c:pt idx="4">
                  <c:v>Day 20</c:v>
                </c:pt>
              </c:strCache>
            </c:strRef>
          </c:cat>
          <c:val>
            <c:numRef>
              <c:f>Sheet1!$C$5:$G$5</c:f>
              <c:numCache>
                <c:formatCode>General</c:formatCode>
                <c:ptCount val="5"/>
                <c:pt idx="0">
                  <c:v>0.08</c:v>
                </c:pt>
                <c:pt idx="1">
                  <c:v>0.08</c:v>
                </c:pt>
                <c:pt idx="2">
                  <c:v>0.105</c:v>
                </c:pt>
                <c:pt idx="3">
                  <c:v>7.2999999999999995E-2</c:v>
                </c:pt>
                <c:pt idx="4">
                  <c:v>6.4000000000000001E-2</c:v>
                </c:pt>
              </c:numCache>
            </c:numRef>
          </c:val>
          <c:smooth val="0"/>
          <c:extLst>
            <c:ext xmlns:c16="http://schemas.microsoft.com/office/drawing/2014/chart" uri="{C3380CC4-5D6E-409C-BE32-E72D297353CC}">
              <c16:uniqueId val="{00000003-E15D-4EE2-BE5C-FC4A4CAE260E}"/>
            </c:ext>
          </c:extLst>
        </c:ser>
        <c:ser>
          <c:idx val="4"/>
          <c:order val="4"/>
          <c:tx>
            <c:strRef>
              <c:f>Sheet1!$B$6</c:f>
              <c:strCache>
                <c:ptCount val="1"/>
                <c:pt idx="0">
                  <c:v>20 ppm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Sheet1!$C$1:$G$1</c:f>
              <c:strCache>
                <c:ptCount val="5"/>
                <c:pt idx="0">
                  <c:v>Day 0</c:v>
                </c:pt>
                <c:pt idx="1">
                  <c:v>Day 5</c:v>
                </c:pt>
                <c:pt idx="2">
                  <c:v>Day 10</c:v>
                </c:pt>
                <c:pt idx="3">
                  <c:v>Day 15</c:v>
                </c:pt>
                <c:pt idx="4">
                  <c:v>Day 20</c:v>
                </c:pt>
              </c:strCache>
            </c:strRef>
          </c:cat>
          <c:val>
            <c:numRef>
              <c:f>Sheet1!$C$6:$G$6</c:f>
              <c:numCache>
                <c:formatCode>General</c:formatCode>
                <c:ptCount val="5"/>
                <c:pt idx="0">
                  <c:v>6.4000000000000001E-2</c:v>
                </c:pt>
                <c:pt idx="1">
                  <c:v>6.6000000000000003E-2</c:v>
                </c:pt>
                <c:pt idx="2">
                  <c:v>0.105</c:v>
                </c:pt>
                <c:pt idx="3">
                  <c:v>9.7000000000000003E-2</c:v>
                </c:pt>
                <c:pt idx="4">
                  <c:v>0.126</c:v>
                </c:pt>
              </c:numCache>
            </c:numRef>
          </c:val>
          <c:smooth val="0"/>
          <c:extLst>
            <c:ext xmlns:c16="http://schemas.microsoft.com/office/drawing/2014/chart" uri="{C3380CC4-5D6E-409C-BE32-E72D297353CC}">
              <c16:uniqueId val="{00000004-E15D-4EE2-BE5C-FC4A4CAE260E}"/>
            </c:ext>
          </c:extLst>
        </c:ser>
        <c:dLbls>
          <c:showLegendKey val="0"/>
          <c:showVal val="0"/>
          <c:showCatName val="0"/>
          <c:showSerName val="0"/>
          <c:showPercent val="0"/>
          <c:showBubbleSize val="0"/>
        </c:dLbls>
        <c:marker val="1"/>
        <c:smooth val="0"/>
        <c:axId val="363821312"/>
        <c:axId val="364455424"/>
      </c:lineChart>
      <c:catAx>
        <c:axId val="363821312"/>
        <c:scaling>
          <c:orientation val="minMax"/>
        </c:scaling>
        <c:delete val="0"/>
        <c:axPos val="b"/>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455424"/>
        <c:crosses val="autoZero"/>
        <c:auto val="1"/>
        <c:lblAlgn val="ctr"/>
        <c:lblOffset val="100"/>
        <c:noMultiLvlLbl val="0"/>
      </c:catAx>
      <c:valAx>
        <c:axId val="364455424"/>
        <c:scaling>
          <c:orientation val="minMax"/>
        </c:scaling>
        <c:delete val="0"/>
        <c:axPos val="l"/>
        <c:numFmt formatCode="General" sourceLinked="1"/>
        <c:majorTickMark val="none"/>
        <c:minorTickMark val="none"/>
        <c:tickLblPos val="nextTo"/>
        <c:spPr>
          <a:noFill/>
          <a:ln w="12700">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821312"/>
        <c:crosses val="autoZero"/>
        <c:crossBetween val="between"/>
      </c:valAx>
      <c:spPr>
        <a:noFill/>
        <a:ln>
          <a:noFill/>
        </a:ln>
        <a:effectLst/>
      </c:spPr>
    </c:plotArea>
    <c:legend>
      <c:legendPos val="b"/>
      <c:layout>
        <c:manualLayout>
          <c:xMode val="edge"/>
          <c:yMode val="edge"/>
          <c:x val="7.466907261592301E-2"/>
          <c:y val="1.4467045785943431E-2"/>
          <c:w val="0.18121741032370953"/>
          <c:h val="0.295718139399241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2537182852144"/>
          <c:y val="5.128205128205128E-2"/>
          <c:w val="0.84684930008748915"/>
          <c:h val="0.74499642090193274"/>
        </c:manualLayout>
      </c:layout>
      <c:lineChart>
        <c:grouping val="standard"/>
        <c:varyColors val="0"/>
        <c:ser>
          <c:idx val="3"/>
          <c:order val="0"/>
          <c:tx>
            <c:strRef>
              <c:f>Sheet1!$E$2</c:f>
              <c:strCache>
                <c:ptCount val="1"/>
                <c:pt idx="0">
                  <c:v>%RSA</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numRef>
              <c:f>Sheet1!$B$3:$B$7</c:f>
              <c:numCache>
                <c:formatCode>General</c:formatCode>
                <c:ptCount val="5"/>
                <c:pt idx="0">
                  <c:v>25</c:v>
                </c:pt>
                <c:pt idx="1">
                  <c:v>50</c:v>
                </c:pt>
                <c:pt idx="2">
                  <c:v>75</c:v>
                </c:pt>
                <c:pt idx="3">
                  <c:v>100</c:v>
                </c:pt>
                <c:pt idx="4">
                  <c:v>125</c:v>
                </c:pt>
              </c:numCache>
            </c:numRef>
          </c:cat>
          <c:val>
            <c:numRef>
              <c:f>Sheet1!$E$3:$E$8</c:f>
              <c:numCache>
                <c:formatCode>General</c:formatCode>
                <c:ptCount val="6"/>
                <c:pt idx="0">
                  <c:v>8.4166666666666607</c:v>
                </c:pt>
                <c:pt idx="1">
                  <c:v>51.5</c:v>
                </c:pt>
                <c:pt idx="2">
                  <c:v>53.0625</c:v>
                </c:pt>
                <c:pt idx="3">
                  <c:v>56.1875</c:v>
                </c:pt>
                <c:pt idx="4">
                  <c:v>59.3125</c:v>
                </c:pt>
              </c:numCache>
            </c:numRef>
          </c:val>
          <c:smooth val="0"/>
          <c:extLst>
            <c:ext xmlns:c16="http://schemas.microsoft.com/office/drawing/2014/chart" uri="{C3380CC4-5D6E-409C-BE32-E72D297353CC}">
              <c16:uniqueId val="{00000000-AD30-4E7A-AB17-4A783FEA31CD}"/>
            </c:ext>
          </c:extLst>
        </c:ser>
        <c:dLbls>
          <c:showLegendKey val="0"/>
          <c:showVal val="0"/>
          <c:showCatName val="0"/>
          <c:showSerName val="0"/>
          <c:showPercent val="0"/>
          <c:showBubbleSize val="0"/>
        </c:dLbls>
        <c:marker val="1"/>
        <c:smooth val="0"/>
        <c:axId val="240719360"/>
        <c:axId val="240726016"/>
      </c:lineChart>
      <c:catAx>
        <c:axId val="240719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dirty="0">
                    <a:solidFill>
                      <a:schemeClr val="tx1"/>
                    </a:solidFill>
                    <a:latin typeface="Arial" panose="020B0604020202020204" pitchFamily="34" charset="0"/>
                    <a:cs typeface="Arial" panose="020B0604020202020204" pitchFamily="34" charset="0"/>
                  </a:rPr>
                  <a:t>Conc.</a:t>
                </a:r>
                <a:r>
                  <a:rPr lang="en-IN" baseline="0" dirty="0">
                    <a:solidFill>
                      <a:schemeClr val="tx1"/>
                    </a:solidFill>
                    <a:latin typeface="Arial" panose="020B0604020202020204" pitchFamily="34" charset="0"/>
                    <a:cs typeface="Arial" panose="020B0604020202020204" pitchFamily="34" charset="0"/>
                  </a:rPr>
                  <a:t> (</a:t>
                </a:r>
                <a:r>
                  <a:rPr lang="en-IN" sz="1000" b="0" i="0" u="none" strike="noStrike" baseline="0" dirty="0">
                    <a:solidFill>
                      <a:schemeClr val="tx1"/>
                    </a:solidFill>
                    <a:effectLst/>
                    <a:latin typeface="Arial" panose="020B0604020202020204" pitchFamily="34" charset="0"/>
                    <a:cs typeface="Arial" panose="020B0604020202020204" pitchFamily="34" charset="0"/>
                  </a:rPr>
                  <a:t>µgml</a:t>
                </a:r>
                <a:r>
                  <a:rPr lang="en-IN" sz="1000" b="0" i="0" u="none" strike="noStrike" baseline="30000" dirty="0">
                    <a:solidFill>
                      <a:schemeClr val="tx1"/>
                    </a:solidFill>
                    <a:effectLst/>
                    <a:latin typeface="Arial" panose="020B0604020202020204" pitchFamily="34" charset="0"/>
                    <a:cs typeface="Arial" panose="020B0604020202020204" pitchFamily="34" charset="0"/>
                  </a:rPr>
                  <a:t>-1</a:t>
                </a:r>
                <a:r>
                  <a:rPr lang="en-IN" baseline="0" dirty="0">
                    <a:solidFill>
                      <a:schemeClr val="tx1"/>
                    </a:solidFill>
                    <a:latin typeface="Arial" panose="020B0604020202020204" pitchFamily="34" charset="0"/>
                    <a:cs typeface="Arial" panose="020B0604020202020204" pitchFamily="34" charset="0"/>
                  </a:rPr>
                  <a:t>)</a:t>
                </a:r>
                <a:endParaRPr lang="en-IN"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26016"/>
        <c:crosses val="autoZero"/>
        <c:auto val="1"/>
        <c:lblAlgn val="ctr"/>
        <c:lblOffset val="100"/>
        <c:noMultiLvlLbl val="0"/>
      </c:catAx>
      <c:valAx>
        <c:axId val="240726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dirty="0">
                    <a:solidFill>
                      <a:schemeClr val="tx1"/>
                    </a:solidFill>
                    <a:latin typeface="Arial" panose="020B0604020202020204" pitchFamily="34" charset="0"/>
                    <a:cs typeface="Arial" panose="020B0604020202020204" pitchFamily="34" charset="0"/>
                  </a:rPr>
                  <a:t>DPPH</a:t>
                </a:r>
                <a:r>
                  <a:rPr lang="en-IN" baseline="0" dirty="0">
                    <a:solidFill>
                      <a:schemeClr val="tx1"/>
                    </a:solidFill>
                    <a:latin typeface="Arial" panose="020B0604020202020204" pitchFamily="34" charset="0"/>
                    <a:cs typeface="Arial" panose="020B0604020202020204" pitchFamily="34" charset="0"/>
                  </a:rPr>
                  <a:t> Scavenging %</a:t>
                </a:r>
                <a:endParaRPr lang="en-IN" dirty="0">
                  <a:solidFill>
                    <a:schemeClr val="tx1"/>
                  </a:solidFill>
                  <a:latin typeface="Arial" panose="020B0604020202020204" pitchFamily="34" charset="0"/>
                  <a:cs typeface="Arial" panose="020B0604020202020204" pitchFamily="34" charset="0"/>
                </a:endParaRPr>
              </a:p>
            </c:rich>
          </c:tx>
          <c:overlay val="0"/>
          <c:spPr>
            <a:noFill/>
            <a:ln>
              <a:noFill/>
            </a:ln>
            <a:effectLst/>
          </c:spPr>
        </c:title>
        <c:numFmt formatCode="General" sourceLinked="1"/>
        <c:majorTickMark val="none"/>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19360"/>
        <c:crosses val="autoZero"/>
        <c:crossBetween val="between"/>
      </c:valAx>
      <c:spPr>
        <a:noFill/>
        <a:ln>
          <a:noFill/>
        </a:ln>
        <a:effectLst/>
      </c:spPr>
    </c:plotArea>
    <c:legend>
      <c:legendPos val="r"/>
      <c:layout>
        <c:manualLayout>
          <c:xMode val="edge"/>
          <c:yMode val="edge"/>
          <c:x val="0.6450467539576954"/>
          <c:y val="0.53780717706538195"/>
          <c:w val="0.30217531620188542"/>
          <c:h val="0.21131925468204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16</Pages>
  <Words>6114</Words>
  <Characters>34854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Nishant Burade</dc:creator>
  <cp:lastModifiedBy>SDI 1084</cp:lastModifiedBy>
  <cp:revision>7</cp:revision>
  <dcterms:created xsi:type="dcterms:W3CDTF">2025-12-08T06:38:00Z</dcterms:created>
  <dcterms:modified xsi:type="dcterms:W3CDTF">2025-12-09T10:08:00Z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acedaa98-e093-41b4-a686-c245e3493e07</vt:lpwstr>
  </property>
</Properties>
</file>