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0189B" w14:textId="77777777" w:rsidR="0052446A" w:rsidRPr="005D2BB9" w:rsidRDefault="00082CA0" w:rsidP="00A96720">
      <w:pPr>
        <w:spacing w:after="0" w:line="240" w:lineRule="auto"/>
        <w:jc w:val="right"/>
        <w:rPr>
          <w:rFonts w:ascii="Arial" w:hAnsi="Arial" w:cs="Arial"/>
          <w:b/>
          <w:bCs/>
          <w:sz w:val="36"/>
          <w:szCs w:val="36"/>
        </w:rPr>
      </w:pPr>
      <w:r w:rsidRPr="005D2BB9">
        <w:rPr>
          <w:rFonts w:ascii="Arial" w:hAnsi="Arial" w:cs="Arial"/>
          <w:b/>
          <w:bCs/>
          <w:sz w:val="36"/>
          <w:szCs w:val="36"/>
        </w:rPr>
        <w:t xml:space="preserve">Impact of </w:t>
      </w:r>
      <w:r w:rsidR="0052446A" w:rsidRPr="005D2BB9">
        <w:rPr>
          <w:rFonts w:ascii="Arial" w:hAnsi="Arial" w:cs="Arial"/>
          <w:b/>
          <w:bCs/>
          <w:sz w:val="36"/>
          <w:szCs w:val="36"/>
        </w:rPr>
        <w:t xml:space="preserve">Substrate-assisted Biofloc Technology </w:t>
      </w:r>
      <w:r>
        <w:rPr>
          <w:rFonts w:ascii="Arial" w:hAnsi="Arial" w:cs="Arial"/>
          <w:b/>
          <w:bCs/>
          <w:sz w:val="36"/>
          <w:szCs w:val="36"/>
        </w:rPr>
        <w:t xml:space="preserve">with different </w:t>
      </w:r>
      <w:r w:rsidRPr="005D2BB9">
        <w:rPr>
          <w:rFonts w:ascii="Arial" w:hAnsi="Arial" w:cs="Arial"/>
          <w:b/>
          <w:bCs/>
          <w:sz w:val="36"/>
          <w:szCs w:val="36"/>
        </w:rPr>
        <w:t>stocking densit</w:t>
      </w:r>
      <w:r>
        <w:rPr>
          <w:rFonts w:ascii="Arial" w:hAnsi="Arial" w:cs="Arial"/>
          <w:b/>
          <w:bCs/>
          <w:sz w:val="36"/>
          <w:szCs w:val="36"/>
        </w:rPr>
        <w:t>ies</w:t>
      </w:r>
      <w:r w:rsidRPr="005D2BB9">
        <w:rPr>
          <w:rFonts w:ascii="Arial" w:hAnsi="Arial" w:cs="Arial"/>
          <w:b/>
          <w:bCs/>
          <w:sz w:val="36"/>
          <w:szCs w:val="36"/>
        </w:rPr>
        <w:t xml:space="preserve"> on water quality and microbial community </w:t>
      </w:r>
      <w:r>
        <w:rPr>
          <w:rFonts w:ascii="Arial" w:hAnsi="Arial" w:cs="Arial"/>
          <w:b/>
          <w:bCs/>
          <w:sz w:val="36"/>
          <w:szCs w:val="36"/>
        </w:rPr>
        <w:t>of</w:t>
      </w:r>
      <w:r w:rsidR="0052446A" w:rsidRPr="005D2BB9">
        <w:rPr>
          <w:rFonts w:ascii="Arial" w:hAnsi="Arial" w:cs="Arial"/>
          <w:b/>
          <w:bCs/>
          <w:sz w:val="36"/>
          <w:szCs w:val="36"/>
        </w:rPr>
        <w:t xml:space="preserve"> </w:t>
      </w:r>
      <w:r w:rsidR="0052446A" w:rsidRPr="005D2BB9">
        <w:rPr>
          <w:rFonts w:ascii="Arial" w:hAnsi="Arial" w:cs="Arial"/>
          <w:b/>
          <w:bCs/>
          <w:i/>
          <w:iCs/>
          <w:sz w:val="36"/>
          <w:szCs w:val="36"/>
        </w:rPr>
        <w:t xml:space="preserve">Penaeus vannamei </w:t>
      </w:r>
      <w:r w:rsidR="0052446A" w:rsidRPr="005D2BB9">
        <w:rPr>
          <w:rFonts w:ascii="Arial" w:hAnsi="Arial" w:cs="Arial"/>
          <w:b/>
          <w:bCs/>
          <w:sz w:val="36"/>
          <w:szCs w:val="36"/>
        </w:rPr>
        <w:t xml:space="preserve">nursery rearing </w:t>
      </w:r>
    </w:p>
    <w:p w14:paraId="3139F17A" w14:textId="4A3A17DE" w:rsidR="008D58A9" w:rsidRDefault="008D58A9" w:rsidP="00555A83">
      <w:pPr>
        <w:pStyle w:val="Affiliation"/>
        <w:spacing w:after="0" w:line="240" w:lineRule="auto"/>
        <w:rPr>
          <w:rFonts w:ascii="Arial" w:hAnsi="Arial" w:cs="Arial"/>
          <w:i/>
          <w:iCs/>
          <w:vertAlign w:val="superscript"/>
        </w:rPr>
      </w:pPr>
    </w:p>
    <w:p w14:paraId="31B28DA5" w14:textId="77777777" w:rsidR="00D707DE" w:rsidRPr="00134983" w:rsidRDefault="00D707DE" w:rsidP="00555A83">
      <w:pPr>
        <w:pStyle w:val="Affiliation"/>
        <w:spacing w:after="0" w:line="240" w:lineRule="auto"/>
        <w:rPr>
          <w:rFonts w:ascii="Arial" w:hAnsi="Arial" w:cs="Arial"/>
          <w:i/>
          <w:iCs/>
          <w:vertAlign w:val="superscript"/>
        </w:rPr>
      </w:pPr>
    </w:p>
    <w:p w14:paraId="147783EF" w14:textId="77777777" w:rsidR="0052446A" w:rsidRDefault="0052446A" w:rsidP="0052446A">
      <w:pPr>
        <w:pStyle w:val="Copyright"/>
        <w:spacing w:after="0" w:line="240" w:lineRule="auto"/>
        <w:jc w:val="both"/>
      </w:pPr>
      <w:r>
        <w:rPr>
          <w:rFonts w:ascii="Arial" w:hAnsi="Arial" w:cs="Arial"/>
        </w:rPr>
        <w:t xml:space="preserve">       </w:t>
      </w:r>
      <w:r>
        <w:rPr>
          <w:rFonts w:ascii="Arial" w:hAnsi="Arial" w:cs="Arial"/>
          <w:noProof/>
          <w:lang w:val="en-IN" w:eastAsia="en-IN" w:bidi="mr-IN"/>
        </w:rPr>
        <mc:AlternateContent>
          <mc:Choice Requires="wps">
            <w:drawing>
              <wp:inline distT="0" distB="0" distL="0" distR="0" wp14:anchorId="3837AE37" wp14:editId="4B23516A">
                <wp:extent cx="5303520" cy="0"/>
                <wp:effectExtent l="13335" t="15240" r="17145" b="1333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668F61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GEKiBB8CAAA8BAAADgAAAAAAAAAAAAAAAAAuAgAAZHJzL2Uyb0RvYy54bWxQSwECLQAUAAYA&#10;CAAAACEAEUgwYNYAAAACAQAADwAAAAAAAAAAAAAAAAB5BAAAZHJzL2Rvd25yZXYueG1sUEsFBgAA&#10;AAAEAAQA8wAAAHwFAAAAAA==&#10;" strokeweight="1.5pt">
                <w10:anchorlock/>
              </v:shape>
            </w:pict>
          </mc:Fallback>
        </mc:AlternateContent>
      </w:r>
      <w:r>
        <w:rPr>
          <w:rFonts w:ascii="Arial" w:hAnsi="Arial" w:cs="Arial"/>
        </w:rPr>
        <w:t>.</w:t>
      </w:r>
    </w:p>
    <w:p w14:paraId="480D305B" w14:textId="77777777" w:rsidR="00555A83" w:rsidRDefault="00555A83" w:rsidP="0052446A">
      <w:pPr>
        <w:pStyle w:val="AbstHead"/>
        <w:spacing w:after="0"/>
        <w:jc w:val="both"/>
        <w:rPr>
          <w:rFonts w:ascii="Arial" w:hAnsi="Arial" w:cs="Arial"/>
        </w:rPr>
      </w:pPr>
    </w:p>
    <w:p w14:paraId="3D04E64E" w14:textId="77777777" w:rsidR="0052446A" w:rsidRDefault="0052446A" w:rsidP="0052446A">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0004109D" w14:textId="77777777" w:rsidR="0052446A" w:rsidRPr="00FB3A86" w:rsidRDefault="0052446A" w:rsidP="0052446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52446A" w:rsidRPr="001E44FE" w14:paraId="47AFFA40" w14:textId="77777777" w:rsidTr="00432A95">
        <w:tc>
          <w:tcPr>
            <w:tcW w:w="9576" w:type="dxa"/>
            <w:shd w:val="clear" w:color="auto" w:fill="F2F2F2"/>
          </w:tcPr>
          <w:p w14:paraId="36FDF515" w14:textId="77777777" w:rsidR="0052446A" w:rsidRPr="00082CA0" w:rsidRDefault="00DC02C3" w:rsidP="00082CA0">
            <w:pPr>
              <w:tabs>
                <w:tab w:val="left" w:pos="6440"/>
              </w:tabs>
              <w:jc w:val="both"/>
              <w:rPr>
                <w:rFonts w:ascii="Arial" w:hAnsi="Arial" w:cs="Arial"/>
                <w:color w:val="FF0000"/>
                <w:szCs w:val="22"/>
              </w:rPr>
            </w:pPr>
            <w:r>
              <w:rPr>
                <w:rFonts w:ascii="Arial" w:hAnsi="Arial" w:cs="Arial"/>
                <w:szCs w:val="22"/>
              </w:rPr>
              <w:t>This study evaluates the effect</w:t>
            </w:r>
            <w:r w:rsidR="005D2BB9" w:rsidRPr="00082CA0">
              <w:rPr>
                <w:rFonts w:ascii="Arial" w:hAnsi="Arial" w:cs="Arial"/>
                <w:szCs w:val="22"/>
              </w:rPr>
              <w:t xml:space="preserve"> </w:t>
            </w:r>
            <w:r w:rsidR="00082CA0" w:rsidRPr="00082CA0">
              <w:rPr>
                <w:rFonts w:ascii="Arial" w:hAnsi="Arial" w:cs="Arial"/>
                <w:szCs w:val="22"/>
              </w:rPr>
              <w:t>of inclusion of substrate</w:t>
            </w:r>
            <w:r w:rsidR="005D2BB9" w:rsidRPr="00082CA0">
              <w:rPr>
                <w:rFonts w:ascii="Arial" w:hAnsi="Arial" w:cs="Arial"/>
                <w:szCs w:val="22"/>
              </w:rPr>
              <w:t xml:space="preserve"> on </w:t>
            </w:r>
            <w:r w:rsidR="00D94372" w:rsidRPr="00082CA0">
              <w:rPr>
                <w:rFonts w:ascii="Arial" w:hAnsi="Arial" w:cs="Arial"/>
                <w:szCs w:val="22"/>
              </w:rPr>
              <w:t xml:space="preserve">water quality and microbial community of </w:t>
            </w:r>
            <w:r w:rsidR="005D2BB9" w:rsidRPr="00082CA0">
              <w:rPr>
                <w:rFonts w:ascii="Arial" w:hAnsi="Arial" w:cs="Arial"/>
                <w:szCs w:val="22"/>
              </w:rPr>
              <w:t xml:space="preserve">biofloc-based nursery-rearing system for </w:t>
            </w:r>
            <w:r w:rsidR="005D2BB9" w:rsidRPr="00082CA0">
              <w:rPr>
                <w:rFonts w:ascii="Arial" w:hAnsi="Arial" w:cs="Arial"/>
                <w:i/>
                <w:iCs/>
                <w:szCs w:val="22"/>
              </w:rPr>
              <w:t>Penaeus vannamei</w:t>
            </w:r>
            <w:r w:rsidR="00082CA0" w:rsidRPr="00082CA0">
              <w:rPr>
                <w:rFonts w:ascii="Arial" w:hAnsi="Arial" w:cs="Arial"/>
                <w:szCs w:val="22"/>
              </w:rPr>
              <w:t xml:space="preserve"> with different stocking densities</w:t>
            </w:r>
            <w:r w:rsidR="005D2BB9" w:rsidRPr="00082CA0">
              <w:rPr>
                <w:rFonts w:ascii="Arial" w:hAnsi="Arial" w:cs="Arial"/>
                <w:szCs w:val="22"/>
              </w:rPr>
              <w:t xml:space="preserve">. The experiment consisted of two factors as biofloc without substrate (BT) and biofloc with substrate (BST) with four stocking density treatments </w:t>
            </w:r>
            <w:r w:rsidR="005D2BB9" w:rsidRPr="00082CA0">
              <w:rPr>
                <w:rFonts w:ascii="Arial" w:eastAsia="Times New Roman" w:hAnsi="Arial" w:cs="Arial"/>
                <w:szCs w:val="22"/>
                <w:lang w:val="en-US" w:bidi="ar-SA"/>
              </w:rPr>
              <w:t>(2000, 4000, 6000, and 8000 nos. m</w:t>
            </w:r>
            <w:r w:rsidR="005D2BB9" w:rsidRPr="00082CA0">
              <w:rPr>
                <w:rFonts w:ascii="Arial" w:eastAsia="Times New Roman" w:hAnsi="Arial" w:cs="Arial"/>
                <w:szCs w:val="22"/>
                <w:vertAlign w:val="superscript"/>
                <w:lang w:val="en-US" w:bidi="ar-SA"/>
              </w:rPr>
              <w:t>-3</w:t>
            </w:r>
            <w:r w:rsidR="005D2BB9" w:rsidRPr="00082CA0">
              <w:rPr>
                <w:rFonts w:ascii="Arial" w:eastAsia="Times New Roman" w:hAnsi="Arial" w:cs="Arial"/>
                <w:szCs w:val="22"/>
                <w:lang w:val="en-US" w:bidi="ar-SA"/>
              </w:rPr>
              <w:t>) with three replicates.</w:t>
            </w:r>
            <w:r w:rsidR="00D94372" w:rsidRPr="00082CA0">
              <w:rPr>
                <w:rFonts w:ascii="Arial" w:eastAsia="Times New Roman" w:hAnsi="Arial" w:cs="Arial"/>
                <w:szCs w:val="22"/>
                <w:lang w:val="en-US" w:bidi="ar-SA"/>
              </w:rPr>
              <w:t xml:space="preserve"> The experiment was carried out for 30 days in 100 L capacity HDPE tanks where substrate </w:t>
            </w:r>
            <w:r w:rsidR="004A3512" w:rsidRPr="00082CA0">
              <w:rPr>
                <w:rFonts w:ascii="Arial" w:hAnsi="Arial" w:cs="Arial"/>
                <w:szCs w:val="22"/>
              </w:rPr>
              <w:t xml:space="preserve">as bamboo mat </w:t>
            </w:r>
            <w:r w:rsidR="00D94372" w:rsidRPr="00082CA0">
              <w:rPr>
                <w:rFonts w:ascii="Arial" w:eastAsia="Times New Roman" w:hAnsi="Arial" w:cs="Arial"/>
                <w:szCs w:val="22"/>
                <w:lang w:val="en-US" w:bidi="ar-SA"/>
              </w:rPr>
              <w:t>were introduced covering 100% total surface area of tank</w:t>
            </w:r>
            <w:r w:rsidR="004A3512" w:rsidRPr="00082CA0">
              <w:rPr>
                <w:rFonts w:ascii="Arial" w:eastAsia="Times New Roman" w:hAnsi="Arial" w:cs="Arial"/>
                <w:szCs w:val="22"/>
                <w:lang w:val="en-US" w:bidi="ar-SA"/>
              </w:rPr>
              <w:t xml:space="preserve">. </w:t>
            </w:r>
            <w:r w:rsidR="004A3512" w:rsidRPr="00082CA0">
              <w:rPr>
                <w:rFonts w:ascii="Arial" w:hAnsi="Arial" w:cs="Arial"/>
                <w:szCs w:val="22"/>
              </w:rPr>
              <w:t xml:space="preserve">Water quality parameters, including pH and dissolved oxygen levels, were significantly influenced by substrate addition with varying stocking density. The biofloc system with bamboo mat (BST) exhibited lower </w:t>
            </w:r>
            <w:r w:rsidR="00B5098C" w:rsidRPr="00082CA0">
              <w:rPr>
                <w:rFonts w:ascii="Arial" w:hAnsi="Arial" w:cs="Arial"/>
                <w:szCs w:val="22"/>
              </w:rPr>
              <w:t>TAN, Nitrite</w:t>
            </w:r>
            <w:r w:rsidR="00B5098C" w:rsidRPr="00082CA0">
              <w:rPr>
                <w:rFonts w:ascii="Cambria Math" w:hAnsi="Cambria Math" w:cs="Cambria Math"/>
                <w:szCs w:val="22"/>
              </w:rPr>
              <w:t>‐</w:t>
            </w:r>
            <w:r w:rsidR="00B5098C" w:rsidRPr="00082CA0">
              <w:rPr>
                <w:rFonts w:ascii="Arial" w:hAnsi="Arial" w:cs="Arial"/>
                <w:szCs w:val="22"/>
              </w:rPr>
              <w:t>N, Nitrate</w:t>
            </w:r>
            <w:r w:rsidR="00B5098C" w:rsidRPr="00082CA0">
              <w:rPr>
                <w:rFonts w:ascii="Cambria Math" w:hAnsi="Cambria Math" w:cs="Cambria Math"/>
                <w:szCs w:val="22"/>
              </w:rPr>
              <w:t>‐</w:t>
            </w:r>
            <w:r w:rsidR="00B5098C" w:rsidRPr="00082CA0">
              <w:rPr>
                <w:rFonts w:ascii="Arial" w:hAnsi="Arial" w:cs="Arial"/>
                <w:szCs w:val="22"/>
              </w:rPr>
              <w:t xml:space="preserve">N, Biofloc Volume and </w:t>
            </w:r>
            <w:r w:rsidR="004A3512" w:rsidRPr="00082CA0">
              <w:rPr>
                <w:rFonts w:ascii="Arial" w:hAnsi="Arial" w:cs="Arial"/>
                <w:szCs w:val="22"/>
              </w:rPr>
              <w:t xml:space="preserve">total suspended solids (TSS) compared to </w:t>
            </w:r>
            <w:r w:rsidR="00B5098C" w:rsidRPr="00082CA0">
              <w:rPr>
                <w:rFonts w:ascii="Arial" w:hAnsi="Arial" w:cs="Arial"/>
                <w:szCs w:val="22"/>
              </w:rPr>
              <w:t>without substrate</w:t>
            </w:r>
            <w:r w:rsidR="004A3512" w:rsidRPr="00082CA0">
              <w:rPr>
                <w:rFonts w:ascii="Arial" w:hAnsi="Arial" w:cs="Arial"/>
                <w:szCs w:val="22"/>
              </w:rPr>
              <w:t xml:space="preserve"> treatments, </w:t>
            </w:r>
            <w:r w:rsidR="00B5098C" w:rsidRPr="00082CA0">
              <w:rPr>
                <w:rFonts w:ascii="Arial" w:hAnsi="Arial" w:cs="Arial"/>
                <w:szCs w:val="22"/>
              </w:rPr>
              <w:t>and its concentration increases with increase in stocking density</w:t>
            </w:r>
            <w:r w:rsidR="004A3512" w:rsidRPr="00082CA0">
              <w:rPr>
                <w:rFonts w:ascii="Arial" w:hAnsi="Arial" w:cs="Arial"/>
                <w:szCs w:val="22"/>
              </w:rPr>
              <w:t xml:space="preserve">. </w:t>
            </w:r>
            <w:r w:rsidR="00B5098C" w:rsidRPr="00082CA0">
              <w:rPr>
                <w:rFonts w:ascii="Arial" w:hAnsi="Arial" w:cs="Arial"/>
                <w:color w:val="000000"/>
                <w:kern w:val="2"/>
                <w:szCs w:val="22"/>
                <w:lang w:bidi="te-IN"/>
                <w14:ligatures w14:val="standardContextual"/>
              </w:rPr>
              <w:t>The total bacterial count (TBC) was consistently higher in substrate treatments (1.64 to 2.26 × 10⁵ CFU mL</w:t>
            </w:r>
            <w:r w:rsidR="00B5098C" w:rsidRPr="00082CA0">
              <w:rPr>
                <w:rFonts w:ascii="Cambria Math" w:hAnsi="Cambria Math" w:cs="Cambria Math"/>
                <w:color w:val="000000"/>
                <w:kern w:val="2"/>
                <w:szCs w:val="22"/>
                <w:lang w:bidi="te-IN"/>
                <w14:ligatures w14:val="standardContextual"/>
              </w:rPr>
              <w:t>⁻</w:t>
            </w:r>
            <w:r w:rsidR="00B5098C" w:rsidRPr="00082CA0">
              <w:rPr>
                <w:rFonts w:ascii="Arial" w:hAnsi="Arial" w:cs="Arial"/>
                <w:color w:val="000000"/>
                <w:kern w:val="2"/>
                <w:szCs w:val="22"/>
                <w:lang w:bidi="te-IN"/>
                <w14:ligatures w14:val="standardContextual"/>
              </w:rPr>
              <w:t>¹) compared to non-substrate treatments (0.88 to 1.53 × 10⁵ CFU mL</w:t>
            </w:r>
            <w:r w:rsidR="00B5098C" w:rsidRPr="00082CA0">
              <w:rPr>
                <w:rFonts w:ascii="Cambria Math" w:hAnsi="Cambria Math" w:cs="Cambria Math"/>
                <w:color w:val="000000"/>
                <w:kern w:val="2"/>
                <w:szCs w:val="22"/>
                <w:lang w:bidi="te-IN"/>
                <w14:ligatures w14:val="standardContextual"/>
              </w:rPr>
              <w:t>⁻</w:t>
            </w:r>
            <w:r w:rsidR="00B5098C" w:rsidRPr="00082CA0">
              <w:rPr>
                <w:rFonts w:ascii="Arial" w:hAnsi="Arial" w:cs="Arial"/>
                <w:color w:val="000000"/>
                <w:kern w:val="2"/>
                <w:szCs w:val="22"/>
                <w:lang w:bidi="te-IN"/>
                <w14:ligatures w14:val="standardContextual"/>
              </w:rPr>
              <w:t>¹)</w:t>
            </w:r>
            <w:r w:rsidR="00911D3E" w:rsidRPr="00082CA0">
              <w:rPr>
                <w:rFonts w:ascii="Arial" w:hAnsi="Arial" w:cs="Arial"/>
                <w:color w:val="000000"/>
                <w:kern w:val="2"/>
                <w:szCs w:val="22"/>
                <w:lang w:bidi="te-IN"/>
                <w14:ligatures w14:val="standardContextual"/>
              </w:rPr>
              <w:t xml:space="preserve">. Also, </w:t>
            </w:r>
            <w:r w:rsidR="00B5098C" w:rsidRPr="00082CA0">
              <w:rPr>
                <w:rFonts w:ascii="Arial" w:hAnsi="Arial" w:cs="Arial"/>
                <w:color w:val="000000" w:themeColor="text1"/>
                <w:szCs w:val="22"/>
              </w:rPr>
              <w:t xml:space="preserve">substrate availability markedly enhanced </w:t>
            </w:r>
            <w:r w:rsidR="00B5098C" w:rsidRPr="00082CA0">
              <w:rPr>
                <w:rFonts w:ascii="Arial" w:hAnsi="Arial" w:cs="Arial"/>
                <w:i/>
                <w:iCs/>
                <w:color w:val="000000" w:themeColor="text1"/>
                <w:szCs w:val="22"/>
              </w:rPr>
              <w:t>Bacillus</w:t>
            </w:r>
            <w:r w:rsidR="00B5098C" w:rsidRPr="00082CA0">
              <w:rPr>
                <w:rFonts w:ascii="Arial" w:hAnsi="Arial" w:cs="Arial"/>
                <w:color w:val="000000" w:themeColor="text1"/>
                <w:szCs w:val="22"/>
              </w:rPr>
              <w:t xml:space="preserve"> proliferation</w:t>
            </w:r>
            <w:r w:rsidR="00911D3E" w:rsidRPr="00082CA0">
              <w:rPr>
                <w:rFonts w:ascii="Arial" w:hAnsi="Arial" w:cs="Arial"/>
                <w:color w:val="000000" w:themeColor="text1"/>
                <w:szCs w:val="22"/>
              </w:rPr>
              <w:t xml:space="preserve"> and relatively stable </w:t>
            </w:r>
            <w:r w:rsidR="00911D3E" w:rsidRPr="00082CA0">
              <w:rPr>
                <w:rFonts w:ascii="Arial" w:hAnsi="Arial" w:cs="Arial"/>
                <w:i/>
                <w:iCs/>
                <w:color w:val="000000" w:themeColor="text1"/>
                <w:szCs w:val="22"/>
              </w:rPr>
              <w:t>Vibrio</w:t>
            </w:r>
            <w:r w:rsidR="00911D3E" w:rsidRPr="00082CA0">
              <w:rPr>
                <w:rFonts w:ascii="Arial" w:hAnsi="Arial" w:cs="Arial"/>
                <w:color w:val="000000" w:themeColor="text1"/>
                <w:szCs w:val="22"/>
              </w:rPr>
              <w:t xml:space="preserve"> population (2.18 to 2.31 × 10² CFU mL</w:t>
            </w:r>
            <w:r w:rsidR="00911D3E" w:rsidRPr="00082CA0">
              <w:rPr>
                <w:rFonts w:ascii="Cambria Math" w:hAnsi="Cambria Math" w:cs="Cambria Math"/>
                <w:color w:val="000000" w:themeColor="text1"/>
                <w:szCs w:val="22"/>
              </w:rPr>
              <w:t>⁻</w:t>
            </w:r>
            <w:r w:rsidR="00911D3E" w:rsidRPr="00082CA0">
              <w:rPr>
                <w:rFonts w:ascii="Arial" w:hAnsi="Arial" w:cs="Arial"/>
                <w:color w:val="000000" w:themeColor="text1"/>
                <w:szCs w:val="22"/>
              </w:rPr>
              <w:t>¹) suggests that the biofloc system effectively maintained microbial equilibrium.</w:t>
            </w:r>
            <w:r w:rsidR="00B5098C" w:rsidRPr="00082CA0">
              <w:rPr>
                <w:rFonts w:ascii="Arial" w:hAnsi="Arial" w:cs="Arial"/>
                <w:color w:val="000000"/>
                <w:kern w:val="2"/>
                <w:szCs w:val="22"/>
                <w:lang w:bidi="te-IN"/>
                <w14:ligatures w14:val="standardContextual"/>
              </w:rPr>
              <w:t xml:space="preserve"> </w:t>
            </w:r>
            <w:r w:rsidR="004A3512" w:rsidRPr="00082CA0">
              <w:rPr>
                <w:rFonts w:ascii="Arial" w:hAnsi="Arial" w:cs="Arial"/>
                <w:szCs w:val="22"/>
              </w:rPr>
              <w:t>The incorporation of substrates enhanced the microbial community associated with biofilms, contributing to improved nitrogen cycling</w:t>
            </w:r>
            <w:r w:rsidR="00911D3E" w:rsidRPr="00082CA0">
              <w:rPr>
                <w:rFonts w:ascii="Arial" w:hAnsi="Arial" w:cs="Arial"/>
                <w:szCs w:val="22"/>
              </w:rPr>
              <w:t>.</w:t>
            </w:r>
          </w:p>
        </w:tc>
      </w:tr>
    </w:tbl>
    <w:p w14:paraId="452045DD" w14:textId="77777777" w:rsidR="0052446A" w:rsidRDefault="0052446A" w:rsidP="0052446A">
      <w:pPr>
        <w:pStyle w:val="Body"/>
        <w:spacing w:after="0"/>
        <w:rPr>
          <w:rFonts w:ascii="Arial" w:hAnsi="Arial" w:cs="Arial"/>
          <w:i/>
        </w:rPr>
      </w:pPr>
    </w:p>
    <w:p w14:paraId="0224F63F" w14:textId="77777777" w:rsidR="0052446A" w:rsidRPr="00F52306" w:rsidRDefault="0052446A" w:rsidP="0052446A">
      <w:pPr>
        <w:pStyle w:val="Body"/>
        <w:spacing w:after="0"/>
        <w:rPr>
          <w:rFonts w:ascii="Arial" w:hAnsi="Arial" w:cs="Arial"/>
          <w:i/>
          <w:iCs/>
        </w:rPr>
      </w:pPr>
      <w:r>
        <w:rPr>
          <w:rFonts w:ascii="Arial" w:hAnsi="Arial" w:cs="Arial"/>
          <w:i/>
        </w:rPr>
        <w:t xml:space="preserve">Keywords: </w:t>
      </w:r>
      <w:r w:rsidRPr="00F52306">
        <w:rPr>
          <w:rFonts w:ascii="Arial" w:hAnsi="Arial" w:cs="Arial"/>
          <w:i/>
          <w:iCs/>
        </w:rPr>
        <w:t xml:space="preserve">biofloc, Penaeus vannamei, </w:t>
      </w:r>
      <w:r w:rsidR="00020514">
        <w:rPr>
          <w:rFonts w:ascii="Arial" w:hAnsi="Arial" w:cs="Arial"/>
          <w:i/>
          <w:iCs/>
        </w:rPr>
        <w:t>water quality, stocking density</w:t>
      </w:r>
      <w:r w:rsidR="00911D3E">
        <w:rPr>
          <w:rFonts w:ascii="Arial" w:hAnsi="Arial" w:cs="Arial"/>
          <w:i/>
          <w:iCs/>
        </w:rPr>
        <w:t>, microbial community</w:t>
      </w:r>
    </w:p>
    <w:p w14:paraId="5F0782E3" w14:textId="77777777" w:rsidR="00674451" w:rsidRDefault="00674451" w:rsidP="0052446A"/>
    <w:p w14:paraId="3E351A8E" w14:textId="77777777" w:rsidR="0052446A" w:rsidRPr="00B31B91" w:rsidRDefault="0052446A" w:rsidP="008D09A1">
      <w:pPr>
        <w:pStyle w:val="AbstHead"/>
        <w:jc w:val="both"/>
        <w:rPr>
          <w:rFonts w:ascii="Times New Roman" w:hAnsi="Times New Roman"/>
          <w:sz w:val="24"/>
          <w:szCs w:val="24"/>
        </w:rPr>
      </w:pPr>
      <w:r w:rsidRPr="00B31B91">
        <w:rPr>
          <w:rFonts w:ascii="Times New Roman" w:hAnsi="Times New Roman"/>
          <w:sz w:val="24"/>
          <w:szCs w:val="24"/>
        </w:rPr>
        <w:t xml:space="preserve">1. INTRODUCTION </w:t>
      </w:r>
    </w:p>
    <w:p w14:paraId="16488D22" w14:textId="77777777" w:rsidR="0052446A" w:rsidRPr="008D09A1" w:rsidRDefault="0052446A" w:rsidP="008D09A1">
      <w:pPr>
        <w:spacing w:after="240" w:line="240" w:lineRule="auto"/>
        <w:jc w:val="both"/>
        <w:rPr>
          <w:rFonts w:ascii="Arial" w:eastAsia="Times New Roman" w:hAnsi="Arial" w:cs="Arial"/>
          <w:sz w:val="20"/>
          <w:lang w:val="en-US" w:bidi="ar-SA"/>
        </w:rPr>
      </w:pPr>
      <w:r w:rsidRPr="008D09A1">
        <w:rPr>
          <w:rFonts w:ascii="Arial" w:eastAsia="Times New Roman" w:hAnsi="Arial" w:cs="Arial"/>
          <w:sz w:val="20"/>
          <w:lang w:val="en-US" w:bidi="ar-SA"/>
        </w:rPr>
        <w:t xml:space="preserve">The nursery phase is a critical intermediate stage in the culture cycle of </w:t>
      </w:r>
      <w:r w:rsidRPr="008D09A1">
        <w:rPr>
          <w:rFonts w:ascii="Arial" w:eastAsia="Times New Roman" w:hAnsi="Arial" w:cs="Arial"/>
          <w:i/>
          <w:iCs/>
          <w:sz w:val="20"/>
          <w:lang w:val="en-US" w:bidi="ar-SA"/>
        </w:rPr>
        <w:t>P. vannamei</w:t>
      </w:r>
      <w:r w:rsidRPr="008D09A1">
        <w:rPr>
          <w:rFonts w:ascii="Arial" w:eastAsia="Times New Roman" w:hAnsi="Arial" w:cs="Arial"/>
          <w:sz w:val="20"/>
          <w:lang w:val="en-US" w:bidi="ar-SA"/>
        </w:rPr>
        <w:t xml:space="preserve">, bridging the gap between hatchery and grow-out operations </w:t>
      </w:r>
      <w:r w:rsidR="004F5714">
        <w:rPr>
          <w:rFonts w:ascii="Arial" w:eastAsia="Times New Roman" w:hAnsi="Arial" w:cs="Arial"/>
          <w:sz w:val="20"/>
          <w:lang w:val="en-US" w:bidi="ar-SA"/>
        </w:rPr>
        <w:t>[1]</w:t>
      </w:r>
      <w:r w:rsidRPr="008D09A1">
        <w:rPr>
          <w:rFonts w:ascii="Arial" w:eastAsia="Times New Roman" w:hAnsi="Arial" w:cs="Arial"/>
          <w:sz w:val="20"/>
          <w:lang w:val="en-US" w:bidi="ar-SA"/>
        </w:rPr>
        <w:t xml:space="preserve">. The primary purpose of this phase is to acclimate post larvae (PL) under controlled environmental conditions and to produce healthy, uniform juveniles capable of withstanding the relatively fluctuating conditions of grow-out ponds </w:t>
      </w:r>
      <w:r w:rsidR="004F5714">
        <w:rPr>
          <w:rFonts w:ascii="Arial" w:eastAsia="Times New Roman" w:hAnsi="Arial" w:cs="Arial"/>
          <w:sz w:val="20"/>
          <w:lang w:val="en-US" w:bidi="ar-SA"/>
        </w:rPr>
        <w:t>[2]</w:t>
      </w:r>
      <w:r w:rsidRPr="008D09A1">
        <w:rPr>
          <w:rFonts w:ascii="Arial" w:eastAsia="Times New Roman" w:hAnsi="Arial" w:cs="Arial"/>
          <w:sz w:val="20"/>
          <w:lang w:val="en-US" w:bidi="ar-SA"/>
        </w:rPr>
        <w:t>. One of the foremost advantages of nursery rearing is the enhancement of survival and robustness of shrimp juveniles. Several studies have demonstrated the superiority of BFT nurseries over conventional systems in terms of growth, feed conversion</w:t>
      </w:r>
      <w:r w:rsidR="00082CA0">
        <w:rPr>
          <w:rFonts w:ascii="Arial" w:eastAsia="Times New Roman" w:hAnsi="Arial" w:cs="Arial"/>
          <w:sz w:val="20"/>
          <w:lang w:val="en-US" w:bidi="ar-SA"/>
        </w:rPr>
        <w:t xml:space="preserve"> ratio</w:t>
      </w:r>
      <w:r w:rsidRPr="008D09A1">
        <w:rPr>
          <w:rFonts w:ascii="Arial" w:eastAsia="Times New Roman" w:hAnsi="Arial" w:cs="Arial"/>
          <w:sz w:val="20"/>
          <w:lang w:val="en-US" w:bidi="ar-SA"/>
        </w:rPr>
        <w:t>, and survival.</w:t>
      </w:r>
      <w:r w:rsidR="00AA4CBC" w:rsidRPr="008D09A1">
        <w:rPr>
          <w:rFonts w:ascii="Arial" w:eastAsia="Times New Roman" w:hAnsi="Arial" w:cs="Arial"/>
          <w:sz w:val="20"/>
          <w:lang w:val="en-US" w:bidi="ar-SA"/>
        </w:rPr>
        <w:t xml:space="preserve"> The </w:t>
      </w:r>
      <w:r w:rsidRPr="008D09A1">
        <w:rPr>
          <w:rFonts w:ascii="Arial" w:eastAsia="Times New Roman" w:hAnsi="Arial" w:cs="Arial"/>
          <w:sz w:val="20"/>
          <w:lang w:val="en-US" w:bidi="ar-SA"/>
        </w:rPr>
        <w:t xml:space="preserve">higher specific growth rates and survival of </w:t>
      </w:r>
      <w:r w:rsidRPr="008D09A1">
        <w:rPr>
          <w:rFonts w:ascii="Arial" w:eastAsia="Times New Roman" w:hAnsi="Arial" w:cs="Arial"/>
          <w:i/>
          <w:iCs/>
          <w:sz w:val="20"/>
          <w:lang w:val="en-US" w:bidi="ar-SA"/>
        </w:rPr>
        <w:t>P. vannamei</w:t>
      </w:r>
      <w:r w:rsidRPr="008D09A1">
        <w:rPr>
          <w:rFonts w:ascii="Arial" w:eastAsia="Times New Roman" w:hAnsi="Arial" w:cs="Arial"/>
          <w:sz w:val="20"/>
          <w:lang w:val="en-US" w:bidi="ar-SA"/>
        </w:rPr>
        <w:t xml:space="preserve"> juveniles </w:t>
      </w:r>
      <w:r w:rsidR="00082CA0">
        <w:rPr>
          <w:rFonts w:ascii="Arial" w:eastAsia="Times New Roman" w:hAnsi="Arial" w:cs="Arial"/>
          <w:sz w:val="20"/>
          <w:lang w:val="en-US" w:bidi="ar-SA"/>
        </w:rPr>
        <w:t xml:space="preserve">were recorded </w:t>
      </w:r>
      <w:r w:rsidRPr="008D09A1">
        <w:rPr>
          <w:rFonts w:ascii="Arial" w:eastAsia="Times New Roman" w:hAnsi="Arial" w:cs="Arial"/>
          <w:sz w:val="20"/>
          <w:lang w:val="en-US" w:bidi="ar-SA"/>
        </w:rPr>
        <w:t>in zero-exchange BFT systems compared to clear-water controls</w:t>
      </w:r>
      <w:r w:rsidR="00AA4CBC" w:rsidRPr="008D09A1">
        <w:rPr>
          <w:rFonts w:ascii="Arial" w:eastAsia="Times New Roman" w:hAnsi="Arial" w:cs="Arial"/>
          <w:sz w:val="20"/>
          <w:lang w:val="en-US" w:bidi="ar-SA"/>
        </w:rPr>
        <w:t xml:space="preserve"> </w:t>
      </w:r>
      <w:r w:rsidR="004F5714">
        <w:rPr>
          <w:rFonts w:ascii="Arial" w:eastAsia="Times New Roman" w:hAnsi="Arial" w:cs="Arial"/>
          <w:sz w:val="20"/>
          <w:lang w:val="en-US" w:bidi="ar-SA"/>
        </w:rPr>
        <w:t>[3]</w:t>
      </w:r>
      <w:r w:rsidRPr="008D09A1">
        <w:rPr>
          <w:rFonts w:ascii="Arial" w:eastAsia="Times New Roman" w:hAnsi="Arial" w:cs="Arial"/>
          <w:sz w:val="20"/>
          <w:lang w:val="en-US" w:bidi="ar-SA"/>
        </w:rPr>
        <w:t>. Similarly, shrimp</w:t>
      </w:r>
      <w:r w:rsidR="00AA4CBC" w:rsidRPr="008D09A1">
        <w:rPr>
          <w:rFonts w:ascii="Arial" w:eastAsia="Times New Roman" w:hAnsi="Arial" w:cs="Arial"/>
          <w:sz w:val="20"/>
          <w:lang w:val="en-US" w:bidi="ar-SA"/>
        </w:rPr>
        <w:t>s</w:t>
      </w:r>
      <w:r w:rsidRPr="008D09A1">
        <w:rPr>
          <w:rFonts w:ascii="Arial" w:eastAsia="Times New Roman" w:hAnsi="Arial" w:cs="Arial"/>
          <w:sz w:val="20"/>
          <w:lang w:val="en-US" w:bidi="ar-SA"/>
        </w:rPr>
        <w:t xml:space="preserve"> reared in BFT nurseries attained higher biomass and improved feed utilization efficiency, attributed to the ingestion of biofloc particles and enhanced microbial activity</w:t>
      </w:r>
      <w:r w:rsidR="00AA4CBC" w:rsidRPr="008D09A1">
        <w:rPr>
          <w:rFonts w:ascii="Arial" w:eastAsia="Times New Roman" w:hAnsi="Arial" w:cs="Arial"/>
          <w:sz w:val="20"/>
          <w:lang w:val="en-US" w:bidi="ar-SA"/>
        </w:rPr>
        <w:t xml:space="preserve"> </w:t>
      </w:r>
      <w:r w:rsidR="004F5714">
        <w:rPr>
          <w:rFonts w:ascii="Arial" w:eastAsia="Times New Roman" w:hAnsi="Arial" w:cs="Arial"/>
          <w:sz w:val="20"/>
          <w:lang w:val="en-US" w:bidi="ar-SA"/>
        </w:rPr>
        <w:t>[4]</w:t>
      </w:r>
      <w:r w:rsidRPr="008D09A1">
        <w:rPr>
          <w:rFonts w:ascii="Arial" w:eastAsia="Times New Roman" w:hAnsi="Arial" w:cs="Arial"/>
          <w:sz w:val="20"/>
          <w:lang w:val="en-US" w:bidi="ar-SA"/>
        </w:rPr>
        <w:t>.</w:t>
      </w:r>
    </w:p>
    <w:p w14:paraId="785B1921" w14:textId="77777777" w:rsidR="00AA4CBC" w:rsidRPr="008D09A1" w:rsidRDefault="00AA4CBC" w:rsidP="008D09A1">
      <w:pPr>
        <w:spacing w:after="240" w:line="240" w:lineRule="auto"/>
        <w:jc w:val="both"/>
        <w:rPr>
          <w:rFonts w:ascii="Arial" w:eastAsia="Times New Roman" w:hAnsi="Arial" w:cs="Arial"/>
          <w:sz w:val="20"/>
          <w:lang w:val="en-US" w:bidi="ar-SA"/>
        </w:rPr>
      </w:pPr>
      <w:r w:rsidRPr="008D09A1">
        <w:rPr>
          <w:rFonts w:ascii="Arial" w:eastAsia="Times New Roman" w:hAnsi="Arial" w:cs="Arial"/>
          <w:sz w:val="20"/>
          <w:lang w:val="en-US" w:bidi="ar-SA"/>
        </w:rPr>
        <w:t xml:space="preserve">Despite these advantages, BFT-based nursery systems demand higher technical expertise for maintaining microbial stability and water quality. Over-accumulation of biofloc, fluctuations in dissolved oxygen, and imbalanced C:N ratios can lead to deteriorating conditions if not properly managed. The inclusion of substrates in biofloc-based aquaculture systems has emerged as an effective management practice to enhance system stability, water quality, and the overall productivity of cultured species such as </w:t>
      </w:r>
      <w:r w:rsidRPr="008D09A1">
        <w:rPr>
          <w:rFonts w:ascii="Arial" w:eastAsia="Times New Roman" w:hAnsi="Arial" w:cs="Arial"/>
          <w:i/>
          <w:iCs/>
          <w:sz w:val="20"/>
          <w:lang w:val="en-US" w:bidi="ar-SA"/>
        </w:rPr>
        <w:t>P. vannamei</w:t>
      </w:r>
      <w:r w:rsidR="004F5714">
        <w:rPr>
          <w:rFonts w:ascii="Arial" w:eastAsia="Times New Roman" w:hAnsi="Arial" w:cs="Arial"/>
          <w:i/>
          <w:iCs/>
          <w:sz w:val="20"/>
          <w:lang w:val="en-US" w:bidi="ar-SA"/>
        </w:rPr>
        <w:t xml:space="preserve"> </w:t>
      </w:r>
      <w:r w:rsidR="004F5714">
        <w:rPr>
          <w:rFonts w:ascii="Arial" w:eastAsia="Times New Roman" w:hAnsi="Arial" w:cs="Arial"/>
          <w:sz w:val="20"/>
          <w:lang w:val="en-US" w:bidi="ar-SA"/>
        </w:rPr>
        <w:t>[5]</w:t>
      </w:r>
      <w:r w:rsidRPr="008D09A1">
        <w:rPr>
          <w:rFonts w:ascii="Arial" w:eastAsia="Times New Roman" w:hAnsi="Arial" w:cs="Arial"/>
          <w:sz w:val="20"/>
          <w:lang w:val="en-US" w:bidi="ar-SA"/>
        </w:rPr>
        <w:t xml:space="preserve">. The integration of substrates not only enhances microbial diversity and water quality </w:t>
      </w:r>
      <w:r w:rsidRPr="008D09A1">
        <w:rPr>
          <w:rFonts w:ascii="Arial" w:eastAsia="Times New Roman" w:hAnsi="Arial" w:cs="Arial"/>
          <w:sz w:val="20"/>
          <w:lang w:val="en-US" w:bidi="ar-SA"/>
        </w:rPr>
        <w:lastRenderedPageBreak/>
        <w:t>but also improves shrimp growth, survival, and immune response, particularly under intensive nursery rearing conditions</w:t>
      </w:r>
      <w:r w:rsidR="004F5714">
        <w:rPr>
          <w:rFonts w:ascii="Arial" w:eastAsia="Times New Roman" w:hAnsi="Arial" w:cs="Arial"/>
          <w:sz w:val="20"/>
          <w:lang w:val="en-US" w:bidi="ar-SA"/>
        </w:rPr>
        <w:t xml:space="preserve"> [6, 7, 8]</w:t>
      </w:r>
      <w:r w:rsidRPr="008D09A1">
        <w:rPr>
          <w:rFonts w:ascii="Arial" w:eastAsia="Times New Roman" w:hAnsi="Arial" w:cs="Arial"/>
          <w:sz w:val="20"/>
          <w:lang w:val="en-US" w:bidi="ar-SA"/>
        </w:rPr>
        <w:t>.</w:t>
      </w:r>
    </w:p>
    <w:p w14:paraId="59E007A4" w14:textId="77777777" w:rsidR="00A2777C" w:rsidRPr="008D09A1" w:rsidRDefault="00082CA0" w:rsidP="008D09A1">
      <w:pPr>
        <w:spacing w:after="240" w:line="240" w:lineRule="auto"/>
        <w:ind w:firstLine="709"/>
        <w:jc w:val="both"/>
        <w:rPr>
          <w:rFonts w:ascii="Arial" w:hAnsi="Arial" w:cs="Arial"/>
          <w:sz w:val="20"/>
        </w:rPr>
      </w:pPr>
      <w:r>
        <w:rPr>
          <w:rFonts w:ascii="Arial" w:hAnsi="Arial" w:cs="Arial"/>
          <w:sz w:val="20"/>
        </w:rPr>
        <w:t>In the nurseries</w:t>
      </w:r>
      <w:r w:rsidR="00A2777C" w:rsidRPr="008D09A1">
        <w:rPr>
          <w:rFonts w:ascii="Arial" w:hAnsi="Arial" w:cs="Arial"/>
          <w:sz w:val="20"/>
        </w:rPr>
        <w:t xml:space="preserve">, </w:t>
      </w:r>
      <w:r w:rsidR="00E768B2" w:rsidRPr="008D09A1">
        <w:rPr>
          <w:rFonts w:ascii="Arial" w:hAnsi="Arial" w:cs="Arial"/>
          <w:sz w:val="20"/>
          <w:lang w:val="en-US"/>
        </w:rPr>
        <w:t xml:space="preserve">PL stocked in </w:t>
      </w:r>
      <w:r w:rsidR="00A2777C" w:rsidRPr="008D09A1">
        <w:rPr>
          <w:rFonts w:ascii="Arial" w:hAnsi="Arial" w:cs="Arial"/>
          <w:sz w:val="20"/>
        </w:rPr>
        <w:t xml:space="preserve">higher densities </w:t>
      </w:r>
      <w:r w:rsidR="00E768B2" w:rsidRPr="008D09A1">
        <w:rPr>
          <w:rFonts w:ascii="Arial" w:hAnsi="Arial" w:cs="Arial"/>
          <w:sz w:val="20"/>
        </w:rPr>
        <w:t>to minimize</w:t>
      </w:r>
      <w:r w:rsidR="00A2777C" w:rsidRPr="008D09A1">
        <w:rPr>
          <w:rFonts w:ascii="Arial" w:hAnsi="Arial" w:cs="Arial"/>
          <w:sz w:val="20"/>
        </w:rPr>
        <w:t xml:space="preserve"> c</w:t>
      </w:r>
      <w:r w:rsidR="00E768B2" w:rsidRPr="008D09A1">
        <w:rPr>
          <w:rFonts w:ascii="Arial" w:hAnsi="Arial" w:cs="Arial"/>
          <w:sz w:val="20"/>
        </w:rPr>
        <w:t>ost</w:t>
      </w:r>
      <w:r>
        <w:rPr>
          <w:rFonts w:ascii="Arial" w:hAnsi="Arial" w:cs="Arial"/>
          <w:sz w:val="20"/>
        </w:rPr>
        <w:t xml:space="preserve"> of</w:t>
      </w:r>
      <w:r w:rsidRPr="00082CA0">
        <w:rPr>
          <w:rFonts w:ascii="Arial" w:hAnsi="Arial" w:cs="Arial"/>
          <w:sz w:val="20"/>
        </w:rPr>
        <w:t xml:space="preserve"> </w:t>
      </w:r>
      <w:r w:rsidRPr="008D09A1">
        <w:rPr>
          <w:rFonts w:ascii="Arial" w:hAnsi="Arial" w:cs="Arial"/>
          <w:sz w:val="20"/>
        </w:rPr>
        <w:t>production</w:t>
      </w:r>
      <w:r w:rsidR="00A2777C" w:rsidRPr="008D09A1">
        <w:rPr>
          <w:rFonts w:ascii="Arial" w:hAnsi="Arial" w:cs="Arial"/>
          <w:sz w:val="20"/>
        </w:rPr>
        <w:t>. This system</w:t>
      </w:r>
      <w:r w:rsidR="00E768B2" w:rsidRPr="008D09A1">
        <w:rPr>
          <w:rFonts w:ascii="Arial" w:hAnsi="Arial" w:cs="Arial"/>
          <w:sz w:val="20"/>
        </w:rPr>
        <w:t xml:space="preserve"> increases the number of crops, h</w:t>
      </w:r>
      <w:r w:rsidR="00A2777C" w:rsidRPr="008D09A1">
        <w:rPr>
          <w:rFonts w:ascii="Arial" w:hAnsi="Arial" w:cs="Arial"/>
          <w:sz w:val="20"/>
        </w:rPr>
        <w:t>owever, the excessive increase in stocking density may decrease the growth and survival of the shrimp. This effect is associated with a combination of factors, including decreased viable space and availability of natural food</w:t>
      </w:r>
      <w:r w:rsidR="004F5714">
        <w:rPr>
          <w:rFonts w:ascii="Arial" w:hAnsi="Arial" w:cs="Arial"/>
          <w:sz w:val="20"/>
        </w:rPr>
        <w:t xml:space="preserve"> [9]</w:t>
      </w:r>
      <w:r w:rsidR="00A2777C" w:rsidRPr="008D09A1">
        <w:rPr>
          <w:rFonts w:ascii="Arial" w:hAnsi="Arial" w:cs="Arial"/>
          <w:sz w:val="20"/>
        </w:rPr>
        <w:t>, increased cannibalism, degradation of water quality</w:t>
      </w:r>
      <w:r w:rsidR="004F5714">
        <w:rPr>
          <w:rFonts w:ascii="Arial" w:hAnsi="Arial" w:cs="Arial"/>
          <w:sz w:val="20"/>
        </w:rPr>
        <w:t xml:space="preserve"> [10]</w:t>
      </w:r>
      <w:r w:rsidR="00A2777C" w:rsidRPr="008D09A1">
        <w:rPr>
          <w:rFonts w:ascii="Arial" w:hAnsi="Arial" w:cs="Arial"/>
          <w:sz w:val="20"/>
        </w:rPr>
        <w:t xml:space="preserve">, and the accumulation of organic matter in the bottom of the tank </w:t>
      </w:r>
      <w:r w:rsidR="004F5714">
        <w:rPr>
          <w:rFonts w:ascii="Arial" w:hAnsi="Arial" w:cs="Arial"/>
          <w:sz w:val="20"/>
        </w:rPr>
        <w:t>[11]</w:t>
      </w:r>
      <w:r w:rsidR="00A2777C" w:rsidRPr="008D09A1">
        <w:rPr>
          <w:rFonts w:ascii="Arial" w:hAnsi="Arial" w:cs="Arial"/>
          <w:sz w:val="20"/>
        </w:rPr>
        <w:t xml:space="preserve">. Some studies validate that the nitrogen dynamics in intensive culture systems are affected by factor such as stocking density </w:t>
      </w:r>
      <w:r w:rsidR="004F5714">
        <w:rPr>
          <w:rFonts w:ascii="Arial" w:hAnsi="Arial" w:cs="Arial"/>
          <w:sz w:val="20"/>
        </w:rPr>
        <w:t>[12]</w:t>
      </w:r>
      <w:r w:rsidR="00A2777C" w:rsidRPr="008D09A1">
        <w:rPr>
          <w:rFonts w:ascii="Arial" w:hAnsi="Arial" w:cs="Arial"/>
          <w:sz w:val="20"/>
        </w:rPr>
        <w:t>.</w:t>
      </w:r>
    </w:p>
    <w:p w14:paraId="0291F3C7" w14:textId="77777777" w:rsidR="00E768B2" w:rsidRPr="008D09A1" w:rsidRDefault="00E768B2" w:rsidP="008D09A1">
      <w:pPr>
        <w:spacing w:after="240" w:line="240" w:lineRule="auto"/>
        <w:ind w:firstLine="709"/>
        <w:jc w:val="both"/>
        <w:rPr>
          <w:rFonts w:ascii="Arial" w:hAnsi="Arial" w:cs="Arial"/>
          <w:sz w:val="20"/>
        </w:rPr>
      </w:pPr>
      <w:r w:rsidRPr="008D09A1">
        <w:rPr>
          <w:rFonts w:ascii="Arial" w:hAnsi="Arial" w:cs="Arial"/>
          <w:sz w:val="20"/>
        </w:rPr>
        <w:t>The biofloc rearing with the addition of substrate and its relationship with various stocking densities, at the nursery phase has not often been studied. In view of this, the present work has been undertaken with the aim to evaluate the effect of biofloc and biofloc with substrates on the water quality dynamics and microbial community during the nursery phase.</w:t>
      </w:r>
    </w:p>
    <w:p w14:paraId="3441BA90" w14:textId="77777777" w:rsidR="00E768B2" w:rsidRPr="008D09A1" w:rsidRDefault="00E768B2" w:rsidP="008D09A1">
      <w:pPr>
        <w:pStyle w:val="AbstHead"/>
        <w:jc w:val="both"/>
        <w:rPr>
          <w:rFonts w:ascii="Arial" w:hAnsi="Arial" w:cs="Arial"/>
          <w:szCs w:val="22"/>
        </w:rPr>
      </w:pPr>
      <w:r w:rsidRPr="008D09A1">
        <w:rPr>
          <w:rFonts w:ascii="Arial" w:hAnsi="Arial" w:cs="Arial"/>
          <w:szCs w:val="22"/>
        </w:rPr>
        <w:t xml:space="preserve">2. material and methods </w:t>
      </w:r>
    </w:p>
    <w:p w14:paraId="589EF2AA" w14:textId="77777777" w:rsidR="00E768B2" w:rsidRPr="008D09A1" w:rsidRDefault="00E768B2" w:rsidP="008D09A1">
      <w:pPr>
        <w:pStyle w:val="Body"/>
        <w:rPr>
          <w:rFonts w:ascii="Arial" w:hAnsi="Arial" w:cs="Arial"/>
          <w:b/>
          <w:bCs/>
          <w:lang w:val="en-GB"/>
        </w:rPr>
      </w:pPr>
      <w:r w:rsidRPr="008D09A1">
        <w:rPr>
          <w:rFonts w:ascii="Arial" w:hAnsi="Arial" w:cs="Arial"/>
          <w:b/>
          <w:bCs/>
          <w:lang w:val="en-GB"/>
        </w:rPr>
        <w:t>2.1 Experiment location and Biological material:</w:t>
      </w:r>
    </w:p>
    <w:p w14:paraId="64D0581F" w14:textId="77777777" w:rsidR="0070604A" w:rsidRPr="008D09A1" w:rsidRDefault="00325469" w:rsidP="008D09A1">
      <w:pPr>
        <w:pStyle w:val="Body"/>
        <w:ind w:firstLine="720"/>
        <w:rPr>
          <w:rFonts w:ascii="Arial" w:hAnsi="Arial" w:cs="Arial"/>
          <w:i/>
          <w:iCs/>
          <w:lang w:val="en-GB"/>
        </w:rPr>
      </w:pPr>
      <w:r w:rsidRPr="008D09A1">
        <w:rPr>
          <w:rFonts w:ascii="Arial" w:hAnsi="Arial" w:cs="Arial"/>
        </w:rPr>
        <w:t xml:space="preserve">The post larvae (PL-7) were procured from Venture shrimp hatchery, </w:t>
      </w:r>
      <w:proofErr w:type="spellStart"/>
      <w:r w:rsidRPr="008D09A1">
        <w:rPr>
          <w:rFonts w:ascii="Arial" w:hAnsi="Arial" w:cs="Arial"/>
        </w:rPr>
        <w:t>Pudukuppam</w:t>
      </w:r>
      <w:proofErr w:type="spellEnd"/>
      <w:r w:rsidRPr="008D09A1">
        <w:rPr>
          <w:rFonts w:ascii="Arial" w:hAnsi="Arial" w:cs="Arial"/>
        </w:rPr>
        <w:t xml:space="preserve"> village, </w:t>
      </w:r>
      <w:proofErr w:type="spellStart"/>
      <w:r w:rsidRPr="008D09A1">
        <w:rPr>
          <w:rFonts w:ascii="Arial" w:hAnsi="Arial" w:cs="Arial"/>
        </w:rPr>
        <w:t>Marakanam</w:t>
      </w:r>
      <w:proofErr w:type="spellEnd"/>
      <w:r w:rsidRPr="008D09A1">
        <w:rPr>
          <w:rFonts w:ascii="Arial" w:hAnsi="Arial" w:cs="Arial"/>
        </w:rPr>
        <w:t xml:space="preserve">, Dist. Villupuram, Tamil Nadu. Post larvae were transported to experimental site, ADG Shrimp Farm, </w:t>
      </w:r>
      <w:proofErr w:type="spellStart"/>
      <w:r w:rsidRPr="008D09A1">
        <w:rPr>
          <w:rFonts w:ascii="Arial" w:hAnsi="Arial" w:cs="Arial"/>
        </w:rPr>
        <w:t>Nevre</w:t>
      </w:r>
      <w:proofErr w:type="spellEnd"/>
      <w:r w:rsidRPr="008D09A1">
        <w:rPr>
          <w:rFonts w:ascii="Arial" w:hAnsi="Arial" w:cs="Arial"/>
        </w:rPr>
        <w:t xml:space="preserve">, Ratnagiri </w:t>
      </w:r>
      <w:r w:rsidRPr="008D09A1">
        <w:rPr>
          <w:rFonts w:ascii="Arial" w:hAnsi="Arial" w:cs="Arial"/>
          <w:lang w:val="en-IN"/>
        </w:rPr>
        <w:t>(17</w:t>
      </w:r>
      <w:r w:rsidRPr="008D09A1">
        <w:rPr>
          <w:rFonts w:ascii="Arial" w:hAnsi="Arial" w:cs="Arial"/>
          <w:vertAlign w:val="superscript"/>
          <w:lang w:val="en-IN"/>
        </w:rPr>
        <w:t>0</w:t>
      </w:r>
      <w:r w:rsidRPr="008D09A1">
        <w:rPr>
          <w:rFonts w:ascii="Arial" w:hAnsi="Arial" w:cs="Arial"/>
          <w:lang w:val="en-IN"/>
        </w:rPr>
        <w:t>6’55’’N 73</w:t>
      </w:r>
      <w:r w:rsidRPr="008D09A1">
        <w:rPr>
          <w:rFonts w:ascii="Arial" w:hAnsi="Arial" w:cs="Arial"/>
          <w:vertAlign w:val="superscript"/>
          <w:lang w:val="en-IN"/>
        </w:rPr>
        <w:t>0</w:t>
      </w:r>
      <w:r w:rsidRPr="008D09A1">
        <w:rPr>
          <w:rFonts w:ascii="Arial" w:hAnsi="Arial" w:cs="Arial"/>
        </w:rPr>
        <w:t xml:space="preserve">17’16’’E) and acclimatized for 3 days in four 500 L FRP tanks (n = 3500/tank). </w:t>
      </w:r>
      <w:r w:rsidR="0070604A" w:rsidRPr="008D09A1">
        <w:rPr>
          <w:rFonts w:ascii="Arial" w:hAnsi="Arial" w:cs="Arial"/>
          <w:bCs/>
          <w:lang w:val="en-IN"/>
        </w:rPr>
        <w:t xml:space="preserve">After 3 days of acclimatization the </w:t>
      </w:r>
      <w:r w:rsidR="0070604A" w:rsidRPr="008D09A1">
        <w:rPr>
          <w:rFonts w:ascii="Arial" w:hAnsi="Arial" w:cs="Arial"/>
          <w:lang w:val="en-IN"/>
        </w:rPr>
        <w:t>post- larvae of PL-10 stage</w:t>
      </w:r>
      <w:r w:rsidR="0070604A" w:rsidRPr="008D09A1">
        <w:rPr>
          <w:rFonts w:ascii="Arial" w:hAnsi="Arial" w:cs="Arial"/>
          <w:bCs/>
          <w:lang w:val="en-IN"/>
        </w:rPr>
        <w:t xml:space="preserve"> (Initial average length- </w:t>
      </w:r>
      <w:r w:rsidR="0070604A" w:rsidRPr="008D09A1">
        <w:rPr>
          <w:rFonts w:ascii="Arial" w:hAnsi="Arial" w:cs="Arial"/>
          <w:bCs/>
        </w:rPr>
        <w:t xml:space="preserve">1.20 </w:t>
      </w:r>
      <w:r w:rsidR="0070604A" w:rsidRPr="008D09A1">
        <w:rPr>
          <w:rFonts w:ascii="Arial" w:hAnsi="Arial" w:cs="Arial"/>
          <w:u w:val="single"/>
        </w:rPr>
        <w:t>+</w:t>
      </w:r>
      <w:r w:rsidR="0070604A" w:rsidRPr="008D09A1">
        <w:rPr>
          <w:rFonts w:ascii="Arial" w:hAnsi="Arial" w:cs="Arial"/>
          <w:bCs/>
        </w:rPr>
        <w:t xml:space="preserve"> 0.02 </w:t>
      </w:r>
      <w:r w:rsidR="0070604A" w:rsidRPr="008D09A1">
        <w:rPr>
          <w:rFonts w:ascii="Arial" w:hAnsi="Arial" w:cs="Arial"/>
          <w:bCs/>
          <w:lang w:val="en-IN"/>
        </w:rPr>
        <w:t xml:space="preserve">cm and Initial average weight </w:t>
      </w:r>
      <w:r w:rsidR="0070604A" w:rsidRPr="008D09A1">
        <w:rPr>
          <w:rFonts w:ascii="Arial" w:hAnsi="Arial" w:cs="Arial"/>
          <w:bCs/>
        </w:rPr>
        <w:t xml:space="preserve">0.007 </w:t>
      </w:r>
      <w:r w:rsidR="0070604A" w:rsidRPr="008D09A1">
        <w:rPr>
          <w:rFonts w:ascii="Arial" w:hAnsi="Arial" w:cs="Arial"/>
          <w:u w:val="single"/>
        </w:rPr>
        <w:t>+</w:t>
      </w:r>
      <w:r w:rsidR="0070604A" w:rsidRPr="008D09A1">
        <w:rPr>
          <w:rFonts w:ascii="Arial" w:hAnsi="Arial" w:cs="Arial"/>
          <w:bCs/>
        </w:rPr>
        <w:t xml:space="preserve"> 0.001g</w:t>
      </w:r>
      <w:r w:rsidR="0070604A" w:rsidRPr="008D09A1">
        <w:rPr>
          <w:rFonts w:ascii="Arial" w:hAnsi="Arial" w:cs="Arial"/>
          <w:bCs/>
          <w:lang w:val="en-IN"/>
        </w:rPr>
        <w:t>)</w:t>
      </w:r>
      <w:r w:rsidR="0070604A" w:rsidRPr="008D09A1">
        <w:rPr>
          <w:rFonts w:ascii="Arial" w:hAnsi="Arial" w:cs="Arial"/>
          <w:lang w:val="en-IN"/>
        </w:rPr>
        <w:t xml:space="preserve"> were transferred to the experimental units.</w:t>
      </w:r>
    </w:p>
    <w:p w14:paraId="27D17A79" w14:textId="77777777" w:rsidR="0070604A" w:rsidRPr="008D09A1" w:rsidRDefault="008D09A1" w:rsidP="008D09A1">
      <w:pPr>
        <w:tabs>
          <w:tab w:val="left" w:pos="2892"/>
        </w:tabs>
        <w:spacing w:after="240" w:line="240" w:lineRule="auto"/>
        <w:jc w:val="both"/>
        <w:rPr>
          <w:rFonts w:ascii="Arial" w:hAnsi="Arial" w:cs="Arial"/>
          <w:b/>
          <w:bCs/>
          <w:color w:val="000000"/>
          <w:sz w:val="20"/>
        </w:rPr>
      </w:pPr>
      <w:r w:rsidRPr="008D09A1">
        <w:rPr>
          <w:rFonts w:ascii="Arial" w:hAnsi="Arial" w:cs="Arial"/>
          <w:b/>
          <w:bCs/>
          <w:color w:val="000000"/>
          <w:sz w:val="20"/>
        </w:rPr>
        <w:t xml:space="preserve">2.2 </w:t>
      </w:r>
      <w:r w:rsidR="0070604A" w:rsidRPr="008D09A1">
        <w:rPr>
          <w:rFonts w:ascii="Arial" w:hAnsi="Arial" w:cs="Arial"/>
          <w:b/>
          <w:bCs/>
          <w:color w:val="000000"/>
          <w:sz w:val="20"/>
        </w:rPr>
        <w:t>Experimental design and setup:</w:t>
      </w:r>
      <w:r w:rsidR="0070604A" w:rsidRPr="008D09A1">
        <w:rPr>
          <w:rFonts w:ascii="Arial" w:hAnsi="Arial" w:cs="Arial"/>
          <w:b/>
          <w:bCs/>
          <w:color w:val="000000"/>
          <w:sz w:val="20"/>
        </w:rPr>
        <w:tab/>
      </w:r>
    </w:p>
    <w:p w14:paraId="2A544C4D" w14:textId="77777777" w:rsidR="0070604A" w:rsidRPr="008D09A1" w:rsidRDefault="0070604A" w:rsidP="008D09A1">
      <w:pPr>
        <w:spacing w:after="240" w:line="240" w:lineRule="auto"/>
        <w:ind w:firstLine="720"/>
        <w:jc w:val="both"/>
        <w:rPr>
          <w:rFonts w:ascii="Arial" w:eastAsia="Times New Roman" w:hAnsi="Arial" w:cs="Arial"/>
          <w:sz w:val="20"/>
          <w:lang w:val="en-US" w:bidi="ar-SA"/>
        </w:rPr>
      </w:pPr>
      <w:r w:rsidRPr="008D09A1">
        <w:rPr>
          <w:rFonts w:ascii="Arial" w:eastAsia="Times New Roman" w:hAnsi="Arial" w:cs="Arial"/>
          <w:sz w:val="20"/>
          <w:lang w:val="en-US" w:bidi="ar-SA"/>
        </w:rPr>
        <w:t xml:space="preserve">Circular HDPE containers of 100 L capacity were filled with water up to volume of 40L. On the next day, 60 L of biofloc volume was transferred to each experimental tank, and sufficient aeration was enabled to promote effective bio-flocculation. After being inoculated for 48 hours, the PL were stocked in experimental tanks at the appropriate densities. </w:t>
      </w:r>
      <w:r w:rsidR="00B31B91" w:rsidRPr="008D09A1">
        <w:rPr>
          <w:rFonts w:ascii="Arial" w:eastAsia="Times New Roman" w:hAnsi="Arial" w:cs="Arial"/>
          <w:sz w:val="20"/>
          <w:lang w:val="en-US" w:bidi="ar-SA"/>
        </w:rPr>
        <w:t>The experiment was conducted outdoors under 50% green shade net in circular HDPE containers of 100 L capacity having a surface area of 0.86 m</w:t>
      </w:r>
      <w:r w:rsidR="00B31B91" w:rsidRPr="008D09A1">
        <w:rPr>
          <w:rFonts w:ascii="Arial" w:eastAsia="Times New Roman" w:hAnsi="Arial" w:cs="Arial"/>
          <w:sz w:val="20"/>
          <w:vertAlign w:val="superscript"/>
          <w:lang w:val="en-US" w:bidi="ar-SA"/>
        </w:rPr>
        <w:t>2</w:t>
      </w:r>
      <w:r w:rsidR="00B31B91" w:rsidRPr="008D09A1">
        <w:rPr>
          <w:rFonts w:ascii="Arial" w:eastAsia="Times New Roman" w:hAnsi="Arial" w:cs="Arial"/>
          <w:sz w:val="20"/>
          <w:lang w:val="en-US" w:bidi="ar-SA"/>
        </w:rPr>
        <w:t xml:space="preserve"> and a water depth of 0.40 m. Bamboo mat were used as a substrate covering 100% tank surface area. </w:t>
      </w:r>
      <w:r w:rsidRPr="008D09A1">
        <w:rPr>
          <w:rFonts w:ascii="Arial" w:eastAsia="Times New Roman" w:hAnsi="Arial" w:cs="Arial"/>
          <w:sz w:val="20"/>
          <w:lang w:val="en-US" w:bidi="ar-SA"/>
        </w:rPr>
        <w:t xml:space="preserve">To maintain the proper C: N ratio </w:t>
      </w:r>
      <w:r w:rsidR="00B31B91" w:rsidRPr="008D09A1">
        <w:rPr>
          <w:rFonts w:ascii="Arial" w:eastAsia="Times New Roman" w:hAnsi="Arial" w:cs="Arial"/>
          <w:sz w:val="20"/>
          <w:lang w:val="en-US" w:bidi="ar-SA"/>
        </w:rPr>
        <w:t xml:space="preserve">of 6:1 </w:t>
      </w:r>
      <w:r w:rsidRPr="008D09A1">
        <w:rPr>
          <w:rFonts w:ascii="Arial" w:eastAsia="Times New Roman" w:hAnsi="Arial" w:cs="Arial"/>
          <w:sz w:val="20"/>
          <w:lang w:val="en-US" w:bidi="ar-SA"/>
        </w:rPr>
        <w:t xml:space="preserve">in the experimental tanks, molasses was routinely introduced as a carbon source. </w:t>
      </w:r>
      <w:r w:rsidR="00D01403" w:rsidRPr="008D09A1">
        <w:rPr>
          <w:rFonts w:ascii="Arial" w:hAnsi="Arial" w:cs="Arial"/>
          <w:sz w:val="20"/>
        </w:rPr>
        <w:t xml:space="preserve">The experiment comprising </w:t>
      </w:r>
      <w:r w:rsidR="00402DB2" w:rsidRPr="008D09A1">
        <w:rPr>
          <w:rFonts w:ascii="Arial" w:hAnsi="Arial" w:cs="Arial"/>
          <w:sz w:val="20"/>
        </w:rPr>
        <w:t xml:space="preserve">biofloc without substrate (BT) </w:t>
      </w:r>
      <w:r w:rsidR="00D01403" w:rsidRPr="008D09A1">
        <w:rPr>
          <w:rFonts w:ascii="Arial" w:eastAsia="Times New Roman" w:hAnsi="Arial" w:cs="Arial"/>
          <w:sz w:val="20"/>
          <w:lang w:val="en-US" w:bidi="ar-SA"/>
        </w:rPr>
        <w:t xml:space="preserve">as first factor </w:t>
      </w:r>
      <w:r w:rsidR="00402DB2" w:rsidRPr="008D09A1">
        <w:rPr>
          <w:rFonts w:ascii="Arial" w:hAnsi="Arial" w:cs="Arial"/>
          <w:sz w:val="20"/>
        </w:rPr>
        <w:t xml:space="preserve">and biofloc with substrate (BST) </w:t>
      </w:r>
      <w:r w:rsidR="00D01403" w:rsidRPr="008D09A1">
        <w:rPr>
          <w:rFonts w:ascii="Arial" w:hAnsi="Arial" w:cs="Arial"/>
          <w:sz w:val="20"/>
        </w:rPr>
        <w:t xml:space="preserve">as </w:t>
      </w:r>
      <w:r w:rsidR="00D01403" w:rsidRPr="008D09A1">
        <w:rPr>
          <w:rFonts w:ascii="Arial" w:eastAsia="Times New Roman" w:hAnsi="Arial" w:cs="Arial"/>
          <w:sz w:val="20"/>
          <w:lang w:val="en-US" w:bidi="ar-SA"/>
        </w:rPr>
        <w:t xml:space="preserve">second factor </w:t>
      </w:r>
      <w:r w:rsidR="00D01403" w:rsidRPr="008D09A1">
        <w:rPr>
          <w:rFonts w:ascii="Arial" w:hAnsi="Arial" w:cs="Arial"/>
          <w:sz w:val="20"/>
        </w:rPr>
        <w:t xml:space="preserve">with </w:t>
      </w:r>
      <w:r w:rsidR="00D01403" w:rsidRPr="008D09A1">
        <w:rPr>
          <w:rFonts w:ascii="Arial" w:eastAsia="Times New Roman" w:hAnsi="Arial" w:cs="Arial"/>
          <w:sz w:val="20"/>
          <w:lang w:val="en-US" w:bidi="ar-SA"/>
        </w:rPr>
        <w:t>four different stocking densities (</w:t>
      </w:r>
      <w:r w:rsidR="00D01403" w:rsidRPr="008D09A1">
        <w:rPr>
          <w:rFonts w:ascii="Arial" w:eastAsia="Times New Roman" w:hAnsi="Arial" w:cs="Arial"/>
          <w:bCs/>
          <w:sz w:val="20"/>
          <w:lang w:val="en-US" w:bidi="ar-SA"/>
        </w:rPr>
        <w:t>2000, 4000, 6000, and 8000 nos. m</w:t>
      </w:r>
      <w:r w:rsidR="00D01403" w:rsidRPr="008D09A1">
        <w:rPr>
          <w:rFonts w:ascii="Arial" w:eastAsia="Times New Roman" w:hAnsi="Arial" w:cs="Arial"/>
          <w:bCs/>
          <w:sz w:val="20"/>
          <w:vertAlign w:val="superscript"/>
          <w:lang w:val="en-US" w:bidi="ar-SA"/>
        </w:rPr>
        <w:t>-3</w:t>
      </w:r>
      <w:r w:rsidR="00402DB2" w:rsidRPr="008D09A1">
        <w:rPr>
          <w:rFonts w:ascii="Arial" w:eastAsia="Times New Roman" w:hAnsi="Arial" w:cs="Arial"/>
          <w:bCs/>
          <w:sz w:val="20"/>
          <w:lang w:val="en-US" w:bidi="ar-SA"/>
        </w:rPr>
        <w:t>)</w:t>
      </w:r>
      <w:r w:rsidR="00D01403" w:rsidRPr="008D09A1">
        <w:rPr>
          <w:rFonts w:ascii="Arial" w:eastAsia="Times New Roman" w:hAnsi="Arial" w:cs="Arial"/>
          <w:sz w:val="20"/>
          <w:lang w:val="en-US" w:bidi="ar-SA"/>
        </w:rPr>
        <w:t>. The experimental design was</w:t>
      </w:r>
      <w:r w:rsidRPr="008D09A1">
        <w:rPr>
          <w:rFonts w:ascii="Arial" w:eastAsia="Times New Roman" w:hAnsi="Arial" w:cs="Arial"/>
          <w:sz w:val="20"/>
          <w:lang w:val="en-US" w:bidi="ar-SA"/>
        </w:rPr>
        <w:t xml:space="preserve"> completely randomized design </w:t>
      </w:r>
      <w:r w:rsidR="00402DB2" w:rsidRPr="008D09A1">
        <w:rPr>
          <w:rFonts w:ascii="Arial" w:hAnsi="Arial" w:cs="Arial"/>
          <w:sz w:val="20"/>
        </w:rPr>
        <w:t>consisted of eight treatments</w:t>
      </w:r>
      <w:r w:rsidR="00402DB2" w:rsidRPr="008D09A1">
        <w:rPr>
          <w:rFonts w:ascii="Arial" w:eastAsia="Times New Roman" w:hAnsi="Arial" w:cs="Arial"/>
          <w:sz w:val="20"/>
          <w:lang w:val="en-US" w:bidi="ar-SA"/>
        </w:rPr>
        <w:t xml:space="preserve"> (BT1, BT2, BT3, BT4, BST1, BST2, BST3, BST4) </w:t>
      </w:r>
      <w:r w:rsidRPr="008D09A1">
        <w:rPr>
          <w:rFonts w:ascii="Arial" w:eastAsia="Times New Roman" w:hAnsi="Arial" w:cs="Arial"/>
          <w:sz w:val="20"/>
          <w:lang w:val="en-US" w:bidi="ar-SA"/>
        </w:rPr>
        <w:t>with triplicates of each treatment total of 24 experimental units.</w:t>
      </w:r>
      <w:r w:rsidR="00D01403" w:rsidRPr="008D09A1">
        <w:rPr>
          <w:rFonts w:ascii="Arial" w:eastAsia="Times New Roman" w:hAnsi="Arial" w:cs="Arial"/>
          <w:sz w:val="20"/>
          <w:lang w:val="en-US" w:bidi="ar-SA"/>
        </w:rPr>
        <w:t xml:space="preserve"> </w:t>
      </w:r>
    </w:p>
    <w:p w14:paraId="7EFFDF5D" w14:textId="77777777" w:rsidR="00027B0B" w:rsidRPr="008D09A1" w:rsidRDefault="008D09A1" w:rsidP="008D09A1">
      <w:pPr>
        <w:spacing w:after="240" w:line="240" w:lineRule="auto"/>
        <w:jc w:val="both"/>
        <w:rPr>
          <w:rFonts w:ascii="Arial" w:hAnsi="Arial" w:cs="Arial"/>
          <w:b/>
          <w:color w:val="000000"/>
          <w:sz w:val="20"/>
        </w:rPr>
      </w:pPr>
      <w:r w:rsidRPr="008D09A1">
        <w:rPr>
          <w:rFonts w:ascii="Arial" w:hAnsi="Arial" w:cs="Arial"/>
          <w:b/>
          <w:color w:val="000000"/>
          <w:sz w:val="20"/>
        </w:rPr>
        <w:t xml:space="preserve">2.3 </w:t>
      </w:r>
      <w:r w:rsidR="00027B0B" w:rsidRPr="008D09A1">
        <w:rPr>
          <w:rFonts w:ascii="Arial" w:hAnsi="Arial" w:cs="Arial"/>
          <w:b/>
          <w:color w:val="000000"/>
          <w:sz w:val="20"/>
        </w:rPr>
        <w:t>Water quality parameters:</w:t>
      </w:r>
    </w:p>
    <w:p w14:paraId="3928F83C" w14:textId="77777777" w:rsidR="00027B0B" w:rsidRPr="008D09A1" w:rsidRDefault="00027B0B" w:rsidP="008D09A1">
      <w:pPr>
        <w:spacing w:after="240" w:line="240" w:lineRule="auto"/>
        <w:jc w:val="both"/>
        <w:rPr>
          <w:rFonts w:ascii="Arial" w:hAnsi="Arial" w:cs="Arial"/>
          <w:color w:val="000000"/>
          <w:sz w:val="20"/>
        </w:rPr>
      </w:pPr>
      <w:r w:rsidRPr="008D09A1">
        <w:rPr>
          <w:rFonts w:ascii="Arial" w:hAnsi="Arial" w:cs="Arial"/>
          <w:color w:val="000000"/>
          <w:sz w:val="20"/>
        </w:rPr>
        <w:t xml:space="preserve">Water quality parameters were monitored using standard protocols </w:t>
      </w:r>
      <w:r w:rsidR="004F5714">
        <w:rPr>
          <w:rFonts w:ascii="Arial" w:hAnsi="Arial" w:cs="Arial"/>
          <w:color w:val="000000"/>
          <w:sz w:val="20"/>
        </w:rPr>
        <w:t>[13, 14]</w:t>
      </w:r>
      <w:r w:rsidRPr="008D09A1">
        <w:rPr>
          <w:rFonts w:ascii="Arial" w:hAnsi="Arial" w:cs="Arial"/>
          <w:color w:val="000000"/>
          <w:sz w:val="20"/>
        </w:rPr>
        <w:t>. Temperature, salinity, and pH were measured daily using a mercury thermometer, refractometer, and pH meter, respectively. Dissolved oxygen (DO) was assessed via the Winkler method. Alkalinity, orthophosphate, total ammonia nitrogen (TAN), nitrite-nitrogen (NO</w:t>
      </w:r>
      <w:r w:rsidRPr="008D09A1">
        <w:rPr>
          <w:rFonts w:ascii="Cambria Math" w:hAnsi="Cambria Math" w:cs="Cambria Math"/>
          <w:color w:val="000000"/>
          <w:sz w:val="20"/>
        </w:rPr>
        <w:t>₂</w:t>
      </w:r>
      <w:r w:rsidRPr="008D09A1">
        <w:rPr>
          <w:rFonts w:ascii="Arial" w:hAnsi="Arial" w:cs="Arial"/>
          <w:color w:val="000000"/>
          <w:sz w:val="20"/>
        </w:rPr>
        <w:t>-N), nitrate-nitrogen (NO</w:t>
      </w:r>
      <w:r w:rsidRPr="008D09A1">
        <w:rPr>
          <w:rFonts w:ascii="Cambria Math" w:hAnsi="Cambria Math" w:cs="Cambria Math"/>
          <w:color w:val="000000"/>
          <w:sz w:val="20"/>
        </w:rPr>
        <w:t>₃</w:t>
      </w:r>
      <w:r w:rsidRPr="008D09A1">
        <w:rPr>
          <w:rFonts w:ascii="Arial" w:hAnsi="Arial" w:cs="Arial"/>
          <w:color w:val="000000"/>
          <w:sz w:val="20"/>
        </w:rPr>
        <w:t xml:space="preserve">-N), and total suspended solids (TSS) were measured every after three days. Chlorophyll-a concentrations, representing phytoplankton biomass, were determined once every five days using spectrophotometric methods </w:t>
      </w:r>
      <w:r w:rsidR="004F5714">
        <w:rPr>
          <w:rFonts w:ascii="Arial" w:hAnsi="Arial" w:cs="Arial"/>
          <w:color w:val="000000"/>
          <w:sz w:val="20"/>
        </w:rPr>
        <w:t>[14]</w:t>
      </w:r>
      <w:r w:rsidRPr="008D09A1">
        <w:rPr>
          <w:rFonts w:ascii="Arial" w:hAnsi="Arial" w:cs="Arial"/>
          <w:color w:val="000000"/>
          <w:sz w:val="20"/>
        </w:rPr>
        <w:t>.</w:t>
      </w:r>
    </w:p>
    <w:p w14:paraId="73C7DC9A" w14:textId="77777777" w:rsidR="00027B0B" w:rsidRPr="008D09A1" w:rsidRDefault="008D09A1" w:rsidP="008D09A1">
      <w:pPr>
        <w:tabs>
          <w:tab w:val="left" w:pos="0"/>
        </w:tabs>
        <w:spacing w:after="240" w:line="240" w:lineRule="auto"/>
        <w:jc w:val="both"/>
        <w:rPr>
          <w:rFonts w:ascii="Arial" w:hAnsi="Arial" w:cs="Arial"/>
          <w:bCs/>
          <w:color w:val="000000"/>
          <w:sz w:val="20"/>
        </w:rPr>
      </w:pPr>
      <w:r w:rsidRPr="008D09A1">
        <w:rPr>
          <w:rFonts w:ascii="Arial" w:hAnsi="Arial" w:cs="Arial"/>
          <w:b/>
          <w:sz w:val="20"/>
        </w:rPr>
        <w:t>2.4 Microbial</w:t>
      </w:r>
      <w:r w:rsidR="00027B0B" w:rsidRPr="008D09A1">
        <w:rPr>
          <w:rFonts w:ascii="Arial" w:hAnsi="Arial" w:cs="Arial"/>
          <w:b/>
          <w:sz w:val="20"/>
        </w:rPr>
        <w:t xml:space="preserve"> analysis:</w:t>
      </w:r>
    </w:p>
    <w:p w14:paraId="5566F2BC" w14:textId="77777777" w:rsidR="00027B0B" w:rsidRPr="008D09A1" w:rsidRDefault="00027B0B" w:rsidP="008D09A1">
      <w:pPr>
        <w:spacing w:after="240" w:line="240" w:lineRule="auto"/>
        <w:jc w:val="both"/>
        <w:rPr>
          <w:rFonts w:ascii="Arial" w:hAnsi="Arial" w:cs="Arial"/>
          <w:color w:val="FF0000"/>
          <w:sz w:val="20"/>
        </w:rPr>
      </w:pPr>
      <w:r w:rsidRPr="008D09A1">
        <w:rPr>
          <w:rFonts w:ascii="Arial" w:hAnsi="Arial" w:cs="Arial"/>
          <w:color w:val="000000"/>
          <w:sz w:val="20"/>
        </w:rPr>
        <w:tab/>
      </w:r>
      <w:r w:rsidRPr="008D09A1">
        <w:rPr>
          <w:rFonts w:ascii="Arial" w:hAnsi="Arial" w:cs="Arial"/>
          <w:sz w:val="20"/>
        </w:rPr>
        <w:t xml:space="preserve">In microbial analysis, the total bacterial count (TBC), </w:t>
      </w:r>
      <w:r w:rsidRPr="008D09A1">
        <w:rPr>
          <w:rFonts w:ascii="Arial" w:hAnsi="Arial" w:cs="Arial"/>
          <w:i/>
          <w:iCs/>
          <w:sz w:val="20"/>
        </w:rPr>
        <w:t>Vibrio</w:t>
      </w:r>
      <w:r w:rsidRPr="008D09A1">
        <w:rPr>
          <w:rFonts w:ascii="Arial" w:hAnsi="Arial" w:cs="Arial"/>
          <w:sz w:val="20"/>
        </w:rPr>
        <w:t xml:space="preserve">, </w:t>
      </w:r>
      <w:r w:rsidRPr="008D09A1">
        <w:rPr>
          <w:rFonts w:ascii="Arial" w:hAnsi="Arial" w:cs="Arial"/>
          <w:i/>
          <w:iCs/>
          <w:sz w:val="20"/>
        </w:rPr>
        <w:t>Bacillus</w:t>
      </w:r>
      <w:r w:rsidRPr="008D09A1">
        <w:rPr>
          <w:rFonts w:ascii="Arial" w:hAnsi="Arial" w:cs="Arial"/>
          <w:sz w:val="20"/>
        </w:rPr>
        <w:t xml:space="preserve"> and </w:t>
      </w:r>
      <w:r w:rsidRPr="008D09A1">
        <w:rPr>
          <w:rFonts w:ascii="Arial" w:hAnsi="Arial" w:cs="Arial"/>
          <w:i/>
          <w:iCs/>
          <w:sz w:val="20"/>
        </w:rPr>
        <w:t>Lactobacillus</w:t>
      </w:r>
      <w:r w:rsidRPr="008D09A1">
        <w:rPr>
          <w:rFonts w:ascii="Arial" w:hAnsi="Arial" w:cs="Arial"/>
          <w:sz w:val="20"/>
        </w:rPr>
        <w:t xml:space="preserve"> counts </w:t>
      </w:r>
      <w:r w:rsidR="00176D00" w:rsidRPr="008D09A1">
        <w:rPr>
          <w:rFonts w:ascii="Arial" w:hAnsi="Arial" w:cs="Arial"/>
          <w:sz w:val="20"/>
        </w:rPr>
        <w:t xml:space="preserve">of biofloc water </w:t>
      </w:r>
      <w:r w:rsidRPr="008D09A1">
        <w:rPr>
          <w:rFonts w:ascii="Arial" w:hAnsi="Arial" w:cs="Arial"/>
          <w:sz w:val="20"/>
        </w:rPr>
        <w:t>were recorded for every six days</w:t>
      </w:r>
      <w:r w:rsidRPr="008D09A1">
        <w:rPr>
          <w:rFonts w:ascii="Arial" w:eastAsia="Lato-Regular" w:hAnsi="Arial" w:cs="Arial"/>
          <w:sz w:val="20"/>
        </w:rPr>
        <w:t>.</w:t>
      </w:r>
      <w:r w:rsidRPr="008D09A1">
        <w:rPr>
          <w:rFonts w:ascii="Arial" w:hAnsi="Arial" w:cs="Arial"/>
          <w:sz w:val="20"/>
        </w:rPr>
        <w:t xml:space="preserve"> Counting of microbial communities was carried out as per the </w:t>
      </w:r>
      <w:r w:rsidR="004F5714">
        <w:rPr>
          <w:rFonts w:ascii="Arial" w:hAnsi="Arial" w:cs="Arial"/>
          <w:sz w:val="20"/>
        </w:rPr>
        <w:t xml:space="preserve">standard </w:t>
      </w:r>
      <w:r w:rsidRPr="008D09A1">
        <w:rPr>
          <w:rFonts w:ascii="Arial" w:hAnsi="Arial" w:cs="Arial"/>
          <w:sz w:val="20"/>
        </w:rPr>
        <w:t>methods</w:t>
      </w:r>
      <w:r w:rsidR="004F5714">
        <w:rPr>
          <w:rFonts w:ascii="Arial" w:hAnsi="Arial" w:cs="Arial"/>
          <w:sz w:val="20"/>
        </w:rPr>
        <w:t xml:space="preserve"> [14]</w:t>
      </w:r>
      <w:r w:rsidRPr="008D09A1">
        <w:rPr>
          <w:rFonts w:ascii="Arial" w:hAnsi="Arial" w:cs="Arial"/>
          <w:sz w:val="20"/>
        </w:rPr>
        <w:t>. Four different agar media as NA (Nutrient Agar), TCBS (Thiosulphate-Citrate-Bile salts), Tryptic Soy Agar and MRS (Man-Rogosa-Sharpe) were used for the growth of bacteria.</w:t>
      </w:r>
      <w:r w:rsidRPr="008D09A1">
        <w:rPr>
          <w:rFonts w:ascii="Arial" w:hAnsi="Arial" w:cs="Arial"/>
          <w:color w:val="FF0000"/>
          <w:sz w:val="20"/>
        </w:rPr>
        <w:t xml:space="preserve"> </w:t>
      </w:r>
    </w:p>
    <w:p w14:paraId="697AFAA0" w14:textId="77777777" w:rsidR="00027B0B" w:rsidRPr="008D09A1" w:rsidRDefault="00027B0B" w:rsidP="008D09A1">
      <w:pPr>
        <w:autoSpaceDE w:val="0"/>
        <w:autoSpaceDN w:val="0"/>
        <w:adjustRightInd w:val="0"/>
        <w:spacing w:after="240" w:line="240" w:lineRule="auto"/>
        <w:jc w:val="both"/>
        <w:rPr>
          <w:rFonts w:ascii="Arial" w:hAnsi="Arial" w:cs="Arial"/>
          <w:sz w:val="20"/>
        </w:rPr>
      </w:pPr>
      <w:r w:rsidRPr="008D09A1">
        <w:rPr>
          <w:rFonts w:ascii="Arial" w:hAnsi="Arial" w:cs="Arial"/>
          <w:color w:val="FF0000"/>
          <w:sz w:val="20"/>
        </w:rPr>
        <w:lastRenderedPageBreak/>
        <w:tab/>
      </w:r>
      <w:r w:rsidRPr="008D09A1">
        <w:rPr>
          <w:rFonts w:ascii="Arial" w:hAnsi="Arial" w:cs="Arial"/>
          <w:sz w:val="20"/>
        </w:rPr>
        <w:t>For total bacterial count (TBC) the dilution volume of 0.1 ml was spread over the surface of duplicate plates of nutrient agar. The plates were incubated at 37°C for 24–48 h. Plates with 30– 300 colony forming units (CFU) were counted and expressed as CFU ml</w:t>
      </w:r>
      <w:r w:rsidRPr="008D09A1">
        <w:rPr>
          <w:rFonts w:ascii="Arial" w:hAnsi="Arial" w:cs="Arial"/>
          <w:sz w:val="20"/>
          <w:vertAlign w:val="superscript"/>
        </w:rPr>
        <w:t>-1</w:t>
      </w:r>
      <w:r w:rsidRPr="008D09A1">
        <w:rPr>
          <w:rFonts w:ascii="Arial" w:hAnsi="Arial" w:cs="Arial"/>
          <w:sz w:val="20"/>
        </w:rPr>
        <w:t xml:space="preserve">. The colonies of </w:t>
      </w:r>
      <w:r w:rsidRPr="008D09A1">
        <w:rPr>
          <w:rFonts w:ascii="Arial" w:hAnsi="Arial" w:cs="Arial"/>
          <w:i/>
          <w:iCs/>
          <w:sz w:val="20"/>
          <w:lang w:eastAsia="mr-IN"/>
        </w:rPr>
        <w:t>Vibrio</w:t>
      </w:r>
      <w:r w:rsidRPr="008D09A1">
        <w:rPr>
          <w:rFonts w:ascii="Arial" w:hAnsi="Arial" w:cs="Arial"/>
          <w:sz w:val="20"/>
          <w:lang w:eastAsia="mr-IN"/>
        </w:rPr>
        <w:t xml:space="preserve"> were observed by spreading 0.1 ml diluted sample over the TCBS </w:t>
      </w:r>
      <w:r w:rsidRPr="008D09A1">
        <w:rPr>
          <w:rFonts w:ascii="Arial" w:hAnsi="Arial" w:cs="Arial"/>
          <w:sz w:val="20"/>
        </w:rPr>
        <w:t xml:space="preserve">(Thiosulphate-Citrate-Bile salts) </w:t>
      </w:r>
      <w:r w:rsidRPr="008D09A1">
        <w:rPr>
          <w:rFonts w:ascii="Arial" w:hAnsi="Arial" w:cs="Arial"/>
          <w:sz w:val="20"/>
          <w:lang w:eastAsia="mr-IN"/>
        </w:rPr>
        <w:t xml:space="preserve">agar media petridish and incubated for 18 to 24 h at 35 </w:t>
      </w:r>
      <w:r w:rsidRPr="008D09A1">
        <w:rPr>
          <w:rFonts w:ascii="Arial" w:hAnsi="Arial" w:cs="Arial"/>
          <w:sz w:val="20"/>
        </w:rPr>
        <w:t xml:space="preserve">°C. The </w:t>
      </w:r>
      <w:r w:rsidRPr="008D09A1">
        <w:rPr>
          <w:rFonts w:ascii="Arial" w:hAnsi="Arial" w:cs="Arial"/>
          <w:i/>
          <w:iCs/>
          <w:sz w:val="20"/>
        </w:rPr>
        <w:t xml:space="preserve">Bacillus spp. </w:t>
      </w:r>
      <w:r w:rsidRPr="008D09A1">
        <w:rPr>
          <w:rFonts w:ascii="Arial" w:hAnsi="Arial" w:cs="Arial"/>
          <w:sz w:val="20"/>
        </w:rPr>
        <w:t>colonies were</w:t>
      </w:r>
      <w:r w:rsidRPr="008D09A1">
        <w:rPr>
          <w:rFonts w:ascii="Arial" w:hAnsi="Arial" w:cs="Arial"/>
          <w:i/>
          <w:iCs/>
          <w:sz w:val="20"/>
        </w:rPr>
        <w:t xml:space="preserve"> </w:t>
      </w:r>
      <w:r w:rsidRPr="008D09A1">
        <w:rPr>
          <w:rFonts w:ascii="Arial" w:hAnsi="Arial" w:cs="Arial"/>
          <w:sz w:val="20"/>
        </w:rPr>
        <w:t xml:space="preserve">obtained on </w:t>
      </w:r>
      <w:r w:rsidRPr="008D09A1">
        <w:rPr>
          <w:rFonts w:ascii="Arial" w:hAnsi="Arial" w:cs="Arial"/>
          <w:color w:val="000000"/>
          <w:sz w:val="20"/>
          <w:lang w:eastAsia="en-IN"/>
        </w:rPr>
        <w:t xml:space="preserve">Tryptic Soy Agar plates after 24 </w:t>
      </w:r>
      <w:r w:rsidRPr="008D09A1">
        <w:rPr>
          <w:rFonts w:ascii="Arial" w:hAnsi="Arial" w:cs="Arial"/>
          <w:sz w:val="20"/>
          <w:lang w:eastAsia="mr-IN"/>
        </w:rPr>
        <w:t xml:space="preserve">h of incubation at 35 </w:t>
      </w:r>
      <w:r w:rsidRPr="008D09A1">
        <w:rPr>
          <w:rFonts w:ascii="Arial" w:hAnsi="Arial" w:cs="Arial"/>
          <w:sz w:val="20"/>
        </w:rPr>
        <w:t xml:space="preserve">°C. The MRS (Man-Rogosa-Sharpe) agar plates for </w:t>
      </w:r>
      <w:r w:rsidRPr="008D09A1">
        <w:rPr>
          <w:rFonts w:ascii="Arial" w:hAnsi="Arial" w:cs="Arial"/>
          <w:i/>
          <w:iCs/>
          <w:sz w:val="20"/>
        </w:rPr>
        <w:t>Lactobacillus</w:t>
      </w:r>
      <w:r w:rsidRPr="008D09A1">
        <w:rPr>
          <w:rFonts w:ascii="Arial" w:hAnsi="Arial" w:cs="Arial"/>
          <w:sz w:val="20"/>
        </w:rPr>
        <w:t xml:space="preserve"> were incubated at 35°C for 72 h.</w:t>
      </w:r>
    </w:p>
    <w:p w14:paraId="2DEDAE48" w14:textId="77777777" w:rsidR="00027B0B" w:rsidRPr="008D09A1" w:rsidRDefault="008D09A1" w:rsidP="008D09A1">
      <w:pPr>
        <w:spacing w:after="240" w:line="240" w:lineRule="auto"/>
        <w:jc w:val="both"/>
        <w:rPr>
          <w:rFonts w:ascii="Arial" w:hAnsi="Arial" w:cs="Arial"/>
          <w:sz w:val="20"/>
        </w:rPr>
      </w:pPr>
      <w:r w:rsidRPr="008D09A1">
        <w:rPr>
          <w:rFonts w:ascii="Arial" w:hAnsi="Arial" w:cs="Arial"/>
          <w:b/>
          <w:bCs/>
          <w:sz w:val="20"/>
        </w:rPr>
        <w:t xml:space="preserve">2.5 </w:t>
      </w:r>
      <w:r w:rsidR="00027B0B" w:rsidRPr="008D09A1">
        <w:rPr>
          <w:rFonts w:ascii="Arial" w:hAnsi="Arial" w:cs="Arial"/>
          <w:b/>
          <w:bCs/>
          <w:sz w:val="20"/>
        </w:rPr>
        <w:t>Statistical analysis:</w:t>
      </w:r>
    </w:p>
    <w:p w14:paraId="1243D80D" w14:textId="77777777" w:rsidR="0069643F" w:rsidRPr="008D09A1" w:rsidRDefault="00027B0B" w:rsidP="008D09A1">
      <w:pPr>
        <w:autoSpaceDE w:val="0"/>
        <w:autoSpaceDN w:val="0"/>
        <w:adjustRightInd w:val="0"/>
        <w:spacing w:after="240" w:line="240" w:lineRule="auto"/>
        <w:ind w:firstLine="709"/>
        <w:jc w:val="both"/>
        <w:rPr>
          <w:rFonts w:ascii="Arial" w:hAnsi="Arial" w:cs="Arial"/>
          <w:sz w:val="20"/>
        </w:rPr>
      </w:pPr>
      <w:r w:rsidRPr="008D09A1">
        <w:rPr>
          <w:rFonts w:ascii="Arial" w:hAnsi="Arial" w:cs="Arial"/>
          <w:sz w:val="20"/>
          <w:lang w:eastAsia="en-IN"/>
        </w:rPr>
        <w:t xml:space="preserve">The data obtained at the end of experiment such as </w:t>
      </w:r>
      <w:r w:rsidRPr="008D09A1">
        <w:rPr>
          <w:rFonts w:ascii="Arial" w:hAnsi="Arial" w:cs="Arial"/>
          <w:sz w:val="20"/>
        </w:rPr>
        <w:t>were analyzed by One-way Analysis of Variance (ANOVA). The mean differences were considered significant at P&lt;0.05. If there was significant difference was found in treatment means, then means were compared by Tukey’s test. The statistical analysis was performed by using SPSS 1</w:t>
      </w:r>
      <w:r w:rsidR="0069643F" w:rsidRPr="008D09A1">
        <w:rPr>
          <w:rFonts w:ascii="Arial" w:hAnsi="Arial" w:cs="Arial"/>
          <w:sz w:val="20"/>
        </w:rPr>
        <w:t>6.0</w:t>
      </w:r>
    </w:p>
    <w:p w14:paraId="4FC420AC" w14:textId="77777777" w:rsidR="0069643F" w:rsidRPr="008D09A1" w:rsidRDefault="00027B0B" w:rsidP="008D09A1">
      <w:pPr>
        <w:autoSpaceDE w:val="0"/>
        <w:autoSpaceDN w:val="0"/>
        <w:adjustRightInd w:val="0"/>
        <w:spacing w:after="240" w:line="240" w:lineRule="auto"/>
        <w:jc w:val="both"/>
        <w:rPr>
          <w:rFonts w:ascii="Arial" w:hAnsi="Arial" w:cs="Arial"/>
          <w:b/>
          <w:bCs/>
          <w:szCs w:val="22"/>
        </w:rPr>
      </w:pPr>
      <w:r w:rsidRPr="008D09A1">
        <w:rPr>
          <w:rFonts w:ascii="Arial" w:hAnsi="Arial" w:cs="Arial"/>
          <w:b/>
          <w:bCs/>
          <w:szCs w:val="22"/>
        </w:rPr>
        <w:t xml:space="preserve">3. </w:t>
      </w:r>
      <w:r w:rsidR="008D09A1" w:rsidRPr="008D09A1">
        <w:rPr>
          <w:rFonts w:ascii="Arial" w:hAnsi="Arial" w:cs="Arial"/>
          <w:b/>
          <w:bCs/>
          <w:szCs w:val="22"/>
        </w:rPr>
        <w:t>RESULTS AND DISCUSSION</w:t>
      </w:r>
    </w:p>
    <w:p w14:paraId="322637EF" w14:textId="77777777" w:rsidR="0069643F" w:rsidRPr="008D09A1" w:rsidRDefault="00027B0B" w:rsidP="008D09A1">
      <w:pPr>
        <w:autoSpaceDE w:val="0"/>
        <w:autoSpaceDN w:val="0"/>
        <w:adjustRightInd w:val="0"/>
        <w:spacing w:after="240" w:line="240" w:lineRule="auto"/>
        <w:jc w:val="both"/>
        <w:rPr>
          <w:rFonts w:ascii="Arial" w:hAnsi="Arial" w:cs="Arial"/>
          <w:b/>
          <w:bCs/>
          <w:sz w:val="20"/>
        </w:rPr>
      </w:pPr>
      <w:r w:rsidRPr="008D09A1">
        <w:rPr>
          <w:rFonts w:ascii="Arial" w:hAnsi="Arial" w:cs="Arial"/>
          <w:b/>
          <w:bCs/>
          <w:sz w:val="20"/>
        </w:rPr>
        <w:t>3.1 Water quality analysis:</w:t>
      </w:r>
    </w:p>
    <w:p w14:paraId="7F3C904E" w14:textId="77777777" w:rsidR="0093325C" w:rsidRDefault="00027035" w:rsidP="008D09A1">
      <w:pPr>
        <w:autoSpaceDE w:val="0"/>
        <w:autoSpaceDN w:val="0"/>
        <w:adjustRightInd w:val="0"/>
        <w:spacing w:after="240" w:line="240" w:lineRule="auto"/>
        <w:ind w:firstLine="720"/>
        <w:jc w:val="both"/>
        <w:rPr>
          <w:rFonts w:ascii="Times New Roman" w:hAnsi="Times New Roman" w:cs="Times New Roman"/>
          <w:sz w:val="24"/>
          <w:szCs w:val="24"/>
        </w:rPr>
      </w:pPr>
      <w:r w:rsidRPr="008D09A1">
        <w:rPr>
          <w:rFonts w:ascii="Arial" w:hAnsi="Arial" w:cs="Arial"/>
          <w:color w:val="000000"/>
          <w:sz w:val="20"/>
        </w:rPr>
        <w:t xml:space="preserve">All measured water quality parameters generally remained within recommended ranges for </w:t>
      </w:r>
      <w:r w:rsidRPr="008D09A1">
        <w:rPr>
          <w:rFonts w:ascii="Arial" w:hAnsi="Arial" w:cs="Arial"/>
          <w:i/>
          <w:iCs/>
          <w:color w:val="000000"/>
          <w:sz w:val="20"/>
        </w:rPr>
        <w:t>P. vannamei</w:t>
      </w:r>
      <w:r w:rsidRPr="008D09A1">
        <w:rPr>
          <w:rFonts w:ascii="Arial" w:hAnsi="Arial" w:cs="Arial"/>
          <w:color w:val="000000"/>
          <w:sz w:val="20"/>
        </w:rPr>
        <w:t xml:space="preserve"> </w:t>
      </w:r>
      <w:r w:rsidR="004F5714">
        <w:rPr>
          <w:rFonts w:ascii="Arial" w:hAnsi="Arial" w:cs="Arial"/>
          <w:color w:val="000000"/>
          <w:sz w:val="20"/>
        </w:rPr>
        <w:t>[15,16]</w:t>
      </w:r>
      <w:r w:rsidRPr="008D09A1">
        <w:rPr>
          <w:rFonts w:ascii="Arial" w:hAnsi="Arial" w:cs="Arial"/>
          <w:color w:val="000000"/>
          <w:sz w:val="20"/>
        </w:rPr>
        <w:t>. Temperature and salinity showed minimal variation among treatments, indicating stable rearing conditions. However, significant differences (p&lt;0.05) emerged for pH, alkalinity, dissolved oxygen (DO), total ammonia nitrogen (TAN), nitrite-nitrogen (NO</w:t>
      </w:r>
      <w:r w:rsidRPr="008D09A1">
        <w:rPr>
          <w:rFonts w:ascii="Cambria Math" w:hAnsi="Cambria Math" w:cs="Cambria Math"/>
          <w:color w:val="000000"/>
          <w:sz w:val="20"/>
        </w:rPr>
        <w:t>₂</w:t>
      </w:r>
      <w:r w:rsidRPr="008D09A1">
        <w:rPr>
          <w:rFonts w:ascii="Arial" w:hAnsi="Arial" w:cs="Arial"/>
          <w:color w:val="000000"/>
          <w:sz w:val="20"/>
        </w:rPr>
        <w:t>-N), nitrate-nitrogen (NO</w:t>
      </w:r>
      <w:r w:rsidRPr="008D09A1">
        <w:rPr>
          <w:rFonts w:ascii="Cambria Math" w:hAnsi="Cambria Math" w:cs="Cambria Math"/>
          <w:color w:val="000000"/>
          <w:sz w:val="20"/>
        </w:rPr>
        <w:t>₃</w:t>
      </w:r>
      <w:r w:rsidRPr="008D09A1">
        <w:rPr>
          <w:rFonts w:ascii="Arial" w:hAnsi="Arial" w:cs="Arial"/>
          <w:color w:val="000000"/>
          <w:sz w:val="20"/>
        </w:rPr>
        <w:t>-N), chlorophyll-a, and biofloc volume</w:t>
      </w:r>
      <w:r w:rsidR="0069643F" w:rsidRPr="008D09A1">
        <w:rPr>
          <w:rFonts w:ascii="Arial" w:hAnsi="Arial" w:cs="Arial"/>
          <w:b/>
          <w:caps/>
          <w:color w:val="000000"/>
          <w:sz w:val="20"/>
        </w:rPr>
        <w:t xml:space="preserve"> </w:t>
      </w:r>
      <w:r w:rsidR="0069643F" w:rsidRPr="008D09A1">
        <w:rPr>
          <w:rFonts w:ascii="Arial" w:hAnsi="Arial" w:cs="Arial"/>
          <w:color w:val="000000"/>
          <w:sz w:val="20"/>
        </w:rPr>
        <w:t>(Table 1)</w:t>
      </w:r>
      <w:r w:rsidRPr="008D09A1">
        <w:rPr>
          <w:rFonts w:ascii="Arial" w:hAnsi="Arial" w:cs="Arial"/>
          <w:color w:val="000000"/>
          <w:sz w:val="20"/>
        </w:rPr>
        <w:t>.</w:t>
      </w:r>
    </w:p>
    <w:p w14:paraId="51790149"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2A333E97"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0AF4DE02"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6EF59A36"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5F29FF41"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69324158"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4801B9EA"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054623E6"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6EDBD285"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0228195A"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sectPr w:rsidR="0093325C" w:rsidSect="002B4DA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57614DDD" w14:textId="77777777" w:rsidR="000D1CBA" w:rsidRDefault="000D1CBA" w:rsidP="00027B0B">
      <w:pPr>
        <w:autoSpaceDE w:val="0"/>
        <w:autoSpaceDN w:val="0"/>
        <w:adjustRightInd w:val="0"/>
        <w:spacing w:after="0" w:line="360" w:lineRule="auto"/>
        <w:jc w:val="both"/>
        <w:rPr>
          <w:rFonts w:ascii="Times New Roman" w:hAnsi="Times New Roman" w:cs="Times New Roman"/>
          <w:b/>
          <w:bCs/>
          <w:sz w:val="24"/>
          <w:szCs w:val="24"/>
        </w:rPr>
      </w:pPr>
    </w:p>
    <w:p w14:paraId="4AF4EBA8" w14:textId="77777777" w:rsidR="0093325C" w:rsidRPr="00B6208A" w:rsidRDefault="0093325C" w:rsidP="00027B0B">
      <w:pPr>
        <w:autoSpaceDE w:val="0"/>
        <w:autoSpaceDN w:val="0"/>
        <w:adjustRightInd w:val="0"/>
        <w:spacing w:after="0" w:line="360" w:lineRule="auto"/>
        <w:jc w:val="both"/>
        <w:rPr>
          <w:rFonts w:ascii="Arial" w:hAnsi="Arial" w:cs="Arial"/>
          <w:sz w:val="20"/>
        </w:rPr>
      </w:pPr>
      <w:r w:rsidRPr="00B6208A">
        <w:rPr>
          <w:rFonts w:ascii="Arial" w:hAnsi="Arial" w:cs="Arial"/>
          <w:b/>
          <w:bCs/>
          <w:sz w:val="20"/>
        </w:rPr>
        <w:t xml:space="preserve">Table 1: </w:t>
      </w:r>
      <w:r w:rsidRPr="00B6208A">
        <w:rPr>
          <w:rFonts w:ascii="Arial" w:hAnsi="Arial" w:cs="Arial"/>
          <w:sz w:val="20"/>
        </w:rPr>
        <w:t>Water quality parameters in outdoor biofloc-based nursery rearing system of P. vannamei for 30 days with different stocking densities with and without substrate</w:t>
      </w:r>
    </w:p>
    <w:tbl>
      <w:tblPr>
        <w:tblStyle w:val="TableGrid"/>
        <w:tblpPr w:leftFromText="180" w:rightFromText="180" w:vertAnchor="page" w:horzAnchor="margin" w:tblpY="1651"/>
        <w:tblW w:w="14029" w:type="dxa"/>
        <w:shd w:val="clear" w:color="auto" w:fill="FFFFFF"/>
        <w:tblLayout w:type="fixed"/>
        <w:tblLook w:val="04A0" w:firstRow="1" w:lastRow="0" w:firstColumn="1" w:lastColumn="0" w:noHBand="0" w:noVBand="1"/>
      </w:tblPr>
      <w:tblGrid>
        <w:gridCol w:w="1838"/>
        <w:gridCol w:w="1559"/>
        <w:gridCol w:w="1560"/>
        <w:gridCol w:w="1417"/>
        <w:gridCol w:w="1559"/>
        <w:gridCol w:w="1560"/>
        <w:gridCol w:w="1417"/>
        <w:gridCol w:w="1559"/>
        <w:gridCol w:w="1560"/>
      </w:tblGrid>
      <w:tr w:rsidR="00B6208A" w:rsidRPr="00B6208A" w14:paraId="7EF461C0" w14:textId="77777777" w:rsidTr="00B6208A">
        <w:trPr>
          <w:trHeight w:val="332"/>
        </w:trPr>
        <w:tc>
          <w:tcPr>
            <w:tcW w:w="1838" w:type="dxa"/>
            <w:shd w:val="clear" w:color="auto" w:fill="FFFFFF"/>
            <w:vAlign w:val="center"/>
          </w:tcPr>
          <w:p w14:paraId="31016ABE" w14:textId="77777777" w:rsidR="00B6208A" w:rsidRPr="00B6208A" w:rsidRDefault="00B6208A" w:rsidP="00B6208A">
            <w:pPr>
              <w:spacing w:after="0" w:line="240" w:lineRule="auto"/>
              <w:rPr>
                <w:rFonts w:ascii="Arial" w:hAnsi="Arial" w:cs="Arial"/>
                <w:b/>
                <w:bCs/>
                <w:sz w:val="20"/>
              </w:rPr>
            </w:pPr>
            <w:r w:rsidRPr="00B6208A">
              <w:rPr>
                <w:rFonts w:ascii="Arial" w:hAnsi="Arial" w:cs="Arial"/>
                <w:b/>
                <w:bCs/>
                <w:sz w:val="20"/>
              </w:rPr>
              <w:t>Parameters</w:t>
            </w:r>
          </w:p>
        </w:tc>
        <w:tc>
          <w:tcPr>
            <w:tcW w:w="1559" w:type="dxa"/>
            <w:shd w:val="clear" w:color="auto" w:fill="FFFFFF"/>
            <w:vAlign w:val="center"/>
          </w:tcPr>
          <w:p w14:paraId="1E68C548"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BT1</w:t>
            </w:r>
          </w:p>
        </w:tc>
        <w:tc>
          <w:tcPr>
            <w:tcW w:w="1560" w:type="dxa"/>
            <w:shd w:val="clear" w:color="auto" w:fill="FFFFFF"/>
            <w:vAlign w:val="center"/>
          </w:tcPr>
          <w:p w14:paraId="34650EDC"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BT2</w:t>
            </w:r>
          </w:p>
        </w:tc>
        <w:tc>
          <w:tcPr>
            <w:tcW w:w="1417" w:type="dxa"/>
            <w:shd w:val="clear" w:color="auto" w:fill="FFFFFF"/>
            <w:vAlign w:val="center"/>
          </w:tcPr>
          <w:p w14:paraId="23F7CE23"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BT3</w:t>
            </w:r>
          </w:p>
        </w:tc>
        <w:tc>
          <w:tcPr>
            <w:tcW w:w="1559" w:type="dxa"/>
            <w:shd w:val="clear" w:color="auto" w:fill="FFFFFF"/>
            <w:vAlign w:val="center"/>
          </w:tcPr>
          <w:p w14:paraId="74ABE1BD"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BT4</w:t>
            </w:r>
          </w:p>
        </w:tc>
        <w:tc>
          <w:tcPr>
            <w:tcW w:w="1560" w:type="dxa"/>
            <w:shd w:val="clear" w:color="auto" w:fill="FFFFFF"/>
            <w:vAlign w:val="center"/>
          </w:tcPr>
          <w:p w14:paraId="01000560"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BST1</w:t>
            </w:r>
          </w:p>
        </w:tc>
        <w:tc>
          <w:tcPr>
            <w:tcW w:w="1417" w:type="dxa"/>
            <w:shd w:val="clear" w:color="auto" w:fill="FFFFFF"/>
            <w:vAlign w:val="center"/>
          </w:tcPr>
          <w:p w14:paraId="78DAF522"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BST2</w:t>
            </w:r>
          </w:p>
        </w:tc>
        <w:tc>
          <w:tcPr>
            <w:tcW w:w="1559" w:type="dxa"/>
            <w:shd w:val="clear" w:color="auto" w:fill="FFFFFF"/>
            <w:vAlign w:val="center"/>
          </w:tcPr>
          <w:p w14:paraId="02FB2194"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BST3</w:t>
            </w:r>
          </w:p>
        </w:tc>
        <w:tc>
          <w:tcPr>
            <w:tcW w:w="1560" w:type="dxa"/>
            <w:shd w:val="clear" w:color="auto" w:fill="FFFFFF"/>
            <w:vAlign w:val="center"/>
          </w:tcPr>
          <w:p w14:paraId="7743CBF5"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BST4</w:t>
            </w:r>
          </w:p>
        </w:tc>
      </w:tr>
      <w:tr w:rsidR="00B6208A" w:rsidRPr="00B6208A" w14:paraId="4C3130C7" w14:textId="77777777" w:rsidTr="00B6208A">
        <w:trPr>
          <w:trHeight w:val="332"/>
        </w:trPr>
        <w:tc>
          <w:tcPr>
            <w:tcW w:w="1838" w:type="dxa"/>
            <w:shd w:val="clear" w:color="auto" w:fill="FFFFFF"/>
            <w:vAlign w:val="center"/>
          </w:tcPr>
          <w:p w14:paraId="0056FB50"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Temperature (</w:t>
            </w:r>
            <w:r w:rsidRPr="00B6208A">
              <w:rPr>
                <w:rFonts w:ascii="Arial" w:hAnsi="Arial" w:cs="Arial"/>
                <w:sz w:val="20"/>
                <w:vertAlign w:val="superscript"/>
              </w:rPr>
              <w:t>0</w:t>
            </w:r>
            <w:r w:rsidRPr="00B6208A">
              <w:rPr>
                <w:rFonts w:ascii="Arial" w:hAnsi="Arial" w:cs="Arial"/>
                <w:sz w:val="20"/>
              </w:rPr>
              <w:t xml:space="preserve"> C)</w:t>
            </w:r>
          </w:p>
        </w:tc>
        <w:tc>
          <w:tcPr>
            <w:tcW w:w="1559" w:type="dxa"/>
            <w:shd w:val="clear" w:color="auto" w:fill="FFFFFF"/>
            <w:vAlign w:val="center"/>
          </w:tcPr>
          <w:p w14:paraId="23F3E995"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24.06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560" w:type="dxa"/>
            <w:shd w:val="clear" w:color="auto" w:fill="FFFFFF"/>
            <w:vAlign w:val="center"/>
          </w:tcPr>
          <w:p w14:paraId="5F54B17A"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24.06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417" w:type="dxa"/>
            <w:shd w:val="clear" w:color="auto" w:fill="FFFFFF"/>
            <w:vAlign w:val="center"/>
          </w:tcPr>
          <w:p w14:paraId="4F296DF6"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24.03 </w:t>
            </w:r>
            <w:r w:rsidRPr="00B6208A">
              <w:rPr>
                <w:rFonts w:ascii="Arial" w:hAnsi="Arial" w:cs="Arial"/>
                <w:sz w:val="20"/>
                <w:u w:val="single"/>
              </w:rPr>
              <w:t>+</w:t>
            </w:r>
            <w:r w:rsidRPr="00B6208A">
              <w:rPr>
                <w:rFonts w:ascii="Arial" w:hAnsi="Arial" w:cs="Arial"/>
                <w:sz w:val="20"/>
              </w:rPr>
              <w:t xml:space="preserve"> 0.06</w:t>
            </w:r>
            <w:r w:rsidRPr="00B6208A">
              <w:rPr>
                <w:rFonts w:ascii="Arial" w:hAnsi="Arial" w:cs="Arial"/>
                <w:sz w:val="20"/>
                <w:vertAlign w:val="superscript"/>
              </w:rPr>
              <w:t>a</w:t>
            </w:r>
          </w:p>
        </w:tc>
        <w:tc>
          <w:tcPr>
            <w:tcW w:w="1559" w:type="dxa"/>
            <w:shd w:val="clear" w:color="auto" w:fill="FFFFFF"/>
            <w:vAlign w:val="center"/>
          </w:tcPr>
          <w:p w14:paraId="036C4BA4"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24.06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560" w:type="dxa"/>
            <w:shd w:val="clear" w:color="auto" w:fill="FFFFFF"/>
            <w:vAlign w:val="center"/>
          </w:tcPr>
          <w:p w14:paraId="6C9E7AD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24.06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417" w:type="dxa"/>
            <w:shd w:val="clear" w:color="auto" w:fill="FFFFFF"/>
            <w:vAlign w:val="center"/>
          </w:tcPr>
          <w:p w14:paraId="16DA6C29" w14:textId="77777777" w:rsidR="00B6208A" w:rsidRPr="00B6208A" w:rsidRDefault="00B6208A" w:rsidP="00B6208A">
            <w:pPr>
              <w:tabs>
                <w:tab w:val="left" w:pos="826"/>
              </w:tabs>
              <w:spacing w:after="0" w:line="240" w:lineRule="auto"/>
              <w:jc w:val="center"/>
              <w:rPr>
                <w:rFonts w:ascii="Arial" w:hAnsi="Arial" w:cs="Arial"/>
                <w:sz w:val="20"/>
              </w:rPr>
            </w:pPr>
            <w:r w:rsidRPr="00B6208A">
              <w:rPr>
                <w:rFonts w:ascii="Arial" w:hAnsi="Arial" w:cs="Arial"/>
                <w:sz w:val="20"/>
              </w:rPr>
              <w:t xml:space="preserve">24.10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a</w:t>
            </w:r>
          </w:p>
        </w:tc>
        <w:tc>
          <w:tcPr>
            <w:tcW w:w="1559" w:type="dxa"/>
            <w:shd w:val="clear" w:color="auto" w:fill="FFFFFF"/>
            <w:vAlign w:val="center"/>
          </w:tcPr>
          <w:p w14:paraId="54741844" w14:textId="77777777" w:rsidR="00B6208A" w:rsidRPr="00B6208A" w:rsidRDefault="00B6208A" w:rsidP="00B6208A">
            <w:pPr>
              <w:tabs>
                <w:tab w:val="left" w:pos="826"/>
              </w:tabs>
              <w:spacing w:after="0" w:line="240" w:lineRule="auto"/>
              <w:jc w:val="center"/>
              <w:rPr>
                <w:rFonts w:ascii="Arial" w:hAnsi="Arial" w:cs="Arial"/>
                <w:sz w:val="20"/>
              </w:rPr>
            </w:pPr>
            <w:r w:rsidRPr="00B6208A">
              <w:rPr>
                <w:rFonts w:ascii="Arial" w:hAnsi="Arial" w:cs="Arial"/>
                <w:sz w:val="20"/>
              </w:rPr>
              <w:t xml:space="preserve">24.13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560" w:type="dxa"/>
            <w:shd w:val="clear" w:color="auto" w:fill="FFFFFF"/>
            <w:vAlign w:val="center"/>
          </w:tcPr>
          <w:p w14:paraId="04D3CB76" w14:textId="77777777" w:rsidR="00B6208A" w:rsidRPr="00B6208A" w:rsidRDefault="00B6208A" w:rsidP="00B6208A">
            <w:pPr>
              <w:tabs>
                <w:tab w:val="left" w:pos="826"/>
              </w:tabs>
              <w:spacing w:after="0" w:line="240" w:lineRule="auto"/>
              <w:jc w:val="center"/>
              <w:rPr>
                <w:rFonts w:ascii="Arial" w:hAnsi="Arial" w:cs="Arial"/>
                <w:sz w:val="20"/>
              </w:rPr>
            </w:pPr>
            <w:r w:rsidRPr="00B6208A">
              <w:rPr>
                <w:rFonts w:ascii="Arial" w:hAnsi="Arial" w:cs="Arial"/>
                <w:sz w:val="20"/>
              </w:rPr>
              <w:t xml:space="preserve">24.20 </w:t>
            </w:r>
            <w:r w:rsidRPr="00B6208A">
              <w:rPr>
                <w:rFonts w:ascii="Arial" w:hAnsi="Arial" w:cs="Arial"/>
                <w:sz w:val="20"/>
                <w:u w:val="single"/>
              </w:rPr>
              <w:t>+</w:t>
            </w:r>
            <w:r w:rsidRPr="00B6208A">
              <w:rPr>
                <w:rFonts w:ascii="Arial" w:hAnsi="Arial" w:cs="Arial"/>
                <w:sz w:val="20"/>
              </w:rPr>
              <w:t xml:space="preserve"> 0.05</w:t>
            </w:r>
            <w:r w:rsidRPr="00B6208A">
              <w:rPr>
                <w:rFonts w:ascii="Arial" w:hAnsi="Arial" w:cs="Arial"/>
                <w:sz w:val="20"/>
                <w:vertAlign w:val="superscript"/>
              </w:rPr>
              <w:t>a</w:t>
            </w:r>
          </w:p>
        </w:tc>
      </w:tr>
      <w:tr w:rsidR="00B6208A" w:rsidRPr="00B6208A" w14:paraId="4768621A" w14:textId="77777777" w:rsidTr="00B6208A">
        <w:trPr>
          <w:trHeight w:val="332"/>
        </w:trPr>
        <w:tc>
          <w:tcPr>
            <w:tcW w:w="1838" w:type="dxa"/>
            <w:shd w:val="clear" w:color="auto" w:fill="FFFFFF"/>
            <w:vAlign w:val="center"/>
          </w:tcPr>
          <w:p w14:paraId="16292401"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Salinity (psu)</w:t>
            </w:r>
          </w:p>
        </w:tc>
        <w:tc>
          <w:tcPr>
            <w:tcW w:w="1559" w:type="dxa"/>
            <w:shd w:val="clear" w:color="auto" w:fill="FFFFFF"/>
            <w:vAlign w:val="center"/>
          </w:tcPr>
          <w:p w14:paraId="4356E872"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29.64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560" w:type="dxa"/>
            <w:shd w:val="clear" w:color="auto" w:fill="FFFFFF"/>
            <w:vAlign w:val="center"/>
          </w:tcPr>
          <w:p w14:paraId="78202C16"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29.45 </w:t>
            </w:r>
            <w:r w:rsidRPr="00B6208A">
              <w:rPr>
                <w:rFonts w:ascii="Arial" w:hAnsi="Arial" w:cs="Arial"/>
                <w:sz w:val="20"/>
                <w:u w:val="single"/>
              </w:rPr>
              <w:t>+</w:t>
            </w:r>
            <w:r w:rsidRPr="00B6208A">
              <w:rPr>
                <w:rFonts w:ascii="Arial" w:hAnsi="Arial" w:cs="Arial"/>
                <w:sz w:val="20"/>
              </w:rPr>
              <w:t xml:space="preserve"> 0.17</w:t>
            </w:r>
            <w:r w:rsidRPr="00B6208A">
              <w:rPr>
                <w:rFonts w:ascii="Arial" w:hAnsi="Arial" w:cs="Arial"/>
                <w:sz w:val="20"/>
                <w:vertAlign w:val="superscript"/>
              </w:rPr>
              <w:t>a</w:t>
            </w:r>
          </w:p>
        </w:tc>
        <w:tc>
          <w:tcPr>
            <w:tcW w:w="1417" w:type="dxa"/>
            <w:shd w:val="clear" w:color="auto" w:fill="FFFFFF"/>
            <w:vAlign w:val="center"/>
          </w:tcPr>
          <w:p w14:paraId="05483D8F"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29.44 </w:t>
            </w:r>
            <w:r w:rsidRPr="00B6208A">
              <w:rPr>
                <w:rFonts w:ascii="Arial" w:hAnsi="Arial" w:cs="Arial"/>
                <w:sz w:val="20"/>
                <w:u w:val="single"/>
              </w:rPr>
              <w:t>+</w:t>
            </w:r>
            <w:r w:rsidRPr="00B6208A">
              <w:rPr>
                <w:rFonts w:ascii="Arial" w:hAnsi="Arial" w:cs="Arial"/>
                <w:sz w:val="20"/>
              </w:rPr>
              <w:t xml:space="preserve"> 0.14</w:t>
            </w:r>
            <w:r w:rsidRPr="00B6208A">
              <w:rPr>
                <w:rFonts w:ascii="Arial" w:hAnsi="Arial" w:cs="Arial"/>
                <w:sz w:val="20"/>
                <w:vertAlign w:val="superscript"/>
              </w:rPr>
              <w:t>a</w:t>
            </w:r>
          </w:p>
        </w:tc>
        <w:tc>
          <w:tcPr>
            <w:tcW w:w="1559" w:type="dxa"/>
            <w:shd w:val="clear" w:color="auto" w:fill="FFFFFF"/>
            <w:vAlign w:val="center"/>
          </w:tcPr>
          <w:p w14:paraId="3F6E4A47"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29.72 </w:t>
            </w:r>
            <w:r w:rsidRPr="00B6208A">
              <w:rPr>
                <w:rFonts w:ascii="Arial" w:hAnsi="Arial" w:cs="Arial"/>
                <w:sz w:val="20"/>
                <w:u w:val="single"/>
              </w:rPr>
              <w:t>+</w:t>
            </w:r>
            <w:r w:rsidRPr="00B6208A">
              <w:rPr>
                <w:rFonts w:ascii="Arial" w:hAnsi="Arial" w:cs="Arial"/>
                <w:sz w:val="20"/>
              </w:rPr>
              <w:t xml:space="preserve"> 0.09</w:t>
            </w:r>
            <w:r w:rsidRPr="00B6208A">
              <w:rPr>
                <w:rFonts w:ascii="Arial" w:hAnsi="Arial" w:cs="Arial"/>
                <w:sz w:val="20"/>
                <w:vertAlign w:val="superscript"/>
              </w:rPr>
              <w:t>a</w:t>
            </w:r>
          </w:p>
        </w:tc>
        <w:tc>
          <w:tcPr>
            <w:tcW w:w="1560" w:type="dxa"/>
            <w:shd w:val="clear" w:color="auto" w:fill="FFFFFF"/>
            <w:vAlign w:val="center"/>
          </w:tcPr>
          <w:p w14:paraId="0524498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29.65 </w:t>
            </w:r>
            <w:r w:rsidRPr="00B6208A">
              <w:rPr>
                <w:rFonts w:ascii="Arial" w:hAnsi="Arial" w:cs="Arial"/>
                <w:sz w:val="20"/>
                <w:u w:val="single"/>
              </w:rPr>
              <w:t>+</w:t>
            </w:r>
            <w:r w:rsidRPr="00B6208A">
              <w:rPr>
                <w:rFonts w:ascii="Arial" w:hAnsi="Arial" w:cs="Arial"/>
                <w:sz w:val="20"/>
              </w:rPr>
              <w:t xml:space="preserve"> 0.04</w:t>
            </w:r>
            <w:r w:rsidRPr="00B6208A">
              <w:rPr>
                <w:rFonts w:ascii="Arial" w:hAnsi="Arial" w:cs="Arial"/>
                <w:sz w:val="20"/>
                <w:vertAlign w:val="superscript"/>
              </w:rPr>
              <w:t>a</w:t>
            </w:r>
          </w:p>
        </w:tc>
        <w:tc>
          <w:tcPr>
            <w:tcW w:w="1417" w:type="dxa"/>
            <w:shd w:val="clear" w:color="auto" w:fill="FFFFFF"/>
            <w:vAlign w:val="center"/>
          </w:tcPr>
          <w:p w14:paraId="5C25A1A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29.53 </w:t>
            </w:r>
            <w:r w:rsidRPr="00B6208A">
              <w:rPr>
                <w:rFonts w:ascii="Arial" w:hAnsi="Arial" w:cs="Arial"/>
                <w:sz w:val="20"/>
                <w:u w:val="single"/>
              </w:rPr>
              <w:t>+</w:t>
            </w:r>
            <w:r w:rsidRPr="00B6208A">
              <w:rPr>
                <w:rFonts w:ascii="Arial" w:hAnsi="Arial" w:cs="Arial"/>
                <w:sz w:val="20"/>
              </w:rPr>
              <w:t xml:space="preserve"> 0.07</w:t>
            </w:r>
            <w:r w:rsidRPr="00B6208A">
              <w:rPr>
                <w:rFonts w:ascii="Arial" w:hAnsi="Arial" w:cs="Arial"/>
                <w:sz w:val="20"/>
                <w:vertAlign w:val="superscript"/>
              </w:rPr>
              <w:t>a</w:t>
            </w:r>
          </w:p>
        </w:tc>
        <w:tc>
          <w:tcPr>
            <w:tcW w:w="1559" w:type="dxa"/>
            <w:shd w:val="clear" w:color="auto" w:fill="FFFFFF"/>
            <w:vAlign w:val="center"/>
          </w:tcPr>
          <w:p w14:paraId="2AB83753"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29.38 </w:t>
            </w:r>
            <w:r w:rsidRPr="00B6208A">
              <w:rPr>
                <w:rFonts w:ascii="Arial" w:hAnsi="Arial" w:cs="Arial"/>
                <w:sz w:val="20"/>
                <w:u w:val="single"/>
              </w:rPr>
              <w:t>+</w:t>
            </w:r>
            <w:r w:rsidRPr="00B6208A">
              <w:rPr>
                <w:rFonts w:ascii="Arial" w:hAnsi="Arial" w:cs="Arial"/>
                <w:sz w:val="20"/>
              </w:rPr>
              <w:t xml:space="preserve"> 0.16</w:t>
            </w:r>
            <w:r w:rsidRPr="00B6208A">
              <w:rPr>
                <w:rFonts w:ascii="Arial" w:hAnsi="Arial" w:cs="Arial"/>
                <w:sz w:val="20"/>
                <w:vertAlign w:val="superscript"/>
              </w:rPr>
              <w:t>a</w:t>
            </w:r>
          </w:p>
        </w:tc>
        <w:tc>
          <w:tcPr>
            <w:tcW w:w="1560" w:type="dxa"/>
            <w:shd w:val="clear" w:color="auto" w:fill="FFFFFF"/>
            <w:vAlign w:val="center"/>
          </w:tcPr>
          <w:p w14:paraId="782F3DF2"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29.44 </w:t>
            </w:r>
            <w:r w:rsidRPr="00B6208A">
              <w:rPr>
                <w:rFonts w:ascii="Arial" w:hAnsi="Arial" w:cs="Arial"/>
                <w:sz w:val="20"/>
                <w:u w:val="single"/>
              </w:rPr>
              <w:t>+</w:t>
            </w:r>
            <w:r w:rsidRPr="00B6208A">
              <w:rPr>
                <w:rFonts w:ascii="Arial" w:hAnsi="Arial" w:cs="Arial"/>
                <w:sz w:val="20"/>
              </w:rPr>
              <w:t xml:space="preserve"> 0.04</w:t>
            </w:r>
            <w:r w:rsidRPr="00B6208A">
              <w:rPr>
                <w:rFonts w:ascii="Arial" w:hAnsi="Arial" w:cs="Arial"/>
                <w:sz w:val="20"/>
                <w:vertAlign w:val="superscript"/>
              </w:rPr>
              <w:t>a</w:t>
            </w:r>
          </w:p>
        </w:tc>
      </w:tr>
      <w:tr w:rsidR="00B6208A" w:rsidRPr="00B6208A" w14:paraId="7F5F6A3C" w14:textId="77777777" w:rsidTr="00B6208A">
        <w:trPr>
          <w:trHeight w:val="332"/>
        </w:trPr>
        <w:tc>
          <w:tcPr>
            <w:tcW w:w="1838" w:type="dxa"/>
            <w:shd w:val="clear" w:color="auto" w:fill="FFFFFF"/>
            <w:vAlign w:val="center"/>
          </w:tcPr>
          <w:p w14:paraId="0A885C96"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pH</w:t>
            </w:r>
          </w:p>
        </w:tc>
        <w:tc>
          <w:tcPr>
            <w:tcW w:w="1559" w:type="dxa"/>
            <w:shd w:val="clear" w:color="auto" w:fill="FFFFFF"/>
            <w:vAlign w:val="center"/>
          </w:tcPr>
          <w:p w14:paraId="2C54918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7.92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b</w:t>
            </w:r>
          </w:p>
        </w:tc>
        <w:tc>
          <w:tcPr>
            <w:tcW w:w="1560" w:type="dxa"/>
            <w:shd w:val="clear" w:color="auto" w:fill="FFFFFF"/>
            <w:vAlign w:val="center"/>
          </w:tcPr>
          <w:p w14:paraId="435EBF6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7.90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ab</w:t>
            </w:r>
          </w:p>
        </w:tc>
        <w:tc>
          <w:tcPr>
            <w:tcW w:w="1417" w:type="dxa"/>
            <w:shd w:val="clear" w:color="auto" w:fill="FFFFFF"/>
            <w:vAlign w:val="center"/>
          </w:tcPr>
          <w:p w14:paraId="24E0CAF3"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7.79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559" w:type="dxa"/>
            <w:shd w:val="clear" w:color="auto" w:fill="FFFFFF"/>
            <w:vAlign w:val="center"/>
          </w:tcPr>
          <w:p w14:paraId="5ED6968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7.79 </w:t>
            </w:r>
            <w:r w:rsidRPr="00B6208A">
              <w:rPr>
                <w:rFonts w:ascii="Arial" w:hAnsi="Arial" w:cs="Arial"/>
                <w:sz w:val="20"/>
                <w:u w:val="single"/>
              </w:rPr>
              <w:t>+</w:t>
            </w:r>
            <w:r w:rsidRPr="00B6208A">
              <w:rPr>
                <w:rFonts w:ascii="Arial" w:hAnsi="Arial" w:cs="Arial"/>
                <w:sz w:val="20"/>
              </w:rPr>
              <w:t xml:space="preserve"> 0.15</w:t>
            </w:r>
            <w:r w:rsidRPr="00B6208A">
              <w:rPr>
                <w:rFonts w:ascii="Arial" w:hAnsi="Arial" w:cs="Arial"/>
                <w:sz w:val="20"/>
                <w:vertAlign w:val="superscript"/>
              </w:rPr>
              <w:t>a</w:t>
            </w:r>
          </w:p>
        </w:tc>
        <w:tc>
          <w:tcPr>
            <w:tcW w:w="1560" w:type="dxa"/>
            <w:shd w:val="clear" w:color="auto" w:fill="FFFFFF"/>
            <w:vAlign w:val="center"/>
          </w:tcPr>
          <w:p w14:paraId="6959B97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7.90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ab</w:t>
            </w:r>
          </w:p>
        </w:tc>
        <w:tc>
          <w:tcPr>
            <w:tcW w:w="1417" w:type="dxa"/>
            <w:shd w:val="clear" w:color="auto" w:fill="FFFFFF"/>
            <w:vAlign w:val="center"/>
          </w:tcPr>
          <w:p w14:paraId="322D172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7.84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ab</w:t>
            </w:r>
          </w:p>
        </w:tc>
        <w:tc>
          <w:tcPr>
            <w:tcW w:w="1559" w:type="dxa"/>
            <w:shd w:val="clear" w:color="auto" w:fill="FFFFFF"/>
            <w:vAlign w:val="center"/>
          </w:tcPr>
          <w:p w14:paraId="06DEC004"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7.81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ab</w:t>
            </w:r>
          </w:p>
        </w:tc>
        <w:tc>
          <w:tcPr>
            <w:tcW w:w="1560" w:type="dxa"/>
            <w:shd w:val="clear" w:color="auto" w:fill="FFFFFF"/>
            <w:vAlign w:val="center"/>
          </w:tcPr>
          <w:p w14:paraId="2A79027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7.80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a</w:t>
            </w:r>
          </w:p>
        </w:tc>
      </w:tr>
      <w:tr w:rsidR="00B6208A" w:rsidRPr="00B6208A" w14:paraId="2ECDE921" w14:textId="77777777" w:rsidTr="00B6208A">
        <w:trPr>
          <w:trHeight w:val="664"/>
        </w:trPr>
        <w:tc>
          <w:tcPr>
            <w:tcW w:w="1838" w:type="dxa"/>
            <w:shd w:val="clear" w:color="auto" w:fill="FFFFFF"/>
            <w:vAlign w:val="center"/>
          </w:tcPr>
          <w:p w14:paraId="0A7B810D"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Alkalinity</w:t>
            </w:r>
            <w:r w:rsidRPr="00B6208A">
              <w:rPr>
                <w:rFonts w:ascii="Arial" w:hAnsi="Arial" w:cs="Arial"/>
                <w:sz w:val="20"/>
              </w:rPr>
              <w:br/>
              <w:t xml:space="preserve">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3F128FF0" w14:textId="77777777" w:rsidR="00B6208A" w:rsidRPr="00B6208A" w:rsidRDefault="00B6208A" w:rsidP="00B6208A">
            <w:pPr>
              <w:spacing w:after="0" w:line="240" w:lineRule="auto"/>
              <w:jc w:val="center"/>
              <w:rPr>
                <w:rFonts w:ascii="Arial" w:hAnsi="Arial" w:cs="Arial"/>
                <w:sz w:val="20"/>
                <w:lang w:val="en-US"/>
              </w:rPr>
            </w:pPr>
            <w:r w:rsidRPr="00B6208A">
              <w:rPr>
                <w:rFonts w:ascii="Arial" w:hAnsi="Arial" w:cs="Arial"/>
                <w:sz w:val="20"/>
              </w:rPr>
              <w:t xml:space="preserve">155.27 </w:t>
            </w:r>
            <w:r w:rsidRPr="00B6208A">
              <w:rPr>
                <w:rFonts w:ascii="Arial" w:hAnsi="Arial" w:cs="Arial"/>
                <w:sz w:val="20"/>
                <w:u w:val="single"/>
              </w:rPr>
              <w:t>+</w:t>
            </w:r>
            <w:r w:rsidRPr="00B6208A">
              <w:rPr>
                <w:rFonts w:ascii="Arial" w:hAnsi="Arial" w:cs="Arial"/>
                <w:sz w:val="20"/>
              </w:rPr>
              <w:t xml:space="preserve"> 0.60</w:t>
            </w:r>
            <w:r w:rsidRPr="00B6208A">
              <w:rPr>
                <w:rFonts w:ascii="Arial" w:hAnsi="Arial" w:cs="Arial"/>
                <w:sz w:val="20"/>
                <w:vertAlign w:val="superscript"/>
              </w:rPr>
              <w:t>b</w:t>
            </w:r>
          </w:p>
        </w:tc>
        <w:tc>
          <w:tcPr>
            <w:tcW w:w="1560" w:type="dxa"/>
            <w:shd w:val="clear" w:color="auto" w:fill="FFFFFF"/>
            <w:vAlign w:val="center"/>
          </w:tcPr>
          <w:p w14:paraId="4628B737"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153.66 </w:t>
            </w:r>
            <w:r w:rsidRPr="00B6208A">
              <w:rPr>
                <w:rFonts w:ascii="Arial" w:hAnsi="Arial" w:cs="Arial"/>
                <w:sz w:val="20"/>
                <w:u w:val="single"/>
              </w:rPr>
              <w:t>+</w:t>
            </w:r>
            <w:r w:rsidRPr="00B6208A">
              <w:rPr>
                <w:rFonts w:ascii="Arial" w:hAnsi="Arial" w:cs="Arial"/>
                <w:sz w:val="20"/>
              </w:rPr>
              <w:t xml:space="preserve"> 0.63</w:t>
            </w:r>
            <w:r w:rsidRPr="00B6208A">
              <w:rPr>
                <w:rFonts w:ascii="Arial" w:hAnsi="Arial" w:cs="Arial"/>
                <w:sz w:val="20"/>
                <w:vertAlign w:val="superscript"/>
              </w:rPr>
              <w:t>ab</w:t>
            </w:r>
          </w:p>
        </w:tc>
        <w:tc>
          <w:tcPr>
            <w:tcW w:w="1417" w:type="dxa"/>
            <w:shd w:val="clear" w:color="auto" w:fill="FFFFFF"/>
            <w:vAlign w:val="center"/>
          </w:tcPr>
          <w:p w14:paraId="23098855"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148.85 </w:t>
            </w:r>
            <w:r w:rsidRPr="00B6208A">
              <w:rPr>
                <w:rFonts w:ascii="Arial" w:hAnsi="Arial" w:cs="Arial"/>
                <w:sz w:val="20"/>
                <w:u w:val="single"/>
              </w:rPr>
              <w:t>+</w:t>
            </w:r>
            <w:r w:rsidRPr="00B6208A">
              <w:rPr>
                <w:rFonts w:ascii="Arial" w:hAnsi="Arial" w:cs="Arial"/>
                <w:sz w:val="20"/>
              </w:rPr>
              <w:t xml:space="preserve"> 1.57</w:t>
            </w:r>
            <w:r w:rsidRPr="00B6208A">
              <w:rPr>
                <w:rFonts w:ascii="Arial" w:hAnsi="Arial" w:cs="Arial"/>
                <w:sz w:val="20"/>
                <w:vertAlign w:val="superscript"/>
              </w:rPr>
              <w:t>ab</w:t>
            </w:r>
          </w:p>
        </w:tc>
        <w:tc>
          <w:tcPr>
            <w:tcW w:w="1559" w:type="dxa"/>
            <w:shd w:val="clear" w:color="auto" w:fill="FFFFFF"/>
            <w:vAlign w:val="center"/>
          </w:tcPr>
          <w:p w14:paraId="3FBFE61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145.94 </w:t>
            </w:r>
            <w:r w:rsidRPr="00B6208A">
              <w:rPr>
                <w:rFonts w:ascii="Arial" w:hAnsi="Arial" w:cs="Arial"/>
                <w:sz w:val="20"/>
                <w:u w:val="single"/>
              </w:rPr>
              <w:t>+</w:t>
            </w:r>
            <w:r w:rsidRPr="00B6208A">
              <w:rPr>
                <w:rFonts w:ascii="Arial" w:hAnsi="Arial" w:cs="Arial"/>
                <w:sz w:val="20"/>
              </w:rPr>
              <w:t xml:space="preserve"> 2.33</w:t>
            </w:r>
            <w:r w:rsidRPr="00B6208A">
              <w:rPr>
                <w:rFonts w:ascii="Arial" w:hAnsi="Arial" w:cs="Arial"/>
                <w:sz w:val="20"/>
                <w:vertAlign w:val="superscript"/>
              </w:rPr>
              <w:t>a</w:t>
            </w:r>
          </w:p>
        </w:tc>
        <w:tc>
          <w:tcPr>
            <w:tcW w:w="1560" w:type="dxa"/>
            <w:shd w:val="clear" w:color="auto" w:fill="FFFFFF"/>
            <w:vAlign w:val="center"/>
          </w:tcPr>
          <w:p w14:paraId="3FE9F51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154.69 </w:t>
            </w:r>
            <w:r w:rsidRPr="00B6208A">
              <w:rPr>
                <w:rFonts w:ascii="Arial" w:hAnsi="Arial" w:cs="Arial"/>
                <w:sz w:val="20"/>
                <w:u w:val="single"/>
              </w:rPr>
              <w:t>+</w:t>
            </w:r>
            <w:r w:rsidRPr="00B6208A">
              <w:rPr>
                <w:rFonts w:ascii="Arial" w:hAnsi="Arial" w:cs="Arial"/>
                <w:sz w:val="20"/>
              </w:rPr>
              <w:t xml:space="preserve"> 0.82</w:t>
            </w:r>
            <w:r w:rsidRPr="00B6208A">
              <w:rPr>
                <w:rFonts w:ascii="Arial" w:hAnsi="Arial" w:cs="Arial"/>
                <w:sz w:val="20"/>
                <w:vertAlign w:val="superscript"/>
              </w:rPr>
              <w:t>b</w:t>
            </w:r>
          </w:p>
        </w:tc>
        <w:tc>
          <w:tcPr>
            <w:tcW w:w="1417" w:type="dxa"/>
            <w:shd w:val="clear" w:color="auto" w:fill="FFFFFF"/>
            <w:vAlign w:val="center"/>
          </w:tcPr>
          <w:p w14:paraId="0D6B4D5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152.78 </w:t>
            </w:r>
            <w:r w:rsidRPr="00B6208A">
              <w:rPr>
                <w:rFonts w:ascii="Arial" w:hAnsi="Arial" w:cs="Arial"/>
                <w:sz w:val="20"/>
                <w:u w:val="single"/>
              </w:rPr>
              <w:t>+</w:t>
            </w:r>
            <w:r w:rsidRPr="00B6208A">
              <w:rPr>
                <w:rFonts w:ascii="Arial" w:hAnsi="Arial" w:cs="Arial"/>
                <w:sz w:val="20"/>
              </w:rPr>
              <w:t>0.34</w:t>
            </w:r>
            <w:r w:rsidRPr="00B6208A">
              <w:rPr>
                <w:rFonts w:ascii="Arial" w:hAnsi="Arial" w:cs="Arial"/>
                <w:sz w:val="20"/>
                <w:vertAlign w:val="superscript"/>
              </w:rPr>
              <w:t>ab</w:t>
            </w:r>
          </w:p>
        </w:tc>
        <w:tc>
          <w:tcPr>
            <w:tcW w:w="1559" w:type="dxa"/>
            <w:shd w:val="clear" w:color="auto" w:fill="FFFFFF"/>
            <w:vAlign w:val="center"/>
          </w:tcPr>
          <w:p w14:paraId="6881E27B"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148.79 </w:t>
            </w:r>
            <w:r w:rsidRPr="00B6208A">
              <w:rPr>
                <w:rFonts w:ascii="Arial" w:hAnsi="Arial" w:cs="Arial"/>
                <w:sz w:val="20"/>
                <w:u w:val="single"/>
              </w:rPr>
              <w:t>+</w:t>
            </w:r>
            <w:r w:rsidRPr="00B6208A">
              <w:rPr>
                <w:rFonts w:ascii="Arial" w:hAnsi="Arial" w:cs="Arial"/>
                <w:sz w:val="20"/>
              </w:rPr>
              <w:t>2.56</w:t>
            </w:r>
            <w:r w:rsidRPr="00B6208A">
              <w:rPr>
                <w:rFonts w:ascii="Arial" w:hAnsi="Arial" w:cs="Arial"/>
                <w:sz w:val="20"/>
                <w:vertAlign w:val="superscript"/>
              </w:rPr>
              <w:t>ab</w:t>
            </w:r>
          </w:p>
        </w:tc>
        <w:tc>
          <w:tcPr>
            <w:tcW w:w="1560" w:type="dxa"/>
            <w:shd w:val="clear" w:color="auto" w:fill="FFFFFF"/>
            <w:vAlign w:val="center"/>
          </w:tcPr>
          <w:p w14:paraId="59DA8284"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145.97 </w:t>
            </w:r>
            <w:r w:rsidRPr="00B6208A">
              <w:rPr>
                <w:rFonts w:ascii="Arial" w:hAnsi="Arial" w:cs="Arial"/>
                <w:sz w:val="20"/>
                <w:u w:val="single"/>
              </w:rPr>
              <w:t>+</w:t>
            </w:r>
            <w:r w:rsidRPr="00B6208A">
              <w:rPr>
                <w:rFonts w:ascii="Arial" w:hAnsi="Arial" w:cs="Arial"/>
                <w:sz w:val="20"/>
              </w:rPr>
              <w:t xml:space="preserve"> 2.21</w:t>
            </w:r>
            <w:r w:rsidRPr="00B6208A">
              <w:rPr>
                <w:rFonts w:ascii="Arial" w:hAnsi="Arial" w:cs="Arial"/>
                <w:sz w:val="20"/>
                <w:vertAlign w:val="superscript"/>
              </w:rPr>
              <w:t>ab</w:t>
            </w:r>
          </w:p>
        </w:tc>
      </w:tr>
      <w:tr w:rsidR="00B6208A" w:rsidRPr="00B6208A" w14:paraId="55F00531" w14:textId="77777777" w:rsidTr="00B6208A">
        <w:trPr>
          <w:trHeight w:val="332"/>
        </w:trPr>
        <w:tc>
          <w:tcPr>
            <w:tcW w:w="1838" w:type="dxa"/>
            <w:shd w:val="clear" w:color="auto" w:fill="FFFFFF"/>
            <w:vAlign w:val="center"/>
          </w:tcPr>
          <w:p w14:paraId="2C757566"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DO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31259ECD"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5.93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d</w:t>
            </w:r>
          </w:p>
        </w:tc>
        <w:tc>
          <w:tcPr>
            <w:tcW w:w="1560" w:type="dxa"/>
            <w:shd w:val="clear" w:color="auto" w:fill="FFFFFF"/>
            <w:vAlign w:val="center"/>
          </w:tcPr>
          <w:p w14:paraId="0B49E2A9"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5.90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d</w:t>
            </w:r>
          </w:p>
        </w:tc>
        <w:tc>
          <w:tcPr>
            <w:tcW w:w="1417" w:type="dxa"/>
            <w:shd w:val="clear" w:color="auto" w:fill="FFFFFF"/>
            <w:vAlign w:val="center"/>
          </w:tcPr>
          <w:p w14:paraId="2C892C1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5.40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c</w:t>
            </w:r>
          </w:p>
        </w:tc>
        <w:tc>
          <w:tcPr>
            <w:tcW w:w="1559" w:type="dxa"/>
            <w:shd w:val="clear" w:color="auto" w:fill="FFFFFF"/>
            <w:vAlign w:val="center"/>
          </w:tcPr>
          <w:p w14:paraId="256E0949"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5.31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bc</w:t>
            </w:r>
          </w:p>
        </w:tc>
        <w:tc>
          <w:tcPr>
            <w:tcW w:w="1560" w:type="dxa"/>
            <w:shd w:val="clear" w:color="auto" w:fill="FFFFFF"/>
            <w:vAlign w:val="center"/>
          </w:tcPr>
          <w:p w14:paraId="09670A9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5.40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c</w:t>
            </w:r>
          </w:p>
        </w:tc>
        <w:tc>
          <w:tcPr>
            <w:tcW w:w="1417" w:type="dxa"/>
            <w:shd w:val="clear" w:color="auto" w:fill="FFFFFF"/>
            <w:vAlign w:val="center"/>
          </w:tcPr>
          <w:p w14:paraId="510D165F"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5.32 </w:t>
            </w:r>
            <w:r w:rsidRPr="00B6208A">
              <w:rPr>
                <w:rFonts w:ascii="Arial" w:hAnsi="Arial" w:cs="Arial"/>
                <w:sz w:val="20"/>
                <w:u w:val="single"/>
              </w:rPr>
              <w:t>+</w:t>
            </w:r>
            <w:r w:rsidRPr="00B6208A">
              <w:rPr>
                <w:rFonts w:ascii="Arial" w:hAnsi="Arial" w:cs="Arial"/>
                <w:sz w:val="20"/>
              </w:rPr>
              <w:t xml:space="preserve"> 0.04</w:t>
            </w:r>
            <w:r w:rsidRPr="00B6208A">
              <w:rPr>
                <w:rFonts w:ascii="Arial" w:hAnsi="Arial" w:cs="Arial"/>
                <w:sz w:val="20"/>
                <w:vertAlign w:val="superscript"/>
              </w:rPr>
              <w:t>bc</w:t>
            </w:r>
          </w:p>
        </w:tc>
        <w:tc>
          <w:tcPr>
            <w:tcW w:w="1559" w:type="dxa"/>
            <w:shd w:val="clear" w:color="auto" w:fill="FFFFFF"/>
            <w:vAlign w:val="center"/>
          </w:tcPr>
          <w:p w14:paraId="7E200F1A"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5.26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ab</w:t>
            </w:r>
          </w:p>
        </w:tc>
        <w:tc>
          <w:tcPr>
            <w:tcW w:w="1560" w:type="dxa"/>
            <w:shd w:val="clear" w:color="auto" w:fill="FFFFFF"/>
            <w:vAlign w:val="center"/>
          </w:tcPr>
          <w:p w14:paraId="2EF05B6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5.17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r>
      <w:tr w:rsidR="00B6208A" w:rsidRPr="00B6208A" w14:paraId="17C34302" w14:textId="77777777" w:rsidTr="00B6208A">
        <w:trPr>
          <w:trHeight w:val="654"/>
        </w:trPr>
        <w:tc>
          <w:tcPr>
            <w:tcW w:w="1838" w:type="dxa"/>
            <w:shd w:val="clear" w:color="auto" w:fill="FFFFFF"/>
            <w:vAlign w:val="center"/>
          </w:tcPr>
          <w:p w14:paraId="74040329"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Orthophosphate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58FA3E5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0.5086 </w:t>
            </w:r>
            <w:r w:rsidRPr="00B6208A">
              <w:rPr>
                <w:rFonts w:ascii="Arial" w:hAnsi="Arial" w:cs="Arial"/>
                <w:sz w:val="20"/>
                <w:u w:val="single"/>
              </w:rPr>
              <w:t>+</w:t>
            </w:r>
            <w:r w:rsidRPr="00B6208A">
              <w:rPr>
                <w:rFonts w:ascii="Arial" w:hAnsi="Arial" w:cs="Arial"/>
                <w:sz w:val="20"/>
              </w:rPr>
              <w:t xml:space="preserve"> 0.0052</w:t>
            </w:r>
            <w:r w:rsidRPr="00B6208A">
              <w:rPr>
                <w:rFonts w:ascii="Arial" w:hAnsi="Arial" w:cs="Arial"/>
                <w:sz w:val="20"/>
                <w:vertAlign w:val="superscript"/>
              </w:rPr>
              <w:t>a</w:t>
            </w:r>
          </w:p>
        </w:tc>
        <w:tc>
          <w:tcPr>
            <w:tcW w:w="1560" w:type="dxa"/>
            <w:shd w:val="clear" w:color="auto" w:fill="FFFFFF"/>
            <w:vAlign w:val="center"/>
          </w:tcPr>
          <w:p w14:paraId="133698F4"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0.5420 </w:t>
            </w:r>
            <w:r w:rsidRPr="00B6208A">
              <w:rPr>
                <w:rFonts w:ascii="Arial" w:hAnsi="Arial" w:cs="Arial"/>
                <w:sz w:val="20"/>
                <w:u w:val="single"/>
              </w:rPr>
              <w:t>+</w:t>
            </w:r>
            <w:r w:rsidRPr="00B6208A">
              <w:rPr>
                <w:rFonts w:ascii="Arial" w:hAnsi="Arial" w:cs="Arial"/>
                <w:sz w:val="20"/>
              </w:rPr>
              <w:t xml:space="preserve"> 0.0081</w:t>
            </w:r>
            <w:r w:rsidRPr="00B6208A">
              <w:rPr>
                <w:rFonts w:ascii="Arial" w:hAnsi="Arial" w:cs="Arial"/>
                <w:sz w:val="20"/>
                <w:vertAlign w:val="superscript"/>
              </w:rPr>
              <w:t>b</w:t>
            </w:r>
          </w:p>
        </w:tc>
        <w:tc>
          <w:tcPr>
            <w:tcW w:w="1417" w:type="dxa"/>
            <w:shd w:val="clear" w:color="auto" w:fill="FFFFFF"/>
            <w:vAlign w:val="center"/>
          </w:tcPr>
          <w:p w14:paraId="30967A1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0.5663 </w:t>
            </w:r>
            <w:r w:rsidRPr="00B6208A">
              <w:rPr>
                <w:rFonts w:ascii="Arial" w:hAnsi="Arial" w:cs="Arial"/>
                <w:sz w:val="20"/>
                <w:u w:val="single"/>
              </w:rPr>
              <w:t>+</w:t>
            </w:r>
            <w:r w:rsidRPr="00B6208A">
              <w:rPr>
                <w:rFonts w:ascii="Arial" w:hAnsi="Arial" w:cs="Arial"/>
                <w:sz w:val="20"/>
              </w:rPr>
              <w:t xml:space="preserve"> 0.0043</w:t>
            </w:r>
            <w:r w:rsidRPr="00B6208A">
              <w:rPr>
                <w:rFonts w:ascii="Arial" w:hAnsi="Arial" w:cs="Arial"/>
                <w:sz w:val="20"/>
                <w:vertAlign w:val="superscript"/>
              </w:rPr>
              <w:t>c</w:t>
            </w:r>
          </w:p>
        </w:tc>
        <w:tc>
          <w:tcPr>
            <w:tcW w:w="1559" w:type="dxa"/>
            <w:shd w:val="clear" w:color="auto" w:fill="FFFFFF"/>
            <w:vAlign w:val="center"/>
          </w:tcPr>
          <w:p w14:paraId="17D6C01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0.5750 </w:t>
            </w:r>
            <w:r w:rsidRPr="00B6208A">
              <w:rPr>
                <w:rFonts w:ascii="Arial" w:hAnsi="Arial" w:cs="Arial"/>
                <w:sz w:val="20"/>
                <w:u w:val="single"/>
              </w:rPr>
              <w:t>+</w:t>
            </w:r>
            <w:r w:rsidRPr="00B6208A">
              <w:rPr>
                <w:rFonts w:ascii="Arial" w:hAnsi="Arial" w:cs="Arial"/>
                <w:sz w:val="20"/>
              </w:rPr>
              <w:t xml:space="preserve"> 0.0070</w:t>
            </w:r>
            <w:r w:rsidRPr="00B6208A">
              <w:rPr>
                <w:rFonts w:ascii="Arial" w:hAnsi="Arial" w:cs="Arial"/>
                <w:sz w:val="20"/>
                <w:vertAlign w:val="superscript"/>
              </w:rPr>
              <w:t>c</w:t>
            </w:r>
          </w:p>
        </w:tc>
        <w:tc>
          <w:tcPr>
            <w:tcW w:w="1560" w:type="dxa"/>
            <w:shd w:val="clear" w:color="auto" w:fill="FFFFFF"/>
            <w:vAlign w:val="center"/>
          </w:tcPr>
          <w:p w14:paraId="2492FB62"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0.5356 </w:t>
            </w:r>
            <w:r w:rsidRPr="00B6208A">
              <w:rPr>
                <w:rFonts w:ascii="Arial" w:hAnsi="Arial" w:cs="Arial"/>
                <w:sz w:val="20"/>
                <w:u w:val="single"/>
              </w:rPr>
              <w:t>+</w:t>
            </w:r>
            <w:r w:rsidRPr="00B6208A">
              <w:rPr>
                <w:rFonts w:ascii="Arial" w:hAnsi="Arial" w:cs="Arial"/>
                <w:sz w:val="20"/>
              </w:rPr>
              <w:t xml:space="preserve"> 0.0080</w:t>
            </w:r>
            <w:r w:rsidRPr="00B6208A">
              <w:rPr>
                <w:rFonts w:ascii="Arial" w:hAnsi="Arial" w:cs="Arial"/>
                <w:sz w:val="20"/>
                <w:vertAlign w:val="superscript"/>
              </w:rPr>
              <w:t>b</w:t>
            </w:r>
          </w:p>
        </w:tc>
        <w:tc>
          <w:tcPr>
            <w:tcW w:w="1417" w:type="dxa"/>
            <w:shd w:val="clear" w:color="auto" w:fill="FFFFFF"/>
            <w:vAlign w:val="center"/>
          </w:tcPr>
          <w:p w14:paraId="35C2A2B6"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0.5730 </w:t>
            </w:r>
            <w:r w:rsidRPr="00B6208A">
              <w:rPr>
                <w:rFonts w:ascii="Arial" w:hAnsi="Arial" w:cs="Arial"/>
                <w:sz w:val="20"/>
                <w:u w:val="single"/>
              </w:rPr>
              <w:t>+</w:t>
            </w:r>
            <w:r w:rsidRPr="00B6208A">
              <w:rPr>
                <w:rFonts w:ascii="Arial" w:hAnsi="Arial" w:cs="Arial"/>
                <w:sz w:val="20"/>
              </w:rPr>
              <w:t xml:space="preserve"> 0.0055</w:t>
            </w:r>
            <w:r w:rsidRPr="00B6208A">
              <w:rPr>
                <w:rFonts w:ascii="Arial" w:hAnsi="Arial" w:cs="Arial"/>
                <w:sz w:val="20"/>
                <w:vertAlign w:val="superscript"/>
              </w:rPr>
              <w:t>c</w:t>
            </w:r>
          </w:p>
        </w:tc>
        <w:tc>
          <w:tcPr>
            <w:tcW w:w="1559" w:type="dxa"/>
            <w:shd w:val="clear" w:color="auto" w:fill="FFFFFF"/>
            <w:vAlign w:val="center"/>
          </w:tcPr>
          <w:p w14:paraId="06E8FE3B"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0.5970 </w:t>
            </w:r>
            <w:r w:rsidRPr="00B6208A">
              <w:rPr>
                <w:rFonts w:ascii="Arial" w:hAnsi="Arial" w:cs="Arial"/>
                <w:sz w:val="20"/>
                <w:u w:val="single"/>
              </w:rPr>
              <w:t>+</w:t>
            </w:r>
            <w:r w:rsidRPr="00B6208A">
              <w:rPr>
                <w:rFonts w:ascii="Arial" w:hAnsi="Arial" w:cs="Arial"/>
                <w:sz w:val="20"/>
              </w:rPr>
              <w:t xml:space="preserve"> 0.0060</w:t>
            </w:r>
            <w:r w:rsidRPr="00B6208A">
              <w:rPr>
                <w:rFonts w:ascii="Arial" w:hAnsi="Arial" w:cs="Arial"/>
                <w:sz w:val="20"/>
                <w:vertAlign w:val="superscript"/>
              </w:rPr>
              <w:t>d</w:t>
            </w:r>
          </w:p>
        </w:tc>
        <w:tc>
          <w:tcPr>
            <w:tcW w:w="1560" w:type="dxa"/>
            <w:shd w:val="clear" w:color="auto" w:fill="FFFFFF"/>
            <w:vAlign w:val="center"/>
          </w:tcPr>
          <w:p w14:paraId="336DD64E"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0.5986 </w:t>
            </w:r>
            <w:r w:rsidRPr="00B6208A">
              <w:rPr>
                <w:rFonts w:ascii="Arial" w:hAnsi="Arial" w:cs="Arial"/>
                <w:sz w:val="20"/>
                <w:u w:val="single"/>
              </w:rPr>
              <w:t>+</w:t>
            </w:r>
            <w:r w:rsidRPr="00B6208A">
              <w:rPr>
                <w:rFonts w:ascii="Arial" w:hAnsi="Arial" w:cs="Arial"/>
                <w:sz w:val="20"/>
              </w:rPr>
              <w:t xml:space="preserve"> 0.0055</w:t>
            </w:r>
            <w:r w:rsidRPr="00B6208A">
              <w:rPr>
                <w:rFonts w:ascii="Arial" w:hAnsi="Arial" w:cs="Arial"/>
                <w:sz w:val="20"/>
                <w:vertAlign w:val="superscript"/>
              </w:rPr>
              <w:t>d</w:t>
            </w:r>
          </w:p>
        </w:tc>
      </w:tr>
      <w:tr w:rsidR="00B6208A" w:rsidRPr="00B6208A" w14:paraId="6E1F9EDE" w14:textId="77777777" w:rsidTr="00B6208A">
        <w:trPr>
          <w:trHeight w:val="997"/>
        </w:trPr>
        <w:tc>
          <w:tcPr>
            <w:tcW w:w="1838" w:type="dxa"/>
            <w:shd w:val="clear" w:color="auto" w:fill="FFFFFF"/>
            <w:vAlign w:val="center"/>
          </w:tcPr>
          <w:p w14:paraId="38EE60F2"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 xml:space="preserve"> (TAN)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2C09E6C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0.5090 </w:t>
            </w:r>
            <w:r w:rsidRPr="00B6208A">
              <w:rPr>
                <w:rFonts w:ascii="Arial" w:hAnsi="Arial" w:cs="Arial"/>
                <w:sz w:val="20"/>
                <w:u w:val="single"/>
              </w:rPr>
              <w:t>+</w:t>
            </w:r>
            <w:r w:rsidRPr="00B6208A">
              <w:rPr>
                <w:rFonts w:ascii="Arial" w:hAnsi="Arial" w:cs="Arial"/>
                <w:sz w:val="20"/>
              </w:rPr>
              <w:t xml:space="preserve"> 0.0091</w:t>
            </w:r>
            <w:r w:rsidRPr="00B6208A">
              <w:rPr>
                <w:rFonts w:ascii="Arial" w:hAnsi="Arial" w:cs="Arial"/>
                <w:sz w:val="20"/>
                <w:vertAlign w:val="superscript"/>
              </w:rPr>
              <w:t>b</w:t>
            </w:r>
          </w:p>
        </w:tc>
        <w:tc>
          <w:tcPr>
            <w:tcW w:w="1560" w:type="dxa"/>
            <w:shd w:val="clear" w:color="auto" w:fill="FFFFFF"/>
            <w:vAlign w:val="center"/>
          </w:tcPr>
          <w:p w14:paraId="12E62E7E"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0.5102 </w:t>
            </w:r>
            <w:r w:rsidRPr="00B6208A">
              <w:rPr>
                <w:rFonts w:ascii="Arial" w:hAnsi="Arial" w:cs="Arial"/>
                <w:sz w:val="20"/>
                <w:u w:val="single"/>
              </w:rPr>
              <w:t>+</w:t>
            </w:r>
            <w:r w:rsidRPr="00B6208A">
              <w:rPr>
                <w:rFonts w:ascii="Arial" w:hAnsi="Arial" w:cs="Arial"/>
                <w:sz w:val="20"/>
              </w:rPr>
              <w:t xml:space="preserve"> 0.0081</w:t>
            </w:r>
            <w:r w:rsidRPr="00B6208A">
              <w:rPr>
                <w:rFonts w:ascii="Arial" w:hAnsi="Arial" w:cs="Arial"/>
                <w:sz w:val="20"/>
                <w:vertAlign w:val="superscript"/>
              </w:rPr>
              <w:t>b</w:t>
            </w:r>
          </w:p>
        </w:tc>
        <w:tc>
          <w:tcPr>
            <w:tcW w:w="1417" w:type="dxa"/>
            <w:shd w:val="clear" w:color="auto" w:fill="FFFFFF"/>
            <w:vAlign w:val="center"/>
          </w:tcPr>
          <w:p w14:paraId="239249FA"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0.5521 </w:t>
            </w:r>
            <w:r w:rsidRPr="00B6208A">
              <w:rPr>
                <w:rFonts w:ascii="Arial" w:hAnsi="Arial" w:cs="Arial"/>
                <w:sz w:val="20"/>
                <w:u w:val="single"/>
              </w:rPr>
              <w:t>+</w:t>
            </w:r>
            <w:r w:rsidRPr="00B6208A">
              <w:rPr>
                <w:rFonts w:ascii="Arial" w:hAnsi="Arial" w:cs="Arial"/>
                <w:sz w:val="20"/>
              </w:rPr>
              <w:t xml:space="preserve"> 0.0028</w:t>
            </w:r>
            <w:r w:rsidRPr="00B6208A">
              <w:rPr>
                <w:rFonts w:ascii="Arial" w:hAnsi="Arial" w:cs="Arial"/>
                <w:sz w:val="20"/>
                <w:vertAlign w:val="superscript"/>
              </w:rPr>
              <w:t>c</w:t>
            </w:r>
          </w:p>
        </w:tc>
        <w:tc>
          <w:tcPr>
            <w:tcW w:w="1559" w:type="dxa"/>
            <w:shd w:val="clear" w:color="auto" w:fill="FFFFFF"/>
            <w:vAlign w:val="center"/>
          </w:tcPr>
          <w:p w14:paraId="3E2CCA1F"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0.5524 </w:t>
            </w:r>
            <w:r w:rsidRPr="00B6208A">
              <w:rPr>
                <w:rFonts w:ascii="Arial" w:hAnsi="Arial" w:cs="Arial"/>
                <w:sz w:val="20"/>
                <w:u w:val="single"/>
              </w:rPr>
              <w:t>+</w:t>
            </w:r>
            <w:r w:rsidRPr="00B6208A">
              <w:rPr>
                <w:rFonts w:ascii="Arial" w:hAnsi="Arial" w:cs="Arial"/>
                <w:sz w:val="20"/>
              </w:rPr>
              <w:t xml:space="preserve"> 0.0062</w:t>
            </w:r>
            <w:r w:rsidRPr="00B6208A">
              <w:rPr>
                <w:rFonts w:ascii="Arial" w:hAnsi="Arial" w:cs="Arial"/>
                <w:sz w:val="20"/>
                <w:vertAlign w:val="superscript"/>
              </w:rPr>
              <w:t>c</w:t>
            </w:r>
          </w:p>
        </w:tc>
        <w:tc>
          <w:tcPr>
            <w:tcW w:w="1560" w:type="dxa"/>
            <w:shd w:val="clear" w:color="auto" w:fill="FFFFFF"/>
            <w:vAlign w:val="center"/>
          </w:tcPr>
          <w:p w14:paraId="5752D9FB"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0.3251 </w:t>
            </w:r>
            <w:r w:rsidRPr="00B6208A">
              <w:rPr>
                <w:rFonts w:ascii="Arial" w:hAnsi="Arial" w:cs="Arial"/>
                <w:sz w:val="20"/>
                <w:u w:val="single"/>
              </w:rPr>
              <w:t>+</w:t>
            </w:r>
            <w:r w:rsidRPr="00B6208A">
              <w:rPr>
                <w:rFonts w:ascii="Arial" w:hAnsi="Arial" w:cs="Arial"/>
                <w:sz w:val="20"/>
              </w:rPr>
              <w:t xml:space="preserve"> 0.0078</w:t>
            </w:r>
            <w:r w:rsidRPr="00B6208A">
              <w:rPr>
                <w:rFonts w:ascii="Arial" w:hAnsi="Arial" w:cs="Arial"/>
                <w:sz w:val="20"/>
                <w:vertAlign w:val="superscript"/>
              </w:rPr>
              <w:t>a</w:t>
            </w:r>
          </w:p>
        </w:tc>
        <w:tc>
          <w:tcPr>
            <w:tcW w:w="1417" w:type="dxa"/>
            <w:shd w:val="clear" w:color="auto" w:fill="FFFFFF"/>
            <w:vAlign w:val="center"/>
          </w:tcPr>
          <w:p w14:paraId="2081606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0.3376 </w:t>
            </w:r>
            <w:r w:rsidRPr="00B6208A">
              <w:rPr>
                <w:rFonts w:ascii="Arial" w:hAnsi="Arial" w:cs="Arial"/>
                <w:sz w:val="20"/>
                <w:u w:val="single"/>
              </w:rPr>
              <w:t>+</w:t>
            </w:r>
            <w:r w:rsidRPr="00B6208A">
              <w:rPr>
                <w:rFonts w:ascii="Arial" w:hAnsi="Arial" w:cs="Arial"/>
                <w:sz w:val="20"/>
              </w:rPr>
              <w:t xml:space="preserve"> 0.0149</w:t>
            </w:r>
            <w:r w:rsidRPr="00B6208A">
              <w:rPr>
                <w:rFonts w:ascii="Arial" w:hAnsi="Arial" w:cs="Arial"/>
                <w:sz w:val="20"/>
                <w:vertAlign w:val="superscript"/>
              </w:rPr>
              <w:t>a</w:t>
            </w:r>
          </w:p>
        </w:tc>
        <w:tc>
          <w:tcPr>
            <w:tcW w:w="1559" w:type="dxa"/>
            <w:shd w:val="clear" w:color="auto" w:fill="FFFFFF"/>
            <w:vAlign w:val="center"/>
          </w:tcPr>
          <w:p w14:paraId="1E5C30AD"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0.4936 </w:t>
            </w:r>
            <w:r w:rsidRPr="00B6208A">
              <w:rPr>
                <w:rFonts w:ascii="Arial" w:hAnsi="Arial" w:cs="Arial"/>
                <w:sz w:val="20"/>
                <w:u w:val="single"/>
              </w:rPr>
              <w:t>+</w:t>
            </w:r>
            <w:r w:rsidRPr="00B6208A">
              <w:rPr>
                <w:rFonts w:ascii="Arial" w:hAnsi="Arial" w:cs="Arial"/>
                <w:sz w:val="20"/>
              </w:rPr>
              <w:t xml:space="preserve"> 0.0048</w:t>
            </w:r>
            <w:r w:rsidRPr="00B6208A">
              <w:rPr>
                <w:rFonts w:ascii="Arial" w:hAnsi="Arial" w:cs="Arial"/>
                <w:sz w:val="20"/>
                <w:vertAlign w:val="superscript"/>
              </w:rPr>
              <w:t>b</w:t>
            </w:r>
          </w:p>
        </w:tc>
        <w:tc>
          <w:tcPr>
            <w:tcW w:w="1560" w:type="dxa"/>
            <w:shd w:val="clear" w:color="auto" w:fill="FFFFFF"/>
            <w:vAlign w:val="center"/>
          </w:tcPr>
          <w:p w14:paraId="51C42DD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0.5024 </w:t>
            </w:r>
            <w:r w:rsidRPr="00B6208A">
              <w:rPr>
                <w:rFonts w:ascii="Arial" w:hAnsi="Arial" w:cs="Arial"/>
                <w:sz w:val="20"/>
                <w:u w:val="single"/>
              </w:rPr>
              <w:t>+</w:t>
            </w:r>
            <w:r w:rsidRPr="00B6208A">
              <w:rPr>
                <w:rFonts w:ascii="Arial" w:hAnsi="Arial" w:cs="Arial"/>
                <w:sz w:val="20"/>
              </w:rPr>
              <w:t xml:space="preserve"> 0.0075</w:t>
            </w:r>
            <w:r w:rsidRPr="00B6208A">
              <w:rPr>
                <w:rFonts w:ascii="Arial" w:hAnsi="Arial" w:cs="Arial"/>
                <w:sz w:val="20"/>
                <w:vertAlign w:val="superscript"/>
              </w:rPr>
              <w:t>b</w:t>
            </w:r>
          </w:p>
        </w:tc>
      </w:tr>
      <w:tr w:rsidR="00B6208A" w:rsidRPr="00B6208A" w14:paraId="567CF80E" w14:textId="77777777" w:rsidTr="00B6208A">
        <w:trPr>
          <w:trHeight w:val="654"/>
        </w:trPr>
        <w:tc>
          <w:tcPr>
            <w:tcW w:w="1838" w:type="dxa"/>
            <w:shd w:val="clear" w:color="auto" w:fill="FFFFFF"/>
            <w:vAlign w:val="center"/>
          </w:tcPr>
          <w:p w14:paraId="4E1E9DF6"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Nitrite</w:t>
            </w:r>
            <w:r w:rsidRPr="00B6208A">
              <w:rPr>
                <w:rFonts w:ascii="Cambria Math" w:hAnsi="Cambria Math" w:cs="Cambria Math"/>
                <w:sz w:val="20"/>
              </w:rPr>
              <w:t>‐</w:t>
            </w:r>
            <w:r w:rsidRPr="00B6208A">
              <w:rPr>
                <w:rFonts w:ascii="Arial" w:hAnsi="Arial" w:cs="Arial"/>
                <w:sz w:val="20"/>
              </w:rPr>
              <w:t>N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079ED53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0.2175 </w:t>
            </w:r>
            <w:r w:rsidRPr="00B6208A">
              <w:rPr>
                <w:rFonts w:ascii="Arial" w:hAnsi="Arial" w:cs="Arial"/>
                <w:sz w:val="20"/>
                <w:u w:val="single"/>
              </w:rPr>
              <w:t>+</w:t>
            </w:r>
            <w:r w:rsidRPr="00B6208A">
              <w:rPr>
                <w:rFonts w:ascii="Arial" w:hAnsi="Arial" w:cs="Arial"/>
                <w:sz w:val="20"/>
              </w:rPr>
              <w:t xml:space="preserve"> 0.0053</w:t>
            </w:r>
            <w:r w:rsidRPr="00B6208A">
              <w:rPr>
                <w:rFonts w:ascii="Arial" w:hAnsi="Arial" w:cs="Arial"/>
                <w:sz w:val="20"/>
                <w:vertAlign w:val="superscript"/>
              </w:rPr>
              <w:t>bc</w:t>
            </w:r>
          </w:p>
        </w:tc>
        <w:tc>
          <w:tcPr>
            <w:tcW w:w="1560" w:type="dxa"/>
            <w:shd w:val="clear" w:color="auto" w:fill="FFFFFF"/>
            <w:vAlign w:val="center"/>
          </w:tcPr>
          <w:p w14:paraId="73655EB6"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0.2196 </w:t>
            </w:r>
            <w:r w:rsidRPr="00B6208A">
              <w:rPr>
                <w:rFonts w:ascii="Arial" w:hAnsi="Arial" w:cs="Arial"/>
                <w:sz w:val="20"/>
                <w:u w:val="single"/>
              </w:rPr>
              <w:t>+</w:t>
            </w:r>
            <w:r w:rsidRPr="00B6208A">
              <w:rPr>
                <w:rFonts w:ascii="Arial" w:hAnsi="Arial" w:cs="Arial"/>
                <w:sz w:val="20"/>
              </w:rPr>
              <w:t xml:space="preserve"> 0.0065</w:t>
            </w:r>
            <w:r w:rsidRPr="00B6208A">
              <w:rPr>
                <w:rFonts w:ascii="Arial" w:hAnsi="Arial" w:cs="Arial"/>
                <w:sz w:val="20"/>
                <w:vertAlign w:val="superscript"/>
              </w:rPr>
              <w:t>bcd</w:t>
            </w:r>
          </w:p>
        </w:tc>
        <w:tc>
          <w:tcPr>
            <w:tcW w:w="1417" w:type="dxa"/>
            <w:shd w:val="clear" w:color="auto" w:fill="FFFFFF"/>
            <w:vAlign w:val="center"/>
          </w:tcPr>
          <w:p w14:paraId="12EF68E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0.2389 </w:t>
            </w:r>
            <w:r w:rsidRPr="00B6208A">
              <w:rPr>
                <w:rFonts w:ascii="Arial" w:hAnsi="Arial" w:cs="Arial"/>
                <w:sz w:val="20"/>
                <w:u w:val="single"/>
              </w:rPr>
              <w:t>+</w:t>
            </w:r>
            <w:r w:rsidRPr="00B6208A">
              <w:rPr>
                <w:rFonts w:ascii="Arial" w:hAnsi="Arial" w:cs="Arial"/>
                <w:sz w:val="20"/>
              </w:rPr>
              <w:t xml:space="preserve"> 0.0015</w:t>
            </w:r>
            <w:r w:rsidRPr="00B6208A">
              <w:rPr>
                <w:rFonts w:ascii="Arial" w:hAnsi="Arial" w:cs="Arial"/>
                <w:sz w:val="20"/>
                <w:vertAlign w:val="superscript"/>
              </w:rPr>
              <w:t>de</w:t>
            </w:r>
          </w:p>
        </w:tc>
        <w:tc>
          <w:tcPr>
            <w:tcW w:w="1559" w:type="dxa"/>
            <w:shd w:val="clear" w:color="auto" w:fill="FFFFFF"/>
            <w:vAlign w:val="center"/>
          </w:tcPr>
          <w:p w14:paraId="05971D7D"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0.2427 </w:t>
            </w:r>
            <w:r w:rsidRPr="00B6208A">
              <w:rPr>
                <w:rFonts w:ascii="Arial" w:hAnsi="Arial" w:cs="Arial"/>
                <w:sz w:val="20"/>
                <w:u w:val="single"/>
              </w:rPr>
              <w:t>+</w:t>
            </w:r>
            <w:r w:rsidRPr="00B6208A">
              <w:rPr>
                <w:rFonts w:ascii="Arial" w:hAnsi="Arial" w:cs="Arial"/>
                <w:sz w:val="20"/>
              </w:rPr>
              <w:t xml:space="preserve"> 0.0009</w:t>
            </w:r>
            <w:r w:rsidRPr="00B6208A">
              <w:rPr>
                <w:rFonts w:ascii="Arial" w:hAnsi="Arial" w:cs="Arial"/>
                <w:sz w:val="20"/>
                <w:vertAlign w:val="superscript"/>
              </w:rPr>
              <w:t>de</w:t>
            </w:r>
          </w:p>
        </w:tc>
        <w:tc>
          <w:tcPr>
            <w:tcW w:w="1560" w:type="dxa"/>
            <w:shd w:val="clear" w:color="auto" w:fill="FFFFFF"/>
            <w:vAlign w:val="center"/>
          </w:tcPr>
          <w:p w14:paraId="1152FC29"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0.1612 </w:t>
            </w:r>
            <w:r w:rsidRPr="00B6208A">
              <w:rPr>
                <w:rFonts w:ascii="Arial" w:hAnsi="Arial" w:cs="Arial"/>
                <w:sz w:val="20"/>
                <w:u w:val="single"/>
              </w:rPr>
              <w:t>+</w:t>
            </w:r>
            <w:r w:rsidRPr="00B6208A">
              <w:rPr>
                <w:rFonts w:ascii="Arial" w:hAnsi="Arial" w:cs="Arial"/>
                <w:sz w:val="20"/>
              </w:rPr>
              <w:t xml:space="preserve"> 0.0055</w:t>
            </w:r>
            <w:r w:rsidRPr="00B6208A">
              <w:rPr>
                <w:rFonts w:ascii="Arial" w:hAnsi="Arial" w:cs="Arial"/>
                <w:sz w:val="20"/>
                <w:vertAlign w:val="superscript"/>
              </w:rPr>
              <w:t>a</w:t>
            </w:r>
          </w:p>
        </w:tc>
        <w:tc>
          <w:tcPr>
            <w:tcW w:w="1417" w:type="dxa"/>
            <w:shd w:val="clear" w:color="auto" w:fill="FFFFFF"/>
            <w:vAlign w:val="center"/>
          </w:tcPr>
          <w:p w14:paraId="37A069C4"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0.1657 </w:t>
            </w:r>
            <w:r w:rsidRPr="00B6208A">
              <w:rPr>
                <w:rFonts w:ascii="Arial" w:hAnsi="Arial" w:cs="Arial"/>
                <w:sz w:val="20"/>
                <w:u w:val="single"/>
              </w:rPr>
              <w:t>+</w:t>
            </w:r>
            <w:r w:rsidRPr="00B6208A">
              <w:rPr>
                <w:rFonts w:ascii="Arial" w:hAnsi="Arial" w:cs="Arial"/>
                <w:sz w:val="20"/>
              </w:rPr>
              <w:t xml:space="preserve"> 0.0026</w:t>
            </w:r>
            <w:r w:rsidRPr="00B6208A">
              <w:rPr>
                <w:rFonts w:ascii="Arial" w:hAnsi="Arial" w:cs="Arial"/>
                <w:sz w:val="20"/>
                <w:vertAlign w:val="superscript"/>
              </w:rPr>
              <w:t>a</w:t>
            </w:r>
          </w:p>
        </w:tc>
        <w:tc>
          <w:tcPr>
            <w:tcW w:w="1559" w:type="dxa"/>
            <w:shd w:val="clear" w:color="auto" w:fill="FFFFFF"/>
            <w:vAlign w:val="center"/>
          </w:tcPr>
          <w:p w14:paraId="200658E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0.2056 </w:t>
            </w:r>
            <w:r w:rsidRPr="00B6208A">
              <w:rPr>
                <w:rFonts w:ascii="Arial" w:hAnsi="Arial" w:cs="Arial"/>
                <w:sz w:val="20"/>
                <w:u w:val="single"/>
              </w:rPr>
              <w:t>+</w:t>
            </w:r>
            <w:r w:rsidRPr="00B6208A">
              <w:rPr>
                <w:rFonts w:ascii="Arial" w:hAnsi="Arial" w:cs="Arial"/>
                <w:sz w:val="20"/>
              </w:rPr>
              <w:t xml:space="preserve"> 0.0038</w:t>
            </w:r>
            <w:r w:rsidRPr="00B6208A">
              <w:rPr>
                <w:rFonts w:ascii="Arial" w:hAnsi="Arial" w:cs="Arial"/>
                <w:sz w:val="20"/>
                <w:vertAlign w:val="superscript"/>
              </w:rPr>
              <w:t>b</w:t>
            </w:r>
          </w:p>
        </w:tc>
        <w:tc>
          <w:tcPr>
            <w:tcW w:w="1560" w:type="dxa"/>
            <w:shd w:val="clear" w:color="auto" w:fill="FFFFFF"/>
            <w:vAlign w:val="center"/>
          </w:tcPr>
          <w:p w14:paraId="2E8C469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0.2304 </w:t>
            </w:r>
            <w:r w:rsidRPr="00B6208A">
              <w:rPr>
                <w:rFonts w:ascii="Arial" w:hAnsi="Arial" w:cs="Arial"/>
                <w:sz w:val="20"/>
                <w:u w:val="single"/>
              </w:rPr>
              <w:t>+</w:t>
            </w:r>
            <w:r w:rsidRPr="00B6208A">
              <w:rPr>
                <w:rFonts w:ascii="Arial" w:hAnsi="Arial" w:cs="Arial"/>
                <w:sz w:val="20"/>
              </w:rPr>
              <w:t xml:space="preserve"> 0.0022</w:t>
            </w:r>
            <w:r w:rsidRPr="00B6208A">
              <w:rPr>
                <w:rFonts w:ascii="Arial" w:hAnsi="Arial" w:cs="Arial"/>
                <w:sz w:val="20"/>
                <w:vertAlign w:val="superscript"/>
              </w:rPr>
              <w:t>cde</w:t>
            </w:r>
          </w:p>
        </w:tc>
      </w:tr>
      <w:tr w:rsidR="00B6208A" w:rsidRPr="00B6208A" w14:paraId="3C80DF6B" w14:textId="77777777" w:rsidTr="00B6208A">
        <w:trPr>
          <w:trHeight w:val="332"/>
        </w:trPr>
        <w:tc>
          <w:tcPr>
            <w:tcW w:w="1838" w:type="dxa"/>
            <w:shd w:val="clear" w:color="auto" w:fill="FFFFFF"/>
            <w:vAlign w:val="center"/>
          </w:tcPr>
          <w:p w14:paraId="13450BD4"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Nitrate</w:t>
            </w:r>
            <w:r w:rsidRPr="00B6208A">
              <w:rPr>
                <w:rFonts w:ascii="Cambria Math" w:hAnsi="Cambria Math" w:cs="Cambria Math"/>
                <w:sz w:val="20"/>
              </w:rPr>
              <w:t>‐</w:t>
            </w:r>
            <w:r w:rsidRPr="00B6208A">
              <w:rPr>
                <w:rFonts w:ascii="Arial" w:hAnsi="Arial" w:cs="Arial"/>
                <w:sz w:val="20"/>
              </w:rPr>
              <w:t>N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5AE37637"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2.90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bc</w:t>
            </w:r>
          </w:p>
        </w:tc>
        <w:tc>
          <w:tcPr>
            <w:tcW w:w="1560" w:type="dxa"/>
            <w:shd w:val="clear" w:color="auto" w:fill="FFFFFF"/>
            <w:vAlign w:val="center"/>
          </w:tcPr>
          <w:p w14:paraId="633B10A4"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2.94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bc</w:t>
            </w:r>
          </w:p>
        </w:tc>
        <w:tc>
          <w:tcPr>
            <w:tcW w:w="1417" w:type="dxa"/>
            <w:shd w:val="clear" w:color="auto" w:fill="FFFFFF"/>
            <w:vAlign w:val="center"/>
          </w:tcPr>
          <w:p w14:paraId="6BFA5CA9" w14:textId="77777777" w:rsidR="00B6208A" w:rsidRPr="00B6208A" w:rsidRDefault="00B6208A" w:rsidP="00B6208A">
            <w:pPr>
              <w:spacing w:after="0" w:line="240" w:lineRule="auto"/>
              <w:jc w:val="center"/>
              <w:rPr>
                <w:rFonts w:ascii="Arial" w:hAnsi="Arial" w:cs="Arial"/>
                <w:sz w:val="20"/>
                <w:lang w:val="en-US"/>
              </w:rPr>
            </w:pPr>
            <w:r w:rsidRPr="00B6208A">
              <w:rPr>
                <w:rFonts w:ascii="Arial" w:hAnsi="Arial" w:cs="Arial"/>
                <w:sz w:val="20"/>
              </w:rPr>
              <w:t xml:space="preserve">3.06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bc</w:t>
            </w:r>
          </w:p>
        </w:tc>
        <w:tc>
          <w:tcPr>
            <w:tcW w:w="1559" w:type="dxa"/>
            <w:shd w:val="clear" w:color="auto" w:fill="FFFFFF"/>
            <w:vAlign w:val="center"/>
          </w:tcPr>
          <w:p w14:paraId="7EC1AD9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3.10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c</w:t>
            </w:r>
          </w:p>
        </w:tc>
        <w:tc>
          <w:tcPr>
            <w:tcW w:w="1560" w:type="dxa"/>
            <w:shd w:val="clear" w:color="auto" w:fill="FFFFFF"/>
            <w:vAlign w:val="center"/>
          </w:tcPr>
          <w:p w14:paraId="672E415D"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1.88 </w:t>
            </w:r>
            <w:r w:rsidRPr="00B6208A">
              <w:rPr>
                <w:rFonts w:ascii="Arial" w:hAnsi="Arial" w:cs="Arial"/>
                <w:sz w:val="20"/>
                <w:u w:val="single"/>
              </w:rPr>
              <w:t>+</w:t>
            </w:r>
            <w:r w:rsidRPr="00B6208A">
              <w:rPr>
                <w:rFonts w:ascii="Arial" w:hAnsi="Arial" w:cs="Arial"/>
                <w:sz w:val="20"/>
              </w:rPr>
              <w:t xml:space="preserve"> 0.10</w:t>
            </w:r>
            <w:r w:rsidRPr="00B6208A">
              <w:rPr>
                <w:rFonts w:ascii="Arial" w:hAnsi="Arial" w:cs="Arial"/>
                <w:sz w:val="20"/>
                <w:vertAlign w:val="superscript"/>
              </w:rPr>
              <w:t>a</w:t>
            </w:r>
          </w:p>
        </w:tc>
        <w:tc>
          <w:tcPr>
            <w:tcW w:w="1417" w:type="dxa"/>
            <w:shd w:val="clear" w:color="auto" w:fill="FFFFFF"/>
            <w:vAlign w:val="center"/>
          </w:tcPr>
          <w:p w14:paraId="748E8B3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1.89 </w:t>
            </w:r>
            <w:r w:rsidRPr="00B6208A">
              <w:rPr>
                <w:rFonts w:ascii="Arial" w:hAnsi="Arial" w:cs="Arial"/>
                <w:sz w:val="20"/>
                <w:u w:val="single"/>
              </w:rPr>
              <w:t>+</w:t>
            </w:r>
            <w:r w:rsidRPr="00B6208A">
              <w:rPr>
                <w:rFonts w:ascii="Arial" w:hAnsi="Arial" w:cs="Arial"/>
                <w:sz w:val="20"/>
              </w:rPr>
              <w:t xml:space="preserve"> 0.09</w:t>
            </w:r>
            <w:r w:rsidRPr="00B6208A">
              <w:rPr>
                <w:rFonts w:ascii="Arial" w:hAnsi="Arial" w:cs="Arial"/>
                <w:sz w:val="20"/>
                <w:vertAlign w:val="superscript"/>
              </w:rPr>
              <w:t>a</w:t>
            </w:r>
          </w:p>
        </w:tc>
        <w:tc>
          <w:tcPr>
            <w:tcW w:w="1559" w:type="dxa"/>
            <w:shd w:val="clear" w:color="auto" w:fill="FFFFFF"/>
            <w:vAlign w:val="center"/>
          </w:tcPr>
          <w:p w14:paraId="1B7E9AB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2.76 </w:t>
            </w:r>
            <w:r w:rsidRPr="00B6208A">
              <w:rPr>
                <w:rFonts w:ascii="Arial" w:hAnsi="Arial" w:cs="Arial"/>
                <w:sz w:val="20"/>
                <w:u w:val="single"/>
              </w:rPr>
              <w:t>+</w:t>
            </w:r>
            <w:r w:rsidRPr="00B6208A">
              <w:rPr>
                <w:rFonts w:ascii="Arial" w:hAnsi="Arial" w:cs="Arial"/>
                <w:sz w:val="20"/>
              </w:rPr>
              <w:t xml:space="preserve"> 0.05</w:t>
            </w:r>
            <w:r w:rsidRPr="00B6208A">
              <w:rPr>
                <w:rFonts w:ascii="Arial" w:hAnsi="Arial" w:cs="Arial"/>
                <w:sz w:val="20"/>
                <w:vertAlign w:val="superscript"/>
              </w:rPr>
              <w:t>b</w:t>
            </w:r>
          </w:p>
        </w:tc>
        <w:tc>
          <w:tcPr>
            <w:tcW w:w="1560" w:type="dxa"/>
            <w:shd w:val="clear" w:color="auto" w:fill="FFFFFF"/>
            <w:vAlign w:val="center"/>
          </w:tcPr>
          <w:p w14:paraId="63011B4A"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2.83 </w:t>
            </w:r>
            <w:r w:rsidRPr="00B6208A">
              <w:rPr>
                <w:rFonts w:ascii="Arial" w:hAnsi="Arial" w:cs="Arial"/>
                <w:sz w:val="20"/>
                <w:u w:val="single"/>
              </w:rPr>
              <w:t>+</w:t>
            </w:r>
            <w:r w:rsidRPr="00B6208A">
              <w:rPr>
                <w:rFonts w:ascii="Arial" w:hAnsi="Arial" w:cs="Arial"/>
                <w:sz w:val="20"/>
              </w:rPr>
              <w:t xml:space="preserve"> 0.07</w:t>
            </w:r>
            <w:r w:rsidRPr="00B6208A">
              <w:rPr>
                <w:rFonts w:ascii="Arial" w:hAnsi="Arial" w:cs="Arial"/>
                <w:sz w:val="20"/>
                <w:vertAlign w:val="superscript"/>
              </w:rPr>
              <w:t>bc</w:t>
            </w:r>
          </w:p>
        </w:tc>
      </w:tr>
      <w:tr w:rsidR="00B6208A" w:rsidRPr="00B6208A" w14:paraId="44BF71AF" w14:textId="77777777" w:rsidTr="00B6208A">
        <w:trPr>
          <w:trHeight w:val="344"/>
        </w:trPr>
        <w:tc>
          <w:tcPr>
            <w:tcW w:w="1838" w:type="dxa"/>
            <w:shd w:val="clear" w:color="auto" w:fill="FFFFFF"/>
            <w:vAlign w:val="center"/>
          </w:tcPr>
          <w:p w14:paraId="3707D72D"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 xml:space="preserve">Chlorophyll-a </w:t>
            </w:r>
            <w:r w:rsidRPr="00B6208A">
              <w:rPr>
                <w:rFonts w:ascii="Arial" w:hAnsi="Arial" w:cs="Arial"/>
                <w:sz w:val="20"/>
              </w:rPr>
              <w:br/>
              <w:t>(µg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42D6A1E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115.67 </w:t>
            </w:r>
            <w:r w:rsidRPr="00B6208A">
              <w:rPr>
                <w:rFonts w:ascii="Arial" w:hAnsi="Arial" w:cs="Arial"/>
                <w:sz w:val="20"/>
                <w:u w:val="single"/>
              </w:rPr>
              <w:t>+</w:t>
            </w:r>
            <w:r w:rsidRPr="00B6208A">
              <w:rPr>
                <w:rFonts w:ascii="Arial" w:hAnsi="Arial" w:cs="Arial"/>
                <w:sz w:val="20"/>
              </w:rPr>
              <w:t xml:space="preserve"> 1.37</w:t>
            </w:r>
            <w:r w:rsidRPr="00B6208A">
              <w:rPr>
                <w:rFonts w:ascii="Arial" w:hAnsi="Arial" w:cs="Arial"/>
                <w:sz w:val="20"/>
                <w:vertAlign w:val="superscript"/>
              </w:rPr>
              <w:t>bc</w:t>
            </w:r>
          </w:p>
        </w:tc>
        <w:tc>
          <w:tcPr>
            <w:tcW w:w="1560" w:type="dxa"/>
            <w:shd w:val="clear" w:color="auto" w:fill="FFFFFF"/>
            <w:vAlign w:val="center"/>
          </w:tcPr>
          <w:p w14:paraId="3F0D07FC" w14:textId="77777777" w:rsidR="00B6208A" w:rsidRPr="00B6208A" w:rsidRDefault="00B6208A" w:rsidP="00B6208A">
            <w:pPr>
              <w:spacing w:after="0" w:line="240" w:lineRule="auto"/>
              <w:jc w:val="center"/>
              <w:rPr>
                <w:rFonts w:ascii="Arial" w:hAnsi="Arial" w:cs="Arial"/>
                <w:sz w:val="20"/>
                <w:vertAlign w:val="superscript"/>
              </w:rPr>
            </w:pPr>
            <w:r w:rsidRPr="00B6208A">
              <w:rPr>
                <w:rFonts w:ascii="Arial" w:hAnsi="Arial" w:cs="Arial"/>
                <w:sz w:val="20"/>
              </w:rPr>
              <w:t xml:space="preserve">112.63 </w:t>
            </w:r>
            <w:r w:rsidRPr="00B6208A">
              <w:rPr>
                <w:rFonts w:ascii="Arial" w:hAnsi="Arial" w:cs="Arial"/>
                <w:sz w:val="20"/>
                <w:u w:val="single"/>
              </w:rPr>
              <w:t>+</w:t>
            </w:r>
            <w:r w:rsidRPr="00B6208A">
              <w:rPr>
                <w:rFonts w:ascii="Arial" w:hAnsi="Arial" w:cs="Arial"/>
                <w:sz w:val="20"/>
              </w:rPr>
              <w:t xml:space="preserve"> 0.80</w:t>
            </w:r>
            <w:r w:rsidRPr="00B6208A">
              <w:rPr>
                <w:rFonts w:ascii="Arial" w:hAnsi="Arial" w:cs="Arial"/>
                <w:sz w:val="20"/>
                <w:vertAlign w:val="superscript"/>
              </w:rPr>
              <w:t>bc</w:t>
            </w:r>
          </w:p>
        </w:tc>
        <w:tc>
          <w:tcPr>
            <w:tcW w:w="1417" w:type="dxa"/>
            <w:shd w:val="clear" w:color="auto" w:fill="FFFFFF"/>
            <w:vAlign w:val="center"/>
          </w:tcPr>
          <w:p w14:paraId="71F820D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105.26 </w:t>
            </w:r>
            <w:r w:rsidRPr="00B6208A">
              <w:rPr>
                <w:rFonts w:ascii="Arial" w:hAnsi="Arial" w:cs="Arial"/>
                <w:sz w:val="20"/>
                <w:u w:val="single"/>
              </w:rPr>
              <w:t>+</w:t>
            </w:r>
            <w:r w:rsidRPr="00B6208A">
              <w:rPr>
                <w:rFonts w:ascii="Arial" w:hAnsi="Arial" w:cs="Arial"/>
                <w:sz w:val="20"/>
              </w:rPr>
              <w:t xml:space="preserve"> 0.74</w:t>
            </w:r>
            <w:r w:rsidRPr="00B6208A">
              <w:rPr>
                <w:rFonts w:ascii="Arial" w:hAnsi="Arial" w:cs="Arial"/>
                <w:sz w:val="20"/>
                <w:vertAlign w:val="superscript"/>
              </w:rPr>
              <w:t>ab</w:t>
            </w:r>
          </w:p>
        </w:tc>
        <w:tc>
          <w:tcPr>
            <w:tcW w:w="1559" w:type="dxa"/>
            <w:shd w:val="clear" w:color="auto" w:fill="FFFFFF"/>
            <w:vAlign w:val="center"/>
          </w:tcPr>
          <w:p w14:paraId="570FDCB3"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102.00 </w:t>
            </w:r>
            <w:r w:rsidRPr="00B6208A">
              <w:rPr>
                <w:rFonts w:ascii="Arial" w:hAnsi="Arial" w:cs="Arial"/>
                <w:sz w:val="20"/>
                <w:u w:val="single"/>
              </w:rPr>
              <w:t>+</w:t>
            </w:r>
            <w:r w:rsidRPr="00B6208A">
              <w:rPr>
                <w:rFonts w:ascii="Arial" w:hAnsi="Arial" w:cs="Arial"/>
                <w:sz w:val="20"/>
              </w:rPr>
              <w:t xml:space="preserve"> 0.24</w:t>
            </w:r>
            <w:r w:rsidRPr="00B6208A">
              <w:rPr>
                <w:rFonts w:ascii="Arial" w:hAnsi="Arial" w:cs="Arial"/>
                <w:sz w:val="20"/>
                <w:vertAlign w:val="superscript"/>
              </w:rPr>
              <w:t>a</w:t>
            </w:r>
          </w:p>
        </w:tc>
        <w:tc>
          <w:tcPr>
            <w:tcW w:w="1560" w:type="dxa"/>
            <w:shd w:val="clear" w:color="auto" w:fill="FFFFFF"/>
            <w:vAlign w:val="center"/>
          </w:tcPr>
          <w:p w14:paraId="169292BA"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175.12 </w:t>
            </w:r>
            <w:r w:rsidRPr="00B6208A">
              <w:rPr>
                <w:rFonts w:ascii="Arial" w:hAnsi="Arial" w:cs="Arial"/>
                <w:sz w:val="20"/>
                <w:u w:val="single"/>
              </w:rPr>
              <w:t>+</w:t>
            </w:r>
            <w:r w:rsidRPr="00B6208A">
              <w:rPr>
                <w:rFonts w:ascii="Arial" w:hAnsi="Arial" w:cs="Arial"/>
                <w:sz w:val="20"/>
              </w:rPr>
              <w:t xml:space="preserve"> 2.21</w:t>
            </w:r>
            <w:r w:rsidRPr="00B6208A">
              <w:rPr>
                <w:rFonts w:ascii="Arial" w:hAnsi="Arial" w:cs="Arial"/>
                <w:sz w:val="20"/>
                <w:vertAlign w:val="superscript"/>
              </w:rPr>
              <w:t>e</w:t>
            </w:r>
          </w:p>
        </w:tc>
        <w:tc>
          <w:tcPr>
            <w:tcW w:w="1417" w:type="dxa"/>
            <w:shd w:val="clear" w:color="auto" w:fill="FFFFFF"/>
            <w:vAlign w:val="center"/>
          </w:tcPr>
          <w:p w14:paraId="101398EE"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173.94 </w:t>
            </w:r>
            <w:r w:rsidRPr="00B6208A">
              <w:rPr>
                <w:rFonts w:ascii="Arial" w:hAnsi="Arial" w:cs="Arial"/>
                <w:sz w:val="20"/>
                <w:u w:val="single"/>
              </w:rPr>
              <w:t>+</w:t>
            </w:r>
            <w:r w:rsidRPr="00B6208A">
              <w:rPr>
                <w:rFonts w:ascii="Arial" w:hAnsi="Arial" w:cs="Arial"/>
                <w:sz w:val="20"/>
              </w:rPr>
              <w:t xml:space="preserve"> 2.35</w:t>
            </w:r>
            <w:r w:rsidRPr="00B6208A">
              <w:rPr>
                <w:rFonts w:ascii="Arial" w:hAnsi="Arial" w:cs="Arial"/>
                <w:sz w:val="20"/>
                <w:vertAlign w:val="superscript"/>
              </w:rPr>
              <w:t>e</w:t>
            </w:r>
          </w:p>
        </w:tc>
        <w:tc>
          <w:tcPr>
            <w:tcW w:w="1559" w:type="dxa"/>
            <w:shd w:val="clear" w:color="auto" w:fill="FFFFFF"/>
            <w:vAlign w:val="center"/>
          </w:tcPr>
          <w:p w14:paraId="5ADE8E25"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140.77 </w:t>
            </w:r>
            <w:r w:rsidRPr="00B6208A">
              <w:rPr>
                <w:rFonts w:ascii="Arial" w:hAnsi="Arial" w:cs="Arial"/>
                <w:sz w:val="20"/>
                <w:u w:val="single"/>
              </w:rPr>
              <w:t>+</w:t>
            </w:r>
            <w:r w:rsidRPr="00B6208A">
              <w:rPr>
                <w:rFonts w:ascii="Arial" w:hAnsi="Arial" w:cs="Arial"/>
                <w:sz w:val="20"/>
              </w:rPr>
              <w:t xml:space="preserve"> 3.62</w:t>
            </w:r>
            <w:r w:rsidRPr="00B6208A">
              <w:rPr>
                <w:rFonts w:ascii="Arial" w:hAnsi="Arial" w:cs="Arial"/>
                <w:sz w:val="20"/>
                <w:vertAlign w:val="superscript"/>
              </w:rPr>
              <w:t>d</w:t>
            </w:r>
          </w:p>
        </w:tc>
        <w:tc>
          <w:tcPr>
            <w:tcW w:w="1560" w:type="dxa"/>
            <w:shd w:val="clear" w:color="auto" w:fill="FFFFFF"/>
            <w:vAlign w:val="center"/>
          </w:tcPr>
          <w:p w14:paraId="26FFF75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114.92 </w:t>
            </w:r>
            <w:r w:rsidRPr="00B6208A">
              <w:rPr>
                <w:rFonts w:ascii="Arial" w:hAnsi="Arial" w:cs="Arial"/>
                <w:sz w:val="20"/>
                <w:u w:val="single"/>
              </w:rPr>
              <w:t>+</w:t>
            </w:r>
            <w:r w:rsidRPr="00B6208A">
              <w:rPr>
                <w:rFonts w:ascii="Arial" w:hAnsi="Arial" w:cs="Arial"/>
                <w:sz w:val="20"/>
              </w:rPr>
              <w:t xml:space="preserve"> 1.04</w:t>
            </w:r>
            <w:r w:rsidRPr="00B6208A">
              <w:rPr>
                <w:rFonts w:ascii="Arial" w:hAnsi="Arial" w:cs="Arial"/>
                <w:sz w:val="20"/>
                <w:vertAlign w:val="superscript"/>
              </w:rPr>
              <w:t>bc</w:t>
            </w:r>
          </w:p>
        </w:tc>
      </w:tr>
      <w:tr w:rsidR="00B6208A" w:rsidRPr="00B6208A" w14:paraId="1BAC9F55" w14:textId="77777777" w:rsidTr="00B6208A">
        <w:trPr>
          <w:trHeight w:val="664"/>
        </w:trPr>
        <w:tc>
          <w:tcPr>
            <w:tcW w:w="1838" w:type="dxa"/>
            <w:shd w:val="clear" w:color="auto" w:fill="FFFFFF"/>
            <w:vAlign w:val="center"/>
          </w:tcPr>
          <w:p w14:paraId="7F791432"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 xml:space="preserve">Biofloc Volume </w:t>
            </w:r>
            <w:r w:rsidRPr="00B6208A">
              <w:rPr>
                <w:rFonts w:ascii="Arial" w:hAnsi="Arial" w:cs="Arial"/>
                <w:sz w:val="20"/>
              </w:rPr>
              <w:br/>
              <w:t>(ml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6308C942"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sz w:val="20"/>
              </w:rPr>
              <w:t xml:space="preserve">6.30 </w:t>
            </w:r>
            <w:r w:rsidRPr="00B6208A">
              <w:rPr>
                <w:rFonts w:ascii="Arial" w:hAnsi="Arial" w:cs="Arial"/>
                <w:sz w:val="20"/>
                <w:u w:val="single"/>
              </w:rPr>
              <w:t>+</w:t>
            </w:r>
            <w:r w:rsidRPr="00B6208A">
              <w:rPr>
                <w:rFonts w:ascii="Arial" w:hAnsi="Arial" w:cs="Arial"/>
                <w:sz w:val="20"/>
              </w:rPr>
              <w:t xml:space="preserve"> 0.11</w:t>
            </w:r>
            <w:r w:rsidRPr="00B6208A">
              <w:rPr>
                <w:rFonts w:ascii="Arial" w:hAnsi="Arial" w:cs="Arial"/>
                <w:sz w:val="20"/>
                <w:vertAlign w:val="superscript"/>
              </w:rPr>
              <w:t>c</w:t>
            </w:r>
          </w:p>
        </w:tc>
        <w:tc>
          <w:tcPr>
            <w:tcW w:w="1560" w:type="dxa"/>
            <w:shd w:val="clear" w:color="auto" w:fill="FFFFFF"/>
            <w:vAlign w:val="center"/>
          </w:tcPr>
          <w:p w14:paraId="631DD5FF"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6.40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c</w:t>
            </w:r>
          </w:p>
        </w:tc>
        <w:tc>
          <w:tcPr>
            <w:tcW w:w="1417" w:type="dxa"/>
            <w:shd w:val="clear" w:color="auto" w:fill="FFFFFF"/>
            <w:vAlign w:val="center"/>
          </w:tcPr>
          <w:p w14:paraId="0AA77C7E"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7.06 </w:t>
            </w:r>
            <w:r w:rsidRPr="00B6208A">
              <w:rPr>
                <w:rFonts w:ascii="Arial" w:hAnsi="Arial" w:cs="Arial"/>
                <w:sz w:val="20"/>
                <w:u w:val="single"/>
              </w:rPr>
              <w:t>+</w:t>
            </w:r>
            <w:r w:rsidRPr="00B6208A">
              <w:rPr>
                <w:rFonts w:ascii="Arial" w:hAnsi="Arial" w:cs="Arial"/>
                <w:sz w:val="20"/>
              </w:rPr>
              <w:t xml:space="preserve"> 0.08</w:t>
            </w:r>
            <w:r w:rsidRPr="00B6208A">
              <w:rPr>
                <w:rFonts w:ascii="Arial" w:hAnsi="Arial" w:cs="Arial"/>
                <w:sz w:val="20"/>
                <w:vertAlign w:val="superscript"/>
              </w:rPr>
              <w:t>d</w:t>
            </w:r>
          </w:p>
        </w:tc>
        <w:tc>
          <w:tcPr>
            <w:tcW w:w="1559" w:type="dxa"/>
            <w:shd w:val="clear" w:color="auto" w:fill="FFFFFF"/>
            <w:vAlign w:val="center"/>
          </w:tcPr>
          <w:p w14:paraId="565FB3FB"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7.15 </w:t>
            </w:r>
            <w:r w:rsidRPr="00B6208A">
              <w:rPr>
                <w:rFonts w:ascii="Arial" w:hAnsi="Arial" w:cs="Arial"/>
                <w:sz w:val="20"/>
                <w:u w:val="single"/>
              </w:rPr>
              <w:t>+</w:t>
            </w:r>
            <w:r w:rsidRPr="00B6208A">
              <w:rPr>
                <w:rFonts w:ascii="Arial" w:hAnsi="Arial" w:cs="Arial"/>
                <w:sz w:val="20"/>
              </w:rPr>
              <w:t xml:space="preserve"> 0.12</w:t>
            </w:r>
            <w:r w:rsidRPr="00B6208A">
              <w:rPr>
                <w:rFonts w:ascii="Arial" w:hAnsi="Arial" w:cs="Arial"/>
                <w:sz w:val="20"/>
                <w:vertAlign w:val="superscript"/>
              </w:rPr>
              <w:t>d</w:t>
            </w:r>
          </w:p>
        </w:tc>
        <w:tc>
          <w:tcPr>
            <w:tcW w:w="1560" w:type="dxa"/>
            <w:shd w:val="clear" w:color="auto" w:fill="FFFFFF"/>
            <w:vAlign w:val="center"/>
          </w:tcPr>
          <w:p w14:paraId="30888597"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3.54 </w:t>
            </w:r>
            <w:r w:rsidRPr="00B6208A">
              <w:rPr>
                <w:rFonts w:ascii="Arial" w:hAnsi="Arial" w:cs="Arial"/>
                <w:sz w:val="20"/>
                <w:u w:val="single"/>
              </w:rPr>
              <w:t>+</w:t>
            </w:r>
            <w:r w:rsidRPr="00B6208A">
              <w:rPr>
                <w:rFonts w:ascii="Arial" w:hAnsi="Arial" w:cs="Arial"/>
                <w:sz w:val="20"/>
              </w:rPr>
              <w:t xml:space="preserve"> 0.12</w:t>
            </w:r>
            <w:r w:rsidRPr="00B6208A">
              <w:rPr>
                <w:rFonts w:ascii="Arial" w:hAnsi="Arial" w:cs="Arial"/>
                <w:sz w:val="20"/>
                <w:vertAlign w:val="superscript"/>
              </w:rPr>
              <w:t>a</w:t>
            </w:r>
          </w:p>
        </w:tc>
        <w:tc>
          <w:tcPr>
            <w:tcW w:w="1417" w:type="dxa"/>
            <w:shd w:val="clear" w:color="auto" w:fill="FFFFFF"/>
            <w:vAlign w:val="center"/>
          </w:tcPr>
          <w:p w14:paraId="0079D0CB"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3.90 </w:t>
            </w:r>
            <w:r w:rsidRPr="00B6208A">
              <w:rPr>
                <w:rFonts w:ascii="Arial" w:hAnsi="Arial" w:cs="Arial"/>
                <w:sz w:val="20"/>
                <w:u w:val="single"/>
              </w:rPr>
              <w:t>+</w:t>
            </w:r>
            <w:r w:rsidRPr="00B6208A">
              <w:rPr>
                <w:rFonts w:ascii="Arial" w:hAnsi="Arial" w:cs="Arial"/>
                <w:sz w:val="20"/>
              </w:rPr>
              <w:t xml:space="preserve"> 0.06</w:t>
            </w:r>
            <w:r w:rsidRPr="00B6208A">
              <w:rPr>
                <w:rFonts w:ascii="Arial" w:hAnsi="Arial" w:cs="Arial"/>
                <w:sz w:val="20"/>
                <w:vertAlign w:val="superscript"/>
              </w:rPr>
              <w:t>a</w:t>
            </w:r>
          </w:p>
        </w:tc>
        <w:tc>
          <w:tcPr>
            <w:tcW w:w="1559" w:type="dxa"/>
            <w:shd w:val="clear" w:color="auto" w:fill="FFFFFF"/>
            <w:vAlign w:val="center"/>
          </w:tcPr>
          <w:p w14:paraId="5C4BB48A"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5.64 </w:t>
            </w:r>
            <w:r w:rsidRPr="00B6208A">
              <w:rPr>
                <w:rFonts w:ascii="Arial" w:hAnsi="Arial" w:cs="Arial"/>
                <w:sz w:val="20"/>
                <w:u w:val="single"/>
              </w:rPr>
              <w:t>+</w:t>
            </w:r>
            <w:r w:rsidRPr="00B6208A">
              <w:rPr>
                <w:rFonts w:ascii="Arial" w:hAnsi="Arial" w:cs="Arial"/>
                <w:sz w:val="20"/>
              </w:rPr>
              <w:t xml:space="preserve"> 0.09</w:t>
            </w:r>
            <w:r w:rsidRPr="00B6208A">
              <w:rPr>
                <w:rFonts w:ascii="Arial" w:hAnsi="Arial" w:cs="Arial"/>
                <w:sz w:val="20"/>
                <w:vertAlign w:val="superscript"/>
              </w:rPr>
              <w:t>b</w:t>
            </w:r>
          </w:p>
        </w:tc>
        <w:tc>
          <w:tcPr>
            <w:tcW w:w="1560" w:type="dxa"/>
            <w:shd w:val="clear" w:color="auto" w:fill="FFFFFF"/>
            <w:vAlign w:val="center"/>
          </w:tcPr>
          <w:p w14:paraId="5F5A0632"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6.46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c</w:t>
            </w:r>
          </w:p>
        </w:tc>
      </w:tr>
      <w:tr w:rsidR="00B6208A" w:rsidRPr="00B6208A" w14:paraId="6425687E" w14:textId="77777777" w:rsidTr="00B6208A">
        <w:trPr>
          <w:trHeight w:val="664"/>
        </w:trPr>
        <w:tc>
          <w:tcPr>
            <w:tcW w:w="1838" w:type="dxa"/>
            <w:shd w:val="clear" w:color="auto" w:fill="FFFFFF"/>
            <w:vAlign w:val="center"/>
          </w:tcPr>
          <w:p w14:paraId="48693A53"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TSS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07EF4FB5"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122.15 </w:t>
            </w:r>
            <w:r w:rsidRPr="00B6208A">
              <w:rPr>
                <w:rFonts w:ascii="Arial" w:hAnsi="Arial" w:cs="Arial"/>
                <w:sz w:val="20"/>
                <w:u w:val="single"/>
              </w:rPr>
              <w:t>+</w:t>
            </w:r>
            <w:r w:rsidRPr="00B6208A">
              <w:rPr>
                <w:rFonts w:ascii="Arial" w:hAnsi="Arial" w:cs="Arial"/>
                <w:sz w:val="20"/>
              </w:rPr>
              <w:t xml:space="preserve"> 2.30</w:t>
            </w:r>
            <w:r w:rsidRPr="00B6208A">
              <w:rPr>
                <w:rFonts w:ascii="Arial" w:hAnsi="Arial" w:cs="Arial"/>
                <w:sz w:val="20"/>
                <w:vertAlign w:val="superscript"/>
              </w:rPr>
              <w:t>c</w:t>
            </w:r>
          </w:p>
        </w:tc>
        <w:tc>
          <w:tcPr>
            <w:tcW w:w="1560" w:type="dxa"/>
            <w:shd w:val="clear" w:color="auto" w:fill="FFFFFF"/>
            <w:vAlign w:val="center"/>
          </w:tcPr>
          <w:p w14:paraId="02D18629"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123.52 </w:t>
            </w:r>
            <w:r w:rsidRPr="00B6208A">
              <w:rPr>
                <w:rFonts w:ascii="Arial" w:hAnsi="Arial" w:cs="Arial"/>
                <w:sz w:val="20"/>
                <w:u w:val="single"/>
              </w:rPr>
              <w:t>+</w:t>
            </w:r>
            <w:r w:rsidRPr="00B6208A">
              <w:rPr>
                <w:rFonts w:ascii="Arial" w:hAnsi="Arial" w:cs="Arial"/>
                <w:sz w:val="20"/>
              </w:rPr>
              <w:t xml:space="preserve"> 0.92</w:t>
            </w:r>
            <w:r w:rsidRPr="00B6208A">
              <w:rPr>
                <w:rFonts w:ascii="Arial" w:hAnsi="Arial" w:cs="Arial"/>
                <w:sz w:val="20"/>
                <w:vertAlign w:val="superscript"/>
              </w:rPr>
              <w:t>c</w:t>
            </w:r>
          </w:p>
        </w:tc>
        <w:tc>
          <w:tcPr>
            <w:tcW w:w="1417" w:type="dxa"/>
            <w:shd w:val="clear" w:color="auto" w:fill="FFFFFF"/>
            <w:vAlign w:val="center"/>
          </w:tcPr>
          <w:p w14:paraId="3B14773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127.33 </w:t>
            </w:r>
            <w:r w:rsidRPr="00B6208A">
              <w:rPr>
                <w:rFonts w:ascii="Arial" w:hAnsi="Arial" w:cs="Arial"/>
                <w:sz w:val="20"/>
                <w:u w:val="single"/>
              </w:rPr>
              <w:t>+</w:t>
            </w:r>
            <w:r w:rsidRPr="00B6208A">
              <w:rPr>
                <w:rFonts w:ascii="Arial" w:hAnsi="Arial" w:cs="Arial"/>
                <w:sz w:val="20"/>
              </w:rPr>
              <w:t xml:space="preserve"> 1.07</w:t>
            </w:r>
            <w:r w:rsidRPr="00B6208A">
              <w:rPr>
                <w:rFonts w:ascii="Arial" w:hAnsi="Arial" w:cs="Arial"/>
                <w:sz w:val="20"/>
                <w:vertAlign w:val="superscript"/>
              </w:rPr>
              <w:t>cd</w:t>
            </w:r>
          </w:p>
        </w:tc>
        <w:tc>
          <w:tcPr>
            <w:tcW w:w="1559" w:type="dxa"/>
            <w:shd w:val="clear" w:color="auto" w:fill="FFFFFF"/>
            <w:vAlign w:val="center"/>
          </w:tcPr>
          <w:p w14:paraId="1B2F165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133.06 </w:t>
            </w:r>
            <w:r w:rsidRPr="00B6208A">
              <w:rPr>
                <w:rFonts w:ascii="Arial" w:hAnsi="Arial" w:cs="Arial"/>
                <w:sz w:val="20"/>
                <w:u w:val="single"/>
              </w:rPr>
              <w:t>+</w:t>
            </w:r>
            <w:r w:rsidRPr="00B6208A">
              <w:rPr>
                <w:rFonts w:ascii="Arial" w:hAnsi="Arial" w:cs="Arial"/>
                <w:sz w:val="20"/>
              </w:rPr>
              <w:t xml:space="preserve"> 1.09</w:t>
            </w:r>
            <w:r w:rsidRPr="00B6208A">
              <w:rPr>
                <w:rFonts w:ascii="Arial" w:hAnsi="Arial" w:cs="Arial"/>
                <w:sz w:val="20"/>
                <w:vertAlign w:val="superscript"/>
              </w:rPr>
              <w:t>d</w:t>
            </w:r>
          </w:p>
        </w:tc>
        <w:tc>
          <w:tcPr>
            <w:tcW w:w="1560" w:type="dxa"/>
            <w:shd w:val="clear" w:color="auto" w:fill="FFFFFF"/>
            <w:vAlign w:val="center"/>
          </w:tcPr>
          <w:p w14:paraId="7877B98D"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96.21 </w:t>
            </w:r>
            <w:r w:rsidRPr="00B6208A">
              <w:rPr>
                <w:rFonts w:ascii="Arial" w:hAnsi="Arial" w:cs="Arial"/>
                <w:sz w:val="20"/>
                <w:u w:val="single"/>
              </w:rPr>
              <w:t>+</w:t>
            </w:r>
            <w:r w:rsidRPr="00B6208A">
              <w:rPr>
                <w:rFonts w:ascii="Arial" w:hAnsi="Arial" w:cs="Arial"/>
                <w:sz w:val="20"/>
              </w:rPr>
              <w:t xml:space="preserve"> 2.60</w:t>
            </w:r>
            <w:r w:rsidRPr="00B6208A">
              <w:rPr>
                <w:rFonts w:ascii="Arial" w:hAnsi="Arial" w:cs="Arial"/>
                <w:sz w:val="20"/>
                <w:vertAlign w:val="superscript"/>
              </w:rPr>
              <w:t>a</w:t>
            </w:r>
          </w:p>
        </w:tc>
        <w:tc>
          <w:tcPr>
            <w:tcW w:w="1417" w:type="dxa"/>
            <w:shd w:val="clear" w:color="auto" w:fill="FFFFFF"/>
            <w:vAlign w:val="center"/>
          </w:tcPr>
          <w:p w14:paraId="241642C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98.36 </w:t>
            </w:r>
            <w:r w:rsidRPr="00B6208A">
              <w:rPr>
                <w:rFonts w:ascii="Arial" w:hAnsi="Arial" w:cs="Arial"/>
                <w:sz w:val="20"/>
                <w:u w:val="single"/>
              </w:rPr>
              <w:t>+</w:t>
            </w:r>
            <w:r w:rsidRPr="00B6208A">
              <w:rPr>
                <w:rFonts w:ascii="Arial" w:hAnsi="Arial" w:cs="Arial"/>
                <w:sz w:val="20"/>
              </w:rPr>
              <w:t xml:space="preserve"> 1.45</w:t>
            </w:r>
            <w:r w:rsidRPr="00B6208A">
              <w:rPr>
                <w:rFonts w:ascii="Arial" w:hAnsi="Arial" w:cs="Arial"/>
                <w:sz w:val="20"/>
                <w:vertAlign w:val="superscript"/>
              </w:rPr>
              <w:t>a</w:t>
            </w:r>
          </w:p>
        </w:tc>
        <w:tc>
          <w:tcPr>
            <w:tcW w:w="1559" w:type="dxa"/>
            <w:shd w:val="clear" w:color="auto" w:fill="FFFFFF"/>
            <w:vAlign w:val="center"/>
          </w:tcPr>
          <w:p w14:paraId="050D473B"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111.03 </w:t>
            </w:r>
            <w:r w:rsidRPr="00B6208A">
              <w:rPr>
                <w:rFonts w:ascii="Arial" w:hAnsi="Arial" w:cs="Arial"/>
                <w:sz w:val="20"/>
                <w:u w:val="single"/>
              </w:rPr>
              <w:t>+</w:t>
            </w:r>
            <w:r w:rsidRPr="00B6208A">
              <w:rPr>
                <w:rFonts w:ascii="Arial" w:hAnsi="Arial" w:cs="Arial"/>
                <w:sz w:val="20"/>
              </w:rPr>
              <w:t xml:space="preserve"> 2.21</w:t>
            </w:r>
            <w:r w:rsidRPr="00B6208A">
              <w:rPr>
                <w:rFonts w:ascii="Arial" w:hAnsi="Arial" w:cs="Arial"/>
                <w:sz w:val="20"/>
                <w:vertAlign w:val="superscript"/>
              </w:rPr>
              <w:t>b</w:t>
            </w:r>
          </w:p>
        </w:tc>
        <w:tc>
          <w:tcPr>
            <w:tcW w:w="1560" w:type="dxa"/>
            <w:shd w:val="clear" w:color="auto" w:fill="FFFFFF"/>
            <w:vAlign w:val="center"/>
          </w:tcPr>
          <w:p w14:paraId="697261F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123.39 </w:t>
            </w:r>
            <w:r w:rsidRPr="00B6208A">
              <w:rPr>
                <w:rFonts w:ascii="Arial" w:hAnsi="Arial" w:cs="Arial"/>
                <w:sz w:val="20"/>
                <w:u w:val="single"/>
              </w:rPr>
              <w:t>+</w:t>
            </w:r>
            <w:r w:rsidRPr="00B6208A">
              <w:rPr>
                <w:rFonts w:ascii="Arial" w:hAnsi="Arial" w:cs="Arial"/>
                <w:sz w:val="20"/>
              </w:rPr>
              <w:t xml:space="preserve"> 1.43</w:t>
            </w:r>
            <w:r w:rsidRPr="00B6208A">
              <w:rPr>
                <w:rFonts w:ascii="Arial" w:hAnsi="Arial" w:cs="Arial"/>
                <w:sz w:val="20"/>
                <w:vertAlign w:val="superscript"/>
              </w:rPr>
              <w:t>c</w:t>
            </w:r>
          </w:p>
        </w:tc>
      </w:tr>
    </w:tbl>
    <w:p w14:paraId="0A269E37" w14:textId="77777777" w:rsidR="00B6208A" w:rsidRDefault="00B6208A" w:rsidP="000D1CBA">
      <w:pPr>
        <w:spacing w:line="240" w:lineRule="auto"/>
        <w:jc w:val="both"/>
        <w:rPr>
          <w:rFonts w:ascii="Arial" w:hAnsi="Arial" w:cs="Arial"/>
          <w:sz w:val="20"/>
        </w:rPr>
      </w:pPr>
    </w:p>
    <w:p w14:paraId="069061CD" w14:textId="77777777" w:rsidR="000D1CBA" w:rsidRPr="00B6208A" w:rsidRDefault="000D1CBA" w:rsidP="000D1CBA">
      <w:pPr>
        <w:spacing w:line="240" w:lineRule="auto"/>
        <w:jc w:val="both"/>
        <w:rPr>
          <w:rFonts w:ascii="Arial" w:hAnsi="Arial" w:cs="Arial"/>
          <w:sz w:val="20"/>
        </w:rPr>
        <w:sectPr w:rsidR="000D1CBA" w:rsidRPr="00B6208A" w:rsidSect="00432A95">
          <w:pgSz w:w="16838" w:h="11906" w:orient="landscape"/>
          <w:pgMar w:top="567" w:right="851" w:bottom="567" w:left="1701" w:header="709" w:footer="709" w:gutter="0"/>
          <w:cols w:space="708"/>
          <w:docGrid w:linePitch="360"/>
        </w:sectPr>
      </w:pPr>
      <w:r w:rsidRPr="00B6208A">
        <w:rPr>
          <w:rFonts w:ascii="Arial" w:hAnsi="Arial" w:cs="Arial"/>
          <w:sz w:val="20"/>
        </w:rPr>
        <w:t xml:space="preserve">Note: </w:t>
      </w:r>
      <w:r w:rsidRPr="00B6208A">
        <w:rPr>
          <w:rFonts w:ascii="Arial" w:hAnsi="Arial" w:cs="Arial"/>
          <w:color w:val="000000"/>
          <w:sz w:val="20"/>
        </w:rPr>
        <w:t xml:space="preserve">n = 3, values are expressed as </w:t>
      </w:r>
      <w:r w:rsidRPr="00B6208A">
        <w:rPr>
          <w:rFonts w:ascii="Arial" w:hAnsi="Arial" w:cs="Arial"/>
          <w:sz w:val="20"/>
        </w:rPr>
        <w:t xml:space="preserve">(Mean ± SE). </w:t>
      </w:r>
      <w:r w:rsidRPr="00B6208A">
        <w:rPr>
          <w:rFonts w:ascii="Arial" w:hAnsi="Arial" w:cs="Arial"/>
          <w:color w:val="000000"/>
          <w:sz w:val="20"/>
        </w:rPr>
        <w:t>The means in the same row followed by different letters indicate a significant difference between treatments by Tukey's test (</w:t>
      </w:r>
      <w:r w:rsidRPr="00B6208A">
        <w:rPr>
          <w:rFonts w:ascii="Arial" w:hAnsi="Arial" w:cs="Arial"/>
          <w:i/>
          <w:iCs/>
          <w:color w:val="000000"/>
          <w:sz w:val="20"/>
        </w:rPr>
        <w:t>p</w:t>
      </w:r>
      <w:r w:rsidRPr="00B6208A">
        <w:rPr>
          <w:rFonts w:ascii="Arial" w:hAnsi="Arial" w:cs="Arial"/>
          <w:color w:val="000000"/>
          <w:sz w:val="20"/>
        </w:rPr>
        <w:t xml:space="preserve"> &lt; 0.05)</w:t>
      </w:r>
    </w:p>
    <w:p w14:paraId="6C04A354" w14:textId="77777777" w:rsidR="00F515B8" w:rsidRPr="00B6208A" w:rsidRDefault="00F515B8"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lastRenderedPageBreak/>
        <w:t xml:space="preserve">During study, the pH values in </w:t>
      </w:r>
      <w:r w:rsidRPr="00B6208A">
        <w:rPr>
          <w:rFonts w:ascii="Arial" w:hAnsi="Arial" w:cs="Arial"/>
          <w:i/>
          <w:iCs/>
          <w:color w:val="000000" w:themeColor="text1"/>
          <w:sz w:val="20"/>
        </w:rPr>
        <w:t>P. vannamei</w:t>
      </w:r>
      <w:r w:rsidRPr="00B6208A">
        <w:rPr>
          <w:rFonts w:ascii="Arial" w:hAnsi="Arial" w:cs="Arial"/>
          <w:color w:val="000000" w:themeColor="text1"/>
          <w:sz w:val="20"/>
        </w:rPr>
        <w:t xml:space="preserve"> biofloc treatments remained within an optimal range (7.79 to 7.92), indicating a stable buffering capacity. Slightly lower pH at higher stocking densities (BT3 and BT4) likely resulted from intensified microbial respiration and organic matter decomposition, which increase CO</w:t>
      </w:r>
      <w:r w:rsidRPr="00B6208A">
        <w:rPr>
          <w:rFonts w:ascii="Cambria Math" w:hAnsi="Cambria Math" w:cs="Cambria Math"/>
          <w:color w:val="000000" w:themeColor="text1"/>
          <w:sz w:val="20"/>
        </w:rPr>
        <w:t>₂</w:t>
      </w:r>
      <w:r w:rsidRPr="00B6208A">
        <w:rPr>
          <w:rFonts w:ascii="Arial" w:hAnsi="Arial" w:cs="Arial"/>
          <w:color w:val="000000" w:themeColor="text1"/>
          <w:sz w:val="20"/>
        </w:rPr>
        <w:t xml:space="preserve"> accumulation and carbonic acid formation </w:t>
      </w:r>
      <w:r w:rsidR="004F5714">
        <w:rPr>
          <w:rFonts w:ascii="Arial" w:hAnsi="Arial" w:cs="Arial"/>
          <w:color w:val="000000" w:themeColor="text1"/>
          <w:sz w:val="20"/>
        </w:rPr>
        <w:t>[17]</w:t>
      </w:r>
      <w:r w:rsidRPr="00B6208A">
        <w:rPr>
          <w:rFonts w:ascii="Arial" w:hAnsi="Arial" w:cs="Arial"/>
          <w:color w:val="000000" w:themeColor="text1"/>
          <w:sz w:val="20"/>
        </w:rPr>
        <w:t xml:space="preserve">. The addition of substrate appeared to minimise these fluctuations, as biofilm-associated microorganisms enhanced nitrification and carbon assimilation, thereby stabilising the acid–base equilibrium </w:t>
      </w:r>
      <w:r w:rsidR="004F5714">
        <w:rPr>
          <w:rFonts w:ascii="Arial" w:hAnsi="Arial" w:cs="Arial"/>
          <w:color w:val="000000" w:themeColor="text1"/>
          <w:sz w:val="20"/>
        </w:rPr>
        <w:t>[18]</w:t>
      </w:r>
      <w:r w:rsidRPr="00B6208A">
        <w:rPr>
          <w:rFonts w:ascii="Arial" w:hAnsi="Arial" w:cs="Arial"/>
          <w:color w:val="000000" w:themeColor="text1"/>
          <w:sz w:val="20"/>
        </w:rPr>
        <w:t>.</w:t>
      </w:r>
    </w:p>
    <w:p w14:paraId="08FAADA7" w14:textId="77777777" w:rsidR="00F515B8" w:rsidRPr="00B6208A" w:rsidRDefault="00F515B8"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Alkalinity followed a similar decreasing trend with rising density, ranging from 155.27 ± 0.60 mg L</w:t>
      </w:r>
      <w:r w:rsidRPr="00B6208A">
        <w:rPr>
          <w:rFonts w:ascii="Cambria Math" w:hAnsi="Cambria Math" w:cs="Cambria Math"/>
          <w:color w:val="000000" w:themeColor="text1"/>
          <w:sz w:val="20"/>
        </w:rPr>
        <w:t>⁻</w:t>
      </w:r>
      <w:r w:rsidRPr="00B6208A">
        <w:rPr>
          <w:rFonts w:ascii="Arial" w:hAnsi="Arial" w:cs="Arial"/>
          <w:color w:val="000000" w:themeColor="text1"/>
          <w:sz w:val="20"/>
        </w:rPr>
        <w:t>¹ (BT1) to 145.94 ± 2.33 mg L</w:t>
      </w:r>
      <w:r w:rsidRPr="00B6208A">
        <w:rPr>
          <w:rFonts w:ascii="Cambria Math" w:hAnsi="Cambria Math" w:cs="Cambria Math"/>
          <w:color w:val="000000" w:themeColor="text1"/>
          <w:sz w:val="20"/>
        </w:rPr>
        <w:t>⁻</w:t>
      </w:r>
      <w:r w:rsidRPr="00B6208A">
        <w:rPr>
          <w:rFonts w:ascii="Arial" w:hAnsi="Arial" w:cs="Arial"/>
          <w:color w:val="000000" w:themeColor="text1"/>
          <w:sz w:val="20"/>
        </w:rPr>
        <w:t>¹ (BT4), and from 154.69 ± 0.82 to 145.97 ± 2.21 mg L</w:t>
      </w:r>
      <w:r w:rsidRPr="00B6208A">
        <w:rPr>
          <w:rFonts w:ascii="Cambria Math" w:hAnsi="Cambria Math" w:cs="Cambria Math"/>
          <w:color w:val="000000" w:themeColor="text1"/>
          <w:sz w:val="20"/>
        </w:rPr>
        <w:t>⁻</w:t>
      </w:r>
      <w:r w:rsidRPr="00B6208A">
        <w:rPr>
          <w:rFonts w:ascii="Arial" w:hAnsi="Arial" w:cs="Arial"/>
          <w:color w:val="000000" w:themeColor="text1"/>
          <w:sz w:val="20"/>
        </w:rPr>
        <w:t xml:space="preserve">¹ in substrate-added systems. This reduction is attributed to active nitrification, where autotrophic bacteria oxidize ammonium to nitrate, consuming carbonate and bicarbonate ions </w:t>
      </w:r>
      <w:r w:rsidR="002376C5">
        <w:rPr>
          <w:rFonts w:ascii="Arial" w:hAnsi="Arial" w:cs="Arial"/>
          <w:color w:val="000000" w:themeColor="text1"/>
          <w:sz w:val="20"/>
        </w:rPr>
        <w:t>[19]</w:t>
      </w:r>
      <w:r w:rsidRPr="00B6208A">
        <w:rPr>
          <w:rFonts w:ascii="Arial" w:hAnsi="Arial" w:cs="Arial"/>
          <w:color w:val="000000" w:themeColor="text1"/>
          <w:sz w:val="20"/>
        </w:rPr>
        <w:t xml:space="preserve">. Additionally, heterotrophic bacteria utilize bicarbonate during nitrogen assimilation into microbial biomass </w:t>
      </w:r>
      <w:r w:rsidR="002376C5">
        <w:rPr>
          <w:rFonts w:ascii="Arial" w:hAnsi="Arial" w:cs="Arial"/>
          <w:color w:val="000000" w:themeColor="text1"/>
          <w:sz w:val="20"/>
        </w:rPr>
        <w:t>[20]</w:t>
      </w:r>
      <w:r w:rsidRPr="00B6208A">
        <w:rPr>
          <w:rFonts w:ascii="Arial" w:hAnsi="Arial" w:cs="Arial"/>
          <w:color w:val="000000" w:themeColor="text1"/>
          <w:sz w:val="20"/>
        </w:rPr>
        <w:t xml:space="preserve">. </w:t>
      </w:r>
      <w:r w:rsidR="00DC02C3">
        <w:rPr>
          <w:rFonts w:ascii="Arial" w:hAnsi="Arial" w:cs="Arial"/>
          <w:color w:val="000000" w:themeColor="text1"/>
          <w:sz w:val="20"/>
        </w:rPr>
        <w:t>In the present study substrate addition had not any impact on alkalinity, whereas in some references it was mentioned that s</w:t>
      </w:r>
      <w:r w:rsidRPr="00B6208A">
        <w:rPr>
          <w:rFonts w:ascii="Arial" w:hAnsi="Arial" w:cs="Arial"/>
          <w:color w:val="000000" w:themeColor="text1"/>
          <w:sz w:val="20"/>
        </w:rPr>
        <w:t xml:space="preserve">ubstrate treatments maintained slightly higher alkalinity, possibly due to periphytic biofilms that regulated carbonate dynamics and balanced microbial processes </w:t>
      </w:r>
      <w:r w:rsidR="002376C5">
        <w:rPr>
          <w:rFonts w:ascii="Arial" w:hAnsi="Arial" w:cs="Arial"/>
          <w:color w:val="000000" w:themeColor="text1"/>
          <w:sz w:val="20"/>
        </w:rPr>
        <w:t>[21].</w:t>
      </w:r>
    </w:p>
    <w:p w14:paraId="13E494F2" w14:textId="77777777" w:rsidR="00621BEF" w:rsidRPr="00B6208A" w:rsidRDefault="00621BEF"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 xml:space="preserve">The dissolved oxygen (DO) concentrations exhibited a gradual decline with increasing stocking density in both substrate-free (BT) and substrate-added (BST) treatments. With rising stocking densities, greater feed input and metabolic waste production further stimulate microbial proliferation, intensifying oxygen consumption </w:t>
      </w:r>
      <w:r w:rsidR="002376C5">
        <w:rPr>
          <w:rFonts w:ascii="Arial" w:hAnsi="Arial" w:cs="Arial"/>
          <w:color w:val="000000" w:themeColor="text1"/>
          <w:sz w:val="20"/>
        </w:rPr>
        <w:t>[22]</w:t>
      </w:r>
      <w:r w:rsidRPr="00B6208A">
        <w:rPr>
          <w:rFonts w:ascii="Arial" w:hAnsi="Arial" w:cs="Arial"/>
          <w:color w:val="000000" w:themeColor="text1"/>
          <w:sz w:val="20"/>
        </w:rPr>
        <w:t xml:space="preserve">. The presence of substrates in BST treatments also contributed to slightly lower DO levels. Substrates facilitate colonization by periphytic microorganisms, which, beneficial for nutrient recycling and biofilm development, increase microbial respiration </w:t>
      </w:r>
      <w:r w:rsidR="002376C5">
        <w:rPr>
          <w:rFonts w:ascii="Arial" w:hAnsi="Arial" w:cs="Arial"/>
          <w:color w:val="000000" w:themeColor="text1"/>
          <w:sz w:val="20"/>
        </w:rPr>
        <w:t>[18]</w:t>
      </w:r>
      <w:r w:rsidRPr="00B6208A">
        <w:rPr>
          <w:rFonts w:ascii="Arial" w:hAnsi="Arial" w:cs="Arial"/>
          <w:color w:val="000000" w:themeColor="text1"/>
          <w:sz w:val="20"/>
        </w:rPr>
        <w:t xml:space="preserve">. Dense biofilm layers can create </w:t>
      </w:r>
      <w:proofErr w:type="spellStart"/>
      <w:r w:rsidRPr="00B6208A">
        <w:rPr>
          <w:rFonts w:ascii="Arial" w:hAnsi="Arial" w:cs="Arial"/>
          <w:color w:val="000000" w:themeColor="text1"/>
          <w:sz w:val="20"/>
        </w:rPr>
        <w:t>microzones</w:t>
      </w:r>
      <w:proofErr w:type="spellEnd"/>
      <w:r w:rsidRPr="00B6208A">
        <w:rPr>
          <w:rFonts w:ascii="Arial" w:hAnsi="Arial" w:cs="Arial"/>
          <w:color w:val="000000" w:themeColor="text1"/>
          <w:sz w:val="20"/>
        </w:rPr>
        <w:t xml:space="preserve"> of hypoxia, especially under high organic loading, further reducing DO </w:t>
      </w:r>
      <w:r w:rsidR="002376C5">
        <w:rPr>
          <w:rFonts w:ascii="Arial" w:hAnsi="Arial" w:cs="Arial"/>
          <w:color w:val="000000" w:themeColor="text1"/>
          <w:sz w:val="20"/>
        </w:rPr>
        <w:t>[21]</w:t>
      </w:r>
      <w:r w:rsidRPr="00B6208A">
        <w:rPr>
          <w:rFonts w:ascii="Arial" w:hAnsi="Arial" w:cs="Arial"/>
          <w:color w:val="000000" w:themeColor="text1"/>
          <w:sz w:val="20"/>
        </w:rPr>
        <w:t>.</w:t>
      </w:r>
    </w:p>
    <w:p w14:paraId="4332C102" w14:textId="77777777" w:rsidR="00621BEF" w:rsidRPr="00B6208A" w:rsidRDefault="00621BEF" w:rsidP="00B6208A">
      <w:pPr>
        <w:spacing w:after="240" w:line="240" w:lineRule="auto"/>
        <w:ind w:firstLine="720"/>
        <w:jc w:val="both"/>
        <w:rPr>
          <w:rFonts w:ascii="Arial" w:hAnsi="Arial" w:cs="Arial"/>
          <w:b/>
          <w:bCs/>
          <w:color w:val="000000" w:themeColor="text1"/>
          <w:sz w:val="20"/>
        </w:rPr>
      </w:pPr>
      <w:r w:rsidRPr="00B6208A">
        <w:rPr>
          <w:rFonts w:ascii="Arial" w:hAnsi="Arial" w:cs="Arial"/>
          <w:color w:val="000000" w:themeColor="text1"/>
          <w:sz w:val="20"/>
        </w:rPr>
        <w:t xml:space="preserve">Orthophosphate concentration increased progressively with increasing stocking density in both substrate-free and substrate-added systems. The higher orthophosphate levels observed in high-density treatments (BT4 and BST4) may be attributed to greater feed input and metabolic waste generation, which contribute to elevated phosphorus loading in the culture water </w:t>
      </w:r>
      <w:r w:rsidR="002376C5">
        <w:rPr>
          <w:rFonts w:ascii="Arial" w:hAnsi="Arial" w:cs="Arial"/>
          <w:color w:val="000000" w:themeColor="text1"/>
          <w:sz w:val="20"/>
        </w:rPr>
        <w:t>[23]</w:t>
      </w:r>
      <w:r w:rsidRPr="00B6208A">
        <w:rPr>
          <w:rFonts w:ascii="Arial" w:hAnsi="Arial" w:cs="Arial"/>
          <w:color w:val="000000" w:themeColor="text1"/>
          <w:sz w:val="20"/>
        </w:rPr>
        <w:t xml:space="preserve">. The significantly higher orthophosphate concentrations in substrate-added tanks could be due to microbial mineralization of organic matter accumulated on the substrate surface, leading to the release of phosphate ions into the water column </w:t>
      </w:r>
      <w:r w:rsidR="00DF7B2B">
        <w:rPr>
          <w:rFonts w:ascii="Arial" w:hAnsi="Arial" w:cs="Arial"/>
          <w:color w:val="000000" w:themeColor="text1"/>
          <w:sz w:val="20"/>
        </w:rPr>
        <w:t>[20]</w:t>
      </w:r>
      <w:r w:rsidRPr="00B6208A">
        <w:rPr>
          <w:rFonts w:ascii="Arial" w:hAnsi="Arial" w:cs="Arial"/>
          <w:color w:val="000000" w:themeColor="text1"/>
          <w:sz w:val="20"/>
        </w:rPr>
        <w:t xml:space="preserve">. </w:t>
      </w:r>
    </w:p>
    <w:p w14:paraId="0D23534E" w14:textId="77777777" w:rsidR="000D1CBA" w:rsidRPr="00B6208A" w:rsidRDefault="00621BEF" w:rsidP="00B6208A">
      <w:pPr>
        <w:spacing w:after="240" w:line="240" w:lineRule="auto"/>
        <w:ind w:firstLine="720"/>
        <w:jc w:val="both"/>
        <w:rPr>
          <w:rFonts w:ascii="Arial" w:hAnsi="Arial" w:cs="Arial"/>
          <w:color w:val="000000"/>
          <w:sz w:val="20"/>
        </w:rPr>
      </w:pPr>
      <w:r w:rsidRPr="00B6208A">
        <w:rPr>
          <w:rFonts w:ascii="Arial" w:hAnsi="Arial" w:cs="Arial"/>
          <w:color w:val="000000" w:themeColor="text1"/>
          <w:sz w:val="20"/>
        </w:rPr>
        <w:t>In the present study, total ammonia-nitrogen (TAN) levels ranged from 0.</w:t>
      </w:r>
      <w:r w:rsidR="00DC02C3">
        <w:rPr>
          <w:rFonts w:ascii="Arial" w:hAnsi="Arial" w:cs="Arial"/>
          <w:color w:val="000000" w:themeColor="text1"/>
          <w:sz w:val="20"/>
        </w:rPr>
        <w:t>32</w:t>
      </w:r>
      <w:r w:rsidRPr="00B6208A">
        <w:rPr>
          <w:rFonts w:ascii="Arial" w:hAnsi="Arial" w:cs="Arial"/>
          <w:color w:val="000000" w:themeColor="text1"/>
          <w:sz w:val="20"/>
        </w:rPr>
        <w:t xml:space="preserve"> to </w:t>
      </w:r>
      <w:r w:rsidR="00DC02C3">
        <w:rPr>
          <w:rFonts w:ascii="Arial" w:hAnsi="Arial" w:cs="Arial"/>
          <w:color w:val="000000" w:themeColor="text1"/>
          <w:sz w:val="20"/>
        </w:rPr>
        <w:t>0.55</w:t>
      </w:r>
      <w:r w:rsidRPr="00B6208A">
        <w:rPr>
          <w:rFonts w:ascii="Arial" w:hAnsi="Arial" w:cs="Arial"/>
          <w:color w:val="000000" w:themeColor="text1"/>
          <w:sz w:val="20"/>
        </w:rPr>
        <w:t xml:space="preserve"> mg L</w:t>
      </w:r>
      <w:r w:rsidRPr="00B6208A">
        <w:rPr>
          <w:rFonts w:ascii="Cambria Math" w:hAnsi="Cambria Math" w:cs="Cambria Math"/>
          <w:color w:val="000000" w:themeColor="text1"/>
          <w:sz w:val="20"/>
        </w:rPr>
        <w:t>⁻</w:t>
      </w:r>
      <w:r w:rsidRPr="00B6208A">
        <w:rPr>
          <w:rFonts w:ascii="Arial" w:hAnsi="Arial" w:cs="Arial"/>
          <w:color w:val="000000" w:themeColor="text1"/>
          <w:sz w:val="20"/>
        </w:rPr>
        <w:t xml:space="preserve">¹, remaining within the acceptable limit for biofloc-based shrimp culture. TAN levels showed a density-dependent increase in both systems, with comparatively lower concentrations in substrate-added tanks at lower stocking densities. The reduced TAN in substrate-based lower stocking density systems (BST1 and BST2) can be due to enhanced microbial colonization on the substrate, which provides a larger surface area for biofilm development and nitrifying bacterial activity </w:t>
      </w:r>
      <w:r w:rsidR="002376C5">
        <w:rPr>
          <w:rFonts w:ascii="Arial" w:hAnsi="Arial" w:cs="Arial"/>
          <w:color w:val="000000" w:themeColor="text1"/>
          <w:sz w:val="20"/>
        </w:rPr>
        <w:t>[24]</w:t>
      </w:r>
      <w:r w:rsidRPr="00B6208A">
        <w:rPr>
          <w:rFonts w:ascii="Arial" w:hAnsi="Arial" w:cs="Arial"/>
          <w:color w:val="000000" w:themeColor="text1"/>
          <w:sz w:val="20"/>
        </w:rPr>
        <w:t>.</w:t>
      </w:r>
    </w:p>
    <w:p w14:paraId="1F3F8831" w14:textId="77777777" w:rsidR="0052446A" w:rsidRPr="00B6208A" w:rsidRDefault="00E943C2"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 xml:space="preserve">Nitrite-N concentrations also varied significantly across treatments, with lower levels consistently observed in substrate-added tanks. The lower nitrite concentrations in substrate-based systems, particularly in BST1, may indicate improved nitrification efficiency due to the establishment of a stable community of </w:t>
      </w:r>
      <w:r w:rsidRPr="00B6208A">
        <w:rPr>
          <w:rFonts w:ascii="Arial" w:hAnsi="Arial" w:cs="Arial"/>
          <w:i/>
          <w:iCs/>
          <w:color w:val="000000" w:themeColor="text1"/>
          <w:sz w:val="20"/>
        </w:rPr>
        <w:t>Nitrosomonas</w:t>
      </w:r>
      <w:r w:rsidRPr="00B6208A">
        <w:rPr>
          <w:rFonts w:ascii="Arial" w:hAnsi="Arial" w:cs="Arial"/>
          <w:color w:val="000000" w:themeColor="text1"/>
          <w:sz w:val="20"/>
        </w:rPr>
        <w:t xml:space="preserve"> and </w:t>
      </w:r>
      <w:r w:rsidRPr="00B6208A">
        <w:rPr>
          <w:rFonts w:ascii="Arial" w:hAnsi="Arial" w:cs="Arial"/>
          <w:i/>
          <w:iCs/>
          <w:color w:val="000000" w:themeColor="text1"/>
          <w:sz w:val="20"/>
        </w:rPr>
        <w:t>Nitrobacter</w:t>
      </w:r>
      <w:r w:rsidRPr="00B6208A">
        <w:rPr>
          <w:rFonts w:ascii="Arial" w:hAnsi="Arial" w:cs="Arial"/>
          <w:color w:val="000000" w:themeColor="text1"/>
          <w:sz w:val="20"/>
        </w:rPr>
        <w:t xml:space="preserve"> bacteria within biofilms </w:t>
      </w:r>
      <w:r w:rsidR="00D05AC9">
        <w:rPr>
          <w:rFonts w:ascii="Arial" w:hAnsi="Arial" w:cs="Arial"/>
          <w:color w:val="000000" w:themeColor="text1"/>
          <w:sz w:val="20"/>
        </w:rPr>
        <w:t>[25]</w:t>
      </w:r>
      <w:r w:rsidRPr="00B6208A">
        <w:rPr>
          <w:rFonts w:ascii="Arial" w:hAnsi="Arial" w:cs="Arial"/>
          <w:color w:val="000000" w:themeColor="text1"/>
          <w:sz w:val="20"/>
        </w:rPr>
        <w:t>.</w:t>
      </w:r>
    </w:p>
    <w:p w14:paraId="635883C2" w14:textId="77777777" w:rsidR="00E943C2" w:rsidRPr="00B6208A" w:rsidRDefault="00E943C2"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 xml:space="preserve">Nitrate-N levels followed a similar pattern, showing significant differences between substrate and non-substrate treatments. Substrate-assisted systems exhibited lower nitrate concentrations, likely due to partial de-nitrification processes occurring in the anaerobic micro zones within biofloc and on substrate surfaces </w:t>
      </w:r>
      <w:r w:rsidR="00D05AC9">
        <w:rPr>
          <w:rFonts w:ascii="Arial" w:hAnsi="Arial" w:cs="Arial"/>
          <w:color w:val="000000" w:themeColor="text1"/>
          <w:sz w:val="20"/>
        </w:rPr>
        <w:t>[26]</w:t>
      </w:r>
      <w:r w:rsidRPr="00B6208A">
        <w:rPr>
          <w:rFonts w:ascii="Arial" w:hAnsi="Arial" w:cs="Arial"/>
          <w:color w:val="000000" w:themeColor="text1"/>
          <w:sz w:val="20"/>
        </w:rPr>
        <w:t>.</w:t>
      </w:r>
    </w:p>
    <w:p w14:paraId="55C3A003" w14:textId="77777777" w:rsidR="00E943C2" w:rsidRPr="00B6208A" w:rsidRDefault="00E943C2"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In the present study substrate addition markedly enhanced chlorophyll-a</w:t>
      </w:r>
      <w:r w:rsidR="00126D7D" w:rsidRPr="00B6208A">
        <w:rPr>
          <w:rFonts w:ascii="Arial" w:hAnsi="Arial" w:cs="Arial"/>
          <w:color w:val="000000" w:themeColor="text1"/>
          <w:sz w:val="20"/>
        </w:rPr>
        <w:t xml:space="preserve"> concentration.</w:t>
      </w:r>
      <w:r w:rsidRPr="00B6208A">
        <w:rPr>
          <w:rFonts w:ascii="Arial" w:hAnsi="Arial" w:cs="Arial"/>
          <w:color w:val="000000" w:themeColor="text1"/>
          <w:sz w:val="20"/>
        </w:rPr>
        <w:t xml:space="preserve"> </w:t>
      </w:r>
      <w:r w:rsidR="00126D7D" w:rsidRPr="00B6208A">
        <w:rPr>
          <w:rFonts w:ascii="Arial" w:hAnsi="Arial" w:cs="Arial"/>
          <w:color w:val="000000" w:themeColor="text1"/>
          <w:sz w:val="20"/>
        </w:rPr>
        <w:t>Across</w:t>
      </w:r>
      <w:r w:rsidRPr="00B6208A">
        <w:rPr>
          <w:rFonts w:ascii="Arial" w:hAnsi="Arial" w:cs="Arial"/>
          <w:color w:val="000000" w:themeColor="text1"/>
          <w:sz w:val="20"/>
        </w:rPr>
        <w:t xml:space="preserve"> all densities surfaces for periphyton and microbial colonisation, promoting nutrient recycling and localised enrichment favourable for phytoplankton growth </w:t>
      </w:r>
      <w:r w:rsidR="00D05AC9">
        <w:rPr>
          <w:rFonts w:ascii="Arial" w:hAnsi="Arial" w:cs="Arial"/>
          <w:color w:val="000000" w:themeColor="text1"/>
          <w:sz w:val="20"/>
        </w:rPr>
        <w:t>[27]</w:t>
      </w:r>
      <w:r w:rsidRPr="00B6208A">
        <w:rPr>
          <w:rFonts w:ascii="Arial" w:hAnsi="Arial" w:cs="Arial"/>
          <w:color w:val="000000" w:themeColor="text1"/>
          <w:sz w:val="20"/>
        </w:rPr>
        <w:t>.</w:t>
      </w:r>
      <w:r w:rsidR="00126D7D" w:rsidRPr="00B6208A">
        <w:rPr>
          <w:rFonts w:ascii="Arial" w:hAnsi="Arial" w:cs="Arial"/>
          <w:color w:val="000000" w:themeColor="text1"/>
          <w:sz w:val="20"/>
        </w:rPr>
        <w:t xml:space="preserve"> The reduction in chlorophyll-a with increasing density may result from intensified grazing pressure and nutrient competition between phytoplankton and heterotrophic microbes. Elevated shrimp biomass increases organic load and turbidity, reducing light penetration and photosynthetic activity </w:t>
      </w:r>
      <w:r w:rsidR="00D05AC9">
        <w:rPr>
          <w:rFonts w:ascii="Arial" w:hAnsi="Arial" w:cs="Arial"/>
          <w:color w:val="000000" w:themeColor="text1"/>
          <w:sz w:val="20"/>
        </w:rPr>
        <w:t>[20,28]</w:t>
      </w:r>
      <w:r w:rsidR="00126D7D" w:rsidRPr="00B6208A">
        <w:rPr>
          <w:rFonts w:ascii="Arial" w:hAnsi="Arial" w:cs="Arial"/>
          <w:color w:val="000000" w:themeColor="text1"/>
          <w:sz w:val="20"/>
        </w:rPr>
        <w:t>.</w:t>
      </w:r>
    </w:p>
    <w:p w14:paraId="4CDE7A91" w14:textId="77777777" w:rsidR="00126D7D" w:rsidRPr="00B6208A" w:rsidRDefault="00126D7D"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The biofloc vo</w:t>
      </w:r>
      <w:r w:rsidR="00D05AC9">
        <w:rPr>
          <w:rFonts w:ascii="Arial" w:hAnsi="Arial" w:cs="Arial"/>
          <w:color w:val="000000" w:themeColor="text1"/>
          <w:sz w:val="20"/>
        </w:rPr>
        <w:t>lume increased significantly (p&lt;</w:t>
      </w:r>
      <w:r w:rsidRPr="00B6208A">
        <w:rPr>
          <w:rFonts w:ascii="Arial" w:hAnsi="Arial" w:cs="Arial"/>
          <w:color w:val="000000" w:themeColor="text1"/>
          <w:sz w:val="20"/>
        </w:rPr>
        <w:t>0.05) with rising stocking densities in non-substrate treatments, with the highest values observed in BT4 (7.15 ± 0.12 ml L</w:t>
      </w:r>
      <w:r w:rsidRPr="00B6208A">
        <w:rPr>
          <w:rFonts w:ascii="Cambria Math" w:hAnsi="Cambria Math" w:cs="Cambria Math"/>
          <w:color w:val="000000" w:themeColor="text1"/>
          <w:sz w:val="20"/>
        </w:rPr>
        <w:t>⁻</w:t>
      </w:r>
      <w:r w:rsidRPr="00B6208A">
        <w:rPr>
          <w:rFonts w:ascii="Arial" w:hAnsi="Arial" w:cs="Arial"/>
          <w:color w:val="000000" w:themeColor="text1"/>
          <w:sz w:val="20"/>
        </w:rPr>
        <w:t xml:space="preserve">¹). Higher stocking densities increase organic loading from uneaten feed and shrimp excreta, providing a carbon source </w:t>
      </w:r>
      <w:r w:rsidRPr="00B6208A">
        <w:rPr>
          <w:rFonts w:ascii="Arial" w:hAnsi="Arial" w:cs="Arial"/>
          <w:color w:val="000000" w:themeColor="text1"/>
          <w:sz w:val="20"/>
        </w:rPr>
        <w:lastRenderedPageBreak/>
        <w:t xml:space="preserve">for microbial growth and floc formation </w:t>
      </w:r>
      <w:r w:rsidR="00D05AC9">
        <w:rPr>
          <w:rFonts w:ascii="Arial" w:hAnsi="Arial" w:cs="Arial"/>
          <w:color w:val="000000" w:themeColor="text1"/>
          <w:sz w:val="20"/>
        </w:rPr>
        <w:t>[29]</w:t>
      </w:r>
      <w:r w:rsidRPr="00B6208A">
        <w:rPr>
          <w:rFonts w:ascii="Arial" w:hAnsi="Arial" w:cs="Arial"/>
          <w:color w:val="000000" w:themeColor="text1"/>
          <w:sz w:val="20"/>
        </w:rPr>
        <w:t xml:space="preserve">. Our findings are consistent with earlier studies that report an increase in floc volume with increased stocking density </w:t>
      </w:r>
      <w:r w:rsidR="00D05AC9">
        <w:rPr>
          <w:rFonts w:ascii="Arial" w:hAnsi="Arial" w:cs="Arial"/>
          <w:color w:val="000000" w:themeColor="text1"/>
          <w:sz w:val="20"/>
        </w:rPr>
        <w:t>[30, 31]</w:t>
      </w:r>
      <w:r w:rsidRPr="00B6208A">
        <w:rPr>
          <w:rFonts w:ascii="Arial" w:hAnsi="Arial" w:cs="Arial"/>
          <w:color w:val="000000" w:themeColor="text1"/>
          <w:sz w:val="20"/>
        </w:rPr>
        <w:t>.</w:t>
      </w:r>
    </w:p>
    <w:p w14:paraId="0E10E099" w14:textId="77777777" w:rsidR="00126D7D" w:rsidRPr="00B6208A" w:rsidRDefault="00126D7D"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The Total Suspended Solids (TSS) followed a trend similar to biofloc volume, increasing significantly (p&lt;0.05) with stocking density across treatments. The highest TSS (133.06 ± 1.09 mg L</w:t>
      </w:r>
      <w:r w:rsidRPr="00B6208A">
        <w:rPr>
          <w:rFonts w:ascii="Cambria Math" w:hAnsi="Cambria Math" w:cs="Cambria Math"/>
          <w:color w:val="000000" w:themeColor="text1"/>
          <w:sz w:val="20"/>
        </w:rPr>
        <w:t>⁻</w:t>
      </w:r>
      <w:r w:rsidRPr="00B6208A">
        <w:rPr>
          <w:rFonts w:ascii="Arial" w:hAnsi="Arial" w:cs="Arial"/>
          <w:color w:val="000000" w:themeColor="text1"/>
          <w:sz w:val="20"/>
        </w:rPr>
        <w:t>¹) was observed in BT4, while substrate-based tanks exhibited comparatively lower values, indicating that substrate addition reduces particulate suspension and enhances biofloc sedimentation</w:t>
      </w:r>
      <w:r w:rsidR="00D05AC9">
        <w:rPr>
          <w:rFonts w:ascii="Arial" w:hAnsi="Arial" w:cs="Arial"/>
          <w:color w:val="000000" w:themeColor="text1"/>
          <w:sz w:val="20"/>
        </w:rPr>
        <w:t xml:space="preserve"> [5]</w:t>
      </w:r>
      <w:r w:rsidRPr="00B6208A">
        <w:rPr>
          <w:rFonts w:ascii="Arial" w:hAnsi="Arial" w:cs="Arial"/>
          <w:color w:val="000000" w:themeColor="text1"/>
          <w:sz w:val="20"/>
        </w:rPr>
        <w:t xml:space="preserve">. Elevated TSS at higher densities in non-substrate tanks likely resulted from increased organic loading and shrimp-induced turbulence, which hinder particle settling </w:t>
      </w:r>
      <w:r w:rsidR="00D05AC9">
        <w:rPr>
          <w:rFonts w:ascii="Arial" w:hAnsi="Arial" w:cs="Arial"/>
          <w:color w:val="000000" w:themeColor="text1"/>
          <w:sz w:val="20"/>
        </w:rPr>
        <w:t>[29]</w:t>
      </w:r>
      <w:r w:rsidRPr="00B6208A">
        <w:rPr>
          <w:rFonts w:ascii="Arial" w:hAnsi="Arial" w:cs="Arial"/>
          <w:color w:val="000000" w:themeColor="text1"/>
          <w:sz w:val="20"/>
        </w:rPr>
        <w:t>.</w:t>
      </w:r>
      <w:r w:rsidR="00B6208A" w:rsidRPr="00B6208A">
        <w:rPr>
          <w:rFonts w:ascii="Arial" w:hAnsi="Arial" w:cs="Arial"/>
          <w:color w:val="000000" w:themeColor="text1"/>
          <w:sz w:val="20"/>
        </w:rPr>
        <w:t xml:space="preserve"> </w:t>
      </w:r>
      <w:r w:rsidR="00B6208A" w:rsidRPr="00B6208A">
        <w:rPr>
          <w:rFonts w:ascii="Arial" w:hAnsi="Arial" w:cs="Arial"/>
          <w:sz w:val="20"/>
        </w:rPr>
        <w:t xml:space="preserve">The biofloc system with incorporation of submerged substrate showed significantly lower level of Biofloc volume and TSS compared to without based treatment </w:t>
      </w:r>
      <w:r w:rsidR="00D05AC9">
        <w:rPr>
          <w:rFonts w:ascii="Arial" w:hAnsi="Arial" w:cs="Arial"/>
          <w:sz w:val="20"/>
        </w:rPr>
        <w:t>[32].</w:t>
      </w:r>
    </w:p>
    <w:p w14:paraId="388511D8" w14:textId="77777777" w:rsidR="00D417DA" w:rsidRPr="00B6208A" w:rsidRDefault="00D417DA" w:rsidP="00B6208A">
      <w:pPr>
        <w:tabs>
          <w:tab w:val="left" w:pos="0"/>
        </w:tabs>
        <w:spacing w:after="240" w:line="240" w:lineRule="auto"/>
        <w:jc w:val="both"/>
        <w:rPr>
          <w:rFonts w:ascii="Arial" w:hAnsi="Arial" w:cs="Arial"/>
          <w:bCs/>
          <w:color w:val="000000"/>
          <w:sz w:val="20"/>
        </w:rPr>
      </w:pPr>
      <w:r w:rsidRPr="00B6208A">
        <w:rPr>
          <w:rFonts w:ascii="Arial" w:hAnsi="Arial" w:cs="Arial"/>
          <w:b/>
          <w:sz w:val="20"/>
        </w:rPr>
        <w:t>3.</w:t>
      </w:r>
      <w:r w:rsidR="00B6208A">
        <w:rPr>
          <w:rFonts w:ascii="Arial" w:hAnsi="Arial" w:cs="Arial"/>
          <w:b/>
          <w:sz w:val="20"/>
        </w:rPr>
        <w:t>2</w:t>
      </w:r>
      <w:r w:rsidRPr="00B6208A">
        <w:rPr>
          <w:rFonts w:ascii="Arial" w:hAnsi="Arial" w:cs="Arial"/>
          <w:b/>
          <w:sz w:val="20"/>
        </w:rPr>
        <w:t xml:space="preserve"> Microbial analysis:</w:t>
      </w:r>
    </w:p>
    <w:p w14:paraId="640A5126" w14:textId="77777777" w:rsidR="00D417DA" w:rsidRPr="00B6208A" w:rsidRDefault="00176D00" w:rsidP="00B6208A">
      <w:pPr>
        <w:spacing w:after="240" w:line="240" w:lineRule="auto"/>
        <w:ind w:firstLine="720"/>
        <w:jc w:val="both"/>
        <w:rPr>
          <w:rFonts w:ascii="Arial" w:eastAsia="Times New Roman" w:hAnsi="Arial" w:cs="Arial"/>
          <w:color w:val="0070C0"/>
          <w:sz w:val="20"/>
          <w:lang w:eastAsia="en-IN" w:bidi="hi-IN"/>
        </w:rPr>
      </w:pPr>
      <w:r w:rsidRPr="00B6208A">
        <w:rPr>
          <w:rFonts w:ascii="Arial" w:eastAsia="Times New Roman" w:hAnsi="Arial" w:cs="Arial"/>
          <w:sz w:val="20"/>
          <w:lang w:eastAsia="en-IN" w:bidi="hi-IN"/>
        </w:rPr>
        <w:t xml:space="preserve">Microbial analysis of different stocking density treatments in the indoor biofloc-based rearing system of </w:t>
      </w:r>
      <w:r w:rsidRPr="00B6208A">
        <w:rPr>
          <w:rFonts w:ascii="Arial" w:eastAsia="Times New Roman" w:hAnsi="Arial" w:cs="Arial"/>
          <w:i/>
          <w:iCs/>
          <w:sz w:val="20"/>
          <w:lang w:eastAsia="en-IN" w:bidi="hi-IN"/>
        </w:rPr>
        <w:t>P. vannamei</w:t>
      </w:r>
      <w:r w:rsidRPr="00B6208A">
        <w:rPr>
          <w:rFonts w:ascii="Arial" w:eastAsia="Times New Roman" w:hAnsi="Arial" w:cs="Arial"/>
          <w:sz w:val="20"/>
          <w:lang w:eastAsia="en-IN" w:bidi="hi-IN"/>
        </w:rPr>
        <w:t xml:space="preserve">, conducted over 30 days with and without substrate, is presented in Table 2. </w:t>
      </w:r>
    </w:p>
    <w:p w14:paraId="7AD81C28" w14:textId="77777777" w:rsidR="00176D00" w:rsidRDefault="00176D00" w:rsidP="00D417DA">
      <w:pPr>
        <w:spacing w:after="0" w:line="360" w:lineRule="auto"/>
        <w:jc w:val="both"/>
        <w:rPr>
          <w:rFonts w:ascii="Times New Roman" w:eastAsia="Times New Roman" w:hAnsi="Times New Roman" w:cs="Times New Roman"/>
          <w:color w:val="0070C0"/>
          <w:lang w:eastAsia="en-IN" w:bidi="hi-IN"/>
        </w:rPr>
      </w:pPr>
    </w:p>
    <w:p w14:paraId="4FBD2650" w14:textId="77777777" w:rsidR="00176D00" w:rsidRDefault="00176D00" w:rsidP="00D417DA">
      <w:pPr>
        <w:spacing w:after="0" w:line="360" w:lineRule="auto"/>
        <w:jc w:val="both"/>
        <w:rPr>
          <w:rFonts w:ascii="Times New Roman" w:eastAsia="Times New Roman" w:hAnsi="Times New Roman" w:cs="Times New Roman"/>
          <w:color w:val="0070C0"/>
          <w:lang w:eastAsia="en-IN" w:bidi="hi-IN"/>
        </w:rPr>
      </w:pPr>
    </w:p>
    <w:p w14:paraId="2673A79A" w14:textId="77777777" w:rsidR="00176D00" w:rsidRDefault="00176D00" w:rsidP="00D417DA">
      <w:pPr>
        <w:spacing w:after="0" w:line="360" w:lineRule="auto"/>
        <w:jc w:val="both"/>
        <w:rPr>
          <w:rFonts w:ascii="Times New Roman" w:eastAsia="Times New Roman" w:hAnsi="Times New Roman" w:cs="Times New Roman"/>
          <w:color w:val="0070C0"/>
          <w:lang w:eastAsia="en-IN" w:bidi="hi-IN"/>
        </w:rPr>
      </w:pPr>
    </w:p>
    <w:p w14:paraId="3DF17EEF" w14:textId="77777777" w:rsidR="00176D00" w:rsidRDefault="00176D00" w:rsidP="00D417DA">
      <w:pPr>
        <w:spacing w:after="0" w:line="360" w:lineRule="auto"/>
        <w:jc w:val="both"/>
        <w:rPr>
          <w:rFonts w:ascii="Times New Roman" w:eastAsia="Times New Roman" w:hAnsi="Times New Roman" w:cs="Times New Roman"/>
          <w:color w:val="0070C0"/>
          <w:lang w:eastAsia="en-IN" w:bidi="hi-IN"/>
        </w:rPr>
      </w:pPr>
    </w:p>
    <w:p w14:paraId="749F754E" w14:textId="77777777" w:rsidR="00176D00" w:rsidRDefault="00176D00" w:rsidP="00D417DA">
      <w:pPr>
        <w:spacing w:after="0" w:line="360" w:lineRule="auto"/>
        <w:jc w:val="both"/>
        <w:rPr>
          <w:rFonts w:ascii="Times New Roman" w:eastAsia="Times New Roman" w:hAnsi="Times New Roman" w:cs="Times New Roman"/>
          <w:color w:val="0070C0"/>
          <w:lang w:eastAsia="en-IN" w:bidi="hi-IN"/>
        </w:rPr>
      </w:pPr>
    </w:p>
    <w:p w14:paraId="2464336A" w14:textId="77777777" w:rsidR="00176D00" w:rsidRDefault="00176D00" w:rsidP="00D417DA">
      <w:pPr>
        <w:spacing w:after="0" w:line="360" w:lineRule="auto"/>
        <w:jc w:val="both"/>
        <w:rPr>
          <w:rFonts w:ascii="Times New Roman" w:eastAsia="Times New Roman" w:hAnsi="Times New Roman" w:cs="Times New Roman"/>
          <w:color w:val="0070C0"/>
          <w:lang w:eastAsia="en-IN" w:bidi="hi-IN"/>
        </w:rPr>
        <w:sectPr w:rsidR="00176D00" w:rsidSect="00F515B8">
          <w:pgSz w:w="11906" w:h="16838"/>
          <w:pgMar w:top="1440" w:right="1440" w:bottom="1440" w:left="1440" w:header="709" w:footer="709" w:gutter="0"/>
          <w:cols w:space="708"/>
          <w:docGrid w:linePitch="360"/>
        </w:sectPr>
      </w:pPr>
    </w:p>
    <w:p w14:paraId="33152993" w14:textId="77777777" w:rsidR="00176D00" w:rsidRPr="00B6208A" w:rsidRDefault="00176D00" w:rsidP="00D417DA">
      <w:pPr>
        <w:spacing w:after="0" w:line="360" w:lineRule="auto"/>
        <w:jc w:val="both"/>
        <w:rPr>
          <w:rFonts w:ascii="Arial" w:hAnsi="Arial" w:cs="Arial"/>
          <w:b/>
          <w:bCs/>
          <w:sz w:val="20"/>
        </w:rPr>
      </w:pPr>
      <w:r w:rsidRPr="00B6208A">
        <w:rPr>
          <w:rFonts w:ascii="Arial" w:eastAsia="Times New Roman" w:hAnsi="Arial" w:cs="Arial"/>
          <w:b/>
          <w:bCs/>
          <w:sz w:val="20"/>
          <w:lang w:eastAsia="en-IN" w:bidi="hi-IN"/>
        </w:rPr>
        <w:lastRenderedPageBreak/>
        <w:t xml:space="preserve">Table 2: </w:t>
      </w:r>
      <w:r w:rsidR="005A1DAB" w:rsidRPr="00B6208A">
        <w:rPr>
          <w:rFonts w:ascii="Arial" w:eastAsia="Times New Roman" w:hAnsi="Arial" w:cs="Arial"/>
          <w:b/>
          <w:bCs/>
          <w:sz w:val="20"/>
          <w:lang w:eastAsia="en-IN" w:bidi="hi-IN"/>
        </w:rPr>
        <w:t xml:space="preserve"> </w:t>
      </w:r>
      <w:r w:rsidR="005A1DAB" w:rsidRPr="00B6208A">
        <w:rPr>
          <w:rFonts w:ascii="Arial" w:hAnsi="Arial" w:cs="Arial"/>
          <w:b/>
          <w:bCs/>
          <w:sz w:val="20"/>
        </w:rPr>
        <w:t xml:space="preserve">Microbial analysis for different stocking density treatments in biofloc-based nursery rearing system of </w:t>
      </w:r>
      <w:r w:rsidR="005A1DAB" w:rsidRPr="00B6208A">
        <w:rPr>
          <w:rFonts w:ascii="Arial" w:hAnsi="Arial" w:cs="Arial"/>
          <w:b/>
          <w:bCs/>
          <w:i/>
          <w:iCs/>
          <w:sz w:val="20"/>
        </w:rPr>
        <w:t>P. vannamei</w:t>
      </w:r>
      <w:r w:rsidR="005A1DAB" w:rsidRPr="00B6208A">
        <w:rPr>
          <w:rFonts w:ascii="Arial" w:hAnsi="Arial" w:cs="Arial"/>
          <w:b/>
          <w:bCs/>
          <w:sz w:val="20"/>
        </w:rPr>
        <w:t xml:space="preserve"> for 30 days</w:t>
      </w:r>
    </w:p>
    <w:p w14:paraId="4DE8AB7E" w14:textId="77777777" w:rsidR="005A1DAB" w:rsidRDefault="005A1DAB" w:rsidP="00D417DA">
      <w:pPr>
        <w:spacing w:after="0" w:line="360" w:lineRule="auto"/>
        <w:jc w:val="both"/>
        <w:rPr>
          <w:rFonts w:ascii="Times New Roman" w:hAnsi="Times New Roman" w:cs="Times New Roman"/>
        </w:rPr>
      </w:pPr>
    </w:p>
    <w:tbl>
      <w:tblPr>
        <w:tblStyle w:val="TableGrid"/>
        <w:tblpPr w:leftFromText="180" w:rightFromText="180" w:vertAnchor="page" w:horzAnchor="margin" w:tblpY="1967"/>
        <w:tblW w:w="14269" w:type="dxa"/>
        <w:shd w:val="clear" w:color="auto" w:fill="FFFFFF" w:themeFill="background1"/>
        <w:tblLook w:val="04A0" w:firstRow="1" w:lastRow="0" w:firstColumn="1" w:lastColumn="0" w:noHBand="0" w:noVBand="1"/>
      </w:tblPr>
      <w:tblGrid>
        <w:gridCol w:w="1666"/>
        <w:gridCol w:w="3188"/>
        <w:gridCol w:w="3189"/>
        <w:gridCol w:w="3341"/>
        <w:gridCol w:w="2885"/>
      </w:tblGrid>
      <w:tr w:rsidR="005A1DAB" w:rsidRPr="00B6208A" w14:paraId="2AE6CD29" w14:textId="77777777" w:rsidTr="005A1DAB">
        <w:trPr>
          <w:trHeight w:val="545"/>
        </w:trPr>
        <w:tc>
          <w:tcPr>
            <w:tcW w:w="1666" w:type="dxa"/>
            <w:shd w:val="clear" w:color="auto" w:fill="FFFFFF" w:themeFill="background1"/>
          </w:tcPr>
          <w:p w14:paraId="7207D85D" w14:textId="77777777" w:rsidR="005A1DAB" w:rsidRPr="00B6208A" w:rsidRDefault="005A1DAB" w:rsidP="005A1DAB">
            <w:pPr>
              <w:spacing w:after="0" w:line="360" w:lineRule="auto"/>
              <w:jc w:val="center"/>
              <w:rPr>
                <w:rFonts w:ascii="Arial" w:hAnsi="Arial" w:cs="Arial"/>
                <w:b/>
                <w:bCs/>
                <w:sz w:val="20"/>
              </w:rPr>
            </w:pPr>
            <w:r w:rsidRPr="00B6208A">
              <w:rPr>
                <w:rFonts w:ascii="Arial" w:hAnsi="Arial" w:cs="Arial"/>
                <w:b/>
                <w:bCs/>
                <w:sz w:val="20"/>
              </w:rPr>
              <w:t>Parameters</w:t>
            </w:r>
          </w:p>
        </w:tc>
        <w:tc>
          <w:tcPr>
            <w:tcW w:w="3188" w:type="dxa"/>
            <w:shd w:val="clear" w:color="auto" w:fill="FFFFFF" w:themeFill="background1"/>
          </w:tcPr>
          <w:p w14:paraId="32044E97" w14:textId="77777777" w:rsidR="005A1DAB" w:rsidRPr="00B6208A" w:rsidRDefault="005A1DAB" w:rsidP="005A1DAB">
            <w:pPr>
              <w:spacing w:after="0" w:line="360" w:lineRule="auto"/>
              <w:jc w:val="center"/>
              <w:rPr>
                <w:rFonts w:ascii="Arial" w:hAnsi="Arial" w:cs="Arial"/>
                <w:b/>
                <w:bCs/>
                <w:sz w:val="20"/>
              </w:rPr>
            </w:pPr>
            <w:r w:rsidRPr="00B6208A">
              <w:rPr>
                <w:rFonts w:ascii="Arial" w:hAnsi="Arial" w:cs="Arial"/>
                <w:b/>
                <w:bCs/>
                <w:sz w:val="20"/>
              </w:rPr>
              <w:t>TBC</w:t>
            </w:r>
          </w:p>
        </w:tc>
        <w:tc>
          <w:tcPr>
            <w:tcW w:w="3189" w:type="dxa"/>
            <w:shd w:val="clear" w:color="auto" w:fill="FFFFFF" w:themeFill="background1"/>
          </w:tcPr>
          <w:p w14:paraId="6A47B26C" w14:textId="77777777" w:rsidR="005A1DAB" w:rsidRPr="00B6208A" w:rsidRDefault="005A1DAB" w:rsidP="005A1DAB">
            <w:pPr>
              <w:spacing w:after="0" w:line="360" w:lineRule="auto"/>
              <w:jc w:val="center"/>
              <w:rPr>
                <w:rFonts w:ascii="Arial" w:hAnsi="Arial" w:cs="Arial"/>
                <w:b/>
                <w:bCs/>
                <w:sz w:val="20"/>
              </w:rPr>
            </w:pPr>
            <w:r w:rsidRPr="00B6208A">
              <w:rPr>
                <w:rFonts w:ascii="Arial" w:hAnsi="Arial" w:cs="Arial"/>
                <w:b/>
                <w:bCs/>
                <w:i/>
                <w:iCs/>
                <w:sz w:val="20"/>
              </w:rPr>
              <w:t xml:space="preserve">Vibrio </w:t>
            </w:r>
            <w:r w:rsidRPr="00B6208A">
              <w:rPr>
                <w:rFonts w:ascii="Arial" w:hAnsi="Arial" w:cs="Arial"/>
                <w:b/>
                <w:bCs/>
                <w:sz w:val="20"/>
              </w:rPr>
              <w:t>spp.</w:t>
            </w:r>
          </w:p>
        </w:tc>
        <w:tc>
          <w:tcPr>
            <w:tcW w:w="3341" w:type="dxa"/>
            <w:shd w:val="clear" w:color="auto" w:fill="FFFFFF" w:themeFill="background1"/>
          </w:tcPr>
          <w:p w14:paraId="5B94C295" w14:textId="77777777" w:rsidR="005A1DAB" w:rsidRPr="00B6208A" w:rsidRDefault="005A1DAB" w:rsidP="005A1DAB">
            <w:pPr>
              <w:spacing w:after="0" w:line="360" w:lineRule="auto"/>
              <w:jc w:val="center"/>
              <w:rPr>
                <w:rFonts w:ascii="Arial" w:hAnsi="Arial" w:cs="Arial"/>
                <w:b/>
                <w:bCs/>
                <w:sz w:val="20"/>
              </w:rPr>
            </w:pPr>
            <w:r w:rsidRPr="00B6208A">
              <w:rPr>
                <w:rFonts w:ascii="Arial" w:hAnsi="Arial" w:cs="Arial"/>
                <w:b/>
                <w:bCs/>
                <w:i/>
                <w:iCs/>
                <w:sz w:val="20"/>
              </w:rPr>
              <w:t xml:space="preserve">Bacillus </w:t>
            </w:r>
            <w:r w:rsidRPr="00B6208A">
              <w:rPr>
                <w:rFonts w:ascii="Arial" w:hAnsi="Arial" w:cs="Arial"/>
                <w:b/>
                <w:bCs/>
                <w:sz w:val="20"/>
              </w:rPr>
              <w:t>spp.</w:t>
            </w:r>
          </w:p>
        </w:tc>
        <w:tc>
          <w:tcPr>
            <w:tcW w:w="2885" w:type="dxa"/>
            <w:shd w:val="clear" w:color="auto" w:fill="FFFFFF" w:themeFill="background1"/>
          </w:tcPr>
          <w:p w14:paraId="74F9B6CD" w14:textId="77777777" w:rsidR="005A1DAB" w:rsidRPr="00B6208A" w:rsidRDefault="005A1DAB" w:rsidP="005A1DAB">
            <w:pPr>
              <w:spacing w:after="0" w:line="360" w:lineRule="auto"/>
              <w:jc w:val="center"/>
              <w:rPr>
                <w:rFonts w:ascii="Arial" w:hAnsi="Arial" w:cs="Arial"/>
                <w:b/>
                <w:bCs/>
                <w:sz w:val="20"/>
              </w:rPr>
            </w:pPr>
            <w:r w:rsidRPr="00B6208A">
              <w:rPr>
                <w:rFonts w:ascii="Arial" w:hAnsi="Arial" w:cs="Arial"/>
                <w:b/>
                <w:bCs/>
                <w:i/>
                <w:iCs/>
                <w:sz w:val="20"/>
              </w:rPr>
              <w:t xml:space="preserve">Lactobacillus </w:t>
            </w:r>
            <w:r w:rsidRPr="00B6208A">
              <w:rPr>
                <w:rFonts w:ascii="Arial" w:hAnsi="Arial" w:cs="Arial"/>
                <w:b/>
                <w:bCs/>
                <w:sz w:val="20"/>
              </w:rPr>
              <w:t>spp.</w:t>
            </w:r>
          </w:p>
        </w:tc>
      </w:tr>
      <w:tr w:rsidR="005A1DAB" w:rsidRPr="00B6208A" w14:paraId="45FE9BAC" w14:textId="77777777" w:rsidTr="005A1DAB">
        <w:trPr>
          <w:trHeight w:val="545"/>
        </w:trPr>
        <w:tc>
          <w:tcPr>
            <w:tcW w:w="1666" w:type="dxa"/>
            <w:shd w:val="clear" w:color="auto" w:fill="FFFFFF" w:themeFill="background1"/>
          </w:tcPr>
          <w:p w14:paraId="73596CF1" w14:textId="77777777" w:rsidR="005A1DAB" w:rsidRPr="00B6208A" w:rsidRDefault="005A1DAB" w:rsidP="005A1DAB">
            <w:pPr>
              <w:spacing w:after="0" w:line="360" w:lineRule="auto"/>
              <w:jc w:val="both"/>
              <w:rPr>
                <w:rFonts w:ascii="Arial" w:hAnsi="Arial" w:cs="Arial"/>
                <w:sz w:val="20"/>
              </w:rPr>
            </w:pPr>
            <w:r w:rsidRPr="00B6208A">
              <w:rPr>
                <w:rFonts w:ascii="Arial" w:hAnsi="Arial" w:cs="Arial"/>
                <w:b/>
                <w:bCs/>
                <w:sz w:val="20"/>
              </w:rPr>
              <w:t>BT1</w:t>
            </w:r>
          </w:p>
        </w:tc>
        <w:tc>
          <w:tcPr>
            <w:tcW w:w="3188" w:type="dxa"/>
            <w:shd w:val="clear" w:color="auto" w:fill="FFFFFF" w:themeFill="background1"/>
          </w:tcPr>
          <w:p w14:paraId="48B54B97"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0.8897 </w:t>
            </w:r>
            <w:r w:rsidRPr="00B6208A">
              <w:rPr>
                <w:rFonts w:ascii="Arial" w:hAnsi="Arial" w:cs="Arial"/>
                <w:sz w:val="20"/>
                <w:u w:val="single"/>
              </w:rPr>
              <w:t>+</w:t>
            </w:r>
            <w:r w:rsidRPr="00B6208A">
              <w:rPr>
                <w:rFonts w:ascii="Arial" w:hAnsi="Arial" w:cs="Arial"/>
                <w:sz w:val="20"/>
              </w:rPr>
              <w:t xml:space="preserve"> 0.0275 x 10</w:t>
            </w:r>
            <w:r w:rsidRPr="00B6208A">
              <w:rPr>
                <w:rFonts w:ascii="Arial" w:hAnsi="Arial" w:cs="Arial"/>
                <w:sz w:val="20"/>
                <w:vertAlign w:val="superscript"/>
              </w:rPr>
              <w:t>5a</w:t>
            </w:r>
          </w:p>
        </w:tc>
        <w:tc>
          <w:tcPr>
            <w:tcW w:w="3189" w:type="dxa"/>
            <w:shd w:val="clear" w:color="auto" w:fill="FFFFFF" w:themeFill="background1"/>
          </w:tcPr>
          <w:p w14:paraId="6E21CB60"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2.2261 </w:t>
            </w:r>
            <w:r w:rsidRPr="00B6208A">
              <w:rPr>
                <w:rFonts w:ascii="Arial" w:hAnsi="Arial" w:cs="Arial"/>
                <w:sz w:val="20"/>
                <w:u w:val="single"/>
              </w:rPr>
              <w:t>+</w:t>
            </w:r>
            <w:r w:rsidRPr="00B6208A">
              <w:rPr>
                <w:rFonts w:ascii="Arial" w:hAnsi="Arial" w:cs="Arial"/>
                <w:sz w:val="20"/>
              </w:rPr>
              <w:t xml:space="preserve"> 0.0019 x 10</w:t>
            </w:r>
            <w:r w:rsidRPr="00B6208A">
              <w:rPr>
                <w:rFonts w:ascii="Arial" w:hAnsi="Arial" w:cs="Arial"/>
                <w:sz w:val="20"/>
                <w:vertAlign w:val="superscript"/>
              </w:rPr>
              <w:t>2a</w:t>
            </w:r>
          </w:p>
        </w:tc>
        <w:tc>
          <w:tcPr>
            <w:tcW w:w="3341" w:type="dxa"/>
            <w:shd w:val="clear" w:color="auto" w:fill="FFFFFF" w:themeFill="background1"/>
          </w:tcPr>
          <w:p w14:paraId="218414D1"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3.6794 </w:t>
            </w:r>
            <w:r w:rsidRPr="00B6208A">
              <w:rPr>
                <w:rFonts w:ascii="Arial" w:hAnsi="Arial" w:cs="Arial"/>
                <w:sz w:val="20"/>
                <w:u w:val="single"/>
              </w:rPr>
              <w:t>+</w:t>
            </w:r>
            <w:r w:rsidRPr="00B6208A">
              <w:rPr>
                <w:rFonts w:ascii="Arial" w:hAnsi="Arial" w:cs="Arial"/>
                <w:sz w:val="20"/>
              </w:rPr>
              <w:t xml:space="preserve"> 0.1213 x 10</w:t>
            </w:r>
            <w:r w:rsidRPr="00B6208A">
              <w:rPr>
                <w:rFonts w:ascii="Arial" w:hAnsi="Arial" w:cs="Arial"/>
                <w:sz w:val="20"/>
                <w:vertAlign w:val="superscript"/>
              </w:rPr>
              <w:t>3a</w:t>
            </w:r>
          </w:p>
        </w:tc>
        <w:tc>
          <w:tcPr>
            <w:tcW w:w="2885" w:type="dxa"/>
            <w:shd w:val="clear" w:color="auto" w:fill="FFFFFF" w:themeFill="background1"/>
            <w:vAlign w:val="center"/>
          </w:tcPr>
          <w:p w14:paraId="631F61FA"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1.4456 </w:t>
            </w:r>
            <w:r w:rsidRPr="00B6208A">
              <w:rPr>
                <w:rFonts w:ascii="Arial" w:hAnsi="Arial" w:cs="Arial"/>
                <w:sz w:val="20"/>
                <w:u w:val="single"/>
              </w:rPr>
              <w:t>+</w:t>
            </w:r>
            <w:r w:rsidRPr="00B6208A">
              <w:rPr>
                <w:rFonts w:ascii="Arial" w:hAnsi="Arial" w:cs="Arial"/>
                <w:sz w:val="20"/>
              </w:rPr>
              <w:t xml:space="preserve"> 0.0180 x 10</w:t>
            </w:r>
            <w:r w:rsidRPr="00B6208A">
              <w:rPr>
                <w:rFonts w:ascii="Arial" w:hAnsi="Arial" w:cs="Arial"/>
                <w:sz w:val="20"/>
                <w:vertAlign w:val="superscript"/>
              </w:rPr>
              <w:t>2a</w:t>
            </w:r>
          </w:p>
        </w:tc>
      </w:tr>
      <w:tr w:rsidR="005A1DAB" w:rsidRPr="00B6208A" w14:paraId="01BD8AA3" w14:textId="77777777" w:rsidTr="005A1DAB">
        <w:trPr>
          <w:trHeight w:val="545"/>
        </w:trPr>
        <w:tc>
          <w:tcPr>
            <w:tcW w:w="1666" w:type="dxa"/>
            <w:shd w:val="clear" w:color="auto" w:fill="FFFFFF" w:themeFill="background1"/>
          </w:tcPr>
          <w:p w14:paraId="53A6E5E2" w14:textId="77777777" w:rsidR="005A1DAB" w:rsidRPr="00B6208A" w:rsidRDefault="005A1DAB" w:rsidP="005A1DAB">
            <w:pPr>
              <w:spacing w:after="0" w:line="360" w:lineRule="auto"/>
              <w:jc w:val="both"/>
              <w:rPr>
                <w:rFonts w:ascii="Arial" w:hAnsi="Arial" w:cs="Arial"/>
                <w:sz w:val="20"/>
              </w:rPr>
            </w:pPr>
            <w:r w:rsidRPr="00B6208A">
              <w:rPr>
                <w:rFonts w:ascii="Arial" w:hAnsi="Arial" w:cs="Arial"/>
                <w:b/>
                <w:bCs/>
                <w:sz w:val="20"/>
              </w:rPr>
              <w:t>BT2</w:t>
            </w:r>
          </w:p>
        </w:tc>
        <w:tc>
          <w:tcPr>
            <w:tcW w:w="3188" w:type="dxa"/>
            <w:shd w:val="clear" w:color="auto" w:fill="FFFFFF" w:themeFill="background1"/>
            <w:vAlign w:val="center"/>
          </w:tcPr>
          <w:p w14:paraId="44CDE51F"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1.3082 </w:t>
            </w:r>
            <w:r w:rsidRPr="00B6208A">
              <w:rPr>
                <w:rFonts w:ascii="Arial" w:hAnsi="Arial" w:cs="Arial"/>
                <w:sz w:val="20"/>
                <w:u w:val="single"/>
              </w:rPr>
              <w:t>+</w:t>
            </w:r>
            <w:r w:rsidRPr="00B6208A">
              <w:rPr>
                <w:rFonts w:ascii="Arial" w:hAnsi="Arial" w:cs="Arial"/>
                <w:sz w:val="20"/>
              </w:rPr>
              <w:t xml:space="preserve"> 0.0725 x 10</w:t>
            </w:r>
            <w:r w:rsidRPr="00B6208A">
              <w:rPr>
                <w:rFonts w:ascii="Arial" w:hAnsi="Arial" w:cs="Arial"/>
                <w:sz w:val="20"/>
                <w:vertAlign w:val="superscript"/>
              </w:rPr>
              <w:t>5ab</w:t>
            </w:r>
          </w:p>
        </w:tc>
        <w:tc>
          <w:tcPr>
            <w:tcW w:w="3189" w:type="dxa"/>
            <w:shd w:val="clear" w:color="auto" w:fill="FFFFFF" w:themeFill="background1"/>
          </w:tcPr>
          <w:p w14:paraId="29DB9DD2"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2.2444 </w:t>
            </w:r>
            <w:r w:rsidRPr="00B6208A">
              <w:rPr>
                <w:rFonts w:ascii="Arial" w:hAnsi="Arial" w:cs="Arial"/>
                <w:sz w:val="20"/>
                <w:u w:val="single"/>
              </w:rPr>
              <w:t>+</w:t>
            </w:r>
            <w:r w:rsidRPr="00B6208A">
              <w:rPr>
                <w:rFonts w:ascii="Arial" w:hAnsi="Arial" w:cs="Arial"/>
                <w:sz w:val="20"/>
              </w:rPr>
              <w:t xml:space="preserve"> 0.0020 x 10</w:t>
            </w:r>
            <w:r w:rsidRPr="00B6208A">
              <w:rPr>
                <w:rFonts w:ascii="Arial" w:hAnsi="Arial" w:cs="Arial"/>
                <w:sz w:val="20"/>
                <w:vertAlign w:val="superscript"/>
              </w:rPr>
              <w:t>2a</w:t>
            </w:r>
          </w:p>
        </w:tc>
        <w:tc>
          <w:tcPr>
            <w:tcW w:w="3341" w:type="dxa"/>
            <w:shd w:val="clear" w:color="auto" w:fill="FFFFFF" w:themeFill="background1"/>
          </w:tcPr>
          <w:p w14:paraId="694246AC"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3.4570 </w:t>
            </w:r>
            <w:r w:rsidRPr="00B6208A">
              <w:rPr>
                <w:rFonts w:ascii="Arial" w:hAnsi="Arial" w:cs="Arial"/>
                <w:sz w:val="20"/>
                <w:u w:val="single"/>
              </w:rPr>
              <w:t>+</w:t>
            </w:r>
            <w:r w:rsidRPr="00B6208A">
              <w:rPr>
                <w:rFonts w:ascii="Arial" w:hAnsi="Arial" w:cs="Arial"/>
                <w:sz w:val="20"/>
              </w:rPr>
              <w:t xml:space="preserve"> 0.3504 x 10</w:t>
            </w:r>
            <w:r w:rsidRPr="00B6208A">
              <w:rPr>
                <w:rFonts w:ascii="Arial" w:hAnsi="Arial" w:cs="Arial"/>
                <w:sz w:val="20"/>
                <w:vertAlign w:val="superscript"/>
              </w:rPr>
              <w:t>3a</w:t>
            </w:r>
          </w:p>
        </w:tc>
        <w:tc>
          <w:tcPr>
            <w:tcW w:w="2885" w:type="dxa"/>
            <w:shd w:val="clear" w:color="auto" w:fill="FFFFFF" w:themeFill="background1"/>
          </w:tcPr>
          <w:p w14:paraId="2E9E15F8"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1.4622 </w:t>
            </w:r>
            <w:r w:rsidRPr="00B6208A">
              <w:rPr>
                <w:rFonts w:ascii="Arial" w:hAnsi="Arial" w:cs="Arial"/>
                <w:sz w:val="20"/>
                <w:u w:val="single"/>
              </w:rPr>
              <w:t>+</w:t>
            </w:r>
            <w:r w:rsidRPr="00B6208A">
              <w:rPr>
                <w:rFonts w:ascii="Arial" w:hAnsi="Arial" w:cs="Arial"/>
                <w:sz w:val="20"/>
              </w:rPr>
              <w:t xml:space="preserve"> 0.0433 x 10</w:t>
            </w:r>
            <w:r w:rsidRPr="00B6208A">
              <w:rPr>
                <w:rFonts w:ascii="Arial" w:hAnsi="Arial" w:cs="Arial"/>
                <w:sz w:val="20"/>
                <w:vertAlign w:val="superscript"/>
              </w:rPr>
              <w:t>2a</w:t>
            </w:r>
          </w:p>
        </w:tc>
      </w:tr>
      <w:tr w:rsidR="005A1DAB" w:rsidRPr="00B6208A" w14:paraId="44960B9F" w14:textId="77777777" w:rsidTr="005A1DAB">
        <w:trPr>
          <w:trHeight w:val="559"/>
        </w:trPr>
        <w:tc>
          <w:tcPr>
            <w:tcW w:w="1666" w:type="dxa"/>
            <w:shd w:val="clear" w:color="auto" w:fill="FFFFFF" w:themeFill="background1"/>
          </w:tcPr>
          <w:p w14:paraId="5F7C43E3" w14:textId="77777777" w:rsidR="005A1DAB" w:rsidRPr="00B6208A" w:rsidRDefault="005A1DAB" w:rsidP="005A1DAB">
            <w:pPr>
              <w:spacing w:after="0" w:line="360" w:lineRule="auto"/>
              <w:jc w:val="both"/>
              <w:rPr>
                <w:rFonts w:ascii="Arial" w:hAnsi="Arial" w:cs="Arial"/>
                <w:i/>
                <w:iCs/>
                <w:sz w:val="20"/>
              </w:rPr>
            </w:pPr>
            <w:r w:rsidRPr="00B6208A">
              <w:rPr>
                <w:rFonts w:ascii="Arial" w:hAnsi="Arial" w:cs="Arial"/>
                <w:b/>
                <w:bCs/>
                <w:sz w:val="20"/>
              </w:rPr>
              <w:t>BT2</w:t>
            </w:r>
          </w:p>
        </w:tc>
        <w:tc>
          <w:tcPr>
            <w:tcW w:w="3188" w:type="dxa"/>
            <w:shd w:val="clear" w:color="auto" w:fill="FFFFFF" w:themeFill="background1"/>
            <w:vAlign w:val="center"/>
          </w:tcPr>
          <w:p w14:paraId="3D454FE8"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1.4447 </w:t>
            </w:r>
            <w:r w:rsidRPr="00B6208A">
              <w:rPr>
                <w:rFonts w:ascii="Arial" w:hAnsi="Arial" w:cs="Arial"/>
                <w:sz w:val="20"/>
                <w:u w:val="single"/>
              </w:rPr>
              <w:t>+</w:t>
            </w:r>
            <w:r w:rsidRPr="00B6208A">
              <w:rPr>
                <w:rFonts w:ascii="Arial" w:hAnsi="Arial" w:cs="Arial"/>
                <w:sz w:val="20"/>
              </w:rPr>
              <w:t xml:space="preserve"> 0.1715 x 10</w:t>
            </w:r>
            <w:r w:rsidRPr="00B6208A">
              <w:rPr>
                <w:rFonts w:ascii="Arial" w:hAnsi="Arial" w:cs="Arial"/>
                <w:sz w:val="20"/>
                <w:vertAlign w:val="superscript"/>
              </w:rPr>
              <w:t>5ab</w:t>
            </w:r>
          </w:p>
        </w:tc>
        <w:tc>
          <w:tcPr>
            <w:tcW w:w="3189" w:type="dxa"/>
            <w:shd w:val="clear" w:color="auto" w:fill="FFFFFF" w:themeFill="background1"/>
          </w:tcPr>
          <w:p w14:paraId="27174C1A"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2.2905 </w:t>
            </w:r>
            <w:r w:rsidRPr="00B6208A">
              <w:rPr>
                <w:rFonts w:ascii="Arial" w:hAnsi="Arial" w:cs="Arial"/>
                <w:sz w:val="20"/>
                <w:u w:val="single"/>
              </w:rPr>
              <w:t>+</w:t>
            </w:r>
            <w:r w:rsidRPr="00B6208A">
              <w:rPr>
                <w:rFonts w:ascii="Arial" w:hAnsi="Arial" w:cs="Arial"/>
                <w:sz w:val="20"/>
              </w:rPr>
              <w:t xml:space="preserve"> 0.0022 x 10</w:t>
            </w:r>
            <w:r w:rsidRPr="00B6208A">
              <w:rPr>
                <w:rFonts w:ascii="Arial" w:hAnsi="Arial" w:cs="Arial"/>
                <w:sz w:val="20"/>
                <w:vertAlign w:val="superscript"/>
              </w:rPr>
              <w:t>2a</w:t>
            </w:r>
          </w:p>
        </w:tc>
        <w:tc>
          <w:tcPr>
            <w:tcW w:w="3341" w:type="dxa"/>
            <w:shd w:val="clear" w:color="auto" w:fill="FFFFFF" w:themeFill="background1"/>
          </w:tcPr>
          <w:p w14:paraId="43CF4C99"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3.4339 </w:t>
            </w:r>
            <w:r w:rsidRPr="00B6208A">
              <w:rPr>
                <w:rFonts w:ascii="Arial" w:hAnsi="Arial" w:cs="Arial"/>
                <w:sz w:val="20"/>
                <w:u w:val="single"/>
              </w:rPr>
              <w:t>+</w:t>
            </w:r>
            <w:r w:rsidRPr="00B6208A">
              <w:rPr>
                <w:rFonts w:ascii="Arial" w:hAnsi="Arial" w:cs="Arial"/>
                <w:sz w:val="20"/>
              </w:rPr>
              <w:t xml:space="preserve"> 0.3907 x 10</w:t>
            </w:r>
            <w:r w:rsidRPr="00B6208A">
              <w:rPr>
                <w:rFonts w:ascii="Arial" w:hAnsi="Arial" w:cs="Arial"/>
                <w:sz w:val="20"/>
                <w:vertAlign w:val="superscript"/>
              </w:rPr>
              <w:t>3a</w:t>
            </w:r>
          </w:p>
        </w:tc>
        <w:tc>
          <w:tcPr>
            <w:tcW w:w="2885" w:type="dxa"/>
            <w:shd w:val="clear" w:color="auto" w:fill="FFFFFF" w:themeFill="background1"/>
          </w:tcPr>
          <w:p w14:paraId="02BA6A8B"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1.4755 </w:t>
            </w:r>
            <w:r w:rsidRPr="00B6208A">
              <w:rPr>
                <w:rFonts w:ascii="Arial" w:hAnsi="Arial" w:cs="Arial"/>
                <w:sz w:val="20"/>
                <w:u w:val="single"/>
              </w:rPr>
              <w:t>+</w:t>
            </w:r>
            <w:r w:rsidRPr="00B6208A">
              <w:rPr>
                <w:rFonts w:ascii="Arial" w:hAnsi="Arial" w:cs="Arial"/>
                <w:sz w:val="20"/>
              </w:rPr>
              <w:t xml:space="preserve"> 0.0436 x 10</w:t>
            </w:r>
            <w:r w:rsidRPr="00B6208A">
              <w:rPr>
                <w:rFonts w:ascii="Arial" w:hAnsi="Arial" w:cs="Arial"/>
                <w:sz w:val="20"/>
                <w:vertAlign w:val="superscript"/>
              </w:rPr>
              <w:t>2a</w:t>
            </w:r>
          </w:p>
        </w:tc>
      </w:tr>
      <w:tr w:rsidR="005A1DAB" w:rsidRPr="00B6208A" w14:paraId="679C1B3D" w14:textId="77777777" w:rsidTr="005A1DAB">
        <w:trPr>
          <w:trHeight w:val="545"/>
        </w:trPr>
        <w:tc>
          <w:tcPr>
            <w:tcW w:w="1666" w:type="dxa"/>
            <w:shd w:val="clear" w:color="auto" w:fill="FFFFFF" w:themeFill="background1"/>
          </w:tcPr>
          <w:p w14:paraId="4B48A449" w14:textId="77777777" w:rsidR="005A1DAB" w:rsidRPr="00B6208A" w:rsidRDefault="005A1DAB" w:rsidP="005A1DAB">
            <w:pPr>
              <w:spacing w:after="0" w:line="360" w:lineRule="auto"/>
              <w:jc w:val="both"/>
              <w:rPr>
                <w:rFonts w:ascii="Arial" w:hAnsi="Arial" w:cs="Arial"/>
                <w:i/>
                <w:iCs/>
                <w:sz w:val="20"/>
              </w:rPr>
            </w:pPr>
            <w:r w:rsidRPr="00B6208A">
              <w:rPr>
                <w:rFonts w:ascii="Arial" w:hAnsi="Arial" w:cs="Arial"/>
                <w:b/>
                <w:bCs/>
                <w:sz w:val="20"/>
              </w:rPr>
              <w:t>BT4</w:t>
            </w:r>
          </w:p>
        </w:tc>
        <w:tc>
          <w:tcPr>
            <w:tcW w:w="3188" w:type="dxa"/>
            <w:shd w:val="clear" w:color="auto" w:fill="FFFFFF" w:themeFill="background1"/>
            <w:vAlign w:val="center"/>
          </w:tcPr>
          <w:p w14:paraId="3CD366FA"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1.5306 </w:t>
            </w:r>
            <w:r w:rsidRPr="00B6208A">
              <w:rPr>
                <w:rFonts w:ascii="Arial" w:hAnsi="Arial" w:cs="Arial"/>
                <w:sz w:val="20"/>
                <w:u w:val="single"/>
              </w:rPr>
              <w:t>+</w:t>
            </w:r>
            <w:r w:rsidRPr="00B6208A">
              <w:rPr>
                <w:rFonts w:ascii="Arial" w:hAnsi="Arial" w:cs="Arial"/>
                <w:sz w:val="20"/>
              </w:rPr>
              <w:t xml:space="preserve"> 0.1705 x 10</w:t>
            </w:r>
            <w:r w:rsidRPr="00B6208A">
              <w:rPr>
                <w:rFonts w:ascii="Arial" w:hAnsi="Arial" w:cs="Arial"/>
                <w:sz w:val="20"/>
                <w:vertAlign w:val="superscript"/>
              </w:rPr>
              <w:t>5b</w:t>
            </w:r>
          </w:p>
        </w:tc>
        <w:tc>
          <w:tcPr>
            <w:tcW w:w="3189" w:type="dxa"/>
            <w:shd w:val="clear" w:color="auto" w:fill="FFFFFF" w:themeFill="background1"/>
          </w:tcPr>
          <w:p w14:paraId="15225239"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2.3155 </w:t>
            </w:r>
            <w:r w:rsidRPr="00B6208A">
              <w:rPr>
                <w:rFonts w:ascii="Arial" w:hAnsi="Arial" w:cs="Arial"/>
                <w:sz w:val="20"/>
                <w:u w:val="single"/>
              </w:rPr>
              <w:t>+</w:t>
            </w:r>
            <w:r w:rsidRPr="00B6208A">
              <w:rPr>
                <w:rFonts w:ascii="Arial" w:hAnsi="Arial" w:cs="Arial"/>
                <w:sz w:val="20"/>
              </w:rPr>
              <w:t xml:space="preserve"> 0.0022 x 10</w:t>
            </w:r>
            <w:r w:rsidRPr="00B6208A">
              <w:rPr>
                <w:rFonts w:ascii="Arial" w:hAnsi="Arial" w:cs="Arial"/>
                <w:sz w:val="20"/>
                <w:vertAlign w:val="superscript"/>
              </w:rPr>
              <w:t>2a</w:t>
            </w:r>
          </w:p>
        </w:tc>
        <w:tc>
          <w:tcPr>
            <w:tcW w:w="3341" w:type="dxa"/>
            <w:shd w:val="clear" w:color="auto" w:fill="FFFFFF" w:themeFill="background1"/>
          </w:tcPr>
          <w:p w14:paraId="60B92088"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2.7546 </w:t>
            </w:r>
            <w:r w:rsidRPr="00B6208A">
              <w:rPr>
                <w:rFonts w:ascii="Arial" w:hAnsi="Arial" w:cs="Arial"/>
                <w:sz w:val="20"/>
                <w:u w:val="single"/>
              </w:rPr>
              <w:t>+</w:t>
            </w:r>
            <w:r w:rsidRPr="00B6208A">
              <w:rPr>
                <w:rFonts w:ascii="Arial" w:hAnsi="Arial" w:cs="Arial"/>
                <w:sz w:val="20"/>
              </w:rPr>
              <w:t xml:space="preserve"> 0.4424 x 10</w:t>
            </w:r>
            <w:r w:rsidRPr="00B6208A">
              <w:rPr>
                <w:rFonts w:ascii="Arial" w:hAnsi="Arial" w:cs="Arial"/>
                <w:sz w:val="20"/>
                <w:vertAlign w:val="superscript"/>
              </w:rPr>
              <w:t>3a</w:t>
            </w:r>
          </w:p>
        </w:tc>
        <w:tc>
          <w:tcPr>
            <w:tcW w:w="2885" w:type="dxa"/>
            <w:shd w:val="clear" w:color="auto" w:fill="FFFFFF" w:themeFill="background1"/>
          </w:tcPr>
          <w:p w14:paraId="3921FAB7"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1.4233 </w:t>
            </w:r>
            <w:r w:rsidRPr="00B6208A">
              <w:rPr>
                <w:rFonts w:ascii="Arial" w:hAnsi="Arial" w:cs="Arial"/>
                <w:sz w:val="20"/>
                <w:u w:val="single"/>
              </w:rPr>
              <w:t>+</w:t>
            </w:r>
            <w:r w:rsidRPr="00B6208A">
              <w:rPr>
                <w:rFonts w:ascii="Arial" w:hAnsi="Arial" w:cs="Arial"/>
                <w:sz w:val="20"/>
              </w:rPr>
              <w:t xml:space="preserve"> 0.0333 x 10</w:t>
            </w:r>
            <w:r w:rsidRPr="00B6208A">
              <w:rPr>
                <w:rFonts w:ascii="Arial" w:hAnsi="Arial" w:cs="Arial"/>
                <w:sz w:val="20"/>
                <w:vertAlign w:val="superscript"/>
              </w:rPr>
              <w:t>2a</w:t>
            </w:r>
          </w:p>
        </w:tc>
      </w:tr>
      <w:tr w:rsidR="005A1DAB" w:rsidRPr="00B6208A" w14:paraId="46DDB82B" w14:textId="77777777" w:rsidTr="005A1DAB">
        <w:trPr>
          <w:trHeight w:val="545"/>
        </w:trPr>
        <w:tc>
          <w:tcPr>
            <w:tcW w:w="1666" w:type="dxa"/>
            <w:shd w:val="clear" w:color="auto" w:fill="FFFFFF" w:themeFill="background1"/>
          </w:tcPr>
          <w:p w14:paraId="6ACDEE6A" w14:textId="77777777" w:rsidR="005A1DAB" w:rsidRPr="00B6208A" w:rsidRDefault="005A1DAB" w:rsidP="005A1DAB">
            <w:pPr>
              <w:spacing w:after="0" w:line="360" w:lineRule="auto"/>
              <w:jc w:val="both"/>
              <w:rPr>
                <w:rFonts w:ascii="Arial" w:hAnsi="Arial" w:cs="Arial"/>
                <w:sz w:val="20"/>
              </w:rPr>
            </w:pPr>
            <w:r w:rsidRPr="00B6208A">
              <w:rPr>
                <w:rFonts w:ascii="Arial" w:hAnsi="Arial" w:cs="Arial"/>
                <w:b/>
                <w:bCs/>
                <w:sz w:val="20"/>
              </w:rPr>
              <w:t>BST1</w:t>
            </w:r>
          </w:p>
        </w:tc>
        <w:tc>
          <w:tcPr>
            <w:tcW w:w="3188" w:type="dxa"/>
            <w:shd w:val="clear" w:color="auto" w:fill="FFFFFF" w:themeFill="background1"/>
            <w:vAlign w:val="center"/>
          </w:tcPr>
          <w:p w14:paraId="794050FD"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1.6413 </w:t>
            </w:r>
            <w:r w:rsidRPr="00B6208A">
              <w:rPr>
                <w:rFonts w:ascii="Arial" w:hAnsi="Arial" w:cs="Arial"/>
                <w:sz w:val="20"/>
                <w:u w:val="single"/>
              </w:rPr>
              <w:t>+</w:t>
            </w:r>
            <w:r w:rsidRPr="00B6208A">
              <w:rPr>
                <w:rFonts w:ascii="Arial" w:hAnsi="Arial" w:cs="Arial"/>
                <w:sz w:val="20"/>
              </w:rPr>
              <w:t xml:space="preserve"> 0.1393 x 10</w:t>
            </w:r>
            <w:r w:rsidRPr="00B6208A">
              <w:rPr>
                <w:rFonts w:ascii="Arial" w:hAnsi="Arial" w:cs="Arial"/>
                <w:sz w:val="20"/>
                <w:vertAlign w:val="superscript"/>
              </w:rPr>
              <w:t>5b</w:t>
            </w:r>
          </w:p>
        </w:tc>
        <w:tc>
          <w:tcPr>
            <w:tcW w:w="3189" w:type="dxa"/>
            <w:shd w:val="clear" w:color="auto" w:fill="FFFFFF" w:themeFill="background1"/>
          </w:tcPr>
          <w:p w14:paraId="336FFD1C"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2.1861 </w:t>
            </w:r>
            <w:r w:rsidRPr="00B6208A">
              <w:rPr>
                <w:rFonts w:ascii="Arial" w:hAnsi="Arial" w:cs="Arial"/>
                <w:sz w:val="20"/>
                <w:u w:val="single"/>
              </w:rPr>
              <w:t>+</w:t>
            </w:r>
            <w:r w:rsidRPr="00B6208A">
              <w:rPr>
                <w:rFonts w:ascii="Arial" w:hAnsi="Arial" w:cs="Arial"/>
                <w:sz w:val="20"/>
              </w:rPr>
              <w:t xml:space="preserve"> 0.0020 x 10</w:t>
            </w:r>
            <w:r w:rsidRPr="00B6208A">
              <w:rPr>
                <w:rFonts w:ascii="Arial" w:hAnsi="Arial" w:cs="Arial"/>
                <w:sz w:val="20"/>
                <w:vertAlign w:val="superscript"/>
              </w:rPr>
              <w:t>2a</w:t>
            </w:r>
          </w:p>
        </w:tc>
        <w:tc>
          <w:tcPr>
            <w:tcW w:w="3341" w:type="dxa"/>
            <w:shd w:val="clear" w:color="auto" w:fill="FFFFFF" w:themeFill="background1"/>
          </w:tcPr>
          <w:p w14:paraId="6A4DF71B"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10.4330 </w:t>
            </w:r>
            <w:r w:rsidRPr="00B6208A">
              <w:rPr>
                <w:rFonts w:ascii="Arial" w:hAnsi="Arial" w:cs="Arial"/>
                <w:sz w:val="20"/>
                <w:u w:val="single"/>
              </w:rPr>
              <w:t>+</w:t>
            </w:r>
            <w:r w:rsidRPr="00B6208A">
              <w:rPr>
                <w:rFonts w:ascii="Arial" w:hAnsi="Arial" w:cs="Arial"/>
                <w:sz w:val="20"/>
              </w:rPr>
              <w:t xml:space="preserve"> 1.0110 x 10</w:t>
            </w:r>
            <w:r w:rsidRPr="00B6208A">
              <w:rPr>
                <w:rFonts w:ascii="Arial" w:hAnsi="Arial" w:cs="Arial"/>
                <w:sz w:val="20"/>
                <w:vertAlign w:val="superscript"/>
              </w:rPr>
              <w:t>3c</w:t>
            </w:r>
          </w:p>
        </w:tc>
        <w:tc>
          <w:tcPr>
            <w:tcW w:w="2885" w:type="dxa"/>
            <w:shd w:val="clear" w:color="auto" w:fill="FFFFFF" w:themeFill="background1"/>
          </w:tcPr>
          <w:p w14:paraId="4C0DC224"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1.5739 </w:t>
            </w:r>
            <w:r w:rsidRPr="00B6208A">
              <w:rPr>
                <w:rFonts w:ascii="Arial" w:hAnsi="Arial" w:cs="Arial"/>
                <w:sz w:val="20"/>
                <w:u w:val="single"/>
              </w:rPr>
              <w:t>+</w:t>
            </w:r>
            <w:r w:rsidRPr="00B6208A">
              <w:rPr>
                <w:rFonts w:ascii="Arial" w:hAnsi="Arial" w:cs="Arial"/>
                <w:sz w:val="20"/>
              </w:rPr>
              <w:t xml:space="preserve"> 0.0821 x 10</w:t>
            </w:r>
            <w:r w:rsidRPr="00B6208A">
              <w:rPr>
                <w:rFonts w:ascii="Arial" w:hAnsi="Arial" w:cs="Arial"/>
                <w:sz w:val="20"/>
                <w:vertAlign w:val="superscript"/>
              </w:rPr>
              <w:t>2a</w:t>
            </w:r>
          </w:p>
        </w:tc>
      </w:tr>
      <w:tr w:rsidR="005A1DAB" w:rsidRPr="00B6208A" w14:paraId="218D596F" w14:textId="77777777" w:rsidTr="005A1DAB">
        <w:trPr>
          <w:trHeight w:val="545"/>
        </w:trPr>
        <w:tc>
          <w:tcPr>
            <w:tcW w:w="1666" w:type="dxa"/>
            <w:shd w:val="clear" w:color="auto" w:fill="FFFFFF" w:themeFill="background1"/>
          </w:tcPr>
          <w:p w14:paraId="42EF2256" w14:textId="77777777" w:rsidR="005A1DAB" w:rsidRPr="00B6208A" w:rsidRDefault="005A1DAB" w:rsidP="005A1DAB">
            <w:pPr>
              <w:spacing w:after="0" w:line="360" w:lineRule="auto"/>
              <w:jc w:val="both"/>
              <w:rPr>
                <w:rFonts w:ascii="Arial" w:hAnsi="Arial" w:cs="Arial"/>
                <w:sz w:val="20"/>
              </w:rPr>
            </w:pPr>
            <w:r w:rsidRPr="00B6208A">
              <w:rPr>
                <w:rFonts w:ascii="Arial" w:hAnsi="Arial" w:cs="Arial"/>
                <w:b/>
                <w:bCs/>
                <w:sz w:val="20"/>
              </w:rPr>
              <w:t>BST2</w:t>
            </w:r>
          </w:p>
        </w:tc>
        <w:tc>
          <w:tcPr>
            <w:tcW w:w="3188" w:type="dxa"/>
            <w:shd w:val="clear" w:color="auto" w:fill="FFFFFF" w:themeFill="background1"/>
            <w:vAlign w:val="center"/>
          </w:tcPr>
          <w:p w14:paraId="6B05197A"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1.6519 </w:t>
            </w:r>
            <w:r w:rsidRPr="00B6208A">
              <w:rPr>
                <w:rFonts w:ascii="Arial" w:hAnsi="Arial" w:cs="Arial"/>
                <w:sz w:val="20"/>
                <w:u w:val="single"/>
              </w:rPr>
              <w:t>+</w:t>
            </w:r>
            <w:r w:rsidRPr="00B6208A">
              <w:rPr>
                <w:rFonts w:ascii="Arial" w:hAnsi="Arial" w:cs="Arial"/>
                <w:sz w:val="20"/>
              </w:rPr>
              <w:t xml:space="preserve"> 0.0434 x 10</w:t>
            </w:r>
            <w:r w:rsidRPr="00B6208A">
              <w:rPr>
                <w:rFonts w:ascii="Arial" w:hAnsi="Arial" w:cs="Arial"/>
                <w:sz w:val="20"/>
                <w:vertAlign w:val="superscript"/>
              </w:rPr>
              <w:t>5b</w:t>
            </w:r>
          </w:p>
        </w:tc>
        <w:tc>
          <w:tcPr>
            <w:tcW w:w="3189" w:type="dxa"/>
            <w:shd w:val="clear" w:color="auto" w:fill="FFFFFF" w:themeFill="background1"/>
          </w:tcPr>
          <w:p w14:paraId="3DAF4E2A"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2.2083 </w:t>
            </w:r>
            <w:r w:rsidRPr="00B6208A">
              <w:rPr>
                <w:rFonts w:ascii="Arial" w:hAnsi="Arial" w:cs="Arial"/>
                <w:sz w:val="20"/>
                <w:u w:val="single"/>
              </w:rPr>
              <w:t>+</w:t>
            </w:r>
            <w:r w:rsidRPr="00B6208A">
              <w:rPr>
                <w:rFonts w:ascii="Arial" w:hAnsi="Arial" w:cs="Arial"/>
                <w:sz w:val="20"/>
              </w:rPr>
              <w:t xml:space="preserve"> 0.0019 x 10</w:t>
            </w:r>
            <w:r w:rsidRPr="00B6208A">
              <w:rPr>
                <w:rFonts w:ascii="Arial" w:hAnsi="Arial" w:cs="Arial"/>
                <w:sz w:val="20"/>
                <w:vertAlign w:val="superscript"/>
              </w:rPr>
              <w:t>2a</w:t>
            </w:r>
          </w:p>
        </w:tc>
        <w:tc>
          <w:tcPr>
            <w:tcW w:w="3341" w:type="dxa"/>
            <w:shd w:val="clear" w:color="auto" w:fill="FFFFFF" w:themeFill="background1"/>
          </w:tcPr>
          <w:p w14:paraId="09566A04"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9.6262 </w:t>
            </w:r>
            <w:r w:rsidRPr="00B6208A">
              <w:rPr>
                <w:rFonts w:ascii="Arial" w:hAnsi="Arial" w:cs="Arial"/>
                <w:sz w:val="20"/>
                <w:u w:val="single"/>
              </w:rPr>
              <w:t>+</w:t>
            </w:r>
            <w:r w:rsidRPr="00B6208A">
              <w:rPr>
                <w:rFonts w:ascii="Arial" w:hAnsi="Arial" w:cs="Arial"/>
                <w:sz w:val="20"/>
              </w:rPr>
              <w:t xml:space="preserve"> 0.3917 x 10</w:t>
            </w:r>
            <w:r w:rsidRPr="00B6208A">
              <w:rPr>
                <w:rFonts w:ascii="Arial" w:hAnsi="Arial" w:cs="Arial"/>
                <w:sz w:val="20"/>
                <w:vertAlign w:val="superscript"/>
              </w:rPr>
              <w:t>3c</w:t>
            </w:r>
          </w:p>
        </w:tc>
        <w:tc>
          <w:tcPr>
            <w:tcW w:w="2885" w:type="dxa"/>
            <w:shd w:val="clear" w:color="auto" w:fill="FFFFFF" w:themeFill="background1"/>
          </w:tcPr>
          <w:p w14:paraId="532DDD3D"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1.6044 </w:t>
            </w:r>
            <w:r w:rsidRPr="00B6208A">
              <w:rPr>
                <w:rFonts w:ascii="Arial" w:hAnsi="Arial" w:cs="Arial"/>
                <w:sz w:val="20"/>
                <w:u w:val="single"/>
              </w:rPr>
              <w:t>+</w:t>
            </w:r>
            <w:r w:rsidRPr="00B6208A">
              <w:rPr>
                <w:rFonts w:ascii="Arial" w:hAnsi="Arial" w:cs="Arial"/>
                <w:sz w:val="20"/>
              </w:rPr>
              <w:t xml:space="preserve"> 0.1120 x 10</w:t>
            </w:r>
            <w:r w:rsidRPr="00B6208A">
              <w:rPr>
                <w:rFonts w:ascii="Arial" w:hAnsi="Arial" w:cs="Arial"/>
                <w:sz w:val="20"/>
                <w:vertAlign w:val="superscript"/>
              </w:rPr>
              <w:t>2a</w:t>
            </w:r>
          </w:p>
        </w:tc>
      </w:tr>
      <w:tr w:rsidR="005A1DAB" w:rsidRPr="00B6208A" w14:paraId="41CC7106" w14:textId="77777777" w:rsidTr="005A1DAB">
        <w:trPr>
          <w:trHeight w:val="545"/>
        </w:trPr>
        <w:tc>
          <w:tcPr>
            <w:tcW w:w="1666" w:type="dxa"/>
            <w:shd w:val="clear" w:color="auto" w:fill="FFFFFF" w:themeFill="background1"/>
          </w:tcPr>
          <w:p w14:paraId="46ACBCDC" w14:textId="77777777" w:rsidR="005A1DAB" w:rsidRPr="00B6208A" w:rsidRDefault="005A1DAB" w:rsidP="005A1DAB">
            <w:pPr>
              <w:spacing w:after="0" w:line="360" w:lineRule="auto"/>
              <w:jc w:val="both"/>
              <w:rPr>
                <w:rFonts w:ascii="Arial" w:hAnsi="Arial" w:cs="Arial"/>
                <w:i/>
                <w:iCs/>
                <w:sz w:val="20"/>
              </w:rPr>
            </w:pPr>
            <w:r w:rsidRPr="00B6208A">
              <w:rPr>
                <w:rFonts w:ascii="Arial" w:hAnsi="Arial" w:cs="Arial"/>
                <w:b/>
                <w:bCs/>
                <w:sz w:val="20"/>
              </w:rPr>
              <w:t>BST3</w:t>
            </w:r>
          </w:p>
        </w:tc>
        <w:tc>
          <w:tcPr>
            <w:tcW w:w="3188" w:type="dxa"/>
            <w:shd w:val="clear" w:color="auto" w:fill="FFFFFF" w:themeFill="background1"/>
            <w:vAlign w:val="center"/>
          </w:tcPr>
          <w:p w14:paraId="6BD60CFA"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2.2209 </w:t>
            </w:r>
            <w:r w:rsidRPr="00B6208A">
              <w:rPr>
                <w:rFonts w:ascii="Arial" w:hAnsi="Arial" w:cs="Arial"/>
                <w:sz w:val="20"/>
                <w:u w:val="single"/>
              </w:rPr>
              <w:t>+</w:t>
            </w:r>
            <w:r w:rsidRPr="00B6208A">
              <w:rPr>
                <w:rFonts w:ascii="Arial" w:hAnsi="Arial" w:cs="Arial"/>
                <w:sz w:val="20"/>
              </w:rPr>
              <w:t xml:space="preserve"> 0.0418 x 10</w:t>
            </w:r>
            <w:r w:rsidRPr="00B6208A">
              <w:rPr>
                <w:rFonts w:ascii="Arial" w:hAnsi="Arial" w:cs="Arial"/>
                <w:sz w:val="20"/>
                <w:vertAlign w:val="superscript"/>
              </w:rPr>
              <w:t>5c</w:t>
            </w:r>
          </w:p>
        </w:tc>
        <w:tc>
          <w:tcPr>
            <w:tcW w:w="3189" w:type="dxa"/>
            <w:shd w:val="clear" w:color="auto" w:fill="FFFFFF" w:themeFill="background1"/>
          </w:tcPr>
          <w:p w14:paraId="0DBCB07C"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2.2528 </w:t>
            </w:r>
            <w:r w:rsidRPr="00B6208A">
              <w:rPr>
                <w:rFonts w:ascii="Arial" w:hAnsi="Arial" w:cs="Arial"/>
                <w:sz w:val="20"/>
                <w:u w:val="single"/>
              </w:rPr>
              <w:t>+</w:t>
            </w:r>
            <w:r w:rsidRPr="00B6208A">
              <w:rPr>
                <w:rFonts w:ascii="Arial" w:hAnsi="Arial" w:cs="Arial"/>
                <w:sz w:val="20"/>
              </w:rPr>
              <w:t xml:space="preserve"> 0.0022 x 10</w:t>
            </w:r>
            <w:r w:rsidRPr="00B6208A">
              <w:rPr>
                <w:rFonts w:ascii="Arial" w:hAnsi="Arial" w:cs="Arial"/>
                <w:sz w:val="20"/>
                <w:vertAlign w:val="superscript"/>
              </w:rPr>
              <w:t>2a</w:t>
            </w:r>
          </w:p>
        </w:tc>
        <w:tc>
          <w:tcPr>
            <w:tcW w:w="3341" w:type="dxa"/>
            <w:shd w:val="clear" w:color="auto" w:fill="FFFFFF" w:themeFill="background1"/>
          </w:tcPr>
          <w:p w14:paraId="1ACB3AA0"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9.6428 </w:t>
            </w:r>
            <w:r w:rsidRPr="00B6208A">
              <w:rPr>
                <w:rFonts w:ascii="Arial" w:hAnsi="Arial" w:cs="Arial"/>
                <w:sz w:val="20"/>
                <w:u w:val="single"/>
              </w:rPr>
              <w:t>+</w:t>
            </w:r>
            <w:r w:rsidRPr="00B6208A">
              <w:rPr>
                <w:rFonts w:ascii="Arial" w:hAnsi="Arial" w:cs="Arial"/>
                <w:sz w:val="20"/>
              </w:rPr>
              <w:t xml:space="preserve"> 0.3931 x 10</w:t>
            </w:r>
            <w:r w:rsidRPr="00B6208A">
              <w:rPr>
                <w:rFonts w:ascii="Arial" w:hAnsi="Arial" w:cs="Arial"/>
                <w:sz w:val="20"/>
                <w:vertAlign w:val="superscript"/>
              </w:rPr>
              <w:t>3c</w:t>
            </w:r>
          </w:p>
        </w:tc>
        <w:tc>
          <w:tcPr>
            <w:tcW w:w="2885" w:type="dxa"/>
            <w:shd w:val="clear" w:color="auto" w:fill="FFFFFF" w:themeFill="background1"/>
          </w:tcPr>
          <w:p w14:paraId="0194BABC"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1.6083 </w:t>
            </w:r>
            <w:r w:rsidRPr="00B6208A">
              <w:rPr>
                <w:rFonts w:ascii="Arial" w:hAnsi="Arial" w:cs="Arial"/>
                <w:sz w:val="20"/>
                <w:u w:val="single"/>
              </w:rPr>
              <w:t>+</w:t>
            </w:r>
            <w:r w:rsidRPr="00B6208A">
              <w:rPr>
                <w:rFonts w:ascii="Arial" w:hAnsi="Arial" w:cs="Arial"/>
                <w:sz w:val="20"/>
              </w:rPr>
              <w:t xml:space="preserve"> 0.1095 x 10</w:t>
            </w:r>
            <w:r w:rsidRPr="00B6208A">
              <w:rPr>
                <w:rFonts w:ascii="Arial" w:hAnsi="Arial" w:cs="Arial"/>
                <w:sz w:val="20"/>
                <w:vertAlign w:val="superscript"/>
              </w:rPr>
              <w:t>2a</w:t>
            </w:r>
          </w:p>
        </w:tc>
      </w:tr>
      <w:tr w:rsidR="005A1DAB" w:rsidRPr="00B6208A" w14:paraId="406A3A92" w14:textId="77777777" w:rsidTr="005A1DAB">
        <w:trPr>
          <w:trHeight w:val="559"/>
        </w:trPr>
        <w:tc>
          <w:tcPr>
            <w:tcW w:w="1666" w:type="dxa"/>
            <w:shd w:val="clear" w:color="auto" w:fill="FFFFFF" w:themeFill="background1"/>
          </w:tcPr>
          <w:p w14:paraId="5B18CBE5" w14:textId="77777777" w:rsidR="005A1DAB" w:rsidRPr="00B6208A" w:rsidRDefault="005A1DAB" w:rsidP="005A1DAB">
            <w:pPr>
              <w:spacing w:after="0" w:line="360" w:lineRule="auto"/>
              <w:jc w:val="both"/>
              <w:rPr>
                <w:rFonts w:ascii="Arial" w:hAnsi="Arial" w:cs="Arial"/>
                <w:i/>
                <w:iCs/>
                <w:sz w:val="20"/>
              </w:rPr>
            </w:pPr>
            <w:r w:rsidRPr="00B6208A">
              <w:rPr>
                <w:rFonts w:ascii="Arial" w:hAnsi="Arial" w:cs="Arial"/>
                <w:b/>
                <w:bCs/>
                <w:sz w:val="20"/>
              </w:rPr>
              <w:t>BST4</w:t>
            </w:r>
          </w:p>
        </w:tc>
        <w:tc>
          <w:tcPr>
            <w:tcW w:w="3188" w:type="dxa"/>
            <w:shd w:val="clear" w:color="auto" w:fill="FFFFFF" w:themeFill="background1"/>
            <w:vAlign w:val="center"/>
          </w:tcPr>
          <w:p w14:paraId="6152F7E4"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2.2598 </w:t>
            </w:r>
            <w:r w:rsidRPr="00B6208A">
              <w:rPr>
                <w:rFonts w:ascii="Arial" w:hAnsi="Arial" w:cs="Arial"/>
                <w:sz w:val="20"/>
                <w:u w:val="single"/>
              </w:rPr>
              <w:t>+</w:t>
            </w:r>
            <w:r w:rsidRPr="00B6208A">
              <w:rPr>
                <w:rFonts w:ascii="Arial" w:hAnsi="Arial" w:cs="Arial"/>
                <w:sz w:val="20"/>
              </w:rPr>
              <w:t xml:space="preserve"> 0.1309 x 10</w:t>
            </w:r>
            <w:r w:rsidRPr="00B6208A">
              <w:rPr>
                <w:rFonts w:ascii="Arial" w:hAnsi="Arial" w:cs="Arial"/>
                <w:sz w:val="20"/>
                <w:vertAlign w:val="superscript"/>
              </w:rPr>
              <w:t>5c</w:t>
            </w:r>
          </w:p>
        </w:tc>
        <w:tc>
          <w:tcPr>
            <w:tcW w:w="3189" w:type="dxa"/>
            <w:shd w:val="clear" w:color="auto" w:fill="FFFFFF" w:themeFill="background1"/>
          </w:tcPr>
          <w:p w14:paraId="46FCCEA7"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2.2583 </w:t>
            </w:r>
            <w:r w:rsidRPr="00B6208A">
              <w:rPr>
                <w:rFonts w:ascii="Arial" w:hAnsi="Arial" w:cs="Arial"/>
                <w:sz w:val="20"/>
                <w:u w:val="single"/>
              </w:rPr>
              <w:t>+</w:t>
            </w:r>
            <w:r w:rsidRPr="00B6208A">
              <w:rPr>
                <w:rFonts w:ascii="Arial" w:hAnsi="Arial" w:cs="Arial"/>
                <w:sz w:val="20"/>
              </w:rPr>
              <w:t xml:space="preserve"> 0.0018 x 10</w:t>
            </w:r>
            <w:r w:rsidRPr="00B6208A">
              <w:rPr>
                <w:rFonts w:ascii="Arial" w:hAnsi="Arial" w:cs="Arial"/>
                <w:sz w:val="20"/>
                <w:vertAlign w:val="superscript"/>
              </w:rPr>
              <w:t>2a</w:t>
            </w:r>
          </w:p>
        </w:tc>
        <w:tc>
          <w:tcPr>
            <w:tcW w:w="3341" w:type="dxa"/>
            <w:shd w:val="clear" w:color="auto" w:fill="FFFFFF" w:themeFill="background1"/>
          </w:tcPr>
          <w:p w14:paraId="6B90BAED"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6.6917 </w:t>
            </w:r>
            <w:r w:rsidRPr="00B6208A">
              <w:rPr>
                <w:rFonts w:ascii="Arial" w:hAnsi="Arial" w:cs="Arial"/>
                <w:sz w:val="20"/>
                <w:u w:val="single"/>
              </w:rPr>
              <w:t>+</w:t>
            </w:r>
            <w:r w:rsidRPr="00B6208A">
              <w:rPr>
                <w:rFonts w:ascii="Arial" w:hAnsi="Arial" w:cs="Arial"/>
                <w:sz w:val="20"/>
              </w:rPr>
              <w:t xml:space="preserve"> 0.5961 x 10</w:t>
            </w:r>
            <w:r w:rsidRPr="00B6208A">
              <w:rPr>
                <w:rFonts w:ascii="Arial" w:hAnsi="Arial" w:cs="Arial"/>
                <w:sz w:val="20"/>
                <w:vertAlign w:val="superscript"/>
              </w:rPr>
              <w:t>3b</w:t>
            </w:r>
          </w:p>
        </w:tc>
        <w:tc>
          <w:tcPr>
            <w:tcW w:w="2885" w:type="dxa"/>
            <w:shd w:val="clear" w:color="auto" w:fill="FFFFFF" w:themeFill="background1"/>
          </w:tcPr>
          <w:p w14:paraId="2A600345"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1.5683 </w:t>
            </w:r>
            <w:r w:rsidRPr="00B6208A">
              <w:rPr>
                <w:rFonts w:ascii="Arial" w:hAnsi="Arial" w:cs="Arial"/>
                <w:sz w:val="20"/>
                <w:u w:val="single"/>
              </w:rPr>
              <w:t>+</w:t>
            </w:r>
            <w:r w:rsidRPr="00B6208A">
              <w:rPr>
                <w:rFonts w:ascii="Arial" w:hAnsi="Arial" w:cs="Arial"/>
                <w:sz w:val="20"/>
              </w:rPr>
              <w:t xml:space="preserve"> 0.0767 x 10</w:t>
            </w:r>
            <w:r w:rsidRPr="00B6208A">
              <w:rPr>
                <w:rFonts w:ascii="Arial" w:hAnsi="Arial" w:cs="Arial"/>
                <w:sz w:val="20"/>
                <w:vertAlign w:val="superscript"/>
              </w:rPr>
              <w:t>2a</w:t>
            </w:r>
          </w:p>
        </w:tc>
      </w:tr>
    </w:tbl>
    <w:p w14:paraId="4655B7F9" w14:textId="77777777" w:rsidR="005A1DAB" w:rsidRPr="00B6208A" w:rsidRDefault="005A1DAB" w:rsidP="005A1DAB">
      <w:pPr>
        <w:spacing w:after="0"/>
        <w:ind w:left="720"/>
        <w:rPr>
          <w:rFonts w:ascii="Arial" w:hAnsi="Arial" w:cs="Arial"/>
          <w:color w:val="000000"/>
          <w:sz w:val="20"/>
        </w:rPr>
      </w:pPr>
      <w:r w:rsidRPr="00B6208A">
        <w:rPr>
          <w:rFonts w:ascii="Arial" w:hAnsi="Arial" w:cs="Arial"/>
          <w:sz w:val="20"/>
        </w:rPr>
        <w:t xml:space="preserve">Note: </w:t>
      </w:r>
      <w:r w:rsidRPr="00B6208A">
        <w:rPr>
          <w:rFonts w:ascii="Arial" w:hAnsi="Arial" w:cs="Arial"/>
          <w:color w:val="000000"/>
          <w:sz w:val="20"/>
        </w:rPr>
        <w:t xml:space="preserve">n = 3, values are expressed as </w:t>
      </w:r>
      <w:r w:rsidRPr="00B6208A">
        <w:rPr>
          <w:rFonts w:ascii="Arial" w:hAnsi="Arial" w:cs="Arial"/>
          <w:sz w:val="20"/>
        </w:rPr>
        <w:t>(Mean</w:t>
      </w:r>
      <w:r w:rsidRPr="00B6208A">
        <w:rPr>
          <w:rFonts w:ascii="Arial" w:hAnsi="Arial" w:cs="Arial"/>
          <w:sz w:val="20"/>
          <w:u w:val="single"/>
        </w:rPr>
        <w:t>+</w:t>
      </w:r>
      <w:r w:rsidRPr="00B6208A">
        <w:rPr>
          <w:rFonts w:ascii="Arial" w:hAnsi="Arial" w:cs="Arial"/>
          <w:sz w:val="20"/>
        </w:rPr>
        <w:t xml:space="preserve"> SE). </w:t>
      </w:r>
      <w:r w:rsidRPr="00B6208A">
        <w:rPr>
          <w:rFonts w:ascii="Arial" w:hAnsi="Arial" w:cs="Arial"/>
          <w:color w:val="000000"/>
          <w:sz w:val="20"/>
        </w:rPr>
        <w:t>The means in the same column followed by different letters indicate significant difference between treatments by Tukey's test (</w:t>
      </w:r>
      <w:r w:rsidRPr="00B6208A">
        <w:rPr>
          <w:rFonts w:ascii="Arial" w:hAnsi="Arial" w:cs="Arial"/>
          <w:i/>
          <w:iCs/>
          <w:color w:val="000000"/>
          <w:sz w:val="20"/>
        </w:rPr>
        <w:t xml:space="preserve">p </w:t>
      </w:r>
      <w:r w:rsidRPr="00B6208A">
        <w:rPr>
          <w:rFonts w:ascii="Arial" w:hAnsi="Arial" w:cs="Arial"/>
          <w:color w:val="000000"/>
          <w:sz w:val="20"/>
        </w:rPr>
        <w:t>&lt;</w:t>
      </w:r>
      <w:r w:rsidRPr="00B6208A">
        <w:rPr>
          <w:rFonts w:ascii="Arial" w:hAnsi="Arial" w:cs="Arial"/>
          <w:i/>
          <w:iCs/>
          <w:color w:val="000000"/>
          <w:sz w:val="20"/>
        </w:rPr>
        <w:t xml:space="preserve"> </w:t>
      </w:r>
      <w:r w:rsidRPr="00B6208A">
        <w:rPr>
          <w:rFonts w:ascii="Arial" w:hAnsi="Arial" w:cs="Arial"/>
          <w:color w:val="000000"/>
          <w:sz w:val="20"/>
        </w:rPr>
        <w:t>0.05)</w:t>
      </w:r>
    </w:p>
    <w:p w14:paraId="617FA97E" w14:textId="77777777" w:rsidR="005A1DAB" w:rsidRDefault="005A1DAB" w:rsidP="00D417DA">
      <w:pPr>
        <w:spacing w:after="0" w:line="360" w:lineRule="auto"/>
        <w:jc w:val="both"/>
        <w:rPr>
          <w:rFonts w:ascii="Times New Roman" w:hAnsi="Times New Roman" w:cs="Times New Roman"/>
        </w:rPr>
      </w:pPr>
    </w:p>
    <w:p w14:paraId="79961F09" w14:textId="77777777" w:rsidR="005A1DAB" w:rsidRDefault="005A1DAB" w:rsidP="00D417DA">
      <w:pPr>
        <w:spacing w:after="0" w:line="360" w:lineRule="auto"/>
        <w:jc w:val="both"/>
        <w:rPr>
          <w:rFonts w:ascii="Times New Roman" w:hAnsi="Times New Roman" w:cs="Times New Roman"/>
        </w:rPr>
      </w:pPr>
    </w:p>
    <w:p w14:paraId="0F319B6D" w14:textId="77777777" w:rsidR="005A1DAB" w:rsidRDefault="005A1DAB" w:rsidP="00D417DA">
      <w:pPr>
        <w:spacing w:after="0" w:line="360" w:lineRule="auto"/>
        <w:jc w:val="both"/>
        <w:rPr>
          <w:rFonts w:ascii="Times New Roman" w:hAnsi="Times New Roman" w:cs="Times New Roman"/>
        </w:rPr>
      </w:pPr>
    </w:p>
    <w:p w14:paraId="7D246183" w14:textId="77777777" w:rsidR="005A1DAB" w:rsidRDefault="005A1DAB" w:rsidP="00D417DA">
      <w:pPr>
        <w:spacing w:after="0" w:line="360" w:lineRule="auto"/>
        <w:jc w:val="both"/>
        <w:rPr>
          <w:rFonts w:ascii="Times New Roman" w:hAnsi="Times New Roman" w:cs="Times New Roman"/>
        </w:rPr>
      </w:pPr>
    </w:p>
    <w:p w14:paraId="77BDD247" w14:textId="77777777" w:rsidR="005A1DAB" w:rsidRDefault="005A1DAB" w:rsidP="00D417DA">
      <w:pPr>
        <w:spacing w:after="0" w:line="360" w:lineRule="auto"/>
        <w:jc w:val="both"/>
        <w:rPr>
          <w:rFonts w:ascii="Times New Roman" w:hAnsi="Times New Roman" w:cs="Times New Roman"/>
        </w:rPr>
      </w:pPr>
    </w:p>
    <w:p w14:paraId="4838D904" w14:textId="77777777" w:rsidR="005A1DAB" w:rsidRDefault="005A1DAB" w:rsidP="00D417DA">
      <w:pPr>
        <w:spacing w:after="0" w:line="360" w:lineRule="auto"/>
        <w:jc w:val="both"/>
        <w:rPr>
          <w:rFonts w:ascii="Times New Roman" w:hAnsi="Times New Roman" w:cs="Times New Roman"/>
        </w:rPr>
      </w:pPr>
    </w:p>
    <w:p w14:paraId="47EA4598" w14:textId="77777777" w:rsidR="005A1DAB" w:rsidRDefault="005A1DAB" w:rsidP="00D417DA">
      <w:pPr>
        <w:spacing w:after="0" w:line="360" w:lineRule="auto"/>
        <w:jc w:val="both"/>
        <w:rPr>
          <w:rFonts w:ascii="Times New Roman" w:hAnsi="Times New Roman" w:cs="Times New Roman"/>
          <w:color w:val="000000"/>
          <w:kern w:val="2"/>
          <w:sz w:val="24"/>
          <w:szCs w:val="24"/>
          <w:lang w:bidi="te-IN"/>
          <w14:ligatures w14:val="standardContextual"/>
        </w:rPr>
        <w:sectPr w:rsidR="005A1DAB" w:rsidSect="00176D00">
          <w:pgSz w:w="16838" w:h="11906" w:orient="landscape"/>
          <w:pgMar w:top="1440" w:right="1440" w:bottom="1440" w:left="1440" w:header="709" w:footer="709" w:gutter="0"/>
          <w:cols w:space="708"/>
          <w:docGrid w:linePitch="360"/>
        </w:sectPr>
      </w:pPr>
    </w:p>
    <w:p w14:paraId="017CBB94" w14:textId="77777777" w:rsidR="005A1DAB" w:rsidRPr="00B6208A" w:rsidRDefault="005A1DAB"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kern w:val="2"/>
          <w:sz w:val="20"/>
          <w:lang w:bidi="te-IN"/>
          <w14:ligatures w14:val="standardContextual"/>
        </w:rPr>
        <w:lastRenderedPageBreak/>
        <w:t>The total bacterial count (TBC) was consistently higher in substrate treatments (1.64 to 2.26 × 10⁵ CFU mL</w:t>
      </w:r>
      <w:r w:rsidRPr="00B6208A">
        <w:rPr>
          <w:rFonts w:ascii="Cambria Math" w:hAnsi="Cambria Math" w:cs="Cambria Math"/>
          <w:color w:val="000000"/>
          <w:kern w:val="2"/>
          <w:sz w:val="20"/>
          <w:lang w:bidi="te-IN"/>
          <w14:ligatures w14:val="standardContextual"/>
        </w:rPr>
        <w:t>⁻</w:t>
      </w:r>
      <w:r w:rsidRPr="00B6208A">
        <w:rPr>
          <w:rFonts w:ascii="Arial" w:hAnsi="Arial" w:cs="Arial"/>
          <w:color w:val="000000"/>
          <w:kern w:val="2"/>
          <w:sz w:val="20"/>
          <w:lang w:bidi="te-IN"/>
          <w14:ligatures w14:val="standardContextual"/>
        </w:rPr>
        <w:t>¹) compared to non-substrate treatments (0.88 to 1.53 × 10⁵ CFU mL</w:t>
      </w:r>
      <w:r w:rsidRPr="00B6208A">
        <w:rPr>
          <w:rFonts w:ascii="Cambria Math" w:hAnsi="Cambria Math" w:cs="Cambria Math"/>
          <w:color w:val="000000"/>
          <w:kern w:val="2"/>
          <w:sz w:val="20"/>
          <w:lang w:bidi="te-IN"/>
          <w14:ligatures w14:val="standardContextual"/>
        </w:rPr>
        <w:t>⁻</w:t>
      </w:r>
      <w:r w:rsidRPr="00B6208A">
        <w:rPr>
          <w:rFonts w:ascii="Arial" w:hAnsi="Arial" w:cs="Arial"/>
          <w:color w:val="000000"/>
          <w:kern w:val="2"/>
          <w:sz w:val="20"/>
          <w:lang w:bidi="te-IN"/>
          <w14:ligatures w14:val="standardContextual"/>
        </w:rPr>
        <w:t xml:space="preserve">¹) (Fig.1), indicating that substrate availability facilitated bacterial colonization and proliferation. The substrates likely provided additional surface area for microbial attachment and biofilm formation, enhancing microbial retention and stability within the biofloc matrix. Furthermore, the accumulation of organic matter derived from shrimp faeces and uneaten feed at higher stocking densities may have acted as a carbon source, stimulating heterotrophic bacterial growth </w:t>
      </w:r>
      <w:r w:rsidR="00D05AC9">
        <w:rPr>
          <w:rFonts w:ascii="Arial" w:hAnsi="Arial" w:cs="Arial"/>
          <w:color w:val="000000"/>
          <w:kern w:val="2"/>
          <w:sz w:val="20"/>
          <w:lang w:bidi="te-IN"/>
          <w14:ligatures w14:val="standardContextual"/>
        </w:rPr>
        <w:t>[20]</w:t>
      </w:r>
      <w:r w:rsidRPr="00B6208A">
        <w:rPr>
          <w:rFonts w:ascii="Arial" w:hAnsi="Arial" w:cs="Arial"/>
          <w:color w:val="000000"/>
          <w:kern w:val="2"/>
          <w:sz w:val="20"/>
          <w:lang w:bidi="te-IN"/>
          <w14:ligatures w14:val="standardContextual"/>
        </w:rPr>
        <w:t xml:space="preserve">. </w:t>
      </w:r>
      <w:r w:rsidRPr="00B6208A">
        <w:rPr>
          <w:rFonts w:ascii="Arial" w:hAnsi="Arial" w:cs="Arial"/>
          <w:color w:val="000000" w:themeColor="text1"/>
          <w:sz w:val="20"/>
        </w:rPr>
        <w:t>The heterotrophic bacterial loads in biofloc systems at a density of 500 Nos m</w:t>
      </w:r>
      <w:r w:rsidRPr="00B6208A">
        <w:rPr>
          <w:rFonts w:ascii="Arial" w:hAnsi="Arial" w:cs="Arial"/>
          <w:color w:val="000000" w:themeColor="text1"/>
          <w:sz w:val="20"/>
          <w:vertAlign w:val="superscript"/>
        </w:rPr>
        <w:t>-3</w:t>
      </w:r>
      <w:r w:rsidRPr="00B6208A">
        <w:rPr>
          <w:rFonts w:ascii="Arial" w:hAnsi="Arial" w:cs="Arial"/>
          <w:color w:val="000000" w:themeColor="text1"/>
          <w:sz w:val="20"/>
        </w:rPr>
        <w:t xml:space="preserve"> on day 30 ranged from 38.2 to 65.3 × 10⁶ CFU/mL </w:t>
      </w:r>
      <w:r w:rsidR="008354E4">
        <w:rPr>
          <w:rFonts w:ascii="Arial" w:hAnsi="Arial" w:cs="Arial"/>
          <w:color w:val="000000" w:themeColor="text1"/>
          <w:sz w:val="20"/>
        </w:rPr>
        <w:t>[33]</w:t>
      </w:r>
      <w:r w:rsidRPr="00B6208A">
        <w:rPr>
          <w:rFonts w:ascii="Arial" w:hAnsi="Arial" w:cs="Arial"/>
          <w:color w:val="000000" w:themeColor="text1"/>
          <w:sz w:val="20"/>
        </w:rPr>
        <w:t>. Also, total heterotrophic bacterial counts of 225.78, 178.68, and 341.18 × 10⁵ CFU/mL at stocking densities of 12, 14, and 16 larvae L</w:t>
      </w:r>
      <w:r w:rsidRPr="00B6208A">
        <w:rPr>
          <w:rFonts w:ascii="Arial" w:hAnsi="Arial" w:cs="Arial"/>
          <w:color w:val="000000" w:themeColor="text1"/>
          <w:sz w:val="20"/>
          <w:vertAlign w:val="superscript"/>
        </w:rPr>
        <w:t>-1</w:t>
      </w:r>
      <w:r w:rsidRPr="00B6208A">
        <w:rPr>
          <w:rFonts w:ascii="Arial" w:hAnsi="Arial" w:cs="Arial"/>
          <w:color w:val="000000" w:themeColor="text1"/>
          <w:sz w:val="20"/>
        </w:rPr>
        <w:t>, respectively</w:t>
      </w:r>
      <w:r w:rsidR="008354E4" w:rsidRPr="008354E4">
        <w:rPr>
          <w:rFonts w:ascii="Arial" w:hAnsi="Arial" w:cs="Arial"/>
          <w:color w:val="000000" w:themeColor="text1"/>
          <w:sz w:val="20"/>
        </w:rPr>
        <w:t xml:space="preserve"> </w:t>
      </w:r>
      <w:r w:rsidR="008354E4" w:rsidRPr="00B6208A">
        <w:rPr>
          <w:rFonts w:ascii="Arial" w:hAnsi="Arial" w:cs="Arial"/>
          <w:color w:val="000000" w:themeColor="text1"/>
          <w:sz w:val="20"/>
        </w:rPr>
        <w:t>recorded</w:t>
      </w:r>
      <w:r w:rsidRPr="00B6208A">
        <w:rPr>
          <w:rFonts w:ascii="Arial" w:hAnsi="Arial" w:cs="Arial"/>
          <w:color w:val="000000" w:themeColor="text1"/>
          <w:sz w:val="20"/>
        </w:rPr>
        <w:t xml:space="preserve"> in a biofloc system, over a 90-day period for </w:t>
      </w:r>
      <w:r w:rsidRPr="00B6208A">
        <w:rPr>
          <w:rFonts w:ascii="Arial" w:hAnsi="Arial" w:cs="Arial"/>
          <w:i/>
          <w:iCs/>
          <w:color w:val="000000" w:themeColor="text1"/>
          <w:sz w:val="20"/>
        </w:rPr>
        <w:t>P. vannamei</w:t>
      </w:r>
      <w:r w:rsidR="008354E4" w:rsidRPr="008354E4">
        <w:rPr>
          <w:rFonts w:ascii="Arial" w:hAnsi="Arial" w:cs="Arial"/>
          <w:color w:val="000000" w:themeColor="text1"/>
          <w:sz w:val="20"/>
        </w:rPr>
        <w:t xml:space="preserve"> </w:t>
      </w:r>
      <w:r w:rsidR="008354E4">
        <w:rPr>
          <w:rFonts w:ascii="Arial" w:hAnsi="Arial" w:cs="Arial"/>
          <w:color w:val="000000" w:themeColor="text1"/>
          <w:sz w:val="20"/>
        </w:rPr>
        <w:t>[34].</w:t>
      </w:r>
    </w:p>
    <w:p w14:paraId="2934CAB3" w14:textId="77777777" w:rsidR="005A1DAB" w:rsidRDefault="005A1DAB" w:rsidP="005A1DAB">
      <w:pPr>
        <w:spacing w:after="0" w:line="360" w:lineRule="auto"/>
        <w:ind w:firstLine="720"/>
        <w:jc w:val="both"/>
        <w:rPr>
          <w:rFonts w:ascii="Times New Roman" w:hAnsi="Times New Roman" w:cs="Times New Roman"/>
          <w:color w:val="000000" w:themeColor="text1"/>
          <w:sz w:val="24"/>
          <w:szCs w:val="24"/>
        </w:rPr>
      </w:pPr>
    </w:p>
    <w:p w14:paraId="6950F5C4" w14:textId="77777777" w:rsidR="005A1DAB" w:rsidRDefault="005A1DAB" w:rsidP="005A1DAB">
      <w:pPr>
        <w:spacing w:after="0" w:line="360" w:lineRule="auto"/>
        <w:ind w:firstLine="720"/>
        <w:jc w:val="center"/>
        <w:rPr>
          <w:rFonts w:ascii="Times New Roman" w:hAnsi="Times New Roman" w:cs="Times New Roman"/>
          <w:sz w:val="24"/>
          <w:szCs w:val="24"/>
        </w:rPr>
      </w:pPr>
      <w:r>
        <w:rPr>
          <w:noProof/>
          <w:lang w:eastAsia="en-IN"/>
        </w:rPr>
        <w:drawing>
          <wp:inline distT="0" distB="0" distL="0" distR="0" wp14:anchorId="24F73CC1" wp14:editId="3BE28B82">
            <wp:extent cx="4469130" cy="2571750"/>
            <wp:effectExtent l="0" t="0" r="762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F14325" w14:textId="77777777" w:rsidR="005A1DAB" w:rsidRDefault="005A1DAB" w:rsidP="005A1DAB">
      <w:pPr>
        <w:spacing w:after="0" w:line="360" w:lineRule="auto"/>
        <w:jc w:val="center"/>
        <w:rPr>
          <w:rFonts w:ascii="Times New Roman" w:hAnsi="Times New Roman" w:cs="Times New Roman"/>
          <w:b/>
          <w:bCs/>
        </w:rPr>
      </w:pPr>
      <w:r w:rsidRPr="0032555B">
        <w:rPr>
          <w:rFonts w:ascii="Times New Roman" w:hAnsi="Times New Roman" w:cs="Times New Roman"/>
          <w:b/>
          <w:bCs/>
        </w:rPr>
        <w:t xml:space="preserve">Fig. </w:t>
      </w:r>
      <w:r>
        <w:rPr>
          <w:rFonts w:ascii="Times New Roman" w:hAnsi="Times New Roman" w:cs="Times New Roman"/>
          <w:b/>
          <w:bCs/>
        </w:rPr>
        <w:t>1</w:t>
      </w:r>
      <w:r w:rsidRPr="0032555B">
        <w:rPr>
          <w:rFonts w:ascii="Times New Roman" w:hAnsi="Times New Roman" w:cs="Times New Roman"/>
          <w:b/>
          <w:bCs/>
        </w:rPr>
        <w:t xml:space="preserve"> Assessment of total bacterial count in different </w:t>
      </w:r>
      <w:r>
        <w:rPr>
          <w:rFonts w:ascii="Times New Roman" w:hAnsi="Times New Roman" w:cs="Times New Roman"/>
          <w:b/>
          <w:bCs/>
        </w:rPr>
        <w:t xml:space="preserve">stocking density </w:t>
      </w:r>
      <w:r w:rsidRPr="0032555B">
        <w:rPr>
          <w:rFonts w:ascii="Times New Roman" w:hAnsi="Times New Roman" w:cs="Times New Roman"/>
          <w:b/>
          <w:bCs/>
        </w:rPr>
        <w:t>treatments</w:t>
      </w:r>
      <w:r>
        <w:rPr>
          <w:rFonts w:ascii="Times New Roman" w:hAnsi="Times New Roman" w:cs="Times New Roman"/>
          <w:b/>
          <w:bCs/>
        </w:rPr>
        <w:t xml:space="preserve"> with and without substrate</w:t>
      </w:r>
    </w:p>
    <w:p w14:paraId="7FA9C9FD" w14:textId="77777777" w:rsidR="005A1DAB" w:rsidRDefault="005A1DAB" w:rsidP="005A1DAB">
      <w:pPr>
        <w:spacing w:after="0" w:line="360" w:lineRule="auto"/>
        <w:jc w:val="both"/>
        <w:rPr>
          <w:rFonts w:ascii="Times New Roman" w:hAnsi="Times New Roman" w:cs="Times New Roman"/>
          <w:b/>
          <w:bCs/>
        </w:rPr>
      </w:pPr>
    </w:p>
    <w:p w14:paraId="2FB6F02A" w14:textId="77777777" w:rsidR="008354E4" w:rsidRDefault="005A1DAB" w:rsidP="00B6208A">
      <w:pPr>
        <w:spacing w:after="240" w:line="240" w:lineRule="auto"/>
        <w:ind w:firstLine="720"/>
        <w:jc w:val="both"/>
        <w:rPr>
          <w:rFonts w:ascii="Arial" w:hAnsi="Arial" w:cs="Arial"/>
          <w:color w:val="000000" w:themeColor="text1"/>
          <w:sz w:val="20"/>
        </w:rPr>
      </w:pPr>
      <w:r w:rsidRPr="00B6208A">
        <w:rPr>
          <w:rFonts w:ascii="Arial" w:hAnsi="Arial" w:cs="Arial"/>
          <w:sz w:val="20"/>
        </w:rPr>
        <w:t>Although</w:t>
      </w:r>
      <w:r w:rsidRPr="00B6208A">
        <w:rPr>
          <w:rFonts w:ascii="Arial" w:hAnsi="Arial" w:cs="Arial"/>
          <w:color w:val="000000" w:themeColor="text1"/>
          <w:sz w:val="20"/>
        </w:rPr>
        <w:t xml:space="preserve">, </w:t>
      </w:r>
      <w:r w:rsidRPr="00B6208A">
        <w:rPr>
          <w:rFonts w:ascii="Arial" w:hAnsi="Arial" w:cs="Arial"/>
          <w:i/>
          <w:iCs/>
          <w:color w:val="000000" w:themeColor="text1"/>
          <w:sz w:val="20"/>
        </w:rPr>
        <w:t>Vibrio</w:t>
      </w:r>
      <w:r w:rsidRPr="00B6208A">
        <w:rPr>
          <w:rFonts w:ascii="Arial" w:hAnsi="Arial" w:cs="Arial"/>
          <w:color w:val="000000" w:themeColor="text1"/>
          <w:sz w:val="20"/>
        </w:rPr>
        <w:t xml:space="preserve"> spp. were consistently detected across all treatments; however, no significant variation </w:t>
      </w:r>
      <w:r w:rsidRPr="00B6208A">
        <w:rPr>
          <w:rFonts w:ascii="Arial" w:hAnsi="Arial" w:cs="Arial"/>
          <w:sz w:val="20"/>
        </w:rPr>
        <w:t>(</w:t>
      </w:r>
      <w:r w:rsidRPr="00B6208A">
        <w:rPr>
          <w:rFonts w:ascii="Arial" w:hAnsi="Arial" w:cs="Arial"/>
          <w:i/>
          <w:iCs/>
          <w:sz w:val="20"/>
        </w:rPr>
        <w:t>p</w:t>
      </w:r>
      <w:r w:rsidRPr="00B6208A">
        <w:rPr>
          <w:rFonts w:ascii="Arial" w:hAnsi="Arial" w:cs="Arial"/>
          <w:sz w:val="20"/>
        </w:rPr>
        <w:t xml:space="preserve"> &gt; 0.05) </w:t>
      </w:r>
      <w:r w:rsidRPr="00B6208A">
        <w:rPr>
          <w:rFonts w:ascii="Arial" w:hAnsi="Arial" w:cs="Arial"/>
          <w:color w:val="000000" w:themeColor="text1"/>
          <w:sz w:val="20"/>
        </w:rPr>
        <w:t xml:space="preserve">was observed among treatments, irrespective of substrate addition. The relatively stable </w:t>
      </w:r>
      <w:r w:rsidRPr="00B6208A">
        <w:rPr>
          <w:rFonts w:ascii="Arial" w:hAnsi="Arial" w:cs="Arial"/>
          <w:i/>
          <w:iCs/>
          <w:color w:val="000000" w:themeColor="text1"/>
          <w:sz w:val="20"/>
        </w:rPr>
        <w:t>Vibrio</w:t>
      </w:r>
      <w:r w:rsidRPr="00B6208A">
        <w:rPr>
          <w:rFonts w:ascii="Arial" w:hAnsi="Arial" w:cs="Arial"/>
          <w:color w:val="000000" w:themeColor="text1"/>
          <w:sz w:val="20"/>
        </w:rPr>
        <w:t xml:space="preserve"> population (2.18 to 2.31 × 10² CFU mL</w:t>
      </w:r>
      <w:r w:rsidRPr="00B6208A">
        <w:rPr>
          <w:rFonts w:ascii="Cambria Math" w:hAnsi="Cambria Math" w:cs="Cambria Math"/>
          <w:color w:val="000000" w:themeColor="text1"/>
          <w:sz w:val="20"/>
        </w:rPr>
        <w:t>⁻</w:t>
      </w:r>
      <w:r w:rsidRPr="00B6208A">
        <w:rPr>
          <w:rFonts w:ascii="Arial" w:hAnsi="Arial" w:cs="Arial"/>
          <w:color w:val="000000" w:themeColor="text1"/>
          <w:sz w:val="20"/>
        </w:rPr>
        <w:t xml:space="preserve">¹) suggests that the biofloc system effectively maintained microbial equilibrium. This stability may be attributed to competitive exclusion mechanisms, wherein beneficial heterotrophic and probiotic bacteria suppress the proliferation of potential pathogens through nutrient competition and the production of antimicrobial compounds </w:t>
      </w:r>
      <w:r w:rsidR="008354E4">
        <w:rPr>
          <w:rFonts w:ascii="Arial" w:hAnsi="Arial" w:cs="Arial"/>
          <w:color w:val="000000" w:themeColor="text1"/>
          <w:sz w:val="20"/>
        </w:rPr>
        <w:t>[35]</w:t>
      </w:r>
      <w:r w:rsidRPr="00B6208A">
        <w:rPr>
          <w:rFonts w:ascii="Arial" w:hAnsi="Arial" w:cs="Arial"/>
          <w:color w:val="000000" w:themeColor="text1"/>
          <w:sz w:val="20"/>
        </w:rPr>
        <w:t xml:space="preserve">. However, significantly higher </w:t>
      </w:r>
      <w:r w:rsidRPr="00B6208A">
        <w:rPr>
          <w:rFonts w:ascii="Arial" w:hAnsi="Arial" w:cs="Arial"/>
          <w:i/>
          <w:iCs/>
          <w:color w:val="000000" w:themeColor="text1"/>
          <w:sz w:val="20"/>
        </w:rPr>
        <w:t>Vibrio</w:t>
      </w:r>
      <w:r w:rsidRPr="00B6208A">
        <w:rPr>
          <w:rFonts w:ascii="Arial" w:hAnsi="Arial" w:cs="Arial"/>
          <w:color w:val="000000" w:themeColor="text1"/>
          <w:sz w:val="20"/>
        </w:rPr>
        <w:t xml:space="preserve"> counts in high-density biofloc systems (3.26 ± 0.23 log CFU mL</w:t>
      </w:r>
      <w:r w:rsidRPr="00B6208A">
        <w:rPr>
          <w:rFonts w:ascii="Cambria Math" w:hAnsi="Cambria Math" w:cs="Cambria Math"/>
          <w:color w:val="000000" w:themeColor="text1"/>
          <w:sz w:val="20"/>
        </w:rPr>
        <w:t>⁻</w:t>
      </w:r>
      <w:r w:rsidRPr="00B6208A">
        <w:rPr>
          <w:rFonts w:ascii="Arial" w:hAnsi="Arial" w:cs="Arial"/>
          <w:color w:val="000000" w:themeColor="text1"/>
          <w:sz w:val="20"/>
        </w:rPr>
        <w:t>¹) compared to low-density biofloc systems (2.22 ± 0.5 log CFU mL</w:t>
      </w:r>
      <w:r w:rsidRPr="00B6208A">
        <w:rPr>
          <w:rFonts w:ascii="Cambria Math" w:hAnsi="Cambria Math" w:cs="Cambria Math"/>
          <w:color w:val="000000" w:themeColor="text1"/>
          <w:sz w:val="20"/>
        </w:rPr>
        <w:t>⁻</w:t>
      </w:r>
      <w:r w:rsidRPr="00B6208A">
        <w:rPr>
          <w:rFonts w:ascii="Arial" w:hAnsi="Arial" w:cs="Arial"/>
          <w:color w:val="000000" w:themeColor="text1"/>
          <w:sz w:val="20"/>
        </w:rPr>
        <w:t>¹)</w:t>
      </w:r>
      <w:r w:rsidR="008354E4">
        <w:rPr>
          <w:rFonts w:ascii="Arial" w:hAnsi="Arial" w:cs="Arial"/>
          <w:color w:val="000000" w:themeColor="text1"/>
          <w:sz w:val="20"/>
        </w:rPr>
        <w:t xml:space="preserve"> recorded</w:t>
      </w:r>
      <w:r w:rsidRPr="00B6208A">
        <w:rPr>
          <w:rFonts w:ascii="Arial" w:hAnsi="Arial" w:cs="Arial"/>
          <w:color w:val="000000" w:themeColor="text1"/>
          <w:sz w:val="20"/>
        </w:rPr>
        <w:t xml:space="preserve"> indicating that stocking density can influence </w:t>
      </w:r>
      <w:r w:rsidRPr="00B6208A">
        <w:rPr>
          <w:rFonts w:ascii="Arial" w:hAnsi="Arial" w:cs="Arial"/>
          <w:i/>
          <w:iCs/>
          <w:color w:val="000000" w:themeColor="text1"/>
          <w:sz w:val="20"/>
        </w:rPr>
        <w:t>Vibrio</w:t>
      </w:r>
      <w:r w:rsidRPr="00B6208A">
        <w:rPr>
          <w:rFonts w:ascii="Arial" w:hAnsi="Arial" w:cs="Arial"/>
          <w:color w:val="000000" w:themeColor="text1"/>
          <w:sz w:val="20"/>
        </w:rPr>
        <w:t xml:space="preserve"> abundance under certain conditions</w:t>
      </w:r>
      <w:r w:rsidR="008354E4">
        <w:rPr>
          <w:rFonts w:ascii="Arial" w:hAnsi="Arial" w:cs="Arial"/>
          <w:color w:val="000000" w:themeColor="text1"/>
          <w:sz w:val="20"/>
        </w:rPr>
        <w:t xml:space="preserve"> [30]</w:t>
      </w:r>
      <w:r w:rsidRPr="00B6208A">
        <w:rPr>
          <w:rFonts w:ascii="Arial" w:hAnsi="Arial" w:cs="Arial"/>
          <w:color w:val="000000" w:themeColor="text1"/>
          <w:sz w:val="20"/>
        </w:rPr>
        <w:t xml:space="preserve">. </w:t>
      </w:r>
      <w:r w:rsidR="008354E4" w:rsidRPr="00B6208A">
        <w:rPr>
          <w:rFonts w:ascii="Arial" w:hAnsi="Arial" w:cs="Arial"/>
          <w:color w:val="000000" w:themeColor="text1"/>
          <w:sz w:val="20"/>
        </w:rPr>
        <w:t>Also</w:t>
      </w:r>
      <w:r w:rsidRPr="00B6208A">
        <w:rPr>
          <w:rFonts w:ascii="Arial" w:hAnsi="Arial" w:cs="Arial"/>
          <w:color w:val="000000" w:themeColor="text1"/>
          <w:sz w:val="20"/>
        </w:rPr>
        <w:t xml:space="preserve"> </w:t>
      </w:r>
      <w:r w:rsidR="008354E4">
        <w:rPr>
          <w:rFonts w:ascii="Arial" w:hAnsi="Arial" w:cs="Arial"/>
          <w:color w:val="000000" w:themeColor="text1"/>
          <w:sz w:val="20"/>
        </w:rPr>
        <w:t xml:space="preserve">some research </w:t>
      </w:r>
      <w:r w:rsidRPr="00B6208A">
        <w:rPr>
          <w:rFonts w:ascii="Arial" w:hAnsi="Arial" w:cs="Arial"/>
          <w:color w:val="000000" w:themeColor="text1"/>
          <w:sz w:val="20"/>
        </w:rPr>
        <w:t xml:space="preserve">demonstrated that the introduction of </w:t>
      </w:r>
      <w:r w:rsidRPr="00B6208A">
        <w:rPr>
          <w:rFonts w:ascii="Arial" w:hAnsi="Arial" w:cs="Arial"/>
          <w:i/>
          <w:iCs/>
          <w:color w:val="000000" w:themeColor="text1"/>
          <w:sz w:val="20"/>
        </w:rPr>
        <w:t>Bacillus</w:t>
      </w:r>
      <w:r w:rsidRPr="00B6208A">
        <w:rPr>
          <w:rFonts w:ascii="Arial" w:hAnsi="Arial" w:cs="Arial"/>
          <w:color w:val="000000" w:themeColor="text1"/>
          <w:sz w:val="20"/>
        </w:rPr>
        <w:t xml:space="preserve"> spp. into biofloc water significantly reduced </w:t>
      </w:r>
      <w:r w:rsidRPr="00B6208A">
        <w:rPr>
          <w:rFonts w:ascii="Arial" w:hAnsi="Arial" w:cs="Arial"/>
          <w:i/>
          <w:iCs/>
          <w:color w:val="000000" w:themeColor="text1"/>
          <w:sz w:val="20"/>
        </w:rPr>
        <w:t>Vibrio</w:t>
      </w:r>
      <w:r w:rsidRPr="00B6208A">
        <w:rPr>
          <w:rFonts w:ascii="Arial" w:hAnsi="Arial" w:cs="Arial"/>
          <w:color w:val="000000" w:themeColor="text1"/>
          <w:sz w:val="20"/>
        </w:rPr>
        <w:t xml:space="preserve"> populations</w:t>
      </w:r>
      <w:r w:rsidR="008354E4">
        <w:rPr>
          <w:rFonts w:ascii="Arial" w:hAnsi="Arial" w:cs="Arial"/>
          <w:color w:val="000000" w:themeColor="text1"/>
          <w:sz w:val="20"/>
        </w:rPr>
        <w:t xml:space="preserve"> [36]</w:t>
      </w:r>
      <w:r w:rsidRPr="00B6208A">
        <w:rPr>
          <w:rFonts w:ascii="Arial" w:hAnsi="Arial" w:cs="Arial"/>
          <w:color w:val="000000" w:themeColor="text1"/>
          <w:sz w:val="20"/>
        </w:rPr>
        <w:t xml:space="preserve">. </w:t>
      </w:r>
    </w:p>
    <w:p w14:paraId="18283B79" w14:textId="77777777" w:rsidR="005A1DAB" w:rsidRPr="00B6208A" w:rsidRDefault="005A1DAB"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 xml:space="preserve">A substantial increase in </w:t>
      </w:r>
      <w:r w:rsidRPr="00B6208A">
        <w:rPr>
          <w:rFonts w:ascii="Arial" w:hAnsi="Arial" w:cs="Arial"/>
          <w:i/>
          <w:iCs/>
          <w:color w:val="000000" w:themeColor="text1"/>
          <w:sz w:val="20"/>
        </w:rPr>
        <w:t>Bacillus</w:t>
      </w:r>
      <w:r w:rsidRPr="00B6208A">
        <w:rPr>
          <w:rFonts w:ascii="Arial" w:hAnsi="Arial" w:cs="Arial"/>
          <w:color w:val="000000" w:themeColor="text1"/>
          <w:sz w:val="20"/>
        </w:rPr>
        <w:t xml:space="preserve"> spp. counts was observed in substrate-added treatments (6.69 to10.43 × 10³ CFU mL</w:t>
      </w:r>
      <w:r w:rsidRPr="00B6208A">
        <w:rPr>
          <w:rFonts w:ascii="Cambria Math" w:hAnsi="Cambria Math" w:cs="Cambria Math"/>
          <w:color w:val="000000" w:themeColor="text1"/>
          <w:sz w:val="20"/>
        </w:rPr>
        <w:t>⁻</w:t>
      </w:r>
      <w:r w:rsidRPr="00B6208A">
        <w:rPr>
          <w:rFonts w:ascii="Arial" w:hAnsi="Arial" w:cs="Arial"/>
          <w:color w:val="000000" w:themeColor="text1"/>
          <w:sz w:val="20"/>
        </w:rPr>
        <w:t>¹) compared to non-substrate treatments (2.75 to 3.68 × 10³ CFU mL</w:t>
      </w:r>
      <w:r w:rsidRPr="00B6208A">
        <w:rPr>
          <w:rFonts w:ascii="Cambria Math" w:hAnsi="Cambria Math" w:cs="Cambria Math"/>
          <w:color w:val="000000" w:themeColor="text1"/>
          <w:sz w:val="20"/>
        </w:rPr>
        <w:t>⁻</w:t>
      </w:r>
      <w:r w:rsidRPr="00B6208A">
        <w:rPr>
          <w:rFonts w:ascii="Arial" w:hAnsi="Arial" w:cs="Arial"/>
          <w:color w:val="000000" w:themeColor="text1"/>
          <w:sz w:val="20"/>
        </w:rPr>
        <w:t>¹)</w:t>
      </w:r>
      <w:r w:rsidR="00A020B7" w:rsidRPr="00B6208A">
        <w:rPr>
          <w:rFonts w:ascii="Arial" w:hAnsi="Arial" w:cs="Arial"/>
          <w:color w:val="000000" w:themeColor="text1"/>
          <w:sz w:val="20"/>
        </w:rPr>
        <w:t xml:space="preserve"> (Fig. 2)</w:t>
      </w:r>
      <w:r w:rsidRPr="00B6208A">
        <w:rPr>
          <w:rFonts w:ascii="Arial" w:hAnsi="Arial" w:cs="Arial"/>
          <w:color w:val="000000" w:themeColor="text1"/>
          <w:sz w:val="20"/>
        </w:rPr>
        <w:t xml:space="preserve">, indicating that substrate availability markedly enhanced </w:t>
      </w:r>
      <w:r w:rsidRPr="00B6208A">
        <w:rPr>
          <w:rFonts w:ascii="Arial" w:hAnsi="Arial" w:cs="Arial"/>
          <w:i/>
          <w:iCs/>
          <w:color w:val="000000" w:themeColor="text1"/>
          <w:sz w:val="20"/>
        </w:rPr>
        <w:t>Bacillus</w:t>
      </w:r>
      <w:r w:rsidRPr="00B6208A">
        <w:rPr>
          <w:rFonts w:ascii="Arial" w:hAnsi="Arial" w:cs="Arial"/>
          <w:color w:val="000000" w:themeColor="text1"/>
          <w:sz w:val="20"/>
        </w:rPr>
        <w:t xml:space="preserve"> proliferation. The biofloc environment is known to support large populations of beneficial heterotrophic bacteria such as </w:t>
      </w:r>
      <w:r w:rsidRPr="00B6208A">
        <w:rPr>
          <w:rFonts w:ascii="Arial" w:hAnsi="Arial" w:cs="Arial"/>
          <w:i/>
          <w:iCs/>
          <w:color w:val="000000" w:themeColor="text1"/>
          <w:sz w:val="20"/>
        </w:rPr>
        <w:t>Bacillus</w:t>
      </w:r>
      <w:r w:rsidRPr="00B6208A">
        <w:rPr>
          <w:rFonts w:ascii="Arial" w:hAnsi="Arial" w:cs="Arial"/>
          <w:color w:val="000000" w:themeColor="text1"/>
          <w:sz w:val="20"/>
        </w:rPr>
        <w:t xml:space="preserve"> spp., which play a central role in system stability and shrimp health </w:t>
      </w:r>
      <w:r w:rsidR="008354E4">
        <w:rPr>
          <w:rFonts w:ascii="Arial" w:hAnsi="Arial" w:cs="Arial"/>
          <w:color w:val="000000" w:themeColor="text1"/>
          <w:sz w:val="20"/>
        </w:rPr>
        <w:t>[37]</w:t>
      </w:r>
      <w:r w:rsidRPr="00B6208A">
        <w:rPr>
          <w:rFonts w:ascii="Arial" w:hAnsi="Arial" w:cs="Arial"/>
          <w:color w:val="000000" w:themeColor="text1"/>
          <w:sz w:val="20"/>
        </w:rPr>
        <w:t>.</w:t>
      </w:r>
    </w:p>
    <w:p w14:paraId="5A7E5DFB" w14:textId="77777777" w:rsidR="00A020B7" w:rsidRDefault="00A020B7" w:rsidP="00A020B7">
      <w:pPr>
        <w:spacing w:after="0" w:line="360" w:lineRule="auto"/>
        <w:ind w:firstLine="720"/>
        <w:jc w:val="center"/>
        <w:rPr>
          <w:rFonts w:ascii="Times New Roman" w:hAnsi="Times New Roman" w:cs="Times New Roman"/>
          <w:color w:val="000000" w:themeColor="text1"/>
          <w:sz w:val="24"/>
          <w:szCs w:val="24"/>
        </w:rPr>
      </w:pPr>
      <w:r>
        <w:rPr>
          <w:noProof/>
          <w:lang w:eastAsia="en-IN"/>
        </w:rPr>
        <w:lastRenderedPageBreak/>
        <w:drawing>
          <wp:inline distT="0" distB="0" distL="0" distR="0" wp14:anchorId="7D0EDA6E" wp14:editId="3DDEB6DB">
            <wp:extent cx="4391025" cy="26003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E85BE5" w14:textId="77777777" w:rsidR="00A020B7" w:rsidRDefault="00A020B7" w:rsidP="00A020B7">
      <w:pPr>
        <w:spacing w:after="0" w:line="360" w:lineRule="auto"/>
        <w:jc w:val="center"/>
        <w:rPr>
          <w:rFonts w:ascii="Times New Roman" w:hAnsi="Times New Roman" w:cs="Times New Roman"/>
          <w:b/>
          <w:bCs/>
        </w:rPr>
      </w:pPr>
      <w:r w:rsidRPr="0032555B">
        <w:rPr>
          <w:rFonts w:ascii="Times New Roman" w:hAnsi="Times New Roman" w:cs="Times New Roman"/>
          <w:b/>
          <w:bCs/>
        </w:rPr>
        <w:t xml:space="preserve">Fig. </w:t>
      </w:r>
      <w:r>
        <w:rPr>
          <w:rFonts w:ascii="Times New Roman" w:hAnsi="Times New Roman" w:cs="Times New Roman"/>
          <w:b/>
          <w:bCs/>
        </w:rPr>
        <w:t>2</w:t>
      </w:r>
      <w:r w:rsidRPr="0032555B">
        <w:rPr>
          <w:rFonts w:ascii="Times New Roman" w:hAnsi="Times New Roman" w:cs="Times New Roman"/>
          <w:b/>
          <w:bCs/>
        </w:rPr>
        <w:t xml:space="preserve"> Assessment of </w:t>
      </w:r>
      <w:r w:rsidRPr="00A020B7">
        <w:rPr>
          <w:rFonts w:ascii="Times New Roman" w:hAnsi="Times New Roman" w:cs="Times New Roman"/>
          <w:b/>
          <w:bCs/>
          <w:i/>
          <w:iCs/>
        </w:rPr>
        <w:t>Bacillus</w:t>
      </w:r>
      <w:r w:rsidRPr="0032555B">
        <w:rPr>
          <w:rFonts w:ascii="Times New Roman" w:hAnsi="Times New Roman" w:cs="Times New Roman"/>
          <w:b/>
          <w:bCs/>
        </w:rPr>
        <w:t xml:space="preserve"> count in different </w:t>
      </w:r>
      <w:r>
        <w:rPr>
          <w:rFonts w:ascii="Times New Roman" w:hAnsi="Times New Roman" w:cs="Times New Roman"/>
          <w:b/>
          <w:bCs/>
        </w:rPr>
        <w:t xml:space="preserve">stocking density </w:t>
      </w:r>
      <w:r w:rsidRPr="0032555B">
        <w:rPr>
          <w:rFonts w:ascii="Times New Roman" w:hAnsi="Times New Roman" w:cs="Times New Roman"/>
          <w:b/>
          <w:bCs/>
        </w:rPr>
        <w:t>treatments</w:t>
      </w:r>
      <w:r>
        <w:rPr>
          <w:rFonts w:ascii="Times New Roman" w:hAnsi="Times New Roman" w:cs="Times New Roman"/>
          <w:b/>
          <w:bCs/>
        </w:rPr>
        <w:t xml:space="preserve"> with and without substrate</w:t>
      </w:r>
    </w:p>
    <w:p w14:paraId="391A47BE" w14:textId="77777777" w:rsidR="00A020B7" w:rsidRPr="00A020B7" w:rsidRDefault="00A020B7" w:rsidP="005A1DAB">
      <w:pPr>
        <w:spacing w:after="0" w:line="360" w:lineRule="auto"/>
        <w:ind w:firstLine="720"/>
        <w:jc w:val="both"/>
        <w:rPr>
          <w:rFonts w:ascii="Times New Roman" w:hAnsi="Times New Roman" w:cs="Times New Roman"/>
          <w:color w:val="000000" w:themeColor="text1"/>
          <w:sz w:val="24"/>
          <w:szCs w:val="24"/>
        </w:rPr>
      </w:pPr>
    </w:p>
    <w:p w14:paraId="403F1EE9" w14:textId="77777777" w:rsidR="00A020B7" w:rsidRPr="00B6208A" w:rsidRDefault="005A1DAB"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 xml:space="preserve">The population density of </w:t>
      </w:r>
      <w:r w:rsidRPr="00B6208A">
        <w:rPr>
          <w:rFonts w:ascii="Arial" w:hAnsi="Arial" w:cs="Arial"/>
          <w:i/>
          <w:iCs/>
          <w:color w:val="000000" w:themeColor="text1"/>
          <w:sz w:val="20"/>
        </w:rPr>
        <w:t>Lactobacillus</w:t>
      </w:r>
      <w:r w:rsidRPr="00B6208A">
        <w:rPr>
          <w:rFonts w:ascii="Arial" w:hAnsi="Arial" w:cs="Arial"/>
          <w:color w:val="000000" w:themeColor="text1"/>
          <w:sz w:val="20"/>
        </w:rPr>
        <w:t xml:space="preserve"> spp. in the present study ranged from 1.42 ± 0.03 × 10² CFU mL</w:t>
      </w:r>
      <w:r w:rsidRPr="00B6208A">
        <w:rPr>
          <w:rFonts w:ascii="Cambria Math" w:hAnsi="Cambria Math" w:cs="Cambria Math"/>
          <w:color w:val="000000" w:themeColor="text1"/>
          <w:sz w:val="20"/>
        </w:rPr>
        <w:t>⁻</w:t>
      </w:r>
      <w:r w:rsidRPr="00B6208A">
        <w:rPr>
          <w:rFonts w:ascii="Arial" w:hAnsi="Arial" w:cs="Arial"/>
          <w:color w:val="000000" w:themeColor="text1"/>
          <w:sz w:val="20"/>
        </w:rPr>
        <w:t>¹ (BT4) to 1.61 ± 0.10 × 10² CFU mL</w:t>
      </w:r>
      <w:r w:rsidRPr="00B6208A">
        <w:rPr>
          <w:rFonts w:ascii="Cambria Math" w:hAnsi="Cambria Math" w:cs="Cambria Math"/>
          <w:color w:val="000000" w:themeColor="text1"/>
          <w:sz w:val="20"/>
        </w:rPr>
        <w:t>⁻</w:t>
      </w:r>
      <w:r w:rsidRPr="00B6208A">
        <w:rPr>
          <w:rFonts w:ascii="Arial" w:hAnsi="Arial" w:cs="Arial"/>
          <w:color w:val="000000" w:themeColor="text1"/>
          <w:sz w:val="20"/>
        </w:rPr>
        <w:t>¹ (BST3). Although the mean counts were marginally higher in substrate-added treatments (BST1 to BST4) than in substrate-free groups (BT1 to BT4), the differences were not statistically significant.</w:t>
      </w:r>
      <w:r w:rsidR="00A020B7" w:rsidRPr="00B6208A">
        <w:rPr>
          <w:rFonts w:ascii="Arial" w:hAnsi="Arial" w:cs="Arial"/>
          <w:color w:val="000000" w:themeColor="text1"/>
          <w:sz w:val="20"/>
        </w:rPr>
        <w:t xml:space="preserve"> The slightly elevated </w:t>
      </w:r>
      <w:r w:rsidR="00A020B7" w:rsidRPr="00B6208A">
        <w:rPr>
          <w:rFonts w:ascii="Arial" w:hAnsi="Arial" w:cs="Arial"/>
          <w:i/>
          <w:iCs/>
          <w:color w:val="000000" w:themeColor="text1"/>
          <w:sz w:val="20"/>
        </w:rPr>
        <w:t>Lactobacillus</w:t>
      </w:r>
      <w:r w:rsidR="00A020B7" w:rsidRPr="00B6208A">
        <w:rPr>
          <w:rFonts w:ascii="Arial" w:hAnsi="Arial" w:cs="Arial"/>
          <w:color w:val="000000" w:themeColor="text1"/>
          <w:sz w:val="20"/>
        </w:rPr>
        <w:t xml:space="preserve"> counts in substrate-added treatments may be attributed to increased microbial colonization and biofilm formation on substrate surfaces, providing microhabitats that support bacterial proliferation </w:t>
      </w:r>
      <w:r w:rsidR="008354E4">
        <w:rPr>
          <w:rFonts w:ascii="Arial" w:hAnsi="Arial" w:cs="Arial"/>
          <w:color w:val="000000" w:themeColor="text1"/>
          <w:sz w:val="20"/>
        </w:rPr>
        <w:t>[18]</w:t>
      </w:r>
      <w:r w:rsidR="00A020B7" w:rsidRPr="00B6208A">
        <w:rPr>
          <w:rFonts w:ascii="Arial" w:hAnsi="Arial" w:cs="Arial"/>
          <w:color w:val="000000" w:themeColor="text1"/>
          <w:sz w:val="20"/>
        </w:rPr>
        <w:t xml:space="preserve">. These substrate-associated environments are often enriched with organic detritus and polysaccharides, offering ideal fermentable carbon sources for </w:t>
      </w:r>
      <w:r w:rsidR="00A020B7" w:rsidRPr="00B6208A">
        <w:rPr>
          <w:rFonts w:ascii="Arial" w:hAnsi="Arial" w:cs="Arial"/>
          <w:i/>
          <w:iCs/>
          <w:color w:val="000000" w:themeColor="text1"/>
          <w:sz w:val="20"/>
        </w:rPr>
        <w:t>Lactobacillus</w:t>
      </w:r>
      <w:r w:rsidR="00A020B7" w:rsidRPr="00B6208A">
        <w:rPr>
          <w:rFonts w:ascii="Arial" w:hAnsi="Arial" w:cs="Arial"/>
          <w:color w:val="000000" w:themeColor="text1"/>
          <w:sz w:val="20"/>
        </w:rPr>
        <w:t xml:space="preserve"> spp. </w:t>
      </w:r>
      <w:r w:rsidR="008354E4">
        <w:rPr>
          <w:rFonts w:ascii="Arial" w:hAnsi="Arial" w:cs="Arial"/>
          <w:color w:val="000000" w:themeColor="text1"/>
          <w:sz w:val="20"/>
        </w:rPr>
        <w:t>[38]</w:t>
      </w:r>
      <w:r w:rsidR="00A020B7" w:rsidRPr="00B6208A">
        <w:rPr>
          <w:rFonts w:ascii="Arial" w:hAnsi="Arial" w:cs="Arial"/>
          <w:color w:val="000000" w:themeColor="text1"/>
          <w:sz w:val="20"/>
        </w:rPr>
        <w:t xml:space="preserve">. </w:t>
      </w:r>
    </w:p>
    <w:p w14:paraId="5091B725" w14:textId="77777777" w:rsidR="00A020B7" w:rsidRPr="00B6208A" w:rsidRDefault="008354E4" w:rsidP="00B6208A">
      <w:pPr>
        <w:spacing w:after="240" w:line="240" w:lineRule="auto"/>
        <w:ind w:firstLine="720"/>
        <w:jc w:val="both"/>
        <w:rPr>
          <w:rFonts w:ascii="Arial" w:hAnsi="Arial" w:cs="Arial"/>
          <w:color w:val="000000" w:themeColor="text1"/>
          <w:sz w:val="20"/>
        </w:rPr>
      </w:pPr>
      <w:r>
        <w:rPr>
          <w:rFonts w:ascii="Arial" w:hAnsi="Arial" w:cs="Arial"/>
          <w:color w:val="000000" w:themeColor="text1"/>
          <w:sz w:val="20"/>
        </w:rPr>
        <w:t>Studies</w:t>
      </w:r>
      <w:r w:rsidR="00A020B7" w:rsidRPr="00B6208A">
        <w:rPr>
          <w:rFonts w:ascii="Arial" w:hAnsi="Arial" w:cs="Arial"/>
          <w:color w:val="000000" w:themeColor="text1"/>
          <w:sz w:val="20"/>
        </w:rPr>
        <w:t xml:space="preserve"> identified </w:t>
      </w:r>
      <w:r w:rsidR="00A020B7" w:rsidRPr="00B6208A">
        <w:rPr>
          <w:rFonts w:ascii="Arial" w:hAnsi="Arial" w:cs="Arial"/>
          <w:i/>
          <w:iCs/>
          <w:color w:val="000000" w:themeColor="text1"/>
          <w:sz w:val="20"/>
        </w:rPr>
        <w:t>Vibrio</w:t>
      </w:r>
      <w:r w:rsidR="00A020B7" w:rsidRPr="00B6208A">
        <w:rPr>
          <w:rFonts w:ascii="Arial" w:hAnsi="Arial" w:cs="Arial"/>
          <w:color w:val="000000" w:themeColor="text1"/>
          <w:sz w:val="20"/>
        </w:rPr>
        <w:t xml:space="preserve">, </w:t>
      </w:r>
      <w:r w:rsidR="00A020B7" w:rsidRPr="00B6208A">
        <w:rPr>
          <w:rFonts w:ascii="Arial" w:hAnsi="Arial" w:cs="Arial"/>
          <w:i/>
          <w:iCs/>
          <w:color w:val="000000" w:themeColor="text1"/>
          <w:sz w:val="20"/>
        </w:rPr>
        <w:t>Lactobacillus</w:t>
      </w:r>
      <w:r w:rsidR="00A020B7" w:rsidRPr="00B6208A">
        <w:rPr>
          <w:rFonts w:ascii="Arial" w:hAnsi="Arial" w:cs="Arial"/>
          <w:color w:val="000000" w:themeColor="text1"/>
          <w:sz w:val="20"/>
        </w:rPr>
        <w:t xml:space="preserve">, </w:t>
      </w:r>
      <w:r w:rsidR="00A020B7" w:rsidRPr="00B6208A">
        <w:rPr>
          <w:rFonts w:ascii="Arial" w:hAnsi="Arial" w:cs="Arial"/>
          <w:i/>
          <w:iCs/>
          <w:color w:val="000000" w:themeColor="text1"/>
          <w:sz w:val="20"/>
        </w:rPr>
        <w:t>Bacillus</w:t>
      </w:r>
      <w:r w:rsidR="00A020B7" w:rsidRPr="00B6208A">
        <w:rPr>
          <w:rFonts w:ascii="Arial" w:hAnsi="Arial" w:cs="Arial"/>
          <w:color w:val="000000" w:themeColor="text1"/>
          <w:sz w:val="20"/>
        </w:rPr>
        <w:t xml:space="preserve">, and fungi as the predominant microbial genera within biofloc systems, with </w:t>
      </w:r>
      <w:r w:rsidR="00A020B7" w:rsidRPr="00B6208A">
        <w:rPr>
          <w:rFonts w:ascii="Arial" w:hAnsi="Arial" w:cs="Arial"/>
          <w:i/>
          <w:iCs/>
          <w:color w:val="000000" w:themeColor="text1"/>
          <w:sz w:val="20"/>
        </w:rPr>
        <w:t>Vibrio</w:t>
      </w:r>
      <w:r w:rsidR="00A020B7" w:rsidRPr="00B6208A">
        <w:rPr>
          <w:rFonts w:ascii="Arial" w:hAnsi="Arial" w:cs="Arial"/>
          <w:color w:val="000000" w:themeColor="text1"/>
          <w:sz w:val="20"/>
        </w:rPr>
        <w:t xml:space="preserve"> spp. and </w:t>
      </w:r>
      <w:r w:rsidR="00A020B7" w:rsidRPr="00B6208A">
        <w:rPr>
          <w:rFonts w:ascii="Arial" w:hAnsi="Arial" w:cs="Arial"/>
          <w:i/>
          <w:iCs/>
          <w:color w:val="000000" w:themeColor="text1"/>
          <w:sz w:val="20"/>
        </w:rPr>
        <w:t>Bacillus</w:t>
      </w:r>
      <w:r w:rsidR="00A020B7" w:rsidRPr="00B6208A">
        <w:rPr>
          <w:rFonts w:ascii="Arial" w:hAnsi="Arial" w:cs="Arial"/>
          <w:color w:val="000000" w:themeColor="text1"/>
          <w:sz w:val="20"/>
        </w:rPr>
        <w:t xml:space="preserve"> spp. showing higher dominance compared to </w:t>
      </w:r>
      <w:r w:rsidR="00A020B7" w:rsidRPr="00B6208A">
        <w:rPr>
          <w:rFonts w:ascii="Arial" w:hAnsi="Arial" w:cs="Arial"/>
          <w:i/>
          <w:iCs/>
          <w:color w:val="000000" w:themeColor="text1"/>
          <w:sz w:val="20"/>
        </w:rPr>
        <w:t>Lactobacillus</w:t>
      </w:r>
      <w:r w:rsidR="00A020B7" w:rsidRPr="00B6208A">
        <w:rPr>
          <w:rFonts w:ascii="Arial" w:hAnsi="Arial" w:cs="Arial"/>
          <w:color w:val="000000" w:themeColor="text1"/>
          <w:sz w:val="20"/>
        </w:rPr>
        <w:t xml:space="preserve"> </w:t>
      </w:r>
      <w:proofErr w:type="spellStart"/>
      <w:r w:rsidR="00A020B7" w:rsidRPr="00B6208A">
        <w:rPr>
          <w:rFonts w:ascii="Arial" w:hAnsi="Arial" w:cs="Arial"/>
          <w:color w:val="000000" w:themeColor="text1"/>
          <w:sz w:val="20"/>
        </w:rPr>
        <w:t>spp</w:t>
      </w:r>
      <w:proofErr w:type="spellEnd"/>
      <w:r>
        <w:rPr>
          <w:rFonts w:ascii="Arial" w:hAnsi="Arial" w:cs="Arial"/>
          <w:color w:val="000000" w:themeColor="text1"/>
          <w:sz w:val="20"/>
        </w:rPr>
        <w:t xml:space="preserve"> [39]</w:t>
      </w:r>
      <w:r w:rsidR="00A020B7" w:rsidRPr="00B6208A">
        <w:rPr>
          <w:rFonts w:ascii="Arial" w:hAnsi="Arial" w:cs="Arial"/>
          <w:color w:val="000000" w:themeColor="text1"/>
          <w:sz w:val="20"/>
        </w:rPr>
        <w:t xml:space="preserve">. The presence of probiotic bacteria such as </w:t>
      </w:r>
      <w:r w:rsidR="00A020B7" w:rsidRPr="00B6208A">
        <w:rPr>
          <w:rFonts w:ascii="Arial" w:hAnsi="Arial" w:cs="Arial"/>
          <w:i/>
          <w:iCs/>
          <w:color w:val="000000" w:themeColor="text1"/>
          <w:sz w:val="20"/>
        </w:rPr>
        <w:t>Bacillus</w:t>
      </w:r>
      <w:r w:rsidR="00A020B7" w:rsidRPr="00B6208A">
        <w:rPr>
          <w:rFonts w:ascii="Arial" w:hAnsi="Arial" w:cs="Arial"/>
          <w:color w:val="000000" w:themeColor="text1"/>
          <w:sz w:val="20"/>
        </w:rPr>
        <w:t xml:space="preserve"> and </w:t>
      </w:r>
      <w:r w:rsidR="00A020B7" w:rsidRPr="00B6208A">
        <w:rPr>
          <w:rFonts w:ascii="Arial" w:hAnsi="Arial" w:cs="Arial"/>
          <w:i/>
          <w:iCs/>
          <w:color w:val="000000" w:themeColor="text1"/>
          <w:sz w:val="20"/>
        </w:rPr>
        <w:t>Lactobacillus</w:t>
      </w:r>
      <w:r w:rsidR="00A020B7" w:rsidRPr="00B6208A">
        <w:rPr>
          <w:rFonts w:ascii="Arial" w:hAnsi="Arial" w:cs="Arial"/>
          <w:color w:val="000000" w:themeColor="text1"/>
          <w:sz w:val="20"/>
        </w:rPr>
        <w:t xml:space="preserve"> within the ingested biofloc has been shown to enhance their colonization in the gastrointestinal tract of </w:t>
      </w:r>
      <w:r w:rsidR="00A020B7" w:rsidRPr="00B6208A">
        <w:rPr>
          <w:rFonts w:ascii="Arial" w:hAnsi="Arial" w:cs="Arial"/>
          <w:i/>
          <w:iCs/>
          <w:color w:val="000000" w:themeColor="text1"/>
          <w:sz w:val="20"/>
        </w:rPr>
        <w:t>P. vannamei</w:t>
      </w:r>
      <w:r w:rsidR="00A020B7" w:rsidRPr="00B6208A">
        <w:rPr>
          <w:rFonts w:ascii="Arial" w:hAnsi="Arial" w:cs="Arial"/>
          <w:color w:val="000000" w:themeColor="text1"/>
          <w:sz w:val="20"/>
        </w:rPr>
        <w:t xml:space="preserve">, thereby improving digestive enzyme activity and immune response </w:t>
      </w:r>
      <w:r>
        <w:rPr>
          <w:rFonts w:ascii="Arial" w:hAnsi="Arial" w:cs="Arial"/>
          <w:color w:val="000000" w:themeColor="text1"/>
          <w:sz w:val="20"/>
        </w:rPr>
        <w:t>[38]</w:t>
      </w:r>
      <w:r w:rsidR="00A020B7" w:rsidRPr="00B6208A">
        <w:rPr>
          <w:rFonts w:ascii="Arial" w:hAnsi="Arial" w:cs="Arial"/>
          <w:color w:val="000000" w:themeColor="text1"/>
          <w:sz w:val="20"/>
        </w:rPr>
        <w:t>.</w:t>
      </w:r>
    </w:p>
    <w:p w14:paraId="012BF2DE" w14:textId="77777777" w:rsidR="00911D3E" w:rsidRPr="00B6208A" w:rsidRDefault="0041334D" w:rsidP="00B6208A">
      <w:pPr>
        <w:tabs>
          <w:tab w:val="left" w:pos="720"/>
        </w:tabs>
        <w:spacing w:after="240" w:line="240" w:lineRule="auto"/>
        <w:jc w:val="both"/>
        <w:rPr>
          <w:rStyle w:val="Strong"/>
          <w:rFonts w:ascii="Arial" w:hAnsi="Arial" w:cs="Arial"/>
          <w:color w:val="000000"/>
          <w:sz w:val="20"/>
        </w:rPr>
      </w:pPr>
      <w:r>
        <w:rPr>
          <w:rStyle w:val="Strong"/>
          <w:rFonts w:ascii="Arial" w:hAnsi="Arial" w:cs="Arial"/>
          <w:color w:val="000000"/>
          <w:sz w:val="20"/>
        </w:rPr>
        <w:t xml:space="preserve">4. </w:t>
      </w:r>
      <w:r w:rsidR="00911D3E" w:rsidRPr="00B6208A">
        <w:rPr>
          <w:rStyle w:val="Strong"/>
          <w:rFonts w:ascii="Arial" w:hAnsi="Arial" w:cs="Arial"/>
          <w:color w:val="000000"/>
          <w:sz w:val="20"/>
        </w:rPr>
        <w:t xml:space="preserve">CONCLUSION: </w:t>
      </w:r>
    </w:p>
    <w:p w14:paraId="0E10DBC2" w14:textId="77777777" w:rsidR="008019B3" w:rsidRPr="00B6208A" w:rsidRDefault="00911D3E" w:rsidP="00B6208A">
      <w:pPr>
        <w:tabs>
          <w:tab w:val="left" w:pos="720"/>
        </w:tabs>
        <w:spacing w:after="240" w:line="240" w:lineRule="auto"/>
        <w:jc w:val="both"/>
        <w:rPr>
          <w:rFonts w:ascii="Arial" w:hAnsi="Arial" w:cs="Arial"/>
          <w:color w:val="000000"/>
          <w:sz w:val="20"/>
        </w:rPr>
      </w:pPr>
      <w:r w:rsidRPr="00B6208A">
        <w:rPr>
          <w:rStyle w:val="Strong"/>
          <w:rFonts w:ascii="Arial" w:hAnsi="Arial" w:cs="Arial"/>
          <w:b w:val="0"/>
          <w:bCs w:val="0"/>
          <w:color w:val="000000"/>
          <w:sz w:val="20"/>
        </w:rPr>
        <w:t>Across two factors as with and without substrate with four different stocking density treatments, the biofloc system with</w:t>
      </w:r>
      <w:r w:rsidRPr="00B6208A">
        <w:rPr>
          <w:rFonts w:ascii="Arial" w:hAnsi="Arial" w:cs="Arial"/>
          <w:sz w:val="20"/>
        </w:rPr>
        <w:t xml:space="preserve"> </w:t>
      </w:r>
      <w:r w:rsidRPr="00B6208A">
        <w:rPr>
          <w:rFonts w:ascii="Arial" w:hAnsi="Arial" w:cs="Arial"/>
          <w:color w:val="000000"/>
          <w:sz w:val="20"/>
        </w:rPr>
        <w:t xml:space="preserve">bamboo mats as a substrate emerged the most effective, substantially reducing suspended solids while enhancing overall water quality which helped maintain healthier conditions that supported </w:t>
      </w:r>
      <w:r w:rsidR="008019B3" w:rsidRPr="00B6208A">
        <w:rPr>
          <w:rFonts w:ascii="Arial" w:hAnsi="Arial" w:cs="Arial"/>
          <w:color w:val="000000"/>
          <w:sz w:val="20"/>
        </w:rPr>
        <w:t xml:space="preserve">development of biofilm over substrate and </w:t>
      </w:r>
      <w:r w:rsidR="008019B3" w:rsidRPr="00B6208A">
        <w:rPr>
          <w:rFonts w:ascii="Arial" w:hAnsi="Arial" w:cs="Arial"/>
          <w:color w:val="000000" w:themeColor="text1"/>
          <w:sz w:val="20"/>
        </w:rPr>
        <w:t>stimulating heterotrophic bacterial growth</w:t>
      </w:r>
      <w:r w:rsidRPr="00B6208A">
        <w:rPr>
          <w:rFonts w:ascii="Arial" w:hAnsi="Arial" w:cs="Arial"/>
          <w:color w:val="000000"/>
          <w:sz w:val="20"/>
        </w:rPr>
        <w:t>.</w:t>
      </w:r>
    </w:p>
    <w:p w14:paraId="37CB624B" w14:textId="77777777" w:rsidR="00B6208A" w:rsidRDefault="008019B3" w:rsidP="00B6208A">
      <w:pPr>
        <w:tabs>
          <w:tab w:val="left" w:pos="720"/>
        </w:tabs>
        <w:spacing w:after="240" w:line="240" w:lineRule="auto"/>
        <w:jc w:val="both"/>
        <w:rPr>
          <w:rFonts w:ascii="Arial" w:hAnsi="Arial" w:cs="Arial"/>
          <w:color w:val="000000"/>
          <w:sz w:val="20"/>
        </w:rPr>
      </w:pPr>
      <w:r w:rsidRPr="00B6208A">
        <w:rPr>
          <w:rFonts w:ascii="Arial" w:hAnsi="Arial" w:cs="Arial"/>
          <w:b/>
          <w:bCs/>
          <w:color w:val="000000"/>
          <w:sz w:val="20"/>
        </w:rPr>
        <w:t>DISCLAIMER (ARTIFICIAL INTELLIGENCE)</w:t>
      </w:r>
      <w:r w:rsidRPr="00B6208A">
        <w:rPr>
          <w:rFonts w:ascii="Arial" w:hAnsi="Arial" w:cs="Arial"/>
          <w:color w:val="000000"/>
          <w:sz w:val="20"/>
        </w:rPr>
        <w:t xml:space="preserve"> </w:t>
      </w:r>
    </w:p>
    <w:p w14:paraId="10869ACC" w14:textId="77777777" w:rsidR="0041334D" w:rsidRDefault="008019B3" w:rsidP="0041334D">
      <w:pPr>
        <w:tabs>
          <w:tab w:val="left" w:pos="720"/>
        </w:tabs>
        <w:spacing w:after="240" w:line="240" w:lineRule="auto"/>
        <w:jc w:val="both"/>
        <w:rPr>
          <w:rFonts w:ascii="Arial" w:hAnsi="Arial" w:cs="Arial"/>
          <w:color w:val="000000"/>
          <w:sz w:val="20"/>
        </w:rPr>
      </w:pPr>
      <w:r w:rsidRPr="00B6208A">
        <w:rPr>
          <w:rFonts w:ascii="Arial" w:hAnsi="Arial" w:cs="Arial"/>
          <w:color w:val="000000"/>
          <w:sz w:val="20"/>
        </w:rPr>
        <w:t>Author(s) hereby declare that NO generative AI technologies such as Large Language Models (ChatGPT, COPILOT, etc.) and text-to-image generators have been used during writing or editing of this manuscript.</w:t>
      </w:r>
    </w:p>
    <w:p w14:paraId="16ED411B" w14:textId="77777777" w:rsidR="0041334D" w:rsidRPr="0041334D" w:rsidRDefault="0041334D" w:rsidP="0041334D">
      <w:pPr>
        <w:tabs>
          <w:tab w:val="left" w:pos="720"/>
        </w:tabs>
        <w:spacing w:after="240" w:line="240" w:lineRule="auto"/>
        <w:jc w:val="both"/>
        <w:rPr>
          <w:rFonts w:ascii="Arial" w:hAnsi="Arial" w:cs="Arial"/>
          <w:b/>
          <w:sz w:val="20"/>
        </w:rPr>
      </w:pPr>
      <w:r w:rsidRPr="0041334D">
        <w:rPr>
          <w:rFonts w:ascii="Arial" w:hAnsi="Arial" w:cs="Arial"/>
          <w:b/>
          <w:sz w:val="20"/>
        </w:rPr>
        <w:t xml:space="preserve">ETHICAL APPROVAL </w:t>
      </w:r>
    </w:p>
    <w:p w14:paraId="26E756BE" w14:textId="77777777" w:rsidR="008019B3" w:rsidRPr="00B6208A" w:rsidRDefault="008019B3" w:rsidP="0041334D">
      <w:pPr>
        <w:tabs>
          <w:tab w:val="left" w:pos="720"/>
        </w:tabs>
        <w:spacing w:after="240" w:line="240" w:lineRule="auto"/>
        <w:jc w:val="both"/>
        <w:rPr>
          <w:rFonts w:ascii="Arial" w:hAnsi="Arial" w:cs="Arial"/>
          <w:b/>
          <w:bCs/>
          <w:sz w:val="20"/>
        </w:rPr>
      </w:pPr>
      <w:r w:rsidRPr="00B6208A">
        <w:rPr>
          <w:rFonts w:ascii="Arial" w:hAnsi="Arial" w:cs="Arial"/>
          <w:bCs/>
          <w:sz w:val="20"/>
        </w:rPr>
        <w:t>The welfare and rearing of the experimental animal used to conduct this research adhered to the guidelines established by the committee for the purpose of control and supervision of experiments on animals, ministry of environment and forests (Animal Welfare Division), Government of India, regarding the care and treatment of animals in scientific research.</w:t>
      </w:r>
    </w:p>
    <w:p w14:paraId="1E60A983" w14:textId="77777777" w:rsidR="004F5714" w:rsidRDefault="004F5714" w:rsidP="004F5714">
      <w:pPr>
        <w:pStyle w:val="ReferHead"/>
        <w:spacing w:after="0"/>
        <w:jc w:val="both"/>
        <w:rPr>
          <w:rFonts w:ascii="Arial" w:hAnsi="Arial" w:cs="Arial"/>
        </w:rPr>
      </w:pPr>
      <w:bookmarkStart w:id="0" w:name="_GoBack"/>
      <w:bookmarkEnd w:id="0"/>
      <w:r w:rsidRPr="00FB3A86">
        <w:rPr>
          <w:rFonts w:ascii="Arial" w:hAnsi="Arial" w:cs="Arial"/>
        </w:rPr>
        <w:lastRenderedPageBreak/>
        <w:t>References</w:t>
      </w:r>
    </w:p>
    <w:p w14:paraId="7D53CFF1" w14:textId="0B1B7B40" w:rsidR="008354E4" w:rsidRPr="008354E4" w:rsidRDefault="008D1D65" w:rsidP="008354E4">
      <w:pPr>
        <w:numPr>
          <w:ilvl w:val="0"/>
          <w:numId w:val="1"/>
        </w:numPr>
        <w:spacing w:after="0" w:line="240" w:lineRule="auto"/>
        <w:contextualSpacing/>
        <w:jc w:val="both"/>
        <w:rPr>
          <w:rFonts w:ascii="Arial" w:hAnsi="Arial" w:cs="Arial"/>
          <w:sz w:val="20"/>
        </w:rPr>
      </w:pPr>
      <w:r w:rsidRPr="008D1D65">
        <w:rPr>
          <w:rFonts w:ascii="Arial" w:hAnsi="Arial" w:cs="Arial"/>
          <w:sz w:val="20"/>
        </w:rPr>
        <w:t xml:space="preserve">Moss, K. R. K., &amp; Moss, S. M. (2004). Effects of Artificial Substrate and Stocking Density on the Nursery Production of Pacific White Shrimp </w:t>
      </w:r>
      <w:proofErr w:type="spellStart"/>
      <w:r w:rsidRPr="008D1D65">
        <w:rPr>
          <w:rFonts w:ascii="Arial" w:hAnsi="Arial" w:cs="Arial"/>
          <w:sz w:val="20"/>
        </w:rPr>
        <w:t>Litopenaeus</w:t>
      </w:r>
      <w:proofErr w:type="spellEnd"/>
      <w:r w:rsidRPr="008D1D65">
        <w:rPr>
          <w:rFonts w:ascii="Arial" w:hAnsi="Arial" w:cs="Arial"/>
          <w:sz w:val="20"/>
        </w:rPr>
        <w:t xml:space="preserve"> </w:t>
      </w:r>
      <w:proofErr w:type="spellStart"/>
      <w:r w:rsidRPr="008D1D65">
        <w:rPr>
          <w:rFonts w:ascii="Arial" w:hAnsi="Arial" w:cs="Arial"/>
          <w:sz w:val="20"/>
        </w:rPr>
        <w:t>vannamei</w:t>
      </w:r>
      <w:proofErr w:type="spellEnd"/>
      <w:r w:rsidRPr="008D1D65">
        <w:rPr>
          <w:rFonts w:ascii="Arial" w:hAnsi="Arial" w:cs="Arial"/>
          <w:sz w:val="20"/>
        </w:rPr>
        <w:t xml:space="preserve">. Journal of the World Aquaculture Society, 35(4), 536–542. </w:t>
      </w:r>
      <w:hyperlink r:id="rId16" w:history="1">
        <w:r w:rsidRPr="005D518E">
          <w:rPr>
            <w:rStyle w:val="Hyperlink"/>
            <w:rFonts w:ascii="Arial" w:hAnsi="Arial" w:cs="Arial"/>
            <w:sz w:val="20"/>
          </w:rPr>
          <w:t>https://doi.org/10.1111/j.1749-7345.2004.tb00121.x</w:t>
        </w:r>
      </w:hyperlink>
      <w:r>
        <w:rPr>
          <w:rFonts w:ascii="Arial" w:hAnsi="Arial" w:cs="Arial"/>
          <w:sz w:val="20"/>
        </w:rPr>
        <w:t xml:space="preserve"> </w:t>
      </w:r>
    </w:p>
    <w:p w14:paraId="135D4A16" w14:textId="0BAFDF63" w:rsidR="008354E4" w:rsidRPr="008354E4" w:rsidRDefault="0036475E" w:rsidP="008354E4">
      <w:pPr>
        <w:numPr>
          <w:ilvl w:val="0"/>
          <w:numId w:val="1"/>
        </w:numPr>
        <w:spacing w:after="0" w:line="240" w:lineRule="auto"/>
        <w:contextualSpacing/>
        <w:jc w:val="both"/>
        <w:rPr>
          <w:rFonts w:ascii="Arial" w:hAnsi="Arial" w:cs="Arial"/>
          <w:sz w:val="20"/>
        </w:rPr>
      </w:pPr>
      <w:r w:rsidRPr="0036475E">
        <w:rPr>
          <w:rFonts w:ascii="Arial" w:hAnsi="Arial" w:cs="Arial"/>
          <w:sz w:val="20"/>
        </w:rPr>
        <w:t xml:space="preserve">Arnold, S. J., </w:t>
      </w:r>
      <w:proofErr w:type="spellStart"/>
      <w:r w:rsidRPr="0036475E">
        <w:rPr>
          <w:rFonts w:ascii="Arial" w:hAnsi="Arial" w:cs="Arial"/>
          <w:sz w:val="20"/>
        </w:rPr>
        <w:t>Coman</w:t>
      </w:r>
      <w:proofErr w:type="spellEnd"/>
      <w:r w:rsidRPr="0036475E">
        <w:rPr>
          <w:rFonts w:ascii="Arial" w:hAnsi="Arial" w:cs="Arial"/>
          <w:sz w:val="20"/>
        </w:rPr>
        <w:t xml:space="preserve">, F. E., Jackson, C. J., &amp; Groves, S. A. (2009). High-intensity, zero water-exchange production of juvenile tiger shrimp, Penaeus monodon: an evaluation of artificial substrates and stocking density. Aquaculture, 293, 42-48. </w:t>
      </w:r>
      <w:hyperlink r:id="rId17" w:history="1">
        <w:r w:rsidRPr="005D518E">
          <w:rPr>
            <w:rStyle w:val="Hyperlink"/>
            <w:rFonts w:ascii="Arial" w:hAnsi="Arial" w:cs="Arial"/>
            <w:sz w:val="20"/>
          </w:rPr>
          <w:t>https://doi.org/10.1016/j.aquaculture.2009.03.049</w:t>
        </w:r>
      </w:hyperlink>
      <w:r>
        <w:rPr>
          <w:rFonts w:ascii="Arial" w:hAnsi="Arial" w:cs="Arial"/>
          <w:sz w:val="20"/>
        </w:rPr>
        <w:t xml:space="preserve"> </w:t>
      </w:r>
      <w:r w:rsidR="008354E4" w:rsidRPr="008354E4">
        <w:rPr>
          <w:rFonts w:ascii="Arial" w:hAnsi="Arial" w:cs="Arial"/>
          <w:sz w:val="20"/>
        </w:rPr>
        <w:t>.</w:t>
      </w:r>
    </w:p>
    <w:p w14:paraId="7CEFF971" w14:textId="6AC12542" w:rsidR="008354E4" w:rsidRPr="008354E4" w:rsidRDefault="00BB5129" w:rsidP="008354E4">
      <w:pPr>
        <w:numPr>
          <w:ilvl w:val="0"/>
          <w:numId w:val="1"/>
        </w:numPr>
        <w:spacing w:after="0" w:line="240" w:lineRule="auto"/>
        <w:contextualSpacing/>
        <w:jc w:val="both"/>
        <w:rPr>
          <w:rFonts w:ascii="Arial" w:eastAsia="Georgia" w:hAnsi="Arial" w:cs="Arial"/>
          <w:sz w:val="20"/>
        </w:rPr>
      </w:pPr>
      <w:proofErr w:type="spellStart"/>
      <w:r w:rsidRPr="00BB5129">
        <w:rPr>
          <w:rFonts w:ascii="Arial" w:hAnsi="Arial" w:cs="Arial"/>
          <w:sz w:val="20"/>
        </w:rPr>
        <w:t>Wasielesky</w:t>
      </w:r>
      <w:proofErr w:type="spellEnd"/>
      <w:r w:rsidRPr="00BB5129">
        <w:rPr>
          <w:rFonts w:ascii="Arial" w:hAnsi="Arial" w:cs="Arial"/>
          <w:sz w:val="20"/>
        </w:rPr>
        <w:t xml:space="preserve">, W. J., Atwood, H., Stokes, A., &amp; </w:t>
      </w:r>
      <w:proofErr w:type="spellStart"/>
      <w:r w:rsidRPr="00BB5129">
        <w:rPr>
          <w:rFonts w:ascii="Arial" w:hAnsi="Arial" w:cs="Arial"/>
          <w:sz w:val="20"/>
        </w:rPr>
        <w:t>Browdy</w:t>
      </w:r>
      <w:proofErr w:type="spellEnd"/>
      <w:r w:rsidRPr="00BB5129">
        <w:rPr>
          <w:rFonts w:ascii="Arial" w:hAnsi="Arial" w:cs="Arial"/>
          <w:sz w:val="20"/>
        </w:rPr>
        <w:t xml:space="preserve">, C. L. (2006). Effect of natural production in a </w:t>
      </w:r>
      <w:proofErr w:type="gramStart"/>
      <w:r w:rsidRPr="00BB5129">
        <w:rPr>
          <w:rFonts w:ascii="Arial" w:hAnsi="Arial" w:cs="Arial"/>
          <w:sz w:val="20"/>
        </w:rPr>
        <w:t>zero exchange</w:t>
      </w:r>
      <w:proofErr w:type="gramEnd"/>
      <w:r w:rsidRPr="00BB5129">
        <w:rPr>
          <w:rFonts w:ascii="Arial" w:hAnsi="Arial" w:cs="Arial"/>
          <w:sz w:val="20"/>
        </w:rPr>
        <w:t xml:space="preserve"> suspended microbial floc based super-intensive culture system for white shrimp </w:t>
      </w:r>
      <w:proofErr w:type="spellStart"/>
      <w:r w:rsidRPr="00BB5129">
        <w:rPr>
          <w:rFonts w:ascii="Arial" w:hAnsi="Arial" w:cs="Arial"/>
          <w:sz w:val="20"/>
        </w:rPr>
        <w:t>Litopenaeus</w:t>
      </w:r>
      <w:proofErr w:type="spellEnd"/>
      <w:r w:rsidRPr="00BB5129">
        <w:rPr>
          <w:rFonts w:ascii="Arial" w:hAnsi="Arial" w:cs="Arial"/>
          <w:sz w:val="20"/>
        </w:rPr>
        <w:t xml:space="preserve"> </w:t>
      </w:r>
      <w:proofErr w:type="spellStart"/>
      <w:r w:rsidRPr="00BB5129">
        <w:rPr>
          <w:rFonts w:ascii="Arial" w:hAnsi="Arial" w:cs="Arial"/>
          <w:sz w:val="20"/>
        </w:rPr>
        <w:t>vannamei</w:t>
      </w:r>
      <w:proofErr w:type="spellEnd"/>
      <w:r w:rsidRPr="00BB5129">
        <w:rPr>
          <w:rFonts w:ascii="Arial" w:hAnsi="Arial" w:cs="Arial"/>
          <w:sz w:val="20"/>
        </w:rPr>
        <w:t xml:space="preserve">. Aquaculture, 258, 396-403. </w:t>
      </w:r>
      <w:hyperlink r:id="rId18" w:history="1">
        <w:r w:rsidRPr="005D518E">
          <w:rPr>
            <w:rStyle w:val="Hyperlink"/>
            <w:rFonts w:ascii="Arial" w:hAnsi="Arial" w:cs="Arial"/>
            <w:sz w:val="20"/>
          </w:rPr>
          <w:t>https://doi.org/10.1016/j.aquaculture.2006.04.030</w:t>
        </w:r>
      </w:hyperlink>
      <w:r>
        <w:rPr>
          <w:rFonts w:ascii="Arial" w:hAnsi="Arial" w:cs="Arial"/>
          <w:sz w:val="20"/>
        </w:rPr>
        <w:t xml:space="preserve"> </w:t>
      </w:r>
    </w:p>
    <w:p w14:paraId="1D4160E2" w14:textId="4D30C021" w:rsidR="008354E4" w:rsidRPr="008354E4" w:rsidRDefault="00B565C0" w:rsidP="008354E4">
      <w:pPr>
        <w:numPr>
          <w:ilvl w:val="0"/>
          <w:numId w:val="1"/>
        </w:numPr>
        <w:spacing w:after="0" w:line="240" w:lineRule="auto"/>
        <w:contextualSpacing/>
        <w:jc w:val="both"/>
        <w:rPr>
          <w:rFonts w:ascii="Arial" w:hAnsi="Arial" w:cs="Arial"/>
          <w:sz w:val="20"/>
        </w:rPr>
      </w:pPr>
      <w:r w:rsidRPr="00B565C0">
        <w:rPr>
          <w:rFonts w:ascii="Arial" w:hAnsi="Arial" w:cs="Arial"/>
          <w:sz w:val="20"/>
        </w:rPr>
        <w:t xml:space="preserve">de Almeida, M. S., </w:t>
      </w:r>
      <w:proofErr w:type="spellStart"/>
      <w:r w:rsidRPr="00B565C0">
        <w:rPr>
          <w:rFonts w:ascii="Arial" w:hAnsi="Arial" w:cs="Arial"/>
          <w:sz w:val="20"/>
        </w:rPr>
        <w:t>Carrijo</w:t>
      </w:r>
      <w:proofErr w:type="spellEnd"/>
      <w:r w:rsidRPr="00B565C0">
        <w:rPr>
          <w:rFonts w:ascii="Arial" w:hAnsi="Arial" w:cs="Arial"/>
          <w:sz w:val="20"/>
        </w:rPr>
        <w:t xml:space="preserve">, J. R., Furtado, P. S., Foes, G. K., </w:t>
      </w:r>
      <w:proofErr w:type="spellStart"/>
      <w:r w:rsidRPr="00B565C0">
        <w:rPr>
          <w:rFonts w:ascii="Arial" w:hAnsi="Arial" w:cs="Arial"/>
          <w:sz w:val="20"/>
        </w:rPr>
        <w:t>Wasielesky</w:t>
      </w:r>
      <w:proofErr w:type="spellEnd"/>
      <w:r w:rsidRPr="00B565C0">
        <w:rPr>
          <w:rFonts w:ascii="Arial" w:hAnsi="Arial" w:cs="Arial"/>
          <w:sz w:val="20"/>
        </w:rPr>
        <w:t xml:space="preserve"> Jr., W., Braga, A. L., &amp; </w:t>
      </w:r>
      <w:proofErr w:type="spellStart"/>
      <w:r w:rsidRPr="00B565C0">
        <w:rPr>
          <w:rFonts w:ascii="Arial" w:hAnsi="Arial" w:cs="Arial"/>
          <w:sz w:val="20"/>
        </w:rPr>
        <w:t>Ruviaro</w:t>
      </w:r>
      <w:proofErr w:type="spellEnd"/>
      <w:r w:rsidRPr="00B565C0">
        <w:rPr>
          <w:rFonts w:ascii="Arial" w:hAnsi="Arial" w:cs="Arial"/>
          <w:sz w:val="20"/>
        </w:rPr>
        <w:t xml:space="preserve">, C. F. (2024). Environmental performance of Penaeus </w:t>
      </w:r>
      <w:proofErr w:type="spellStart"/>
      <w:r w:rsidRPr="00B565C0">
        <w:rPr>
          <w:rFonts w:ascii="Arial" w:hAnsi="Arial" w:cs="Arial"/>
          <w:sz w:val="20"/>
        </w:rPr>
        <w:t>vannamei</w:t>
      </w:r>
      <w:proofErr w:type="spellEnd"/>
      <w:r w:rsidRPr="00B565C0">
        <w:rPr>
          <w:rFonts w:ascii="Arial" w:hAnsi="Arial" w:cs="Arial"/>
          <w:sz w:val="20"/>
        </w:rPr>
        <w:t xml:space="preserve"> shrimp production in intensive and super-intensive </w:t>
      </w:r>
      <w:proofErr w:type="spellStart"/>
      <w:r w:rsidRPr="00B565C0">
        <w:rPr>
          <w:rFonts w:ascii="Arial" w:hAnsi="Arial" w:cs="Arial"/>
          <w:sz w:val="20"/>
        </w:rPr>
        <w:t>biofloc</w:t>
      </w:r>
      <w:proofErr w:type="spellEnd"/>
      <w:r w:rsidRPr="00B565C0">
        <w:rPr>
          <w:rFonts w:ascii="Arial" w:hAnsi="Arial" w:cs="Arial"/>
          <w:sz w:val="20"/>
        </w:rPr>
        <w:t xml:space="preserve"> systems. </w:t>
      </w:r>
      <w:proofErr w:type="spellStart"/>
      <w:r w:rsidRPr="00B565C0">
        <w:rPr>
          <w:rFonts w:ascii="Arial" w:hAnsi="Arial" w:cs="Arial"/>
          <w:sz w:val="20"/>
        </w:rPr>
        <w:t>Aquacultural</w:t>
      </w:r>
      <w:proofErr w:type="spellEnd"/>
      <w:r w:rsidRPr="00B565C0">
        <w:rPr>
          <w:rFonts w:ascii="Arial" w:hAnsi="Arial" w:cs="Arial"/>
          <w:sz w:val="20"/>
        </w:rPr>
        <w:t xml:space="preserve"> Engineering, 107, 102434. </w:t>
      </w:r>
      <w:hyperlink r:id="rId19" w:history="1">
        <w:r w:rsidRPr="005D518E">
          <w:rPr>
            <w:rStyle w:val="Hyperlink"/>
            <w:rFonts w:ascii="Arial" w:hAnsi="Arial" w:cs="Arial"/>
            <w:sz w:val="20"/>
          </w:rPr>
          <w:t>https://doi.org/10.1016/j.aquaeng.2024.102434</w:t>
        </w:r>
      </w:hyperlink>
      <w:r>
        <w:rPr>
          <w:rFonts w:ascii="Arial" w:hAnsi="Arial" w:cs="Arial"/>
          <w:sz w:val="20"/>
        </w:rPr>
        <w:t xml:space="preserve"> </w:t>
      </w:r>
      <w:r w:rsidR="008354E4" w:rsidRPr="008354E4">
        <w:rPr>
          <w:rFonts w:ascii="Arial" w:hAnsi="Arial" w:cs="Arial"/>
          <w:sz w:val="20"/>
        </w:rPr>
        <w:t>.</w:t>
      </w:r>
    </w:p>
    <w:p w14:paraId="702E8941" w14:textId="348FF7AA" w:rsidR="008354E4" w:rsidRPr="008354E4" w:rsidRDefault="00A11D42" w:rsidP="008354E4">
      <w:pPr>
        <w:numPr>
          <w:ilvl w:val="0"/>
          <w:numId w:val="1"/>
        </w:numPr>
        <w:spacing w:after="0" w:line="240" w:lineRule="auto"/>
        <w:contextualSpacing/>
        <w:jc w:val="both"/>
        <w:rPr>
          <w:rFonts w:ascii="Arial" w:hAnsi="Arial" w:cs="Arial"/>
          <w:sz w:val="20"/>
        </w:rPr>
      </w:pPr>
      <w:r w:rsidRPr="00A11D42">
        <w:rPr>
          <w:rFonts w:ascii="Arial" w:hAnsi="Arial" w:cs="Arial"/>
          <w:sz w:val="20"/>
        </w:rPr>
        <w:t xml:space="preserve">El-Sayed, A. F. M. (2021). Use of </w:t>
      </w:r>
      <w:proofErr w:type="spellStart"/>
      <w:r w:rsidRPr="00A11D42">
        <w:rPr>
          <w:rFonts w:ascii="Arial" w:hAnsi="Arial" w:cs="Arial"/>
          <w:sz w:val="20"/>
        </w:rPr>
        <w:t>biofloc</w:t>
      </w:r>
      <w:proofErr w:type="spellEnd"/>
      <w:r w:rsidRPr="00A11D42">
        <w:rPr>
          <w:rFonts w:ascii="Arial" w:hAnsi="Arial" w:cs="Arial"/>
          <w:sz w:val="20"/>
        </w:rPr>
        <w:t xml:space="preserve"> technology in shrimp aquaculture: a comprehensive review, with emphasis on the last decade. Reviews in Aquaculture, 13(1), 676-705. </w:t>
      </w:r>
      <w:hyperlink r:id="rId20" w:history="1">
        <w:r w:rsidRPr="005D518E">
          <w:rPr>
            <w:rStyle w:val="Hyperlink"/>
            <w:rFonts w:ascii="Arial" w:hAnsi="Arial" w:cs="Arial"/>
            <w:sz w:val="20"/>
          </w:rPr>
          <w:t>https://doi.org/10.1111/raq.12494</w:t>
        </w:r>
      </w:hyperlink>
      <w:r>
        <w:rPr>
          <w:rFonts w:ascii="Arial" w:hAnsi="Arial" w:cs="Arial"/>
          <w:sz w:val="20"/>
        </w:rPr>
        <w:t xml:space="preserve"> </w:t>
      </w:r>
      <w:r w:rsidR="008354E4" w:rsidRPr="008354E4">
        <w:rPr>
          <w:rFonts w:ascii="Arial" w:hAnsi="Arial" w:cs="Arial"/>
          <w:sz w:val="20"/>
        </w:rPr>
        <w:t>.</w:t>
      </w:r>
    </w:p>
    <w:p w14:paraId="44546392" w14:textId="4F8F8364" w:rsidR="008354E4" w:rsidRPr="008354E4" w:rsidRDefault="00634F7A" w:rsidP="008354E4">
      <w:pPr>
        <w:numPr>
          <w:ilvl w:val="0"/>
          <w:numId w:val="1"/>
        </w:numPr>
        <w:spacing w:after="0" w:line="240" w:lineRule="auto"/>
        <w:contextualSpacing/>
        <w:jc w:val="both"/>
        <w:rPr>
          <w:rFonts w:ascii="Arial" w:hAnsi="Arial" w:cs="Arial"/>
          <w:sz w:val="20"/>
        </w:rPr>
      </w:pPr>
      <w:proofErr w:type="spellStart"/>
      <w:r w:rsidRPr="00634F7A">
        <w:rPr>
          <w:rFonts w:ascii="Arial" w:hAnsi="Arial" w:cs="Arial"/>
          <w:sz w:val="20"/>
        </w:rPr>
        <w:t>Ballester</w:t>
      </w:r>
      <w:proofErr w:type="spellEnd"/>
      <w:r w:rsidRPr="00634F7A">
        <w:rPr>
          <w:rFonts w:ascii="Arial" w:hAnsi="Arial" w:cs="Arial"/>
          <w:sz w:val="20"/>
        </w:rPr>
        <w:t xml:space="preserve">, E. L. C., Abreu, P. C., Cavalli, R. O., </w:t>
      </w:r>
      <w:proofErr w:type="spellStart"/>
      <w:r w:rsidRPr="00634F7A">
        <w:rPr>
          <w:rFonts w:ascii="Arial" w:hAnsi="Arial" w:cs="Arial"/>
          <w:sz w:val="20"/>
        </w:rPr>
        <w:t>Emerenciano</w:t>
      </w:r>
      <w:proofErr w:type="spellEnd"/>
      <w:r w:rsidRPr="00634F7A">
        <w:rPr>
          <w:rFonts w:ascii="Arial" w:hAnsi="Arial" w:cs="Arial"/>
          <w:sz w:val="20"/>
        </w:rPr>
        <w:t xml:space="preserve">, M., Abreu, L., &amp; </w:t>
      </w:r>
      <w:proofErr w:type="spellStart"/>
      <w:r w:rsidRPr="00634F7A">
        <w:rPr>
          <w:rFonts w:ascii="Arial" w:hAnsi="Arial" w:cs="Arial"/>
          <w:sz w:val="20"/>
        </w:rPr>
        <w:t>Wasielesky</w:t>
      </w:r>
      <w:proofErr w:type="spellEnd"/>
      <w:r w:rsidRPr="00634F7A">
        <w:rPr>
          <w:rFonts w:ascii="Arial" w:hAnsi="Arial" w:cs="Arial"/>
          <w:sz w:val="20"/>
        </w:rPr>
        <w:t xml:space="preserve">, W., Jr. (2010). Effect of practical diets with different protein levels on the performance of </w:t>
      </w:r>
      <w:proofErr w:type="spellStart"/>
      <w:r w:rsidRPr="00634F7A">
        <w:rPr>
          <w:rFonts w:ascii="Arial" w:hAnsi="Arial" w:cs="Arial"/>
          <w:sz w:val="20"/>
        </w:rPr>
        <w:t>Farfantepenaeus</w:t>
      </w:r>
      <w:proofErr w:type="spellEnd"/>
      <w:r w:rsidRPr="00634F7A">
        <w:rPr>
          <w:rFonts w:ascii="Arial" w:hAnsi="Arial" w:cs="Arial"/>
          <w:sz w:val="20"/>
        </w:rPr>
        <w:t xml:space="preserve"> </w:t>
      </w:r>
      <w:proofErr w:type="spellStart"/>
      <w:r w:rsidRPr="00634F7A">
        <w:rPr>
          <w:rFonts w:ascii="Arial" w:hAnsi="Arial" w:cs="Arial"/>
          <w:sz w:val="20"/>
        </w:rPr>
        <w:t>paulensis</w:t>
      </w:r>
      <w:proofErr w:type="spellEnd"/>
      <w:r w:rsidRPr="00634F7A">
        <w:rPr>
          <w:rFonts w:ascii="Arial" w:hAnsi="Arial" w:cs="Arial"/>
          <w:sz w:val="20"/>
        </w:rPr>
        <w:t xml:space="preserve"> juveniles nursed in a </w:t>
      </w:r>
      <w:proofErr w:type="gramStart"/>
      <w:r w:rsidRPr="00634F7A">
        <w:rPr>
          <w:rFonts w:ascii="Arial" w:hAnsi="Arial" w:cs="Arial"/>
          <w:sz w:val="20"/>
        </w:rPr>
        <w:t>zero exchange</w:t>
      </w:r>
      <w:proofErr w:type="gramEnd"/>
      <w:r w:rsidRPr="00634F7A">
        <w:rPr>
          <w:rFonts w:ascii="Arial" w:hAnsi="Arial" w:cs="Arial"/>
          <w:sz w:val="20"/>
        </w:rPr>
        <w:t xml:space="preserve"> suspended microbial flocs intensive system. Aquaculture Nutrition, 16(2), 163–172. </w:t>
      </w:r>
      <w:hyperlink r:id="rId21" w:history="1">
        <w:r w:rsidRPr="005D518E">
          <w:rPr>
            <w:rStyle w:val="Hyperlink"/>
            <w:rFonts w:ascii="Arial" w:hAnsi="Arial" w:cs="Arial"/>
            <w:sz w:val="20"/>
          </w:rPr>
          <w:t>https://doi.org/10.1111/j.1365-2095.2009.00648.x</w:t>
        </w:r>
      </w:hyperlink>
      <w:r>
        <w:rPr>
          <w:rFonts w:ascii="Arial" w:hAnsi="Arial" w:cs="Arial"/>
          <w:sz w:val="20"/>
        </w:rPr>
        <w:t xml:space="preserve"> </w:t>
      </w:r>
    </w:p>
    <w:p w14:paraId="747CB3AC" w14:textId="37785AE4" w:rsidR="008354E4" w:rsidRPr="008354E4" w:rsidRDefault="00E23CCD" w:rsidP="008354E4">
      <w:pPr>
        <w:numPr>
          <w:ilvl w:val="0"/>
          <w:numId w:val="1"/>
        </w:numPr>
        <w:spacing w:after="0" w:line="240" w:lineRule="auto"/>
        <w:contextualSpacing/>
        <w:jc w:val="both"/>
        <w:rPr>
          <w:rFonts w:ascii="Arial" w:hAnsi="Arial" w:cs="Arial"/>
          <w:sz w:val="20"/>
        </w:rPr>
      </w:pPr>
      <w:proofErr w:type="spellStart"/>
      <w:r w:rsidRPr="00E23CCD">
        <w:rPr>
          <w:rFonts w:ascii="Arial" w:hAnsi="Arial" w:cs="Arial"/>
          <w:sz w:val="20"/>
        </w:rPr>
        <w:t>Browdy</w:t>
      </w:r>
      <w:proofErr w:type="spellEnd"/>
      <w:r w:rsidRPr="00E23CCD">
        <w:rPr>
          <w:rFonts w:ascii="Arial" w:hAnsi="Arial" w:cs="Arial"/>
          <w:sz w:val="20"/>
        </w:rPr>
        <w:t xml:space="preserve">, C. L., Ray, A. J., Leffler, J. W., &amp; </w:t>
      </w:r>
      <w:proofErr w:type="spellStart"/>
      <w:r w:rsidRPr="00E23CCD">
        <w:rPr>
          <w:rFonts w:ascii="Arial" w:hAnsi="Arial" w:cs="Arial"/>
          <w:sz w:val="20"/>
        </w:rPr>
        <w:t>Avnimelech</w:t>
      </w:r>
      <w:proofErr w:type="spellEnd"/>
      <w:r w:rsidRPr="00E23CCD">
        <w:rPr>
          <w:rFonts w:ascii="Arial" w:hAnsi="Arial" w:cs="Arial"/>
          <w:sz w:val="20"/>
        </w:rPr>
        <w:t xml:space="preserve">, Y. (2012). </w:t>
      </w:r>
      <w:proofErr w:type="spellStart"/>
      <w:r w:rsidRPr="00E23CCD">
        <w:rPr>
          <w:rFonts w:ascii="Arial" w:hAnsi="Arial" w:cs="Arial"/>
          <w:sz w:val="20"/>
        </w:rPr>
        <w:t>Biofloc</w:t>
      </w:r>
      <w:proofErr w:type="spellEnd"/>
      <w:r w:rsidRPr="00E23CCD">
        <w:rPr>
          <w:rFonts w:ascii="Arial" w:hAnsi="Arial" w:cs="Arial"/>
          <w:sz w:val="20"/>
        </w:rPr>
        <w:t xml:space="preserve">-based aquaculture systems. In J. H. Tidwell (Ed.), Aquaculture production systems (pp. 278-307). Wiley-Blackwell. </w:t>
      </w:r>
      <w:hyperlink r:id="rId22" w:history="1">
        <w:r w:rsidRPr="005D518E">
          <w:rPr>
            <w:rStyle w:val="Hyperlink"/>
            <w:rFonts w:ascii="Arial" w:hAnsi="Arial" w:cs="Arial"/>
            <w:sz w:val="20"/>
          </w:rPr>
          <w:t>https://doi.org/10.1002/9781118250105.ch12</w:t>
        </w:r>
      </w:hyperlink>
      <w:r>
        <w:rPr>
          <w:rFonts w:ascii="Arial" w:hAnsi="Arial" w:cs="Arial"/>
          <w:sz w:val="20"/>
        </w:rPr>
        <w:t xml:space="preserve"> </w:t>
      </w:r>
      <w:r w:rsidR="008354E4" w:rsidRPr="008354E4">
        <w:rPr>
          <w:rFonts w:ascii="Arial" w:hAnsi="Arial" w:cs="Arial"/>
          <w:sz w:val="20"/>
        </w:rPr>
        <w:t>.</w:t>
      </w:r>
    </w:p>
    <w:p w14:paraId="6F05D34E" w14:textId="10D29798" w:rsidR="008354E4" w:rsidRPr="008354E4" w:rsidRDefault="0016653B" w:rsidP="008354E4">
      <w:pPr>
        <w:numPr>
          <w:ilvl w:val="0"/>
          <w:numId w:val="1"/>
        </w:numPr>
        <w:spacing w:after="0" w:line="240" w:lineRule="auto"/>
        <w:contextualSpacing/>
        <w:jc w:val="both"/>
        <w:rPr>
          <w:rFonts w:ascii="Arial" w:eastAsia="Georgia" w:hAnsi="Arial" w:cs="Arial"/>
          <w:sz w:val="20"/>
        </w:rPr>
      </w:pPr>
      <w:r w:rsidRPr="0016653B">
        <w:rPr>
          <w:rFonts w:ascii="Arial" w:hAnsi="Arial" w:cs="Arial"/>
          <w:sz w:val="20"/>
        </w:rPr>
        <w:t xml:space="preserve">Kumar, S., Anand, P. S. S., De, D., Ghoshal, T. K., </w:t>
      </w:r>
      <w:proofErr w:type="spellStart"/>
      <w:r w:rsidRPr="0016653B">
        <w:rPr>
          <w:rFonts w:ascii="Arial" w:hAnsi="Arial" w:cs="Arial"/>
          <w:sz w:val="20"/>
        </w:rPr>
        <w:t>Alavandi</w:t>
      </w:r>
      <w:proofErr w:type="spellEnd"/>
      <w:r w:rsidRPr="0016653B">
        <w:rPr>
          <w:rFonts w:ascii="Arial" w:hAnsi="Arial" w:cs="Arial"/>
          <w:sz w:val="20"/>
        </w:rPr>
        <w:t xml:space="preserve">, S. V., &amp; Vijayan, K. K. (2019). Integration of substrate in </w:t>
      </w:r>
      <w:proofErr w:type="spellStart"/>
      <w:r w:rsidRPr="0016653B">
        <w:rPr>
          <w:rFonts w:ascii="Arial" w:hAnsi="Arial" w:cs="Arial"/>
          <w:sz w:val="20"/>
        </w:rPr>
        <w:t>biofloc</w:t>
      </w:r>
      <w:proofErr w:type="spellEnd"/>
      <w:r w:rsidRPr="0016653B">
        <w:rPr>
          <w:rFonts w:ascii="Arial" w:hAnsi="Arial" w:cs="Arial"/>
          <w:sz w:val="20"/>
        </w:rPr>
        <w:t xml:space="preserve"> based system: Effects on growth performance, water quality and immune responses in black tiger shrimp, Penaeus monodon culture. Aquaculture Research, 50(10), 2986–2999. </w:t>
      </w:r>
      <w:hyperlink r:id="rId23" w:history="1">
        <w:r w:rsidRPr="005D518E">
          <w:rPr>
            <w:rStyle w:val="Hyperlink"/>
            <w:rFonts w:ascii="Arial" w:hAnsi="Arial" w:cs="Arial"/>
            <w:sz w:val="20"/>
          </w:rPr>
          <w:t>https://doi.org/10.1111/are.14256</w:t>
        </w:r>
      </w:hyperlink>
      <w:r>
        <w:rPr>
          <w:rFonts w:ascii="Arial" w:hAnsi="Arial" w:cs="Arial"/>
          <w:sz w:val="20"/>
        </w:rPr>
        <w:t xml:space="preserve"> </w:t>
      </w:r>
    </w:p>
    <w:p w14:paraId="4D88410F" w14:textId="77777777" w:rsidR="008354E4" w:rsidRPr="008354E4" w:rsidRDefault="008354E4" w:rsidP="008354E4">
      <w:pPr>
        <w:numPr>
          <w:ilvl w:val="0"/>
          <w:numId w:val="1"/>
        </w:numPr>
        <w:spacing w:after="0" w:line="240" w:lineRule="auto"/>
        <w:contextualSpacing/>
        <w:jc w:val="both"/>
        <w:rPr>
          <w:rFonts w:ascii="Arial" w:eastAsia="Georgia" w:hAnsi="Arial" w:cs="Arial"/>
          <w:sz w:val="20"/>
        </w:rPr>
      </w:pPr>
      <w:r w:rsidRPr="008354E4">
        <w:rPr>
          <w:rFonts w:ascii="Arial" w:eastAsia="Georgia" w:hAnsi="Arial" w:cs="Arial"/>
          <w:sz w:val="20"/>
        </w:rPr>
        <w:t>Peterson, J. J., and Griffith, D. (1999). Intensive nursery systems. Global Aquaculture Advocate 2: 60–61.</w:t>
      </w:r>
    </w:p>
    <w:p w14:paraId="7F34C1AC" w14:textId="2C2197BE" w:rsidR="008354E4" w:rsidRPr="008354E4" w:rsidRDefault="008F54DE" w:rsidP="008354E4">
      <w:pPr>
        <w:numPr>
          <w:ilvl w:val="0"/>
          <w:numId w:val="1"/>
        </w:numPr>
        <w:spacing w:after="0" w:line="240" w:lineRule="auto"/>
        <w:contextualSpacing/>
        <w:jc w:val="both"/>
        <w:rPr>
          <w:rFonts w:ascii="Arial" w:hAnsi="Arial" w:cs="Arial"/>
          <w:sz w:val="20"/>
        </w:rPr>
      </w:pPr>
      <w:r w:rsidRPr="008F54DE">
        <w:rPr>
          <w:rFonts w:ascii="Arial" w:hAnsi="Arial" w:cs="Arial"/>
          <w:sz w:val="20"/>
        </w:rPr>
        <w:t xml:space="preserve">Nga, B. T., </w:t>
      </w:r>
      <w:proofErr w:type="spellStart"/>
      <w:r w:rsidRPr="008F54DE">
        <w:rPr>
          <w:rFonts w:ascii="Arial" w:hAnsi="Arial" w:cs="Arial"/>
          <w:sz w:val="20"/>
        </w:rPr>
        <w:t>Lürling</w:t>
      </w:r>
      <w:proofErr w:type="spellEnd"/>
      <w:r w:rsidRPr="008F54DE">
        <w:rPr>
          <w:rFonts w:ascii="Arial" w:hAnsi="Arial" w:cs="Arial"/>
          <w:sz w:val="20"/>
        </w:rPr>
        <w:t xml:space="preserve">, M. F. L. L. W., </w:t>
      </w:r>
      <w:proofErr w:type="spellStart"/>
      <w:r w:rsidRPr="008F54DE">
        <w:rPr>
          <w:rFonts w:ascii="Arial" w:hAnsi="Arial" w:cs="Arial"/>
          <w:sz w:val="20"/>
        </w:rPr>
        <w:t>Peeters</w:t>
      </w:r>
      <w:proofErr w:type="spellEnd"/>
      <w:r w:rsidRPr="008F54DE">
        <w:rPr>
          <w:rFonts w:ascii="Arial" w:hAnsi="Arial" w:cs="Arial"/>
          <w:sz w:val="20"/>
        </w:rPr>
        <w:t xml:space="preserve">, E. T. H. M., </w:t>
      </w:r>
      <w:proofErr w:type="spellStart"/>
      <w:r w:rsidRPr="008F54DE">
        <w:rPr>
          <w:rFonts w:ascii="Arial" w:hAnsi="Arial" w:cs="Arial"/>
          <w:sz w:val="20"/>
        </w:rPr>
        <w:t>Roijackers</w:t>
      </w:r>
      <w:proofErr w:type="spellEnd"/>
      <w:r w:rsidRPr="008F54DE">
        <w:rPr>
          <w:rFonts w:ascii="Arial" w:hAnsi="Arial" w:cs="Arial"/>
          <w:sz w:val="20"/>
        </w:rPr>
        <w:t xml:space="preserve">, R. M. M., </w:t>
      </w:r>
      <w:proofErr w:type="spellStart"/>
      <w:r w:rsidRPr="008F54DE">
        <w:rPr>
          <w:rFonts w:ascii="Arial" w:hAnsi="Arial" w:cs="Arial"/>
          <w:sz w:val="20"/>
        </w:rPr>
        <w:t>Scheffer</w:t>
      </w:r>
      <w:proofErr w:type="spellEnd"/>
      <w:r w:rsidRPr="008F54DE">
        <w:rPr>
          <w:rFonts w:ascii="Arial" w:hAnsi="Arial" w:cs="Arial"/>
          <w:sz w:val="20"/>
        </w:rPr>
        <w:t xml:space="preserve">, M., &amp; </w:t>
      </w:r>
      <w:proofErr w:type="spellStart"/>
      <w:r w:rsidRPr="008F54DE">
        <w:rPr>
          <w:rFonts w:ascii="Arial" w:hAnsi="Arial" w:cs="Arial"/>
          <w:sz w:val="20"/>
        </w:rPr>
        <w:t>Nghia</w:t>
      </w:r>
      <w:proofErr w:type="spellEnd"/>
      <w:r w:rsidRPr="008F54DE">
        <w:rPr>
          <w:rFonts w:ascii="Arial" w:hAnsi="Arial" w:cs="Arial"/>
          <w:sz w:val="20"/>
        </w:rPr>
        <w:t xml:space="preserve">, T. T. (2005). Chemical and physical effects of crowding on growth and survival of Penaeus monodon </w:t>
      </w:r>
      <w:proofErr w:type="spellStart"/>
      <w:r w:rsidRPr="008F54DE">
        <w:rPr>
          <w:rFonts w:ascii="Arial" w:hAnsi="Arial" w:cs="Arial"/>
          <w:sz w:val="20"/>
        </w:rPr>
        <w:t>Fabricius</w:t>
      </w:r>
      <w:proofErr w:type="spellEnd"/>
      <w:r w:rsidRPr="008F54DE">
        <w:rPr>
          <w:rFonts w:ascii="Arial" w:hAnsi="Arial" w:cs="Arial"/>
          <w:sz w:val="20"/>
        </w:rPr>
        <w:t xml:space="preserve"> post-larvae. Aquaculture, 246, 455–465. </w:t>
      </w:r>
      <w:hyperlink r:id="rId24" w:history="1">
        <w:r w:rsidRPr="005D518E">
          <w:rPr>
            <w:rStyle w:val="Hyperlink"/>
            <w:rFonts w:ascii="Arial" w:hAnsi="Arial" w:cs="Arial"/>
            <w:sz w:val="20"/>
          </w:rPr>
          <w:t>https://doi.org/10.1016/j.aquaculture.2005.02.026</w:t>
        </w:r>
      </w:hyperlink>
      <w:r>
        <w:rPr>
          <w:rFonts w:ascii="Arial" w:hAnsi="Arial" w:cs="Arial"/>
          <w:sz w:val="20"/>
        </w:rPr>
        <w:t xml:space="preserve"> </w:t>
      </w:r>
    </w:p>
    <w:p w14:paraId="25F6F2E6" w14:textId="21E5D2E2" w:rsidR="008354E4" w:rsidRPr="008354E4" w:rsidRDefault="00DD0E5E" w:rsidP="008354E4">
      <w:pPr>
        <w:numPr>
          <w:ilvl w:val="0"/>
          <w:numId w:val="1"/>
        </w:numPr>
        <w:spacing w:after="0" w:line="240" w:lineRule="auto"/>
        <w:contextualSpacing/>
        <w:jc w:val="both"/>
        <w:rPr>
          <w:rFonts w:ascii="Arial" w:eastAsia="Georgia" w:hAnsi="Arial" w:cs="Arial"/>
          <w:sz w:val="20"/>
        </w:rPr>
      </w:pPr>
      <w:r w:rsidRPr="00DD0E5E">
        <w:rPr>
          <w:rFonts w:ascii="Arial" w:hAnsi="Arial" w:cs="Arial"/>
          <w:sz w:val="20"/>
        </w:rPr>
        <w:t xml:space="preserve">Arnold, S. J., Sellars, M. J., </w:t>
      </w:r>
      <w:proofErr w:type="spellStart"/>
      <w:r w:rsidRPr="00DD0E5E">
        <w:rPr>
          <w:rFonts w:ascii="Arial" w:hAnsi="Arial" w:cs="Arial"/>
          <w:sz w:val="20"/>
        </w:rPr>
        <w:t>Crocos</w:t>
      </w:r>
      <w:proofErr w:type="spellEnd"/>
      <w:r w:rsidRPr="00DD0E5E">
        <w:rPr>
          <w:rFonts w:ascii="Arial" w:hAnsi="Arial" w:cs="Arial"/>
          <w:sz w:val="20"/>
        </w:rPr>
        <w:t xml:space="preserve">, P. J., &amp; </w:t>
      </w:r>
      <w:proofErr w:type="spellStart"/>
      <w:r w:rsidRPr="00DD0E5E">
        <w:rPr>
          <w:rFonts w:ascii="Arial" w:hAnsi="Arial" w:cs="Arial"/>
          <w:sz w:val="20"/>
        </w:rPr>
        <w:t>Coman</w:t>
      </w:r>
      <w:proofErr w:type="spellEnd"/>
      <w:r w:rsidRPr="00DD0E5E">
        <w:rPr>
          <w:rFonts w:ascii="Arial" w:hAnsi="Arial" w:cs="Arial"/>
          <w:sz w:val="20"/>
        </w:rPr>
        <w:t xml:space="preserve">, G. J. (2006). Intensive production of juvenile tiger shrimp Penaeus monodon: An evaluation of stocking density and artificial substrates. Aquaculture, 261(3), 890–896. </w:t>
      </w:r>
      <w:hyperlink r:id="rId25" w:history="1">
        <w:r w:rsidRPr="005D518E">
          <w:rPr>
            <w:rStyle w:val="Hyperlink"/>
            <w:rFonts w:ascii="Arial" w:hAnsi="Arial" w:cs="Arial"/>
            <w:sz w:val="20"/>
          </w:rPr>
          <w:t>https://doi.org/10.1016/j.aquaculture.2006.07.036</w:t>
        </w:r>
      </w:hyperlink>
      <w:r>
        <w:rPr>
          <w:rFonts w:ascii="Arial" w:hAnsi="Arial" w:cs="Arial"/>
          <w:sz w:val="20"/>
        </w:rPr>
        <w:t xml:space="preserve"> </w:t>
      </w:r>
    </w:p>
    <w:p w14:paraId="0DD12E82" w14:textId="357D4B83" w:rsidR="008354E4" w:rsidRPr="008354E4" w:rsidRDefault="004A30B7" w:rsidP="008354E4">
      <w:pPr>
        <w:numPr>
          <w:ilvl w:val="0"/>
          <w:numId w:val="1"/>
        </w:numPr>
        <w:spacing w:after="0" w:line="240" w:lineRule="auto"/>
        <w:contextualSpacing/>
        <w:jc w:val="both"/>
        <w:rPr>
          <w:rFonts w:ascii="Arial" w:hAnsi="Arial" w:cs="Arial"/>
          <w:sz w:val="20"/>
        </w:rPr>
      </w:pPr>
      <w:proofErr w:type="spellStart"/>
      <w:r w:rsidRPr="004A30B7">
        <w:rPr>
          <w:rFonts w:ascii="Arial" w:eastAsia="Georgia" w:hAnsi="Arial" w:cs="Arial"/>
          <w:sz w:val="20"/>
        </w:rPr>
        <w:t>Nijhof</w:t>
      </w:r>
      <w:proofErr w:type="spellEnd"/>
      <w:r w:rsidRPr="004A30B7">
        <w:rPr>
          <w:rFonts w:ascii="Arial" w:eastAsia="Georgia" w:hAnsi="Arial" w:cs="Arial"/>
          <w:sz w:val="20"/>
        </w:rPr>
        <w:t xml:space="preserve">, M., &amp; </w:t>
      </w:r>
      <w:proofErr w:type="spellStart"/>
      <w:r w:rsidRPr="004A30B7">
        <w:rPr>
          <w:rFonts w:ascii="Arial" w:eastAsia="Georgia" w:hAnsi="Arial" w:cs="Arial"/>
          <w:sz w:val="20"/>
        </w:rPr>
        <w:t>Bovendeur</w:t>
      </w:r>
      <w:proofErr w:type="spellEnd"/>
      <w:r w:rsidRPr="004A30B7">
        <w:rPr>
          <w:rFonts w:ascii="Arial" w:eastAsia="Georgia" w:hAnsi="Arial" w:cs="Arial"/>
          <w:sz w:val="20"/>
        </w:rPr>
        <w:t xml:space="preserve">, J. (1990). Fixed film nitrification characteristics in sea-water recirculation fish culture systems. Aquaculture, 87(2), 133–143. </w:t>
      </w:r>
      <w:hyperlink r:id="rId26" w:history="1">
        <w:r w:rsidRPr="005D518E">
          <w:rPr>
            <w:rStyle w:val="Hyperlink"/>
            <w:rFonts w:ascii="Arial" w:eastAsia="Georgia" w:hAnsi="Arial" w:cs="Arial"/>
            <w:sz w:val="20"/>
          </w:rPr>
          <w:t>https://doi.org/10.1016/0044-8486(90)90270-W</w:t>
        </w:r>
      </w:hyperlink>
      <w:r>
        <w:rPr>
          <w:rFonts w:ascii="Arial" w:eastAsia="Georgia" w:hAnsi="Arial" w:cs="Arial"/>
          <w:sz w:val="20"/>
        </w:rPr>
        <w:t xml:space="preserve"> </w:t>
      </w:r>
    </w:p>
    <w:p w14:paraId="2CF1F99C" w14:textId="77777777" w:rsidR="008354E4" w:rsidRPr="008354E4" w:rsidRDefault="008354E4" w:rsidP="008354E4">
      <w:pPr>
        <w:numPr>
          <w:ilvl w:val="0"/>
          <w:numId w:val="1"/>
        </w:numPr>
        <w:spacing w:after="0" w:line="240" w:lineRule="auto"/>
        <w:contextualSpacing/>
        <w:jc w:val="both"/>
        <w:rPr>
          <w:rFonts w:ascii="Arial" w:hAnsi="Arial" w:cs="Arial"/>
          <w:sz w:val="20"/>
        </w:rPr>
      </w:pPr>
      <w:r w:rsidRPr="008354E4">
        <w:rPr>
          <w:rFonts w:ascii="Arial" w:hAnsi="Arial" w:cs="Arial"/>
          <w:sz w:val="20"/>
        </w:rPr>
        <w:t>Boyd, C.E. (1981). Water quality in warm water fish ponds. Auburn University, Alabama, Agriculture Experiment Station, USA. pp. 359.</w:t>
      </w:r>
    </w:p>
    <w:p w14:paraId="5A019AFB" w14:textId="1909B079" w:rsidR="008354E4" w:rsidRPr="008354E4" w:rsidRDefault="00AB4D78" w:rsidP="008354E4">
      <w:pPr>
        <w:numPr>
          <w:ilvl w:val="0"/>
          <w:numId w:val="1"/>
        </w:numPr>
        <w:spacing w:after="0" w:line="240" w:lineRule="auto"/>
        <w:contextualSpacing/>
        <w:jc w:val="both"/>
        <w:rPr>
          <w:rFonts w:ascii="Arial" w:hAnsi="Arial" w:cs="Arial"/>
          <w:sz w:val="20"/>
        </w:rPr>
      </w:pPr>
      <w:r w:rsidRPr="00AB4D78">
        <w:rPr>
          <w:rFonts w:ascii="Arial" w:hAnsi="Arial" w:cs="Arial"/>
          <w:sz w:val="20"/>
        </w:rPr>
        <w:t xml:space="preserve">American Public Health Association, American Water Works Association, &amp; Water Environment Federation. (2005). Standard methods for the examination of water and wastewater (21st ed.). American Public Health Association. </w:t>
      </w:r>
      <w:hyperlink r:id="rId27" w:history="1">
        <w:r w:rsidRPr="005D518E">
          <w:rPr>
            <w:rStyle w:val="Hyperlink"/>
            <w:rFonts w:ascii="Arial" w:hAnsi="Arial" w:cs="Arial"/>
            <w:sz w:val="20"/>
          </w:rPr>
          <w:t>https://www.standardmethods.org/</w:t>
        </w:r>
      </w:hyperlink>
      <w:r>
        <w:rPr>
          <w:rFonts w:ascii="Arial" w:hAnsi="Arial" w:cs="Arial"/>
          <w:sz w:val="20"/>
        </w:rPr>
        <w:t xml:space="preserve"> </w:t>
      </w:r>
      <w:r w:rsidR="008354E4" w:rsidRPr="008354E4">
        <w:rPr>
          <w:rFonts w:ascii="Arial" w:hAnsi="Arial" w:cs="Arial"/>
          <w:sz w:val="20"/>
        </w:rPr>
        <w:t>.</w:t>
      </w:r>
    </w:p>
    <w:p w14:paraId="0AA369B3" w14:textId="0F6816D6" w:rsidR="008354E4" w:rsidRPr="008354E4" w:rsidRDefault="00CD617D" w:rsidP="008354E4">
      <w:pPr>
        <w:numPr>
          <w:ilvl w:val="0"/>
          <w:numId w:val="1"/>
        </w:numPr>
        <w:spacing w:after="0" w:line="240" w:lineRule="auto"/>
        <w:contextualSpacing/>
        <w:jc w:val="both"/>
        <w:rPr>
          <w:rFonts w:ascii="Arial" w:hAnsi="Arial" w:cs="Arial"/>
          <w:sz w:val="20"/>
        </w:rPr>
      </w:pPr>
      <w:r w:rsidRPr="00CD617D">
        <w:rPr>
          <w:rFonts w:ascii="Arial" w:hAnsi="Arial" w:cs="Arial"/>
          <w:sz w:val="20"/>
        </w:rPr>
        <w:t xml:space="preserve">Boyd, C. E., &amp; Gautier, D. (2000). Effluent composition and water quality standards. The Advocate, 61–66. </w:t>
      </w:r>
      <w:hyperlink r:id="rId28" w:history="1">
        <w:r w:rsidRPr="005D518E">
          <w:rPr>
            <w:rStyle w:val="Hyperlink"/>
            <w:rFonts w:ascii="Arial" w:hAnsi="Arial" w:cs="Arial"/>
            <w:sz w:val="20"/>
          </w:rPr>
          <w:t>https://www.globalseafood.org/advocate/effluent-composition-and-water-quality-standards/</w:t>
        </w:r>
      </w:hyperlink>
      <w:r>
        <w:rPr>
          <w:rFonts w:ascii="Arial" w:hAnsi="Arial" w:cs="Arial"/>
          <w:sz w:val="20"/>
        </w:rPr>
        <w:t xml:space="preserve"> </w:t>
      </w:r>
      <w:r w:rsidR="008354E4" w:rsidRPr="008354E4">
        <w:rPr>
          <w:rFonts w:ascii="Arial" w:hAnsi="Arial" w:cs="Arial"/>
          <w:sz w:val="20"/>
        </w:rPr>
        <w:t>.</w:t>
      </w:r>
    </w:p>
    <w:p w14:paraId="3A1ABBB0" w14:textId="5A769E85" w:rsidR="008354E4" w:rsidRPr="008354E4" w:rsidRDefault="00C80CE8" w:rsidP="008354E4">
      <w:pPr>
        <w:numPr>
          <w:ilvl w:val="0"/>
          <w:numId w:val="1"/>
        </w:numPr>
        <w:spacing w:after="0" w:line="240" w:lineRule="auto"/>
        <w:contextualSpacing/>
        <w:rPr>
          <w:rFonts w:ascii="Arial" w:eastAsia="Georgia" w:hAnsi="Arial" w:cs="Arial"/>
          <w:sz w:val="20"/>
        </w:rPr>
      </w:pPr>
      <w:proofErr w:type="spellStart"/>
      <w:r w:rsidRPr="00C80CE8">
        <w:rPr>
          <w:rFonts w:ascii="Arial" w:eastAsia="Georgia" w:hAnsi="Arial" w:cs="Arial"/>
          <w:sz w:val="20"/>
        </w:rPr>
        <w:t>Emerenciano</w:t>
      </w:r>
      <w:proofErr w:type="spellEnd"/>
      <w:r w:rsidRPr="00C80CE8">
        <w:rPr>
          <w:rFonts w:ascii="Arial" w:eastAsia="Georgia" w:hAnsi="Arial" w:cs="Arial"/>
          <w:sz w:val="20"/>
        </w:rPr>
        <w:t>, M. G. C., Martínez-</w:t>
      </w:r>
      <w:proofErr w:type="spellStart"/>
      <w:r w:rsidRPr="00C80CE8">
        <w:rPr>
          <w:rFonts w:ascii="Arial" w:eastAsia="Georgia" w:hAnsi="Arial" w:cs="Arial"/>
          <w:sz w:val="20"/>
        </w:rPr>
        <w:t>Córdova</w:t>
      </w:r>
      <w:proofErr w:type="spellEnd"/>
      <w:r w:rsidRPr="00C80CE8">
        <w:rPr>
          <w:rFonts w:ascii="Arial" w:eastAsia="Georgia" w:hAnsi="Arial" w:cs="Arial"/>
          <w:sz w:val="20"/>
        </w:rPr>
        <w:t>, L. R., Martínez-</w:t>
      </w:r>
      <w:proofErr w:type="spellStart"/>
      <w:r w:rsidRPr="00C80CE8">
        <w:rPr>
          <w:rFonts w:ascii="Arial" w:eastAsia="Georgia" w:hAnsi="Arial" w:cs="Arial"/>
          <w:sz w:val="20"/>
        </w:rPr>
        <w:t>Porchas</w:t>
      </w:r>
      <w:proofErr w:type="spellEnd"/>
      <w:r w:rsidRPr="00C80CE8">
        <w:rPr>
          <w:rFonts w:ascii="Arial" w:eastAsia="Georgia" w:hAnsi="Arial" w:cs="Arial"/>
          <w:sz w:val="20"/>
        </w:rPr>
        <w:t>, M., &amp; Miranda-</w:t>
      </w:r>
      <w:proofErr w:type="spellStart"/>
      <w:r w:rsidRPr="00C80CE8">
        <w:rPr>
          <w:rFonts w:ascii="Arial" w:eastAsia="Georgia" w:hAnsi="Arial" w:cs="Arial"/>
          <w:sz w:val="20"/>
        </w:rPr>
        <w:t>Baeza</w:t>
      </w:r>
      <w:proofErr w:type="spellEnd"/>
      <w:r w:rsidRPr="00C80CE8">
        <w:rPr>
          <w:rFonts w:ascii="Arial" w:eastAsia="Georgia" w:hAnsi="Arial" w:cs="Arial"/>
          <w:sz w:val="20"/>
        </w:rPr>
        <w:t xml:space="preserve">, A. (2017). </w:t>
      </w:r>
      <w:proofErr w:type="spellStart"/>
      <w:r w:rsidRPr="00C80CE8">
        <w:rPr>
          <w:rFonts w:ascii="Arial" w:eastAsia="Georgia" w:hAnsi="Arial" w:cs="Arial"/>
          <w:sz w:val="20"/>
        </w:rPr>
        <w:t>Biofloc</w:t>
      </w:r>
      <w:proofErr w:type="spellEnd"/>
      <w:r w:rsidRPr="00C80CE8">
        <w:rPr>
          <w:rFonts w:ascii="Arial" w:eastAsia="Georgia" w:hAnsi="Arial" w:cs="Arial"/>
          <w:sz w:val="20"/>
        </w:rPr>
        <w:t xml:space="preserve"> technology (BFT): A tool for water quality management in aquaculture. In H. Tutu (Ed.), Water Quality (pp. 92–109). Intech. </w:t>
      </w:r>
      <w:hyperlink r:id="rId29" w:history="1">
        <w:r w:rsidRPr="005D518E">
          <w:rPr>
            <w:rStyle w:val="Hyperlink"/>
            <w:rFonts w:ascii="Arial" w:eastAsia="Georgia" w:hAnsi="Arial" w:cs="Arial"/>
            <w:sz w:val="20"/>
          </w:rPr>
          <w:t>https://doi.org/10.5772/66416</w:t>
        </w:r>
      </w:hyperlink>
      <w:r>
        <w:rPr>
          <w:rFonts w:ascii="Arial" w:eastAsia="Georgia" w:hAnsi="Arial" w:cs="Arial"/>
          <w:sz w:val="20"/>
        </w:rPr>
        <w:t xml:space="preserve"> </w:t>
      </w:r>
      <w:r w:rsidR="008354E4" w:rsidRPr="008354E4">
        <w:rPr>
          <w:rFonts w:ascii="Arial" w:eastAsia="Georgia" w:hAnsi="Arial" w:cs="Arial"/>
          <w:sz w:val="20"/>
        </w:rPr>
        <w:t>.</w:t>
      </w:r>
    </w:p>
    <w:p w14:paraId="2E9F299A" w14:textId="49A3F3BB" w:rsidR="008354E4" w:rsidRPr="008354E4" w:rsidRDefault="002111F1" w:rsidP="008354E4">
      <w:pPr>
        <w:numPr>
          <w:ilvl w:val="0"/>
          <w:numId w:val="1"/>
        </w:numPr>
        <w:spacing w:after="0" w:line="240" w:lineRule="auto"/>
        <w:contextualSpacing/>
        <w:rPr>
          <w:rFonts w:ascii="Arial" w:hAnsi="Arial" w:cs="Arial"/>
          <w:sz w:val="20"/>
        </w:rPr>
      </w:pPr>
      <w:r w:rsidRPr="002111F1">
        <w:rPr>
          <w:rFonts w:ascii="Arial" w:hAnsi="Arial" w:cs="Arial"/>
          <w:sz w:val="20"/>
        </w:rPr>
        <w:t xml:space="preserve">Boyd, C. E., &amp; Tucker, C. S. (1998). Pond Aquaculture Water Quality Management. Springer. </w:t>
      </w:r>
      <w:hyperlink r:id="rId30" w:history="1">
        <w:r w:rsidRPr="005D518E">
          <w:rPr>
            <w:rStyle w:val="Hyperlink"/>
            <w:rFonts w:ascii="Arial" w:hAnsi="Arial" w:cs="Arial"/>
            <w:sz w:val="20"/>
          </w:rPr>
          <w:t>https://doi.org/10.1007/978-1-4615-5407-3</w:t>
        </w:r>
      </w:hyperlink>
      <w:r>
        <w:rPr>
          <w:rFonts w:ascii="Arial" w:hAnsi="Arial" w:cs="Arial"/>
          <w:sz w:val="20"/>
        </w:rPr>
        <w:t xml:space="preserve"> </w:t>
      </w:r>
      <w:r w:rsidR="008354E4" w:rsidRPr="008354E4">
        <w:rPr>
          <w:rFonts w:ascii="Arial" w:hAnsi="Arial" w:cs="Arial"/>
          <w:sz w:val="20"/>
        </w:rPr>
        <w:t>.</w:t>
      </w:r>
    </w:p>
    <w:p w14:paraId="2B0BCA8B" w14:textId="0135B16A" w:rsidR="008354E4" w:rsidRPr="008354E4" w:rsidRDefault="00D85933" w:rsidP="008354E4">
      <w:pPr>
        <w:numPr>
          <w:ilvl w:val="0"/>
          <w:numId w:val="1"/>
        </w:numPr>
        <w:spacing w:after="0" w:line="240" w:lineRule="auto"/>
        <w:contextualSpacing/>
        <w:jc w:val="both"/>
        <w:rPr>
          <w:rFonts w:ascii="Arial" w:hAnsi="Arial" w:cs="Arial"/>
          <w:color w:val="000000" w:themeColor="text1"/>
          <w:sz w:val="20"/>
        </w:rPr>
      </w:pPr>
      <w:proofErr w:type="spellStart"/>
      <w:r w:rsidRPr="00D85933">
        <w:rPr>
          <w:rFonts w:ascii="Arial" w:hAnsi="Arial" w:cs="Arial"/>
          <w:color w:val="000000" w:themeColor="text1"/>
          <w:sz w:val="20"/>
        </w:rPr>
        <w:t>Schveitzer</w:t>
      </w:r>
      <w:proofErr w:type="spellEnd"/>
      <w:r w:rsidRPr="00D85933">
        <w:rPr>
          <w:rFonts w:ascii="Arial" w:hAnsi="Arial" w:cs="Arial"/>
          <w:color w:val="000000" w:themeColor="text1"/>
          <w:sz w:val="20"/>
        </w:rPr>
        <w:t xml:space="preserve">, R., </w:t>
      </w:r>
      <w:proofErr w:type="spellStart"/>
      <w:r w:rsidRPr="00D85933">
        <w:rPr>
          <w:rFonts w:ascii="Arial" w:hAnsi="Arial" w:cs="Arial"/>
          <w:color w:val="000000" w:themeColor="text1"/>
          <w:sz w:val="20"/>
        </w:rPr>
        <w:t>Arantes</w:t>
      </w:r>
      <w:proofErr w:type="spellEnd"/>
      <w:r w:rsidRPr="00D85933">
        <w:rPr>
          <w:rFonts w:ascii="Arial" w:hAnsi="Arial" w:cs="Arial"/>
          <w:color w:val="000000" w:themeColor="text1"/>
          <w:sz w:val="20"/>
        </w:rPr>
        <w:t xml:space="preserve">, R., </w:t>
      </w:r>
      <w:proofErr w:type="spellStart"/>
      <w:r w:rsidRPr="00D85933">
        <w:rPr>
          <w:rFonts w:ascii="Arial" w:hAnsi="Arial" w:cs="Arial"/>
          <w:color w:val="000000" w:themeColor="text1"/>
          <w:sz w:val="20"/>
        </w:rPr>
        <w:t>Baloi</w:t>
      </w:r>
      <w:proofErr w:type="spellEnd"/>
      <w:r w:rsidRPr="00D85933">
        <w:rPr>
          <w:rFonts w:ascii="Arial" w:hAnsi="Arial" w:cs="Arial"/>
          <w:color w:val="000000" w:themeColor="text1"/>
          <w:sz w:val="20"/>
        </w:rPr>
        <w:t xml:space="preserve">, M.F., </w:t>
      </w:r>
      <w:proofErr w:type="spellStart"/>
      <w:r w:rsidRPr="00D85933">
        <w:rPr>
          <w:rFonts w:ascii="Arial" w:hAnsi="Arial" w:cs="Arial"/>
          <w:color w:val="000000" w:themeColor="text1"/>
          <w:sz w:val="20"/>
        </w:rPr>
        <w:t>Costódio</w:t>
      </w:r>
      <w:proofErr w:type="spellEnd"/>
      <w:r w:rsidRPr="00D85933">
        <w:rPr>
          <w:rFonts w:ascii="Arial" w:hAnsi="Arial" w:cs="Arial"/>
          <w:color w:val="000000" w:themeColor="text1"/>
          <w:sz w:val="20"/>
        </w:rPr>
        <w:t xml:space="preserve">, P.F.S., Arana, L.V., </w:t>
      </w:r>
      <w:proofErr w:type="spellStart"/>
      <w:r w:rsidRPr="00D85933">
        <w:rPr>
          <w:rFonts w:ascii="Arial" w:hAnsi="Arial" w:cs="Arial"/>
          <w:color w:val="000000" w:themeColor="text1"/>
          <w:sz w:val="20"/>
        </w:rPr>
        <w:t>Seiffert</w:t>
      </w:r>
      <w:proofErr w:type="spellEnd"/>
      <w:r w:rsidRPr="00D85933">
        <w:rPr>
          <w:rFonts w:ascii="Arial" w:hAnsi="Arial" w:cs="Arial"/>
          <w:color w:val="000000" w:themeColor="text1"/>
          <w:sz w:val="20"/>
        </w:rPr>
        <w:t xml:space="preserve">, W.Q., &amp; </w:t>
      </w:r>
      <w:proofErr w:type="spellStart"/>
      <w:r w:rsidRPr="00D85933">
        <w:rPr>
          <w:rFonts w:ascii="Arial" w:hAnsi="Arial" w:cs="Arial"/>
          <w:color w:val="000000" w:themeColor="text1"/>
          <w:sz w:val="20"/>
        </w:rPr>
        <w:t>Andreatta</w:t>
      </w:r>
      <w:proofErr w:type="spellEnd"/>
      <w:r w:rsidRPr="00D85933">
        <w:rPr>
          <w:rFonts w:ascii="Arial" w:hAnsi="Arial" w:cs="Arial"/>
          <w:color w:val="000000" w:themeColor="text1"/>
          <w:sz w:val="20"/>
        </w:rPr>
        <w:t xml:space="preserve">, E.R. (2013). Use of artificial substrates in the culture of </w:t>
      </w:r>
      <w:proofErr w:type="spellStart"/>
      <w:r w:rsidRPr="00D85933">
        <w:rPr>
          <w:rFonts w:ascii="Arial" w:hAnsi="Arial" w:cs="Arial"/>
          <w:color w:val="000000" w:themeColor="text1"/>
          <w:sz w:val="20"/>
        </w:rPr>
        <w:t>Litopenaeus</w:t>
      </w:r>
      <w:proofErr w:type="spellEnd"/>
      <w:r w:rsidRPr="00D85933">
        <w:rPr>
          <w:rFonts w:ascii="Arial" w:hAnsi="Arial" w:cs="Arial"/>
          <w:color w:val="000000" w:themeColor="text1"/>
          <w:sz w:val="20"/>
        </w:rPr>
        <w:t xml:space="preserve"> </w:t>
      </w:r>
      <w:proofErr w:type="spellStart"/>
      <w:r w:rsidRPr="00D85933">
        <w:rPr>
          <w:rFonts w:ascii="Arial" w:hAnsi="Arial" w:cs="Arial"/>
          <w:color w:val="000000" w:themeColor="text1"/>
          <w:sz w:val="20"/>
        </w:rPr>
        <w:t>vannamei</w:t>
      </w:r>
      <w:proofErr w:type="spellEnd"/>
      <w:r w:rsidRPr="00D85933">
        <w:rPr>
          <w:rFonts w:ascii="Arial" w:hAnsi="Arial" w:cs="Arial"/>
          <w:color w:val="000000" w:themeColor="text1"/>
          <w:sz w:val="20"/>
        </w:rPr>
        <w:t xml:space="preserve"> (</w:t>
      </w:r>
      <w:proofErr w:type="spellStart"/>
      <w:r w:rsidRPr="00D85933">
        <w:rPr>
          <w:rFonts w:ascii="Arial" w:hAnsi="Arial" w:cs="Arial"/>
          <w:color w:val="000000" w:themeColor="text1"/>
          <w:sz w:val="20"/>
        </w:rPr>
        <w:t>Biofloc</w:t>
      </w:r>
      <w:proofErr w:type="spellEnd"/>
      <w:r w:rsidRPr="00D85933">
        <w:rPr>
          <w:rFonts w:ascii="Arial" w:hAnsi="Arial" w:cs="Arial"/>
          <w:color w:val="000000" w:themeColor="text1"/>
          <w:sz w:val="20"/>
        </w:rPr>
        <w:t xml:space="preserve"> System) at different stocking densities: Effects on microbial activity, water quality and </w:t>
      </w:r>
      <w:r w:rsidRPr="00D85933">
        <w:rPr>
          <w:rFonts w:ascii="Arial" w:hAnsi="Arial" w:cs="Arial"/>
          <w:color w:val="000000" w:themeColor="text1"/>
          <w:sz w:val="20"/>
        </w:rPr>
        <w:lastRenderedPageBreak/>
        <w:t xml:space="preserve">production rates. </w:t>
      </w:r>
      <w:proofErr w:type="spellStart"/>
      <w:r w:rsidRPr="00D85933">
        <w:rPr>
          <w:rFonts w:ascii="Arial" w:hAnsi="Arial" w:cs="Arial"/>
          <w:color w:val="000000" w:themeColor="text1"/>
          <w:sz w:val="20"/>
        </w:rPr>
        <w:t>Aquacultural</w:t>
      </w:r>
      <w:proofErr w:type="spellEnd"/>
      <w:r w:rsidRPr="00D85933">
        <w:rPr>
          <w:rFonts w:ascii="Arial" w:hAnsi="Arial" w:cs="Arial"/>
          <w:color w:val="000000" w:themeColor="text1"/>
          <w:sz w:val="20"/>
        </w:rPr>
        <w:t xml:space="preserve"> Engineering, 54, 93–103. </w:t>
      </w:r>
      <w:hyperlink r:id="rId31" w:history="1">
        <w:r w:rsidRPr="005D518E">
          <w:rPr>
            <w:rStyle w:val="Hyperlink"/>
            <w:rFonts w:ascii="Arial" w:hAnsi="Arial" w:cs="Arial"/>
            <w:sz w:val="20"/>
          </w:rPr>
          <w:t>https://doi.org/10.1016/j.aquaeng.2012.12.003</w:t>
        </w:r>
      </w:hyperlink>
      <w:r>
        <w:rPr>
          <w:rFonts w:ascii="Arial" w:hAnsi="Arial" w:cs="Arial"/>
          <w:color w:val="000000" w:themeColor="text1"/>
          <w:sz w:val="20"/>
        </w:rPr>
        <w:t xml:space="preserve"> </w:t>
      </w:r>
      <w:r w:rsidR="008354E4" w:rsidRPr="008354E4">
        <w:rPr>
          <w:rFonts w:ascii="Arial" w:hAnsi="Arial" w:cs="Arial"/>
          <w:color w:val="000000" w:themeColor="text1"/>
          <w:sz w:val="20"/>
        </w:rPr>
        <w:t>.</w:t>
      </w:r>
    </w:p>
    <w:p w14:paraId="7E6608EA" w14:textId="5599C6CE" w:rsidR="008354E4" w:rsidRPr="008354E4" w:rsidRDefault="001A0148" w:rsidP="008354E4">
      <w:pPr>
        <w:numPr>
          <w:ilvl w:val="0"/>
          <w:numId w:val="1"/>
        </w:numPr>
        <w:spacing w:after="0" w:line="240" w:lineRule="auto"/>
        <w:contextualSpacing/>
        <w:rPr>
          <w:rFonts w:ascii="Arial" w:hAnsi="Arial" w:cs="Arial"/>
          <w:sz w:val="20"/>
        </w:rPr>
      </w:pPr>
      <w:r w:rsidRPr="001A0148">
        <w:rPr>
          <w:rFonts w:ascii="Arial" w:eastAsia="Georgia" w:hAnsi="Arial" w:cs="Arial"/>
          <w:sz w:val="20"/>
        </w:rPr>
        <w:t xml:space="preserve">Ebeling, J. M., Timmons, M. B., &amp; </w:t>
      </w:r>
      <w:proofErr w:type="spellStart"/>
      <w:r w:rsidRPr="001A0148">
        <w:rPr>
          <w:rFonts w:ascii="Arial" w:eastAsia="Georgia" w:hAnsi="Arial" w:cs="Arial"/>
          <w:sz w:val="20"/>
        </w:rPr>
        <w:t>Bisogni</w:t>
      </w:r>
      <w:proofErr w:type="spellEnd"/>
      <w:r w:rsidRPr="001A0148">
        <w:rPr>
          <w:rFonts w:ascii="Arial" w:eastAsia="Georgia" w:hAnsi="Arial" w:cs="Arial"/>
          <w:sz w:val="20"/>
        </w:rPr>
        <w:t xml:space="preserve">, J. J. (2006). Engineering analysis of the stoichiometry of photoautotrophic, autotrophic, and heterotrophic removal of ammonia–nitrogen in aquaculture systems. Aquaculture, 257(1–4), 346–358. </w:t>
      </w:r>
      <w:hyperlink r:id="rId32" w:history="1">
        <w:r w:rsidRPr="005D518E">
          <w:rPr>
            <w:rStyle w:val="Hyperlink"/>
            <w:rFonts w:ascii="Arial" w:eastAsia="Georgia" w:hAnsi="Arial" w:cs="Arial"/>
            <w:sz w:val="20"/>
          </w:rPr>
          <w:t>https://doi.org/10.1016/j.aquaculture.2006.03.019</w:t>
        </w:r>
      </w:hyperlink>
      <w:r>
        <w:rPr>
          <w:rFonts w:ascii="Arial" w:eastAsia="Georgia" w:hAnsi="Arial" w:cs="Arial"/>
          <w:sz w:val="20"/>
        </w:rPr>
        <w:t xml:space="preserve"> </w:t>
      </w:r>
      <w:r w:rsidR="008354E4" w:rsidRPr="008354E4">
        <w:rPr>
          <w:rFonts w:ascii="Arial" w:eastAsia="Georgia" w:hAnsi="Arial" w:cs="Arial"/>
          <w:sz w:val="20"/>
        </w:rPr>
        <w:t>.</w:t>
      </w:r>
    </w:p>
    <w:p w14:paraId="2B70F1B8" w14:textId="3B416104" w:rsidR="008354E4" w:rsidRPr="008354E4" w:rsidRDefault="003B404B" w:rsidP="008354E4">
      <w:pPr>
        <w:numPr>
          <w:ilvl w:val="0"/>
          <w:numId w:val="1"/>
        </w:numPr>
        <w:autoSpaceDE w:val="0"/>
        <w:autoSpaceDN w:val="0"/>
        <w:adjustRightInd w:val="0"/>
        <w:spacing w:after="0" w:line="240" w:lineRule="auto"/>
        <w:contextualSpacing/>
        <w:jc w:val="both"/>
        <w:rPr>
          <w:rFonts w:ascii="Arial" w:hAnsi="Arial" w:cs="Arial"/>
          <w:color w:val="000000" w:themeColor="text1"/>
          <w:sz w:val="20"/>
        </w:rPr>
      </w:pPr>
      <w:r w:rsidRPr="003B404B">
        <w:rPr>
          <w:rFonts w:ascii="Arial" w:hAnsi="Arial" w:cs="Arial"/>
          <w:color w:val="000000" w:themeColor="text1"/>
          <w:sz w:val="20"/>
        </w:rPr>
        <w:t xml:space="preserve">Crab, R., </w:t>
      </w:r>
      <w:proofErr w:type="spellStart"/>
      <w:r w:rsidRPr="003B404B">
        <w:rPr>
          <w:rFonts w:ascii="Arial" w:hAnsi="Arial" w:cs="Arial"/>
          <w:color w:val="000000" w:themeColor="text1"/>
          <w:sz w:val="20"/>
        </w:rPr>
        <w:t>Defoirdt</w:t>
      </w:r>
      <w:proofErr w:type="spellEnd"/>
      <w:r w:rsidRPr="003B404B">
        <w:rPr>
          <w:rFonts w:ascii="Arial" w:hAnsi="Arial" w:cs="Arial"/>
          <w:color w:val="000000" w:themeColor="text1"/>
          <w:sz w:val="20"/>
        </w:rPr>
        <w:t xml:space="preserve">, T., Bossier, P., &amp; </w:t>
      </w:r>
      <w:proofErr w:type="spellStart"/>
      <w:r w:rsidRPr="003B404B">
        <w:rPr>
          <w:rFonts w:ascii="Arial" w:hAnsi="Arial" w:cs="Arial"/>
          <w:color w:val="000000" w:themeColor="text1"/>
          <w:sz w:val="20"/>
        </w:rPr>
        <w:t>Verstraete</w:t>
      </w:r>
      <w:proofErr w:type="spellEnd"/>
      <w:r w:rsidRPr="003B404B">
        <w:rPr>
          <w:rFonts w:ascii="Arial" w:hAnsi="Arial" w:cs="Arial"/>
          <w:color w:val="000000" w:themeColor="text1"/>
          <w:sz w:val="20"/>
        </w:rPr>
        <w:t xml:space="preserve">, W. (2012). </w:t>
      </w:r>
      <w:proofErr w:type="spellStart"/>
      <w:r w:rsidRPr="003B404B">
        <w:rPr>
          <w:rFonts w:ascii="Arial" w:hAnsi="Arial" w:cs="Arial"/>
          <w:color w:val="000000" w:themeColor="text1"/>
          <w:sz w:val="20"/>
        </w:rPr>
        <w:t>Biofloc</w:t>
      </w:r>
      <w:proofErr w:type="spellEnd"/>
      <w:r w:rsidRPr="003B404B">
        <w:rPr>
          <w:rFonts w:ascii="Arial" w:hAnsi="Arial" w:cs="Arial"/>
          <w:color w:val="000000" w:themeColor="text1"/>
          <w:sz w:val="20"/>
        </w:rPr>
        <w:t xml:space="preserve"> technology in aquaculture: Beneficial effects and future challenges. Aquaculture, 356, 351–356. </w:t>
      </w:r>
      <w:hyperlink r:id="rId33" w:history="1">
        <w:r w:rsidRPr="005D518E">
          <w:rPr>
            <w:rStyle w:val="Hyperlink"/>
            <w:rFonts w:ascii="Arial" w:hAnsi="Arial" w:cs="Arial"/>
            <w:sz w:val="20"/>
          </w:rPr>
          <w:t>https://doi.org/10.1016/j.aquaculture.2012.04.046</w:t>
        </w:r>
      </w:hyperlink>
      <w:r>
        <w:rPr>
          <w:rFonts w:ascii="Arial" w:hAnsi="Arial" w:cs="Arial"/>
          <w:color w:val="000000" w:themeColor="text1"/>
          <w:sz w:val="20"/>
        </w:rPr>
        <w:t xml:space="preserve"> </w:t>
      </w:r>
    </w:p>
    <w:p w14:paraId="26F5EB4C" w14:textId="5A800FFB" w:rsidR="008354E4" w:rsidRPr="008354E4" w:rsidRDefault="003D59F8" w:rsidP="008354E4">
      <w:pPr>
        <w:numPr>
          <w:ilvl w:val="0"/>
          <w:numId w:val="1"/>
        </w:numPr>
        <w:spacing w:after="0" w:line="240" w:lineRule="auto"/>
        <w:contextualSpacing/>
        <w:jc w:val="both"/>
        <w:rPr>
          <w:rFonts w:ascii="Arial" w:eastAsia="Georgia" w:hAnsi="Arial" w:cs="Arial"/>
          <w:sz w:val="20"/>
        </w:rPr>
      </w:pPr>
      <w:r w:rsidRPr="003D59F8">
        <w:rPr>
          <w:rFonts w:ascii="Arial" w:eastAsia="Georgia" w:hAnsi="Arial" w:cs="Arial"/>
          <w:sz w:val="20"/>
        </w:rPr>
        <w:t xml:space="preserve">Azim, M. E., &amp; Asaeda, T. (2005). Periphyton structure, diversity and colonization. In M. E. Azim, M. C. J. </w:t>
      </w:r>
      <w:proofErr w:type="spellStart"/>
      <w:r w:rsidRPr="003D59F8">
        <w:rPr>
          <w:rFonts w:ascii="Arial" w:eastAsia="Georgia" w:hAnsi="Arial" w:cs="Arial"/>
          <w:sz w:val="20"/>
        </w:rPr>
        <w:t>Verdegem</w:t>
      </w:r>
      <w:proofErr w:type="spellEnd"/>
      <w:r w:rsidRPr="003D59F8">
        <w:rPr>
          <w:rFonts w:ascii="Arial" w:eastAsia="Georgia" w:hAnsi="Arial" w:cs="Arial"/>
          <w:sz w:val="20"/>
        </w:rPr>
        <w:t xml:space="preserve">, A. A. van Dam, &amp; M. C. M. Beveridge (Eds.), Periphyton: Ecology, Exploitation and Management (pp. 15–34). CABI Publishing. </w:t>
      </w:r>
      <w:hyperlink r:id="rId34" w:history="1">
        <w:r w:rsidRPr="005D518E">
          <w:rPr>
            <w:rStyle w:val="Hyperlink"/>
            <w:rFonts w:ascii="Arial" w:eastAsia="Georgia" w:hAnsi="Arial" w:cs="Arial"/>
            <w:sz w:val="20"/>
          </w:rPr>
          <w:t>https://doi.org/10.1079/9780851990965.0015</w:t>
        </w:r>
      </w:hyperlink>
      <w:r>
        <w:rPr>
          <w:rFonts w:ascii="Arial" w:eastAsia="Georgia" w:hAnsi="Arial" w:cs="Arial"/>
          <w:sz w:val="20"/>
        </w:rPr>
        <w:t xml:space="preserve"> </w:t>
      </w:r>
      <w:r w:rsidR="008354E4" w:rsidRPr="008354E4">
        <w:rPr>
          <w:rFonts w:ascii="Arial" w:eastAsia="Georgia" w:hAnsi="Arial" w:cs="Arial"/>
          <w:sz w:val="20"/>
        </w:rPr>
        <w:t>.</w:t>
      </w:r>
    </w:p>
    <w:p w14:paraId="43509914" w14:textId="77777777" w:rsidR="008354E4" w:rsidRPr="008354E4" w:rsidRDefault="008354E4" w:rsidP="008354E4">
      <w:pPr>
        <w:numPr>
          <w:ilvl w:val="0"/>
          <w:numId w:val="1"/>
        </w:numPr>
        <w:spacing w:after="0" w:line="240" w:lineRule="auto"/>
        <w:contextualSpacing/>
        <w:jc w:val="both"/>
        <w:rPr>
          <w:rFonts w:ascii="Arial" w:hAnsi="Arial" w:cs="Arial"/>
          <w:sz w:val="20"/>
        </w:rPr>
      </w:pPr>
      <w:r w:rsidRPr="008354E4">
        <w:rPr>
          <w:rFonts w:ascii="Arial" w:hAnsi="Arial" w:cs="Arial"/>
          <w:sz w:val="20"/>
        </w:rPr>
        <w:t xml:space="preserve">Hargreaves, J.A. (2013). Biofloc Production Systems for Aquaculture. Southern Regional Aquaculture </w:t>
      </w:r>
      <w:proofErr w:type="spellStart"/>
      <w:r w:rsidRPr="008354E4">
        <w:rPr>
          <w:rFonts w:ascii="Arial" w:hAnsi="Arial" w:cs="Arial"/>
          <w:sz w:val="20"/>
        </w:rPr>
        <w:t>Center</w:t>
      </w:r>
      <w:proofErr w:type="spellEnd"/>
      <w:r w:rsidRPr="008354E4">
        <w:rPr>
          <w:rFonts w:ascii="Arial" w:hAnsi="Arial" w:cs="Arial"/>
          <w:sz w:val="20"/>
        </w:rPr>
        <w:t>, SRAC Publication No. 4503, Stoneville, Mississippi, USA.</w:t>
      </w:r>
    </w:p>
    <w:p w14:paraId="060D5F46" w14:textId="77777777" w:rsidR="008354E4" w:rsidRPr="008354E4" w:rsidRDefault="008354E4" w:rsidP="008354E4">
      <w:pPr>
        <w:numPr>
          <w:ilvl w:val="0"/>
          <w:numId w:val="1"/>
        </w:numPr>
        <w:spacing w:after="0" w:line="240" w:lineRule="auto"/>
        <w:contextualSpacing/>
        <w:jc w:val="both"/>
        <w:rPr>
          <w:rFonts w:ascii="Arial" w:hAnsi="Arial" w:cs="Arial"/>
          <w:color w:val="000000" w:themeColor="text1"/>
          <w:sz w:val="20"/>
        </w:rPr>
      </w:pPr>
      <w:proofErr w:type="spellStart"/>
      <w:r w:rsidRPr="008354E4">
        <w:rPr>
          <w:rFonts w:ascii="Arial" w:hAnsi="Arial" w:cs="Arial"/>
          <w:sz w:val="20"/>
        </w:rPr>
        <w:t>Avnimelech</w:t>
      </w:r>
      <w:proofErr w:type="spellEnd"/>
      <w:r w:rsidRPr="008354E4">
        <w:rPr>
          <w:rFonts w:ascii="Arial" w:hAnsi="Arial" w:cs="Arial"/>
          <w:sz w:val="20"/>
        </w:rPr>
        <w:t>, Y. (2012). Biofloc technology–A practical guide book (2nd ed., p. 272). Baton Rouge, LA: The World Aquaculture Society.</w:t>
      </w:r>
    </w:p>
    <w:p w14:paraId="4A0CAD16" w14:textId="2DCC8827" w:rsidR="008354E4" w:rsidRPr="008354E4" w:rsidRDefault="00C032F9" w:rsidP="008354E4">
      <w:pPr>
        <w:numPr>
          <w:ilvl w:val="0"/>
          <w:numId w:val="1"/>
        </w:numPr>
        <w:spacing w:after="0" w:line="240" w:lineRule="auto"/>
        <w:contextualSpacing/>
        <w:jc w:val="both"/>
        <w:rPr>
          <w:rFonts w:ascii="Arial" w:hAnsi="Arial" w:cs="Arial"/>
          <w:sz w:val="20"/>
        </w:rPr>
      </w:pPr>
      <w:proofErr w:type="spellStart"/>
      <w:r w:rsidRPr="00C032F9">
        <w:rPr>
          <w:rFonts w:ascii="Arial" w:hAnsi="Arial" w:cs="Arial"/>
          <w:sz w:val="20"/>
        </w:rPr>
        <w:t>Ekasari</w:t>
      </w:r>
      <w:proofErr w:type="spellEnd"/>
      <w:r w:rsidRPr="00C032F9">
        <w:rPr>
          <w:rFonts w:ascii="Arial" w:hAnsi="Arial" w:cs="Arial"/>
          <w:sz w:val="20"/>
        </w:rPr>
        <w:t xml:space="preserve">, J., </w:t>
      </w:r>
      <w:proofErr w:type="spellStart"/>
      <w:r w:rsidRPr="00C032F9">
        <w:rPr>
          <w:rFonts w:ascii="Arial" w:hAnsi="Arial" w:cs="Arial"/>
          <w:sz w:val="20"/>
        </w:rPr>
        <w:t>Azhar</w:t>
      </w:r>
      <w:proofErr w:type="spellEnd"/>
      <w:r w:rsidRPr="00C032F9">
        <w:rPr>
          <w:rFonts w:ascii="Arial" w:hAnsi="Arial" w:cs="Arial"/>
          <w:sz w:val="20"/>
        </w:rPr>
        <w:t xml:space="preserve">, M. H., </w:t>
      </w:r>
      <w:proofErr w:type="spellStart"/>
      <w:r w:rsidRPr="00C032F9">
        <w:rPr>
          <w:rFonts w:ascii="Arial" w:hAnsi="Arial" w:cs="Arial"/>
          <w:sz w:val="20"/>
        </w:rPr>
        <w:t>Surawidjaja</w:t>
      </w:r>
      <w:proofErr w:type="spellEnd"/>
      <w:r w:rsidRPr="00C032F9">
        <w:rPr>
          <w:rFonts w:ascii="Arial" w:hAnsi="Arial" w:cs="Arial"/>
          <w:sz w:val="20"/>
        </w:rPr>
        <w:t xml:space="preserve">, E. H., </w:t>
      </w:r>
      <w:proofErr w:type="spellStart"/>
      <w:r w:rsidRPr="00C032F9">
        <w:rPr>
          <w:rFonts w:ascii="Arial" w:hAnsi="Arial" w:cs="Arial"/>
          <w:sz w:val="20"/>
        </w:rPr>
        <w:t>Nuryati</w:t>
      </w:r>
      <w:proofErr w:type="spellEnd"/>
      <w:r w:rsidRPr="00C032F9">
        <w:rPr>
          <w:rFonts w:ascii="Arial" w:hAnsi="Arial" w:cs="Arial"/>
          <w:sz w:val="20"/>
        </w:rPr>
        <w:t xml:space="preserve">, S., De </w:t>
      </w:r>
      <w:proofErr w:type="spellStart"/>
      <w:r w:rsidRPr="00C032F9">
        <w:rPr>
          <w:rFonts w:ascii="Arial" w:hAnsi="Arial" w:cs="Arial"/>
          <w:sz w:val="20"/>
        </w:rPr>
        <w:t>Schryver</w:t>
      </w:r>
      <w:proofErr w:type="spellEnd"/>
      <w:r w:rsidRPr="00C032F9">
        <w:rPr>
          <w:rFonts w:ascii="Arial" w:hAnsi="Arial" w:cs="Arial"/>
          <w:sz w:val="20"/>
        </w:rPr>
        <w:t xml:space="preserve">, P., &amp; Bossier, P. (2014). Immune response and disease resistance of shrimp fed </w:t>
      </w:r>
      <w:proofErr w:type="spellStart"/>
      <w:r w:rsidRPr="00C032F9">
        <w:rPr>
          <w:rFonts w:ascii="Arial" w:hAnsi="Arial" w:cs="Arial"/>
          <w:sz w:val="20"/>
        </w:rPr>
        <w:t>biofloc</w:t>
      </w:r>
      <w:proofErr w:type="spellEnd"/>
      <w:r w:rsidRPr="00C032F9">
        <w:rPr>
          <w:rFonts w:ascii="Arial" w:hAnsi="Arial" w:cs="Arial"/>
          <w:sz w:val="20"/>
        </w:rPr>
        <w:t xml:space="preserve"> grown on different carbon sources. Fish &amp; Shellfish Immunology, 41(2), 332–339. </w:t>
      </w:r>
      <w:hyperlink r:id="rId35" w:history="1">
        <w:r w:rsidRPr="005D518E">
          <w:rPr>
            <w:rStyle w:val="Hyperlink"/>
            <w:rFonts w:ascii="Arial" w:hAnsi="Arial" w:cs="Arial"/>
            <w:sz w:val="20"/>
          </w:rPr>
          <w:t>https://doi.org/10.1016/j.fsi.2014.09.004</w:t>
        </w:r>
      </w:hyperlink>
      <w:r>
        <w:rPr>
          <w:rFonts w:ascii="Arial" w:hAnsi="Arial" w:cs="Arial"/>
          <w:sz w:val="20"/>
        </w:rPr>
        <w:t xml:space="preserve"> </w:t>
      </w:r>
      <w:r w:rsidR="008354E4" w:rsidRPr="008354E4">
        <w:rPr>
          <w:rFonts w:ascii="Arial" w:hAnsi="Arial" w:cs="Arial"/>
          <w:sz w:val="20"/>
        </w:rPr>
        <w:t>.</w:t>
      </w:r>
    </w:p>
    <w:p w14:paraId="635908B8" w14:textId="0ACC7542" w:rsidR="008354E4" w:rsidRPr="008354E4" w:rsidRDefault="007F715E" w:rsidP="008354E4">
      <w:pPr>
        <w:numPr>
          <w:ilvl w:val="0"/>
          <w:numId w:val="1"/>
        </w:numPr>
        <w:spacing w:after="0" w:line="240" w:lineRule="auto"/>
        <w:contextualSpacing/>
        <w:jc w:val="both"/>
        <w:rPr>
          <w:rFonts w:ascii="Arial" w:hAnsi="Arial" w:cs="Arial"/>
          <w:color w:val="00B050"/>
          <w:sz w:val="20"/>
        </w:rPr>
      </w:pPr>
      <w:r w:rsidRPr="007F715E">
        <w:rPr>
          <w:rFonts w:ascii="Arial" w:eastAsia="Lato-Regular" w:hAnsi="Arial" w:cs="Arial"/>
          <w:sz w:val="20"/>
        </w:rPr>
        <w:t xml:space="preserve">Anand, P. S. S., Kumar, S., </w:t>
      </w:r>
      <w:proofErr w:type="spellStart"/>
      <w:r w:rsidRPr="007F715E">
        <w:rPr>
          <w:rFonts w:ascii="Arial" w:eastAsia="Lato-Regular" w:hAnsi="Arial" w:cs="Arial"/>
          <w:sz w:val="20"/>
        </w:rPr>
        <w:t>Panigrahi</w:t>
      </w:r>
      <w:proofErr w:type="spellEnd"/>
      <w:r w:rsidRPr="007F715E">
        <w:rPr>
          <w:rFonts w:ascii="Arial" w:eastAsia="Lato-Regular" w:hAnsi="Arial" w:cs="Arial"/>
          <w:sz w:val="20"/>
        </w:rPr>
        <w:t xml:space="preserve">, A., Ghoshal, T. K., </w:t>
      </w:r>
      <w:proofErr w:type="spellStart"/>
      <w:r w:rsidRPr="007F715E">
        <w:rPr>
          <w:rFonts w:ascii="Arial" w:eastAsia="Lato-Regular" w:hAnsi="Arial" w:cs="Arial"/>
          <w:sz w:val="20"/>
        </w:rPr>
        <w:t>Dayal</w:t>
      </w:r>
      <w:proofErr w:type="spellEnd"/>
      <w:r w:rsidRPr="007F715E">
        <w:rPr>
          <w:rFonts w:ascii="Arial" w:eastAsia="Lato-Regular" w:hAnsi="Arial" w:cs="Arial"/>
          <w:sz w:val="20"/>
        </w:rPr>
        <w:t xml:space="preserve">, J. S., Biswas, G., </w:t>
      </w:r>
      <w:proofErr w:type="spellStart"/>
      <w:r w:rsidRPr="007F715E">
        <w:rPr>
          <w:rFonts w:ascii="Arial" w:eastAsia="Lato-Regular" w:hAnsi="Arial" w:cs="Arial"/>
          <w:sz w:val="20"/>
        </w:rPr>
        <w:t>Sundaray</w:t>
      </w:r>
      <w:proofErr w:type="spellEnd"/>
      <w:r w:rsidRPr="007F715E">
        <w:rPr>
          <w:rFonts w:ascii="Arial" w:eastAsia="Lato-Regular" w:hAnsi="Arial" w:cs="Arial"/>
          <w:sz w:val="20"/>
        </w:rPr>
        <w:t xml:space="preserve">, J. K., De, D., Raja, R. A., Deo, A. D., Pillai, S. M., &amp; Ravichandran, P. (2013). Effects of C:N ratio and substrate integration on periphyton biomass, microbial dynamics and growth of Penaeus monodon juveniles. Aquaculture International, 21, 511–524. </w:t>
      </w:r>
      <w:hyperlink r:id="rId36" w:history="1">
        <w:r w:rsidRPr="005D518E">
          <w:rPr>
            <w:rStyle w:val="Hyperlink"/>
            <w:rFonts w:ascii="Arial" w:eastAsia="Lato-Regular" w:hAnsi="Arial" w:cs="Arial"/>
            <w:sz w:val="20"/>
          </w:rPr>
          <w:t>https://doi.org/10.1007/s10499-012-9585-6</w:t>
        </w:r>
      </w:hyperlink>
      <w:r>
        <w:rPr>
          <w:rFonts w:ascii="Arial" w:eastAsia="Lato-Regular" w:hAnsi="Arial" w:cs="Arial"/>
          <w:sz w:val="20"/>
        </w:rPr>
        <w:t xml:space="preserve"> </w:t>
      </w:r>
    </w:p>
    <w:p w14:paraId="69B071FA" w14:textId="72045AAD" w:rsidR="008354E4" w:rsidRPr="008354E4" w:rsidRDefault="00CD3A69" w:rsidP="008354E4">
      <w:pPr>
        <w:numPr>
          <w:ilvl w:val="0"/>
          <w:numId w:val="1"/>
        </w:numPr>
        <w:spacing w:after="0" w:line="240" w:lineRule="auto"/>
        <w:contextualSpacing/>
        <w:rPr>
          <w:rFonts w:ascii="Arial" w:eastAsia="Georgia" w:hAnsi="Arial" w:cs="Arial"/>
          <w:sz w:val="20"/>
        </w:rPr>
      </w:pPr>
      <w:proofErr w:type="spellStart"/>
      <w:r w:rsidRPr="00CD3A69">
        <w:rPr>
          <w:rFonts w:ascii="Arial" w:eastAsia="Georgia" w:hAnsi="Arial" w:cs="Arial"/>
          <w:sz w:val="20"/>
        </w:rPr>
        <w:t>Emerenciano</w:t>
      </w:r>
      <w:proofErr w:type="spellEnd"/>
      <w:r w:rsidRPr="00CD3A69">
        <w:rPr>
          <w:rFonts w:ascii="Arial" w:eastAsia="Georgia" w:hAnsi="Arial" w:cs="Arial"/>
          <w:sz w:val="20"/>
        </w:rPr>
        <w:t>, M. G. C., Martínez-</w:t>
      </w:r>
      <w:proofErr w:type="spellStart"/>
      <w:r w:rsidRPr="00CD3A69">
        <w:rPr>
          <w:rFonts w:ascii="Arial" w:eastAsia="Georgia" w:hAnsi="Arial" w:cs="Arial"/>
          <w:sz w:val="20"/>
        </w:rPr>
        <w:t>Córdova</w:t>
      </w:r>
      <w:proofErr w:type="spellEnd"/>
      <w:r w:rsidRPr="00CD3A69">
        <w:rPr>
          <w:rFonts w:ascii="Arial" w:eastAsia="Georgia" w:hAnsi="Arial" w:cs="Arial"/>
          <w:sz w:val="20"/>
        </w:rPr>
        <w:t>, L. R., Martínez-</w:t>
      </w:r>
      <w:proofErr w:type="spellStart"/>
      <w:r w:rsidRPr="00CD3A69">
        <w:rPr>
          <w:rFonts w:ascii="Arial" w:eastAsia="Georgia" w:hAnsi="Arial" w:cs="Arial"/>
          <w:sz w:val="20"/>
        </w:rPr>
        <w:t>Porchas</w:t>
      </w:r>
      <w:proofErr w:type="spellEnd"/>
      <w:r w:rsidRPr="00CD3A69">
        <w:rPr>
          <w:rFonts w:ascii="Arial" w:eastAsia="Georgia" w:hAnsi="Arial" w:cs="Arial"/>
          <w:sz w:val="20"/>
        </w:rPr>
        <w:t>, M., &amp; Miranda-</w:t>
      </w:r>
      <w:proofErr w:type="spellStart"/>
      <w:r w:rsidRPr="00CD3A69">
        <w:rPr>
          <w:rFonts w:ascii="Arial" w:eastAsia="Georgia" w:hAnsi="Arial" w:cs="Arial"/>
          <w:sz w:val="20"/>
        </w:rPr>
        <w:t>Baeza</w:t>
      </w:r>
      <w:proofErr w:type="spellEnd"/>
      <w:r w:rsidRPr="00CD3A69">
        <w:rPr>
          <w:rFonts w:ascii="Arial" w:eastAsia="Georgia" w:hAnsi="Arial" w:cs="Arial"/>
          <w:sz w:val="20"/>
        </w:rPr>
        <w:t xml:space="preserve">, A. (2017). </w:t>
      </w:r>
      <w:proofErr w:type="spellStart"/>
      <w:r w:rsidRPr="00CD3A69">
        <w:rPr>
          <w:rFonts w:ascii="Arial" w:eastAsia="Georgia" w:hAnsi="Arial" w:cs="Arial"/>
          <w:sz w:val="20"/>
        </w:rPr>
        <w:t>Biofloc</w:t>
      </w:r>
      <w:proofErr w:type="spellEnd"/>
      <w:r w:rsidRPr="00CD3A69">
        <w:rPr>
          <w:rFonts w:ascii="Arial" w:eastAsia="Georgia" w:hAnsi="Arial" w:cs="Arial"/>
          <w:sz w:val="20"/>
        </w:rPr>
        <w:t xml:space="preserve"> technology (BFT): A tool for water quality management in aquaculture. In H. Tutu (Ed.), Water Quality (pp. 91–109). </w:t>
      </w:r>
      <w:proofErr w:type="spellStart"/>
      <w:r w:rsidRPr="00CD3A69">
        <w:rPr>
          <w:rFonts w:ascii="Arial" w:eastAsia="Georgia" w:hAnsi="Arial" w:cs="Arial"/>
          <w:sz w:val="20"/>
        </w:rPr>
        <w:t>IntechOpen</w:t>
      </w:r>
      <w:proofErr w:type="spellEnd"/>
      <w:r w:rsidRPr="00CD3A69">
        <w:rPr>
          <w:rFonts w:ascii="Arial" w:eastAsia="Georgia" w:hAnsi="Arial" w:cs="Arial"/>
          <w:sz w:val="20"/>
        </w:rPr>
        <w:t xml:space="preserve">. </w:t>
      </w:r>
      <w:hyperlink r:id="rId37" w:history="1">
        <w:r w:rsidRPr="005D518E">
          <w:rPr>
            <w:rStyle w:val="Hyperlink"/>
            <w:rFonts w:ascii="Arial" w:eastAsia="Georgia" w:hAnsi="Arial" w:cs="Arial"/>
            <w:sz w:val="20"/>
          </w:rPr>
          <w:t>https://doi.org/10.5772/66416</w:t>
        </w:r>
      </w:hyperlink>
      <w:r>
        <w:rPr>
          <w:rFonts w:ascii="Arial" w:eastAsia="Georgia" w:hAnsi="Arial" w:cs="Arial"/>
          <w:sz w:val="20"/>
        </w:rPr>
        <w:t xml:space="preserve"> </w:t>
      </w:r>
      <w:r w:rsidR="008354E4" w:rsidRPr="008354E4">
        <w:rPr>
          <w:rFonts w:ascii="Arial" w:eastAsia="Georgia" w:hAnsi="Arial" w:cs="Arial"/>
          <w:sz w:val="20"/>
        </w:rPr>
        <w:t>.</w:t>
      </w:r>
    </w:p>
    <w:p w14:paraId="31117CAE" w14:textId="14490906" w:rsidR="00432A95" w:rsidRPr="008354E4" w:rsidRDefault="00857B0B" w:rsidP="008354E4">
      <w:pPr>
        <w:numPr>
          <w:ilvl w:val="0"/>
          <w:numId w:val="1"/>
        </w:numPr>
        <w:tabs>
          <w:tab w:val="left" w:pos="90"/>
        </w:tabs>
        <w:autoSpaceDE w:val="0"/>
        <w:autoSpaceDN w:val="0"/>
        <w:adjustRightInd w:val="0"/>
        <w:spacing w:after="0" w:line="240" w:lineRule="auto"/>
        <w:contextualSpacing/>
        <w:jc w:val="both"/>
        <w:rPr>
          <w:rFonts w:ascii="Arial" w:hAnsi="Arial" w:cs="Arial"/>
          <w:color w:val="0563C1" w:themeColor="hyperlink"/>
          <w:sz w:val="20"/>
          <w:u w:val="single"/>
        </w:rPr>
      </w:pPr>
      <w:r w:rsidRPr="00857B0B">
        <w:rPr>
          <w:rFonts w:ascii="Arial" w:eastAsia="Lato-Regular" w:hAnsi="Arial" w:cs="Arial"/>
          <w:color w:val="000000"/>
          <w:sz w:val="20"/>
        </w:rPr>
        <w:t xml:space="preserve">Anand, P. S., Balasubramanian, C., Christina, L., Kumar, S., Biswas, G., De, D., Ghoshal, T., &amp; Vijayan, K. (2019). Substrate based black tiger shrimp, Penaeus monodon culture: Stocking density, aeration and their effect on growth performance, water quality and periphyton development. Aquaculture, 507, 411-418. </w:t>
      </w:r>
      <w:hyperlink r:id="rId38" w:history="1">
        <w:r w:rsidRPr="005D518E">
          <w:rPr>
            <w:rStyle w:val="Hyperlink"/>
            <w:rFonts w:ascii="Arial" w:eastAsia="Lato-Regular" w:hAnsi="Arial" w:cs="Arial"/>
            <w:sz w:val="20"/>
          </w:rPr>
          <w:t>https://doi.org/10.1016/j.aquaculture.2019.04.031</w:t>
        </w:r>
      </w:hyperlink>
      <w:r>
        <w:rPr>
          <w:rFonts w:ascii="Arial" w:eastAsia="Lato-Regular" w:hAnsi="Arial" w:cs="Arial"/>
          <w:color w:val="000000"/>
          <w:sz w:val="20"/>
        </w:rPr>
        <w:t xml:space="preserve"> </w:t>
      </w:r>
    </w:p>
    <w:p w14:paraId="06E8F887" w14:textId="3F950C8C" w:rsidR="008354E4" w:rsidRPr="008354E4" w:rsidRDefault="00B27BB5" w:rsidP="008354E4">
      <w:pPr>
        <w:numPr>
          <w:ilvl w:val="0"/>
          <w:numId w:val="1"/>
        </w:numPr>
        <w:spacing w:after="0" w:line="240" w:lineRule="auto"/>
        <w:contextualSpacing/>
        <w:jc w:val="both"/>
        <w:rPr>
          <w:rFonts w:ascii="Arial" w:hAnsi="Arial" w:cs="Arial"/>
          <w:sz w:val="20"/>
        </w:rPr>
      </w:pPr>
      <w:r w:rsidRPr="00B27BB5">
        <w:rPr>
          <w:rFonts w:ascii="Arial" w:hAnsi="Arial" w:cs="Arial"/>
          <w:sz w:val="20"/>
        </w:rPr>
        <w:t xml:space="preserve">Furtado, P. S., Campos, B. R., Serra, F. P., </w:t>
      </w:r>
      <w:proofErr w:type="spellStart"/>
      <w:r w:rsidRPr="00B27BB5">
        <w:rPr>
          <w:rFonts w:ascii="Arial" w:hAnsi="Arial" w:cs="Arial"/>
          <w:sz w:val="20"/>
        </w:rPr>
        <w:t>Klosterhoff</w:t>
      </w:r>
      <w:proofErr w:type="spellEnd"/>
      <w:r w:rsidRPr="00B27BB5">
        <w:rPr>
          <w:rFonts w:ascii="Arial" w:hAnsi="Arial" w:cs="Arial"/>
          <w:sz w:val="20"/>
        </w:rPr>
        <w:t xml:space="preserve">, M., Romano, L. A., &amp; </w:t>
      </w:r>
      <w:proofErr w:type="spellStart"/>
      <w:r w:rsidRPr="00B27BB5">
        <w:rPr>
          <w:rFonts w:ascii="Arial" w:hAnsi="Arial" w:cs="Arial"/>
          <w:sz w:val="20"/>
        </w:rPr>
        <w:t>Wasielesky</w:t>
      </w:r>
      <w:proofErr w:type="spellEnd"/>
      <w:r w:rsidRPr="00B27BB5">
        <w:rPr>
          <w:rFonts w:ascii="Arial" w:hAnsi="Arial" w:cs="Arial"/>
          <w:sz w:val="20"/>
        </w:rPr>
        <w:t xml:space="preserve">, W. (2015). Effects of nitrate toxicity in the Pacific white shrimp, </w:t>
      </w:r>
      <w:proofErr w:type="spellStart"/>
      <w:r w:rsidRPr="00B27BB5">
        <w:rPr>
          <w:rFonts w:ascii="Arial" w:hAnsi="Arial" w:cs="Arial"/>
          <w:sz w:val="20"/>
        </w:rPr>
        <w:t>Litopenaeus</w:t>
      </w:r>
      <w:proofErr w:type="spellEnd"/>
      <w:r w:rsidRPr="00B27BB5">
        <w:rPr>
          <w:rFonts w:ascii="Arial" w:hAnsi="Arial" w:cs="Arial"/>
          <w:sz w:val="20"/>
        </w:rPr>
        <w:t xml:space="preserve"> </w:t>
      </w:r>
      <w:proofErr w:type="spellStart"/>
      <w:r w:rsidRPr="00B27BB5">
        <w:rPr>
          <w:rFonts w:ascii="Arial" w:hAnsi="Arial" w:cs="Arial"/>
          <w:sz w:val="20"/>
        </w:rPr>
        <w:t>vannamei</w:t>
      </w:r>
      <w:proofErr w:type="spellEnd"/>
      <w:r w:rsidRPr="00B27BB5">
        <w:rPr>
          <w:rFonts w:ascii="Arial" w:hAnsi="Arial" w:cs="Arial"/>
          <w:sz w:val="20"/>
        </w:rPr>
        <w:t xml:space="preserve">, reared with </w:t>
      </w:r>
      <w:proofErr w:type="spellStart"/>
      <w:r w:rsidRPr="00B27BB5">
        <w:rPr>
          <w:rFonts w:ascii="Arial" w:hAnsi="Arial" w:cs="Arial"/>
          <w:sz w:val="20"/>
        </w:rPr>
        <w:t>biofloc</w:t>
      </w:r>
      <w:proofErr w:type="spellEnd"/>
      <w:r w:rsidRPr="00B27BB5">
        <w:rPr>
          <w:rFonts w:ascii="Arial" w:hAnsi="Arial" w:cs="Arial"/>
          <w:sz w:val="20"/>
        </w:rPr>
        <w:t xml:space="preserve"> technology (BFT). Aquaculture International, 23, 315-327. </w:t>
      </w:r>
      <w:hyperlink r:id="rId39" w:history="1">
        <w:r w:rsidRPr="005D518E">
          <w:rPr>
            <w:rStyle w:val="Hyperlink"/>
            <w:rFonts w:ascii="Arial" w:hAnsi="Arial" w:cs="Arial"/>
            <w:sz w:val="20"/>
          </w:rPr>
          <w:t>https://doi.org/10.1007/s10499-014-9817-z</w:t>
        </w:r>
      </w:hyperlink>
      <w:r>
        <w:rPr>
          <w:rFonts w:ascii="Arial" w:hAnsi="Arial" w:cs="Arial"/>
          <w:sz w:val="20"/>
        </w:rPr>
        <w:t xml:space="preserve"> </w:t>
      </w:r>
      <w:r w:rsidR="008354E4" w:rsidRPr="008354E4">
        <w:rPr>
          <w:rFonts w:ascii="Arial" w:hAnsi="Arial" w:cs="Arial"/>
          <w:sz w:val="20"/>
        </w:rPr>
        <w:t>.</w:t>
      </w:r>
    </w:p>
    <w:p w14:paraId="32931A4D" w14:textId="3CB8076B" w:rsidR="008354E4" w:rsidRPr="008354E4" w:rsidRDefault="002D79DC" w:rsidP="008354E4">
      <w:pPr>
        <w:numPr>
          <w:ilvl w:val="0"/>
          <w:numId w:val="1"/>
        </w:numPr>
        <w:tabs>
          <w:tab w:val="left" w:pos="90"/>
        </w:tabs>
        <w:autoSpaceDE w:val="0"/>
        <w:autoSpaceDN w:val="0"/>
        <w:adjustRightInd w:val="0"/>
        <w:spacing w:after="0" w:line="240" w:lineRule="auto"/>
        <w:contextualSpacing/>
        <w:jc w:val="both"/>
        <w:rPr>
          <w:rFonts w:ascii="Arial" w:hAnsi="Arial" w:cs="Arial"/>
          <w:sz w:val="20"/>
        </w:rPr>
      </w:pPr>
      <w:r w:rsidRPr="002D79DC">
        <w:rPr>
          <w:rFonts w:ascii="Arial" w:hAnsi="Arial" w:cs="Arial"/>
          <w:spacing w:val="1"/>
          <w:sz w:val="20"/>
        </w:rPr>
        <w:t xml:space="preserve">Nisar, U., Peng, D., Mu, Y., &amp; Sun, Y. (2022). A solution for sustainable utilization of aquaculture waste: A comprehensive review of </w:t>
      </w:r>
      <w:proofErr w:type="spellStart"/>
      <w:r w:rsidRPr="002D79DC">
        <w:rPr>
          <w:rFonts w:ascii="Arial" w:hAnsi="Arial" w:cs="Arial"/>
          <w:spacing w:val="1"/>
          <w:sz w:val="20"/>
        </w:rPr>
        <w:t>biofloc</w:t>
      </w:r>
      <w:proofErr w:type="spellEnd"/>
      <w:r w:rsidRPr="002D79DC">
        <w:rPr>
          <w:rFonts w:ascii="Arial" w:hAnsi="Arial" w:cs="Arial"/>
          <w:spacing w:val="1"/>
          <w:sz w:val="20"/>
        </w:rPr>
        <w:t xml:space="preserve"> technology and </w:t>
      </w:r>
      <w:proofErr w:type="spellStart"/>
      <w:r w:rsidRPr="002D79DC">
        <w:rPr>
          <w:rFonts w:ascii="Arial" w:hAnsi="Arial" w:cs="Arial"/>
          <w:spacing w:val="1"/>
          <w:sz w:val="20"/>
        </w:rPr>
        <w:t>aquamimicry</w:t>
      </w:r>
      <w:proofErr w:type="spellEnd"/>
      <w:r w:rsidRPr="002D79DC">
        <w:rPr>
          <w:rFonts w:ascii="Arial" w:hAnsi="Arial" w:cs="Arial"/>
          <w:spacing w:val="1"/>
          <w:sz w:val="20"/>
        </w:rPr>
        <w:t xml:space="preserve">. Frontiers in Nutrition, 8, 791738. </w:t>
      </w:r>
      <w:hyperlink r:id="rId40" w:history="1">
        <w:r w:rsidRPr="005D518E">
          <w:rPr>
            <w:rStyle w:val="Hyperlink"/>
            <w:rFonts w:ascii="Arial" w:hAnsi="Arial" w:cs="Arial"/>
            <w:spacing w:val="1"/>
            <w:sz w:val="20"/>
          </w:rPr>
          <w:t>https://doi.org/10.3389/fnut.2021.791738</w:t>
        </w:r>
      </w:hyperlink>
      <w:r>
        <w:rPr>
          <w:rFonts w:ascii="Arial" w:hAnsi="Arial" w:cs="Arial"/>
          <w:spacing w:val="1"/>
          <w:sz w:val="20"/>
        </w:rPr>
        <w:t xml:space="preserve"> </w:t>
      </w:r>
      <w:r w:rsidR="008354E4" w:rsidRPr="008354E4">
        <w:rPr>
          <w:rFonts w:ascii="Arial" w:hAnsi="Arial" w:cs="Arial"/>
          <w:spacing w:val="1"/>
          <w:sz w:val="20"/>
        </w:rPr>
        <w:t>. </w:t>
      </w:r>
      <w:r w:rsidR="008354E4" w:rsidRPr="008354E4">
        <w:rPr>
          <w:rFonts w:ascii="Arial" w:hAnsi="Arial" w:cs="Arial"/>
          <w:sz w:val="20"/>
        </w:rPr>
        <w:t xml:space="preserve"> </w:t>
      </w:r>
    </w:p>
    <w:p w14:paraId="5064CBD8" w14:textId="0FF4C91B" w:rsidR="008354E4" w:rsidRPr="008354E4" w:rsidRDefault="0043515D" w:rsidP="008354E4">
      <w:pPr>
        <w:numPr>
          <w:ilvl w:val="0"/>
          <w:numId w:val="1"/>
        </w:numPr>
        <w:spacing w:after="0" w:line="240" w:lineRule="auto"/>
        <w:contextualSpacing/>
        <w:jc w:val="both"/>
        <w:rPr>
          <w:rFonts w:ascii="Arial" w:hAnsi="Arial" w:cs="Arial"/>
          <w:sz w:val="20"/>
        </w:rPr>
      </w:pPr>
      <w:r w:rsidRPr="0043515D">
        <w:rPr>
          <w:rFonts w:ascii="Arial" w:hAnsi="Arial" w:cs="Arial"/>
          <w:sz w:val="20"/>
        </w:rPr>
        <w:t xml:space="preserve">Said, M. M., Abo-Al-Ela, H. G., El-Barbary, Y. A., Ahmed, O. M., &amp; </w:t>
      </w:r>
      <w:proofErr w:type="spellStart"/>
      <w:r w:rsidRPr="0043515D">
        <w:rPr>
          <w:rFonts w:ascii="Arial" w:hAnsi="Arial" w:cs="Arial"/>
          <w:sz w:val="20"/>
        </w:rPr>
        <w:t>Dighiesh</w:t>
      </w:r>
      <w:proofErr w:type="spellEnd"/>
      <w:r w:rsidRPr="0043515D">
        <w:rPr>
          <w:rFonts w:ascii="Arial" w:hAnsi="Arial" w:cs="Arial"/>
          <w:sz w:val="20"/>
        </w:rPr>
        <w:t>, H. S. (2024). Influence of stocking density on the growth, immune and physiological responses, and cultivation environment of white-leg shrimp (</w:t>
      </w:r>
      <w:proofErr w:type="spellStart"/>
      <w:r w:rsidRPr="0043515D">
        <w:rPr>
          <w:rFonts w:ascii="Arial" w:hAnsi="Arial" w:cs="Arial"/>
          <w:sz w:val="20"/>
        </w:rPr>
        <w:t>Litopenaeus</w:t>
      </w:r>
      <w:proofErr w:type="spellEnd"/>
      <w:r w:rsidRPr="0043515D">
        <w:rPr>
          <w:rFonts w:ascii="Arial" w:hAnsi="Arial" w:cs="Arial"/>
          <w:sz w:val="20"/>
        </w:rPr>
        <w:t xml:space="preserve"> </w:t>
      </w:r>
      <w:proofErr w:type="spellStart"/>
      <w:r w:rsidRPr="0043515D">
        <w:rPr>
          <w:rFonts w:ascii="Arial" w:hAnsi="Arial" w:cs="Arial"/>
          <w:sz w:val="20"/>
        </w:rPr>
        <w:t>vannamei</w:t>
      </w:r>
      <w:proofErr w:type="spellEnd"/>
      <w:r w:rsidRPr="0043515D">
        <w:rPr>
          <w:rFonts w:ascii="Arial" w:hAnsi="Arial" w:cs="Arial"/>
          <w:sz w:val="20"/>
        </w:rPr>
        <w:t xml:space="preserve">) in </w:t>
      </w:r>
      <w:proofErr w:type="spellStart"/>
      <w:r w:rsidRPr="0043515D">
        <w:rPr>
          <w:rFonts w:ascii="Arial" w:hAnsi="Arial" w:cs="Arial"/>
          <w:sz w:val="20"/>
        </w:rPr>
        <w:t>biofloc</w:t>
      </w:r>
      <w:proofErr w:type="spellEnd"/>
      <w:r w:rsidRPr="0043515D">
        <w:rPr>
          <w:rFonts w:ascii="Arial" w:hAnsi="Arial" w:cs="Arial"/>
          <w:sz w:val="20"/>
        </w:rPr>
        <w:t xml:space="preserve"> systems. Scientific Reports, 14(1), 11147. </w:t>
      </w:r>
      <w:hyperlink r:id="rId41" w:history="1">
        <w:r w:rsidRPr="005D518E">
          <w:rPr>
            <w:rStyle w:val="Hyperlink"/>
            <w:rFonts w:ascii="Arial" w:hAnsi="Arial" w:cs="Arial"/>
            <w:sz w:val="20"/>
          </w:rPr>
          <w:t>https://doi.org/10.1038/s41598-024-61328-4</w:t>
        </w:r>
      </w:hyperlink>
      <w:r>
        <w:rPr>
          <w:rFonts w:ascii="Arial" w:hAnsi="Arial" w:cs="Arial"/>
          <w:sz w:val="20"/>
        </w:rPr>
        <w:t xml:space="preserve"> </w:t>
      </w:r>
      <w:r w:rsidR="008354E4" w:rsidRPr="008354E4">
        <w:rPr>
          <w:rFonts w:ascii="Arial" w:hAnsi="Arial" w:cs="Arial"/>
          <w:sz w:val="20"/>
        </w:rPr>
        <w:t>.</w:t>
      </w:r>
    </w:p>
    <w:p w14:paraId="45ED0F6F" w14:textId="2340D94A" w:rsidR="008354E4" w:rsidRPr="008354E4" w:rsidRDefault="000827E8" w:rsidP="008354E4">
      <w:pPr>
        <w:numPr>
          <w:ilvl w:val="0"/>
          <w:numId w:val="1"/>
        </w:numPr>
        <w:spacing w:after="0" w:line="240" w:lineRule="auto"/>
        <w:contextualSpacing/>
        <w:jc w:val="both"/>
        <w:rPr>
          <w:rFonts w:ascii="Arial" w:hAnsi="Arial" w:cs="Arial"/>
          <w:color w:val="000000" w:themeColor="text1"/>
          <w:sz w:val="20"/>
        </w:rPr>
      </w:pPr>
      <w:r w:rsidRPr="000827E8">
        <w:rPr>
          <w:rFonts w:ascii="Arial" w:hAnsi="Arial" w:cs="Arial"/>
          <w:color w:val="000000" w:themeColor="text1"/>
          <w:sz w:val="20"/>
        </w:rPr>
        <w:t>Toi, H. T., Hai, V. H., &amp; Van, N. T. H. (2021). Effects of Carbohydrate and Artificial Substrate Integration on Growth Performance of Mudskipper (</w:t>
      </w:r>
      <w:proofErr w:type="spellStart"/>
      <w:r w:rsidRPr="000827E8">
        <w:rPr>
          <w:rFonts w:ascii="Arial" w:hAnsi="Arial" w:cs="Arial"/>
          <w:color w:val="000000" w:themeColor="text1"/>
          <w:sz w:val="20"/>
        </w:rPr>
        <w:t>Pseudapocryptes</w:t>
      </w:r>
      <w:proofErr w:type="spellEnd"/>
      <w:r w:rsidRPr="000827E8">
        <w:rPr>
          <w:rFonts w:ascii="Arial" w:hAnsi="Arial" w:cs="Arial"/>
          <w:color w:val="000000" w:themeColor="text1"/>
          <w:sz w:val="20"/>
        </w:rPr>
        <w:t xml:space="preserve"> elongatus). Turk. J. </w:t>
      </w:r>
      <w:proofErr w:type="gramStart"/>
      <w:r w:rsidRPr="000827E8">
        <w:rPr>
          <w:rFonts w:ascii="Arial" w:hAnsi="Arial" w:cs="Arial"/>
          <w:color w:val="000000" w:themeColor="text1"/>
          <w:sz w:val="20"/>
        </w:rPr>
        <w:t>Fish.&amp;</w:t>
      </w:r>
      <w:proofErr w:type="gramEnd"/>
      <w:r w:rsidRPr="000827E8">
        <w:rPr>
          <w:rFonts w:ascii="Arial" w:hAnsi="Arial" w:cs="Arial"/>
          <w:color w:val="000000" w:themeColor="text1"/>
          <w:sz w:val="20"/>
        </w:rPr>
        <w:t xml:space="preserve"> </w:t>
      </w:r>
      <w:proofErr w:type="spellStart"/>
      <w:r w:rsidRPr="000827E8">
        <w:rPr>
          <w:rFonts w:ascii="Arial" w:hAnsi="Arial" w:cs="Arial"/>
          <w:color w:val="000000" w:themeColor="text1"/>
          <w:sz w:val="20"/>
        </w:rPr>
        <w:t>Aquat</w:t>
      </w:r>
      <w:proofErr w:type="spellEnd"/>
      <w:r w:rsidRPr="000827E8">
        <w:rPr>
          <w:rFonts w:ascii="Arial" w:hAnsi="Arial" w:cs="Arial"/>
          <w:color w:val="000000" w:themeColor="text1"/>
          <w:sz w:val="20"/>
        </w:rPr>
        <w:t xml:space="preserve">. Sci., 21(8), 375-380. </w:t>
      </w:r>
      <w:hyperlink r:id="rId42" w:history="1">
        <w:r w:rsidRPr="005D518E">
          <w:rPr>
            <w:rStyle w:val="Hyperlink"/>
            <w:rFonts w:ascii="Arial" w:hAnsi="Arial" w:cs="Arial"/>
            <w:sz w:val="20"/>
          </w:rPr>
          <w:t>https://doi.org/10.4194/1303-2712-v21_8_02</w:t>
        </w:r>
      </w:hyperlink>
      <w:r>
        <w:rPr>
          <w:rFonts w:ascii="Arial" w:hAnsi="Arial" w:cs="Arial"/>
          <w:color w:val="000000" w:themeColor="text1"/>
          <w:sz w:val="20"/>
        </w:rPr>
        <w:t xml:space="preserve"> </w:t>
      </w:r>
    </w:p>
    <w:p w14:paraId="3275F9BB" w14:textId="77777777" w:rsidR="008354E4" w:rsidRPr="008354E4" w:rsidRDefault="008354E4" w:rsidP="008354E4">
      <w:pPr>
        <w:numPr>
          <w:ilvl w:val="0"/>
          <w:numId w:val="1"/>
        </w:numPr>
        <w:spacing w:after="0" w:line="240" w:lineRule="auto"/>
        <w:contextualSpacing/>
        <w:jc w:val="both"/>
        <w:rPr>
          <w:rFonts w:ascii="Arial" w:hAnsi="Arial" w:cs="Arial"/>
          <w:sz w:val="20"/>
        </w:rPr>
      </w:pPr>
      <w:r w:rsidRPr="008354E4">
        <w:rPr>
          <w:rFonts w:ascii="Arial" w:hAnsi="Arial" w:cs="Arial"/>
          <w:color w:val="000000"/>
          <w:sz w:val="20"/>
        </w:rPr>
        <w:t>Sawant,</w:t>
      </w:r>
      <w:r w:rsidRPr="008354E4">
        <w:rPr>
          <w:rFonts w:ascii="Arial" w:hAnsi="Arial" w:cs="Arial"/>
          <w:sz w:val="20"/>
        </w:rPr>
        <w:t xml:space="preserve"> </w:t>
      </w:r>
      <w:r w:rsidRPr="008354E4">
        <w:rPr>
          <w:rFonts w:ascii="Arial" w:hAnsi="Arial" w:cs="Arial"/>
          <w:color w:val="000000"/>
          <w:sz w:val="20"/>
        </w:rPr>
        <w:t xml:space="preserve">A. N.,  </w:t>
      </w:r>
      <w:r w:rsidRPr="008354E4">
        <w:rPr>
          <w:rFonts w:ascii="Arial" w:hAnsi="Arial" w:cs="Arial"/>
          <w:sz w:val="20"/>
        </w:rPr>
        <w:t xml:space="preserve"> </w:t>
      </w:r>
      <w:r w:rsidRPr="008354E4">
        <w:rPr>
          <w:rFonts w:ascii="Arial" w:hAnsi="Arial" w:cs="Arial"/>
          <w:color w:val="000000"/>
          <w:sz w:val="20"/>
        </w:rPr>
        <w:t>Naik,</w:t>
      </w:r>
      <w:r w:rsidRPr="008354E4">
        <w:rPr>
          <w:rFonts w:ascii="Arial" w:hAnsi="Arial" w:cs="Arial"/>
          <w:sz w:val="20"/>
        </w:rPr>
        <w:t xml:space="preserve"> </w:t>
      </w:r>
      <w:r w:rsidRPr="008354E4">
        <w:rPr>
          <w:rFonts w:ascii="Arial" w:hAnsi="Arial" w:cs="Arial"/>
          <w:color w:val="000000"/>
          <w:sz w:val="20"/>
        </w:rPr>
        <w:t xml:space="preserve">S. D., Chavan, B.R., </w:t>
      </w:r>
      <w:proofErr w:type="spellStart"/>
      <w:r w:rsidRPr="008354E4">
        <w:rPr>
          <w:rFonts w:ascii="Arial" w:hAnsi="Arial" w:cs="Arial"/>
          <w:color w:val="000000"/>
          <w:sz w:val="20"/>
        </w:rPr>
        <w:t>Meshram</w:t>
      </w:r>
      <w:proofErr w:type="spellEnd"/>
      <w:r w:rsidRPr="008354E4">
        <w:rPr>
          <w:rFonts w:ascii="Arial" w:hAnsi="Arial" w:cs="Arial"/>
          <w:color w:val="000000"/>
          <w:sz w:val="20"/>
        </w:rPr>
        <w:t xml:space="preserve">, S.J., </w:t>
      </w:r>
      <w:proofErr w:type="spellStart"/>
      <w:r w:rsidRPr="008354E4">
        <w:rPr>
          <w:rFonts w:ascii="Arial" w:hAnsi="Arial" w:cs="Arial"/>
          <w:color w:val="000000"/>
          <w:sz w:val="20"/>
        </w:rPr>
        <w:t>Ghode</w:t>
      </w:r>
      <w:proofErr w:type="spellEnd"/>
      <w:r w:rsidRPr="008354E4">
        <w:rPr>
          <w:rFonts w:ascii="Arial" w:hAnsi="Arial" w:cs="Arial"/>
          <w:color w:val="000000"/>
          <w:sz w:val="20"/>
        </w:rPr>
        <w:t xml:space="preserve">, G.S., and Yadav, B. M. (2025). </w:t>
      </w:r>
      <w:r w:rsidRPr="008354E4">
        <w:rPr>
          <w:rFonts w:ascii="Arial" w:eastAsia="Arial Unicode MS" w:hAnsi="Arial" w:cs="Arial"/>
          <w:sz w:val="20"/>
        </w:rPr>
        <w:t xml:space="preserve">The effect of Added Substrates on Growth Performance, Water Quality Dynamics, Proximate Composition of </w:t>
      </w:r>
      <w:proofErr w:type="spellStart"/>
      <w:r w:rsidRPr="008354E4">
        <w:rPr>
          <w:rFonts w:ascii="Arial" w:eastAsia="Arial Unicode MS" w:hAnsi="Arial" w:cs="Arial"/>
          <w:sz w:val="20"/>
        </w:rPr>
        <w:t>Whiteleg</w:t>
      </w:r>
      <w:proofErr w:type="spellEnd"/>
      <w:r w:rsidRPr="008354E4">
        <w:rPr>
          <w:rFonts w:ascii="Arial" w:eastAsia="Arial Unicode MS" w:hAnsi="Arial" w:cs="Arial"/>
          <w:sz w:val="20"/>
        </w:rPr>
        <w:t xml:space="preserve"> Shrimp, </w:t>
      </w:r>
      <w:r w:rsidRPr="008354E4">
        <w:rPr>
          <w:rFonts w:ascii="Arial" w:eastAsia="Arial Unicode MS" w:hAnsi="Arial" w:cs="Arial"/>
          <w:i/>
          <w:iCs/>
          <w:sz w:val="20"/>
        </w:rPr>
        <w:t xml:space="preserve">Penaeus </w:t>
      </w:r>
      <w:proofErr w:type="spellStart"/>
      <w:r w:rsidRPr="008354E4">
        <w:rPr>
          <w:rFonts w:ascii="Arial" w:eastAsia="Arial Unicode MS" w:hAnsi="Arial" w:cs="Arial"/>
          <w:i/>
          <w:iCs/>
          <w:sz w:val="20"/>
        </w:rPr>
        <w:t>Vannamei</w:t>
      </w:r>
      <w:proofErr w:type="spellEnd"/>
      <w:r w:rsidRPr="008354E4">
        <w:rPr>
          <w:rFonts w:ascii="Arial" w:eastAsia="Arial Unicode MS" w:hAnsi="Arial" w:cs="Arial"/>
          <w:sz w:val="20"/>
        </w:rPr>
        <w:t xml:space="preserve"> (Boone, 1931) in Outdoor Biofloc-Based Nursery Rearing System.</w:t>
      </w:r>
      <w:r w:rsidRPr="008354E4">
        <w:rPr>
          <w:rFonts w:ascii="Arial" w:hAnsi="Arial" w:cs="Arial"/>
          <w:sz w:val="20"/>
        </w:rPr>
        <w:t xml:space="preserve"> Journal of Advanced Biology and Biotechnology, vol. 28, no. 6, pp. 1578-1592.</w:t>
      </w:r>
    </w:p>
    <w:p w14:paraId="72FA3DB1" w14:textId="51957C8B" w:rsidR="008354E4" w:rsidRPr="008354E4" w:rsidRDefault="00F173A8" w:rsidP="008354E4">
      <w:pPr>
        <w:numPr>
          <w:ilvl w:val="0"/>
          <w:numId w:val="1"/>
        </w:numPr>
        <w:spacing w:after="0" w:line="240" w:lineRule="auto"/>
        <w:contextualSpacing/>
        <w:jc w:val="both"/>
        <w:rPr>
          <w:rFonts w:ascii="Arial" w:hAnsi="Arial" w:cs="Arial"/>
          <w:spacing w:val="1"/>
          <w:sz w:val="20"/>
        </w:rPr>
      </w:pPr>
      <w:r w:rsidRPr="00F173A8">
        <w:rPr>
          <w:rFonts w:ascii="Arial" w:hAnsi="Arial" w:cs="Arial"/>
          <w:spacing w:val="1"/>
          <w:sz w:val="20"/>
        </w:rPr>
        <w:t>Arias-</w:t>
      </w:r>
      <w:proofErr w:type="spellStart"/>
      <w:r w:rsidRPr="00F173A8">
        <w:rPr>
          <w:rFonts w:ascii="Arial" w:hAnsi="Arial" w:cs="Arial"/>
          <w:spacing w:val="1"/>
          <w:sz w:val="20"/>
        </w:rPr>
        <w:t>Moscoso</w:t>
      </w:r>
      <w:proofErr w:type="spellEnd"/>
      <w:r w:rsidRPr="00F173A8">
        <w:rPr>
          <w:rFonts w:ascii="Arial" w:hAnsi="Arial" w:cs="Arial"/>
          <w:spacing w:val="1"/>
          <w:sz w:val="20"/>
        </w:rPr>
        <w:t>, J. L., Espinoza-</w:t>
      </w:r>
      <w:proofErr w:type="spellStart"/>
      <w:r w:rsidRPr="00F173A8">
        <w:rPr>
          <w:rFonts w:ascii="Arial" w:hAnsi="Arial" w:cs="Arial"/>
          <w:spacing w:val="1"/>
          <w:sz w:val="20"/>
        </w:rPr>
        <w:t>Barrón</w:t>
      </w:r>
      <w:proofErr w:type="spellEnd"/>
      <w:r w:rsidRPr="00F173A8">
        <w:rPr>
          <w:rFonts w:ascii="Arial" w:hAnsi="Arial" w:cs="Arial"/>
          <w:spacing w:val="1"/>
          <w:sz w:val="20"/>
        </w:rPr>
        <w:t>, L. G., Miranda-</w:t>
      </w:r>
      <w:proofErr w:type="spellStart"/>
      <w:r w:rsidRPr="00F173A8">
        <w:rPr>
          <w:rFonts w:ascii="Arial" w:hAnsi="Arial" w:cs="Arial"/>
          <w:spacing w:val="1"/>
          <w:sz w:val="20"/>
        </w:rPr>
        <w:t>Baeza</w:t>
      </w:r>
      <w:proofErr w:type="spellEnd"/>
      <w:r w:rsidRPr="00F173A8">
        <w:rPr>
          <w:rFonts w:ascii="Arial" w:hAnsi="Arial" w:cs="Arial"/>
          <w:spacing w:val="1"/>
          <w:sz w:val="20"/>
        </w:rPr>
        <w:t xml:space="preserve">, A., Rivas-Vega, M. E., &amp; Nieves-Soto, M. (2018). Effect of commercial probiotics addition in a </w:t>
      </w:r>
      <w:proofErr w:type="spellStart"/>
      <w:r w:rsidRPr="00F173A8">
        <w:rPr>
          <w:rFonts w:ascii="Arial" w:hAnsi="Arial" w:cs="Arial"/>
          <w:spacing w:val="1"/>
          <w:sz w:val="20"/>
        </w:rPr>
        <w:t>biofloc</w:t>
      </w:r>
      <w:proofErr w:type="spellEnd"/>
      <w:r w:rsidRPr="00F173A8">
        <w:rPr>
          <w:rFonts w:ascii="Arial" w:hAnsi="Arial" w:cs="Arial"/>
          <w:spacing w:val="1"/>
          <w:sz w:val="20"/>
        </w:rPr>
        <w:t xml:space="preserve"> shrimp farm during the nursery phase in zero water exchange. Aquaculture Reports, 11, 47–52. </w:t>
      </w:r>
      <w:hyperlink r:id="rId43" w:history="1">
        <w:r w:rsidRPr="005D518E">
          <w:rPr>
            <w:rStyle w:val="Hyperlink"/>
            <w:rFonts w:ascii="Arial" w:hAnsi="Arial" w:cs="Arial"/>
            <w:spacing w:val="1"/>
            <w:sz w:val="20"/>
          </w:rPr>
          <w:t>https://doi.org/10.1016/j.aqrep.2018.06.001</w:t>
        </w:r>
      </w:hyperlink>
      <w:r>
        <w:rPr>
          <w:rFonts w:ascii="Arial" w:hAnsi="Arial" w:cs="Arial"/>
          <w:spacing w:val="1"/>
          <w:sz w:val="20"/>
        </w:rPr>
        <w:t xml:space="preserve"> </w:t>
      </w:r>
      <w:r w:rsidR="008354E4" w:rsidRPr="008354E4">
        <w:rPr>
          <w:rFonts w:ascii="Arial" w:hAnsi="Arial" w:cs="Arial"/>
          <w:spacing w:val="1"/>
          <w:sz w:val="20"/>
        </w:rPr>
        <w:t>.</w:t>
      </w:r>
    </w:p>
    <w:p w14:paraId="051DA970" w14:textId="77777777" w:rsidR="008354E4" w:rsidRPr="008354E4" w:rsidRDefault="008354E4" w:rsidP="008354E4">
      <w:pPr>
        <w:numPr>
          <w:ilvl w:val="0"/>
          <w:numId w:val="1"/>
        </w:numPr>
        <w:spacing w:after="0" w:line="240" w:lineRule="auto"/>
        <w:contextualSpacing/>
        <w:jc w:val="both"/>
        <w:rPr>
          <w:rFonts w:ascii="Arial" w:hAnsi="Arial" w:cs="Arial"/>
          <w:spacing w:val="1"/>
          <w:sz w:val="20"/>
        </w:rPr>
      </w:pPr>
      <w:r w:rsidRPr="008354E4">
        <w:rPr>
          <w:rFonts w:ascii="Arial" w:hAnsi="Arial" w:cs="Arial"/>
          <w:spacing w:val="1"/>
          <w:sz w:val="20"/>
        </w:rPr>
        <w:t>Ali, M. F., El</w:t>
      </w:r>
      <w:r w:rsidRPr="008354E4">
        <w:rPr>
          <w:rFonts w:ascii="Arial" w:hAnsi="Arial" w:cs="Arial"/>
          <w:spacing w:val="1"/>
          <w:sz w:val="20"/>
        </w:rPr>
        <w:noBreakHyphen/>
        <w:t>Naggar, G. O., Abdel</w:t>
      </w:r>
      <w:r w:rsidRPr="008354E4">
        <w:rPr>
          <w:rFonts w:ascii="Arial" w:hAnsi="Arial" w:cs="Arial"/>
          <w:spacing w:val="1"/>
          <w:sz w:val="20"/>
        </w:rPr>
        <w:noBreakHyphen/>
        <w:t>Rahman, A. M., &amp; El</w:t>
      </w:r>
      <w:r w:rsidRPr="008354E4">
        <w:rPr>
          <w:rFonts w:ascii="Arial" w:hAnsi="Arial" w:cs="Arial"/>
          <w:spacing w:val="1"/>
          <w:sz w:val="20"/>
        </w:rPr>
        <w:noBreakHyphen/>
      </w:r>
      <w:proofErr w:type="spellStart"/>
      <w:r w:rsidRPr="008354E4">
        <w:rPr>
          <w:rFonts w:ascii="Arial" w:hAnsi="Arial" w:cs="Arial"/>
          <w:spacing w:val="1"/>
          <w:sz w:val="20"/>
        </w:rPr>
        <w:t>Shenawy</w:t>
      </w:r>
      <w:proofErr w:type="spellEnd"/>
      <w:r w:rsidRPr="008354E4">
        <w:rPr>
          <w:rFonts w:ascii="Arial" w:hAnsi="Arial" w:cs="Arial"/>
          <w:spacing w:val="1"/>
          <w:sz w:val="20"/>
        </w:rPr>
        <w:t>, M. M. (2020). The effect of different stocking densities of marine shrimp larvae (Litopenaeus vannamei) on growth, survival and some water quality parameters in a biofloc system. </w:t>
      </w:r>
      <w:r w:rsidR="00432A95" w:rsidRPr="008354E4">
        <w:rPr>
          <w:rFonts w:ascii="Arial" w:hAnsi="Arial" w:cs="Arial"/>
          <w:i/>
          <w:iCs/>
          <w:spacing w:val="1"/>
          <w:sz w:val="20"/>
        </w:rPr>
        <w:t>Egyptian Journal of Aquatic Biology and Fisheries</w:t>
      </w:r>
      <w:r w:rsidRPr="008354E4">
        <w:rPr>
          <w:rFonts w:ascii="Arial" w:hAnsi="Arial" w:cs="Arial"/>
          <w:spacing w:val="1"/>
          <w:sz w:val="20"/>
        </w:rPr>
        <w:t>, 24(6), 611–627.</w:t>
      </w:r>
    </w:p>
    <w:p w14:paraId="5DF9E429" w14:textId="088C9E6F" w:rsidR="008354E4" w:rsidRPr="008354E4" w:rsidRDefault="00981C0D" w:rsidP="008354E4">
      <w:pPr>
        <w:numPr>
          <w:ilvl w:val="0"/>
          <w:numId w:val="1"/>
        </w:numPr>
        <w:spacing w:after="0" w:line="240" w:lineRule="auto"/>
        <w:contextualSpacing/>
        <w:jc w:val="both"/>
        <w:rPr>
          <w:rFonts w:ascii="Arial" w:eastAsia="Georgia" w:hAnsi="Arial" w:cs="Arial"/>
          <w:sz w:val="20"/>
        </w:rPr>
      </w:pPr>
      <w:r w:rsidRPr="00981C0D">
        <w:rPr>
          <w:rFonts w:ascii="Arial" w:eastAsia="Georgia" w:hAnsi="Arial" w:cs="Arial"/>
          <w:sz w:val="20"/>
        </w:rPr>
        <w:lastRenderedPageBreak/>
        <w:t xml:space="preserve">De </w:t>
      </w:r>
      <w:proofErr w:type="spellStart"/>
      <w:r w:rsidRPr="00981C0D">
        <w:rPr>
          <w:rFonts w:ascii="Arial" w:eastAsia="Georgia" w:hAnsi="Arial" w:cs="Arial"/>
          <w:sz w:val="20"/>
        </w:rPr>
        <w:t>Schryver</w:t>
      </w:r>
      <w:proofErr w:type="spellEnd"/>
      <w:r w:rsidRPr="00981C0D">
        <w:rPr>
          <w:rFonts w:ascii="Arial" w:eastAsia="Georgia" w:hAnsi="Arial" w:cs="Arial"/>
          <w:sz w:val="20"/>
        </w:rPr>
        <w:t xml:space="preserve">, P., Crab, R., </w:t>
      </w:r>
      <w:proofErr w:type="spellStart"/>
      <w:r w:rsidRPr="00981C0D">
        <w:rPr>
          <w:rFonts w:ascii="Arial" w:eastAsia="Georgia" w:hAnsi="Arial" w:cs="Arial"/>
          <w:sz w:val="20"/>
        </w:rPr>
        <w:t>Defoirdt</w:t>
      </w:r>
      <w:proofErr w:type="spellEnd"/>
      <w:r w:rsidRPr="00981C0D">
        <w:rPr>
          <w:rFonts w:ascii="Arial" w:eastAsia="Georgia" w:hAnsi="Arial" w:cs="Arial"/>
          <w:sz w:val="20"/>
        </w:rPr>
        <w:t xml:space="preserve">, T., Boon, N., &amp; </w:t>
      </w:r>
      <w:proofErr w:type="spellStart"/>
      <w:r w:rsidRPr="00981C0D">
        <w:rPr>
          <w:rFonts w:ascii="Arial" w:eastAsia="Georgia" w:hAnsi="Arial" w:cs="Arial"/>
          <w:sz w:val="20"/>
        </w:rPr>
        <w:t>Verstraete</w:t>
      </w:r>
      <w:proofErr w:type="spellEnd"/>
      <w:r w:rsidRPr="00981C0D">
        <w:rPr>
          <w:rFonts w:ascii="Arial" w:eastAsia="Georgia" w:hAnsi="Arial" w:cs="Arial"/>
          <w:sz w:val="20"/>
        </w:rPr>
        <w:t xml:space="preserve">, W. (2008). The basics of bio-flocs technology: The added value for aquaculture. Aquaculture, 277, 125–137. </w:t>
      </w:r>
      <w:hyperlink r:id="rId44" w:history="1">
        <w:r w:rsidRPr="005D518E">
          <w:rPr>
            <w:rStyle w:val="Hyperlink"/>
            <w:rFonts w:ascii="Arial" w:eastAsia="Georgia" w:hAnsi="Arial" w:cs="Arial"/>
            <w:sz w:val="20"/>
          </w:rPr>
          <w:t>https://doi.org/10.1016/j.aquaculture.2008.02.019</w:t>
        </w:r>
      </w:hyperlink>
      <w:r>
        <w:rPr>
          <w:rFonts w:ascii="Arial" w:eastAsia="Georgia" w:hAnsi="Arial" w:cs="Arial"/>
          <w:sz w:val="20"/>
        </w:rPr>
        <w:t xml:space="preserve"> </w:t>
      </w:r>
    </w:p>
    <w:p w14:paraId="56B2D4C1" w14:textId="2518A313" w:rsidR="008354E4" w:rsidRPr="008354E4" w:rsidRDefault="001451D3" w:rsidP="008354E4">
      <w:pPr>
        <w:numPr>
          <w:ilvl w:val="0"/>
          <w:numId w:val="1"/>
        </w:numPr>
        <w:spacing w:after="0" w:line="240" w:lineRule="auto"/>
        <w:contextualSpacing/>
        <w:jc w:val="both"/>
        <w:rPr>
          <w:rFonts w:ascii="Arial" w:hAnsi="Arial" w:cs="Arial"/>
          <w:sz w:val="20"/>
        </w:rPr>
      </w:pPr>
      <w:r w:rsidRPr="001451D3">
        <w:rPr>
          <w:rFonts w:ascii="Arial" w:hAnsi="Arial" w:cs="Arial"/>
          <w:sz w:val="20"/>
        </w:rPr>
        <w:t xml:space="preserve">Zhao, P., Huang, J., Wang, X. H., Song, X. L., Yang, C. H., Zhang, X. G., &amp; Wang, G. C. (2012). The application of </w:t>
      </w:r>
      <w:proofErr w:type="spellStart"/>
      <w:r w:rsidRPr="001451D3">
        <w:rPr>
          <w:rFonts w:ascii="Arial" w:hAnsi="Arial" w:cs="Arial"/>
          <w:sz w:val="20"/>
        </w:rPr>
        <w:t>bioflocs</w:t>
      </w:r>
      <w:proofErr w:type="spellEnd"/>
      <w:r w:rsidRPr="001451D3">
        <w:rPr>
          <w:rFonts w:ascii="Arial" w:hAnsi="Arial" w:cs="Arial"/>
          <w:sz w:val="20"/>
        </w:rPr>
        <w:t xml:space="preserve"> technology in high-intensive, zero exchange farming systems of </w:t>
      </w:r>
      <w:proofErr w:type="spellStart"/>
      <w:r w:rsidRPr="001451D3">
        <w:rPr>
          <w:rFonts w:ascii="Arial" w:hAnsi="Arial" w:cs="Arial"/>
          <w:sz w:val="20"/>
        </w:rPr>
        <w:t>Marsupenaeus</w:t>
      </w:r>
      <w:proofErr w:type="spellEnd"/>
      <w:r w:rsidRPr="001451D3">
        <w:rPr>
          <w:rFonts w:ascii="Arial" w:hAnsi="Arial" w:cs="Arial"/>
          <w:sz w:val="20"/>
        </w:rPr>
        <w:t xml:space="preserve"> japonicus. Aquaculture, 354, 97-106. </w:t>
      </w:r>
      <w:hyperlink r:id="rId45" w:history="1">
        <w:r w:rsidRPr="005D518E">
          <w:rPr>
            <w:rStyle w:val="Hyperlink"/>
            <w:rFonts w:ascii="Arial" w:hAnsi="Arial" w:cs="Arial"/>
            <w:sz w:val="20"/>
          </w:rPr>
          <w:t>https://doi.org/10.1016/j.aquaculture.2012.03.034</w:t>
        </w:r>
      </w:hyperlink>
      <w:r>
        <w:rPr>
          <w:rFonts w:ascii="Arial" w:hAnsi="Arial" w:cs="Arial"/>
          <w:sz w:val="20"/>
        </w:rPr>
        <w:t xml:space="preserve"> </w:t>
      </w:r>
      <w:r w:rsidR="008354E4" w:rsidRPr="008354E4">
        <w:rPr>
          <w:rFonts w:ascii="Arial" w:hAnsi="Arial" w:cs="Arial"/>
          <w:sz w:val="20"/>
        </w:rPr>
        <w:t>.</w:t>
      </w:r>
    </w:p>
    <w:p w14:paraId="2598E47B" w14:textId="2F3DE4B5" w:rsidR="008354E4" w:rsidRPr="008354E4" w:rsidRDefault="00166956" w:rsidP="008354E4">
      <w:pPr>
        <w:numPr>
          <w:ilvl w:val="0"/>
          <w:numId w:val="1"/>
        </w:numPr>
        <w:spacing w:after="0" w:line="240" w:lineRule="auto"/>
        <w:contextualSpacing/>
        <w:jc w:val="both"/>
        <w:rPr>
          <w:rFonts w:ascii="Arial" w:hAnsi="Arial" w:cs="Arial"/>
          <w:spacing w:val="1"/>
          <w:sz w:val="20"/>
        </w:rPr>
      </w:pPr>
      <w:r w:rsidRPr="00166956">
        <w:rPr>
          <w:rFonts w:ascii="Arial" w:hAnsi="Arial" w:cs="Arial"/>
          <w:spacing w:val="1"/>
          <w:sz w:val="20"/>
        </w:rPr>
        <w:t xml:space="preserve">Raza, B., Zheng, Z., &amp; Yang, W. (2024). A review on </w:t>
      </w:r>
      <w:proofErr w:type="spellStart"/>
      <w:r w:rsidRPr="00166956">
        <w:rPr>
          <w:rFonts w:ascii="Arial" w:hAnsi="Arial" w:cs="Arial"/>
          <w:spacing w:val="1"/>
          <w:sz w:val="20"/>
        </w:rPr>
        <w:t>biofloc</w:t>
      </w:r>
      <w:proofErr w:type="spellEnd"/>
      <w:r w:rsidRPr="00166956">
        <w:rPr>
          <w:rFonts w:ascii="Arial" w:hAnsi="Arial" w:cs="Arial"/>
          <w:spacing w:val="1"/>
          <w:sz w:val="20"/>
        </w:rPr>
        <w:t xml:space="preserve"> system technology, history, types, and future economical perceptions in aquaculture. Animals, 14(10), 1489. </w:t>
      </w:r>
      <w:hyperlink r:id="rId46" w:history="1">
        <w:r w:rsidRPr="005D518E">
          <w:rPr>
            <w:rStyle w:val="Hyperlink"/>
            <w:rFonts w:ascii="Arial" w:hAnsi="Arial" w:cs="Arial"/>
            <w:spacing w:val="1"/>
            <w:sz w:val="20"/>
          </w:rPr>
          <w:t>https://doi.org/10.3390/ani14101489</w:t>
        </w:r>
      </w:hyperlink>
      <w:r>
        <w:rPr>
          <w:rFonts w:ascii="Arial" w:hAnsi="Arial" w:cs="Arial"/>
          <w:spacing w:val="1"/>
          <w:sz w:val="20"/>
        </w:rPr>
        <w:t xml:space="preserve"> </w:t>
      </w:r>
      <w:r w:rsidR="008354E4" w:rsidRPr="008354E4">
        <w:rPr>
          <w:rFonts w:ascii="Arial" w:hAnsi="Arial" w:cs="Arial"/>
          <w:spacing w:val="1"/>
          <w:sz w:val="20"/>
        </w:rPr>
        <w:t>.</w:t>
      </w:r>
    </w:p>
    <w:p w14:paraId="7581F987" w14:textId="49CF8A71" w:rsidR="008354E4" w:rsidRPr="008354E4" w:rsidRDefault="009E4976" w:rsidP="008354E4">
      <w:pPr>
        <w:numPr>
          <w:ilvl w:val="0"/>
          <w:numId w:val="1"/>
        </w:numPr>
        <w:spacing w:after="0" w:line="240" w:lineRule="auto"/>
        <w:contextualSpacing/>
        <w:jc w:val="both"/>
        <w:rPr>
          <w:rFonts w:ascii="Arial" w:hAnsi="Arial" w:cs="Arial"/>
          <w:color w:val="000000" w:themeColor="text1"/>
          <w:sz w:val="20"/>
        </w:rPr>
      </w:pPr>
      <w:r w:rsidRPr="009E4976">
        <w:rPr>
          <w:rFonts w:ascii="Arial" w:hAnsi="Arial" w:cs="Arial"/>
          <w:color w:val="000000" w:themeColor="text1"/>
          <w:sz w:val="20"/>
        </w:rPr>
        <w:t xml:space="preserve">Xu, W. J., &amp; Pan, L. Q. (2012). Effects of </w:t>
      </w:r>
      <w:proofErr w:type="spellStart"/>
      <w:r w:rsidRPr="009E4976">
        <w:rPr>
          <w:rFonts w:ascii="Arial" w:hAnsi="Arial" w:cs="Arial"/>
          <w:color w:val="000000" w:themeColor="text1"/>
          <w:sz w:val="20"/>
        </w:rPr>
        <w:t>bioflocs</w:t>
      </w:r>
      <w:proofErr w:type="spellEnd"/>
      <w:r w:rsidRPr="009E4976">
        <w:rPr>
          <w:rFonts w:ascii="Arial" w:hAnsi="Arial" w:cs="Arial"/>
          <w:color w:val="000000" w:themeColor="text1"/>
          <w:sz w:val="20"/>
        </w:rPr>
        <w:t xml:space="preserve"> on growth performance, digestive enzyme activity and body composition of juvenile </w:t>
      </w:r>
      <w:proofErr w:type="spellStart"/>
      <w:r w:rsidRPr="009E4976">
        <w:rPr>
          <w:rFonts w:ascii="Arial" w:hAnsi="Arial" w:cs="Arial"/>
          <w:color w:val="000000" w:themeColor="text1"/>
          <w:sz w:val="20"/>
        </w:rPr>
        <w:t>Litopenaeus</w:t>
      </w:r>
      <w:proofErr w:type="spellEnd"/>
      <w:r w:rsidRPr="009E4976">
        <w:rPr>
          <w:rFonts w:ascii="Arial" w:hAnsi="Arial" w:cs="Arial"/>
          <w:color w:val="000000" w:themeColor="text1"/>
          <w:sz w:val="20"/>
        </w:rPr>
        <w:t xml:space="preserve"> </w:t>
      </w:r>
      <w:proofErr w:type="spellStart"/>
      <w:r w:rsidRPr="009E4976">
        <w:rPr>
          <w:rFonts w:ascii="Arial" w:hAnsi="Arial" w:cs="Arial"/>
          <w:color w:val="000000" w:themeColor="text1"/>
          <w:sz w:val="20"/>
        </w:rPr>
        <w:t>vannamei</w:t>
      </w:r>
      <w:proofErr w:type="spellEnd"/>
      <w:r w:rsidRPr="009E4976">
        <w:rPr>
          <w:rFonts w:ascii="Arial" w:hAnsi="Arial" w:cs="Arial"/>
          <w:color w:val="000000" w:themeColor="text1"/>
          <w:sz w:val="20"/>
        </w:rPr>
        <w:t xml:space="preserve"> in zero-water exchange tanks manipulating C/N ratio in feed. Aquaculture, 356-357, 147–152. </w:t>
      </w:r>
      <w:hyperlink r:id="rId47" w:history="1">
        <w:r w:rsidRPr="005D518E">
          <w:rPr>
            <w:rStyle w:val="Hyperlink"/>
            <w:rFonts w:ascii="Arial" w:hAnsi="Arial" w:cs="Arial"/>
            <w:sz w:val="20"/>
          </w:rPr>
          <w:t>https://doi.org/10.1016/j.aquaculture.2012.05.022</w:t>
        </w:r>
      </w:hyperlink>
      <w:r>
        <w:rPr>
          <w:rFonts w:ascii="Arial" w:hAnsi="Arial" w:cs="Arial"/>
          <w:color w:val="000000" w:themeColor="text1"/>
          <w:sz w:val="20"/>
        </w:rPr>
        <w:t xml:space="preserve"> </w:t>
      </w:r>
      <w:r w:rsidR="008354E4" w:rsidRPr="008354E4">
        <w:rPr>
          <w:rFonts w:ascii="Arial" w:hAnsi="Arial" w:cs="Arial"/>
          <w:color w:val="000000" w:themeColor="text1"/>
          <w:sz w:val="20"/>
        </w:rPr>
        <w:t>.</w:t>
      </w:r>
    </w:p>
    <w:p w14:paraId="164EAEC0" w14:textId="78AA4CA4" w:rsidR="008354E4" w:rsidRPr="008354E4" w:rsidRDefault="004A7097" w:rsidP="008354E4">
      <w:pPr>
        <w:numPr>
          <w:ilvl w:val="0"/>
          <w:numId w:val="1"/>
        </w:numPr>
        <w:spacing w:after="0" w:line="240" w:lineRule="auto"/>
        <w:contextualSpacing/>
        <w:jc w:val="both"/>
        <w:rPr>
          <w:rFonts w:ascii="Arial" w:hAnsi="Arial" w:cs="Arial"/>
          <w:color w:val="00B050"/>
          <w:sz w:val="20"/>
        </w:rPr>
      </w:pPr>
      <w:r w:rsidRPr="004A7097">
        <w:rPr>
          <w:rFonts w:ascii="Arial" w:eastAsia="Lato-Regular" w:hAnsi="Arial" w:cs="Arial"/>
          <w:sz w:val="20"/>
        </w:rPr>
        <w:t xml:space="preserve">Anand, P. S. S., Kohli, M. P. S., Kumar, S., </w:t>
      </w:r>
      <w:proofErr w:type="spellStart"/>
      <w:r w:rsidRPr="004A7097">
        <w:rPr>
          <w:rFonts w:ascii="Arial" w:eastAsia="Lato-Regular" w:hAnsi="Arial" w:cs="Arial"/>
          <w:sz w:val="20"/>
        </w:rPr>
        <w:t>Sundaray</w:t>
      </w:r>
      <w:proofErr w:type="spellEnd"/>
      <w:r w:rsidRPr="004A7097">
        <w:rPr>
          <w:rFonts w:ascii="Arial" w:eastAsia="Lato-Regular" w:hAnsi="Arial" w:cs="Arial"/>
          <w:sz w:val="20"/>
        </w:rPr>
        <w:t xml:space="preserve">, J. K., Dam Roy, S., </w:t>
      </w:r>
      <w:proofErr w:type="spellStart"/>
      <w:r w:rsidRPr="004A7097">
        <w:rPr>
          <w:rFonts w:ascii="Arial" w:eastAsia="Lato-Regular" w:hAnsi="Arial" w:cs="Arial"/>
          <w:sz w:val="20"/>
        </w:rPr>
        <w:t>Venkateshwarlu</w:t>
      </w:r>
      <w:proofErr w:type="spellEnd"/>
      <w:r w:rsidRPr="004A7097">
        <w:rPr>
          <w:rFonts w:ascii="Arial" w:eastAsia="Lato-Regular" w:hAnsi="Arial" w:cs="Arial"/>
          <w:sz w:val="20"/>
        </w:rPr>
        <w:t xml:space="preserve">, G., &amp; </w:t>
      </w:r>
      <w:proofErr w:type="spellStart"/>
      <w:r w:rsidRPr="004A7097">
        <w:rPr>
          <w:rFonts w:ascii="Arial" w:eastAsia="Lato-Regular" w:hAnsi="Arial" w:cs="Arial"/>
          <w:sz w:val="20"/>
        </w:rPr>
        <w:t>Pailan</w:t>
      </w:r>
      <w:proofErr w:type="spellEnd"/>
      <w:r w:rsidRPr="004A7097">
        <w:rPr>
          <w:rFonts w:ascii="Arial" w:eastAsia="Lato-Regular" w:hAnsi="Arial" w:cs="Arial"/>
          <w:sz w:val="20"/>
        </w:rPr>
        <w:t xml:space="preserve">, G. H. (2014). Effect of dietary supplementation of </w:t>
      </w:r>
      <w:proofErr w:type="spellStart"/>
      <w:r w:rsidRPr="004A7097">
        <w:rPr>
          <w:rFonts w:ascii="Arial" w:eastAsia="Lato-Regular" w:hAnsi="Arial" w:cs="Arial"/>
          <w:sz w:val="20"/>
        </w:rPr>
        <w:t>biofloc</w:t>
      </w:r>
      <w:proofErr w:type="spellEnd"/>
      <w:r w:rsidRPr="004A7097">
        <w:rPr>
          <w:rFonts w:ascii="Arial" w:eastAsia="Lato-Regular" w:hAnsi="Arial" w:cs="Arial"/>
          <w:sz w:val="20"/>
        </w:rPr>
        <w:t xml:space="preserve"> on growth performance and digestive enzyme activities in Penaeus monodon. Aquaculture, 418, 108–115. </w:t>
      </w:r>
      <w:hyperlink r:id="rId48" w:history="1">
        <w:r w:rsidRPr="005D518E">
          <w:rPr>
            <w:rStyle w:val="Hyperlink"/>
            <w:rFonts w:ascii="Arial" w:eastAsia="Lato-Regular" w:hAnsi="Arial" w:cs="Arial"/>
            <w:sz w:val="20"/>
          </w:rPr>
          <w:t>https://doi.org/10.1016/j.aquaculture.2013.09.051</w:t>
        </w:r>
      </w:hyperlink>
      <w:r>
        <w:rPr>
          <w:rFonts w:ascii="Arial" w:eastAsia="Lato-Regular" w:hAnsi="Arial" w:cs="Arial"/>
          <w:sz w:val="20"/>
        </w:rPr>
        <w:t xml:space="preserve"> </w:t>
      </w:r>
    </w:p>
    <w:p w14:paraId="6392B538" w14:textId="77777777" w:rsidR="008354E4" w:rsidRPr="008354E4" w:rsidRDefault="008354E4" w:rsidP="008354E4">
      <w:pPr>
        <w:spacing w:after="0" w:line="240" w:lineRule="auto"/>
        <w:jc w:val="both"/>
        <w:rPr>
          <w:rFonts w:ascii="Arial" w:hAnsi="Arial" w:cs="Arial"/>
          <w:sz w:val="20"/>
        </w:rPr>
      </w:pPr>
    </w:p>
    <w:p w14:paraId="0E3F0B66" w14:textId="77777777" w:rsidR="008354E4" w:rsidRPr="008354E4" w:rsidRDefault="008354E4" w:rsidP="008354E4">
      <w:pPr>
        <w:spacing w:after="0" w:line="240" w:lineRule="auto"/>
        <w:jc w:val="both"/>
        <w:rPr>
          <w:rFonts w:ascii="Arial" w:hAnsi="Arial" w:cs="Arial"/>
          <w:color w:val="000000" w:themeColor="text1"/>
          <w:sz w:val="20"/>
        </w:rPr>
      </w:pPr>
    </w:p>
    <w:p w14:paraId="23A50AAB" w14:textId="77777777" w:rsidR="008354E4" w:rsidRPr="008354E4" w:rsidRDefault="008354E4" w:rsidP="008354E4">
      <w:pPr>
        <w:spacing w:after="0" w:line="240" w:lineRule="auto"/>
        <w:rPr>
          <w:rFonts w:ascii="Arial" w:hAnsi="Arial" w:cs="Arial"/>
          <w:sz w:val="20"/>
        </w:rPr>
      </w:pPr>
    </w:p>
    <w:p w14:paraId="0D9707F5" w14:textId="77777777" w:rsidR="004F5714" w:rsidRPr="00B6208A" w:rsidRDefault="004F5714" w:rsidP="00B6208A">
      <w:pPr>
        <w:autoSpaceDE w:val="0"/>
        <w:autoSpaceDN w:val="0"/>
        <w:adjustRightInd w:val="0"/>
        <w:spacing w:after="240" w:line="240" w:lineRule="auto"/>
        <w:jc w:val="both"/>
        <w:rPr>
          <w:rFonts w:ascii="Arial" w:hAnsi="Arial" w:cs="Arial"/>
          <w:color w:val="000000"/>
          <w:sz w:val="20"/>
          <w:lang w:eastAsia="en-IN"/>
        </w:rPr>
      </w:pPr>
    </w:p>
    <w:p w14:paraId="76190091" w14:textId="77777777" w:rsidR="00911D3E" w:rsidRPr="00A020B7" w:rsidRDefault="00911D3E" w:rsidP="00B6208A">
      <w:pPr>
        <w:spacing w:after="240" w:line="240" w:lineRule="auto"/>
        <w:jc w:val="both"/>
        <w:rPr>
          <w:rFonts w:ascii="Times New Roman" w:hAnsi="Times New Roman" w:cs="Times New Roman"/>
          <w:color w:val="000000" w:themeColor="text1"/>
          <w:sz w:val="24"/>
          <w:szCs w:val="24"/>
        </w:rPr>
      </w:pPr>
    </w:p>
    <w:sectPr w:rsidR="00911D3E" w:rsidRPr="00A020B7" w:rsidSect="005A1DA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4FD18" w14:textId="77777777" w:rsidR="006462EE" w:rsidRDefault="006462EE" w:rsidP="008019B3">
      <w:pPr>
        <w:spacing w:after="0" w:line="240" w:lineRule="auto"/>
      </w:pPr>
      <w:r>
        <w:separator/>
      </w:r>
    </w:p>
  </w:endnote>
  <w:endnote w:type="continuationSeparator" w:id="0">
    <w:p w14:paraId="464154D4" w14:textId="77777777" w:rsidR="006462EE" w:rsidRDefault="006462EE" w:rsidP="00801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ato-Regular">
    <w:altName w:val="MS Gothic"/>
    <w:panose1 w:val="00000000000000000000"/>
    <w:charset w:val="80"/>
    <w:family w:val="auto"/>
    <w:notTrueType/>
    <w:pitch w:val="default"/>
    <w:sig w:usb0="00000003" w:usb1="08070000" w:usb2="00000010" w:usb3="00000000" w:csb0="0002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55F01" w14:textId="77777777" w:rsidR="00D707DE" w:rsidRDefault="00D70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D1BA7" w14:textId="77777777" w:rsidR="00D707DE" w:rsidRDefault="00D707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49726" w14:textId="77777777" w:rsidR="00D707DE" w:rsidRDefault="00D70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2B63E" w14:textId="77777777" w:rsidR="006462EE" w:rsidRDefault="006462EE" w:rsidP="008019B3">
      <w:pPr>
        <w:spacing w:after="0" w:line="240" w:lineRule="auto"/>
      </w:pPr>
      <w:r>
        <w:separator/>
      </w:r>
    </w:p>
  </w:footnote>
  <w:footnote w:type="continuationSeparator" w:id="0">
    <w:p w14:paraId="09EDAFF8" w14:textId="77777777" w:rsidR="006462EE" w:rsidRDefault="006462EE" w:rsidP="00801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7D9C" w14:textId="552330DA" w:rsidR="00D707DE" w:rsidRDefault="00D707DE">
    <w:pPr>
      <w:pStyle w:val="Header"/>
    </w:pPr>
    <w:r>
      <w:rPr>
        <w:noProof/>
      </w:rPr>
      <w:pict w14:anchorId="7605B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821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D1703" w14:textId="349DCFDC" w:rsidR="00D707DE" w:rsidRDefault="00D707DE">
    <w:pPr>
      <w:pStyle w:val="Header"/>
    </w:pPr>
    <w:r>
      <w:rPr>
        <w:noProof/>
      </w:rPr>
      <w:pict w14:anchorId="1CBDB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821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4CC2" w14:textId="34C0BA19" w:rsidR="00D707DE" w:rsidRDefault="00D707DE">
    <w:pPr>
      <w:pStyle w:val="Header"/>
    </w:pPr>
    <w:r>
      <w:rPr>
        <w:noProof/>
      </w:rPr>
      <w:pict w14:anchorId="4B6D2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821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0137C"/>
    <w:multiLevelType w:val="hybridMultilevel"/>
    <w:tmpl w:val="FE8A9D26"/>
    <w:lvl w:ilvl="0" w:tplc="5B9289C2">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CE0"/>
    <w:rsid w:val="00002CFA"/>
    <w:rsid w:val="000135C3"/>
    <w:rsid w:val="000143DD"/>
    <w:rsid w:val="00020514"/>
    <w:rsid w:val="000252C0"/>
    <w:rsid w:val="00027035"/>
    <w:rsid w:val="00027B0B"/>
    <w:rsid w:val="000309BC"/>
    <w:rsid w:val="00040E90"/>
    <w:rsid w:val="00043B09"/>
    <w:rsid w:val="00053793"/>
    <w:rsid w:val="00057A3D"/>
    <w:rsid w:val="00073F77"/>
    <w:rsid w:val="00076B79"/>
    <w:rsid w:val="00082106"/>
    <w:rsid w:val="000827E8"/>
    <w:rsid w:val="00082CA0"/>
    <w:rsid w:val="000B582F"/>
    <w:rsid w:val="000C43EC"/>
    <w:rsid w:val="000C57CB"/>
    <w:rsid w:val="000D12F1"/>
    <w:rsid w:val="000D1CBA"/>
    <w:rsid w:val="000D7A11"/>
    <w:rsid w:val="000E7FCA"/>
    <w:rsid w:val="00126D7D"/>
    <w:rsid w:val="00127CA7"/>
    <w:rsid w:val="00134A7C"/>
    <w:rsid w:val="001451D3"/>
    <w:rsid w:val="0016653B"/>
    <w:rsid w:val="00166956"/>
    <w:rsid w:val="001733DF"/>
    <w:rsid w:val="00176D00"/>
    <w:rsid w:val="00177150"/>
    <w:rsid w:val="00177BC4"/>
    <w:rsid w:val="001903B9"/>
    <w:rsid w:val="001A0148"/>
    <w:rsid w:val="001A2336"/>
    <w:rsid w:val="001A52C7"/>
    <w:rsid w:val="001A795F"/>
    <w:rsid w:val="001B3FF6"/>
    <w:rsid w:val="001B6E67"/>
    <w:rsid w:val="001C140B"/>
    <w:rsid w:val="001C3697"/>
    <w:rsid w:val="001C5121"/>
    <w:rsid w:val="001D55CB"/>
    <w:rsid w:val="001E6DBB"/>
    <w:rsid w:val="001F2F7F"/>
    <w:rsid w:val="002111F1"/>
    <w:rsid w:val="002376C5"/>
    <w:rsid w:val="0023796F"/>
    <w:rsid w:val="002455D1"/>
    <w:rsid w:val="002519FA"/>
    <w:rsid w:val="002575B6"/>
    <w:rsid w:val="002719E5"/>
    <w:rsid w:val="00291F1C"/>
    <w:rsid w:val="002A3C14"/>
    <w:rsid w:val="002B4DA2"/>
    <w:rsid w:val="002C0345"/>
    <w:rsid w:val="002C3157"/>
    <w:rsid w:val="002C6538"/>
    <w:rsid w:val="002D1EB7"/>
    <w:rsid w:val="002D79DC"/>
    <w:rsid w:val="002F1FF5"/>
    <w:rsid w:val="00306DC7"/>
    <w:rsid w:val="00306EDF"/>
    <w:rsid w:val="00325469"/>
    <w:rsid w:val="00336FBE"/>
    <w:rsid w:val="003433CB"/>
    <w:rsid w:val="003440E1"/>
    <w:rsid w:val="0034676C"/>
    <w:rsid w:val="0036475E"/>
    <w:rsid w:val="00375DB2"/>
    <w:rsid w:val="003A4289"/>
    <w:rsid w:val="003A4A24"/>
    <w:rsid w:val="003B404B"/>
    <w:rsid w:val="003C5B4A"/>
    <w:rsid w:val="003D3DB8"/>
    <w:rsid w:val="003D59F8"/>
    <w:rsid w:val="003F388A"/>
    <w:rsid w:val="0040293E"/>
    <w:rsid w:val="00402DB2"/>
    <w:rsid w:val="0041334D"/>
    <w:rsid w:val="00432A95"/>
    <w:rsid w:val="0043515D"/>
    <w:rsid w:val="004405BF"/>
    <w:rsid w:val="004467C3"/>
    <w:rsid w:val="00466383"/>
    <w:rsid w:val="0047060C"/>
    <w:rsid w:val="0047269D"/>
    <w:rsid w:val="004772E2"/>
    <w:rsid w:val="004A0D5B"/>
    <w:rsid w:val="004A30B7"/>
    <w:rsid w:val="004A3512"/>
    <w:rsid w:val="004A7097"/>
    <w:rsid w:val="004E1743"/>
    <w:rsid w:val="004E1862"/>
    <w:rsid w:val="004E6563"/>
    <w:rsid w:val="004F5714"/>
    <w:rsid w:val="00503FA0"/>
    <w:rsid w:val="0052446A"/>
    <w:rsid w:val="00527931"/>
    <w:rsid w:val="00552CE0"/>
    <w:rsid w:val="00555A83"/>
    <w:rsid w:val="00555E32"/>
    <w:rsid w:val="00557850"/>
    <w:rsid w:val="0056191F"/>
    <w:rsid w:val="005656A6"/>
    <w:rsid w:val="00570146"/>
    <w:rsid w:val="005802F5"/>
    <w:rsid w:val="005A1DAB"/>
    <w:rsid w:val="005B3233"/>
    <w:rsid w:val="005B7431"/>
    <w:rsid w:val="005D2271"/>
    <w:rsid w:val="005D2BB9"/>
    <w:rsid w:val="00621BEF"/>
    <w:rsid w:val="00634F7A"/>
    <w:rsid w:val="00641288"/>
    <w:rsid w:val="006462EE"/>
    <w:rsid w:val="00660EB4"/>
    <w:rsid w:val="00666F54"/>
    <w:rsid w:val="00674451"/>
    <w:rsid w:val="00690A29"/>
    <w:rsid w:val="0069643F"/>
    <w:rsid w:val="006B1A89"/>
    <w:rsid w:val="006C56F2"/>
    <w:rsid w:val="006D3EC8"/>
    <w:rsid w:val="006E7D5C"/>
    <w:rsid w:val="006F3358"/>
    <w:rsid w:val="00702C0B"/>
    <w:rsid w:val="0070604A"/>
    <w:rsid w:val="00710D86"/>
    <w:rsid w:val="00711C4F"/>
    <w:rsid w:val="00736861"/>
    <w:rsid w:val="00751DC7"/>
    <w:rsid w:val="00777631"/>
    <w:rsid w:val="00787DAE"/>
    <w:rsid w:val="007B127D"/>
    <w:rsid w:val="007B5CD7"/>
    <w:rsid w:val="007D0584"/>
    <w:rsid w:val="007D4FA5"/>
    <w:rsid w:val="007E2A56"/>
    <w:rsid w:val="007F715E"/>
    <w:rsid w:val="008019B3"/>
    <w:rsid w:val="0082172B"/>
    <w:rsid w:val="00832FC5"/>
    <w:rsid w:val="008354E4"/>
    <w:rsid w:val="00846933"/>
    <w:rsid w:val="00857B0B"/>
    <w:rsid w:val="00862600"/>
    <w:rsid w:val="008A29AB"/>
    <w:rsid w:val="008A608E"/>
    <w:rsid w:val="008B2FC1"/>
    <w:rsid w:val="008D09A1"/>
    <w:rsid w:val="008D1D65"/>
    <w:rsid w:val="008D58A9"/>
    <w:rsid w:val="008E5F7E"/>
    <w:rsid w:val="008F54DE"/>
    <w:rsid w:val="00911D3E"/>
    <w:rsid w:val="00917942"/>
    <w:rsid w:val="00922046"/>
    <w:rsid w:val="00923C77"/>
    <w:rsid w:val="0093325C"/>
    <w:rsid w:val="00940F27"/>
    <w:rsid w:val="009417A0"/>
    <w:rsid w:val="00953008"/>
    <w:rsid w:val="009543CC"/>
    <w:rsid w:val="00970D00"/>
    <w:rsid w:val="00977C33"/>
    <w:rsid w:val="00981C0D"/>
    <w:rsid w:val="009820D8"/>
    <w:rsid w:val="009A6E35"/>
    <w:rsid w:val="009C1DC6"/>
    <w:rsid w:val="009E4976"/>
    <w:rsid w:val="009F0A08"/>
    <w:rsid w:val="00A00B38"/>
    <w:rsid w:val="00A020B7"/>
    <w:rsid w:val="00A11D42"/>
    <w:rsid w:val="00A238FD"/>
    <w:rsid w:val="00A2777C"/>
    <w:rsid w:val="00A328BD"/>
    <w:rsid w:val="00A33DDA"/>
    <w:rsid w:val="00A347A3"/>
    <w:rsid w:val="00A45925"/>
    <w:rsid w:val="00A5049D"/>
    <w:rsid w:val="00A56D41"/>
    <w:rsid w:val="00A60A6B"/>
    <w:rsid w:val="00A96720"/>
    <w:rsid w:val="00A96C26"/>
    <w:rsid w:val="00AA21D2"/>
    <w:rsid w:val="00AA4CBC"/>
    <w:rsid w:val="00AB2BA1"/>
    <w:rsid w:val="00AB4AD5"/>
    <w:rsid w:val="00AB4D78"/>
    <w:rsid w:val="00AD1694"/>
    <w:rsid w:val="00AD1C10"/>
    <w:rsid w:val="00AE162A"/>
    <w:rsid w:val="00AE3A9F"/>
    <w:rsid w:val="00B17134"/>
    <w:rsid w:val="00B229B9"/>
    <w:rsid w:val="00B27BB5"/>
    <w:rsid w:val="00B27EF9"/>
    <w:rsid w:val="00B31B91"/>
    <w:rsid w:val="00B34C06"/>
    <w:rsid w:val="00B5098C"/>
    <w:rsid w:val="00B565C0"/>
    <w:rsid w:val="00B6208A"/>
    <w:rsid w:val="00B832C6"/>
    <w:rsid w:val="00B8480B"/>
    <w:rsid w:val="00BB246C"/>
    <w:rsid w:val="00BB5129"/>
    <w:rsid w:val="00BB591C"/>
    <w:rsid w:val="00BC5B36"/>
    <w:rsid w:val="00BE5A97"/>
    <w:rsid w:val="00BF2B85"/>
    <w:rsid w:val="00BF7D5E"/>
    <w:rsid w:val="00C00D25"/>
    <w:rsid w:val="00C028CA"/>
    <w:rsid w:val="00C032F9"/>
    <w:rsid w:val="00C10A74"/>
    <w:rsid w:val="00C229FC"/>
    <w:rsid w:val="00C40B13"/>
    <w:rsid w:val="00C47F6F"/>
    <w:rsid w:val="00C57589"/>
    <w:rsid w:val="00C80CE8"/>
    <w:rsid w:val="00C82D16"/>
    <w:rsid w:val="00CB0AE7"/>
    <w:rsid w:val="00CB1752"/>
    <w:rsid w:val="00CB6F87"/>
    <w:rsid w:val="00CC0816"/>
    <w:rsid w:val="00CD3A69"/>
    <w:rsid w:val="00CD617D"/>
    <w:rsid w:val="00D01403"/>
    <w:rsid w:val="00D05AC9"/>
    <w:rsid w:val="00D0785E"/>
    <w:rsid w:val="00D13DFE"/>
    <w:rsid w:val="00D21894"/>
    <w:rsid w:val="00D21CF0"/>
    <w:rsid w:val="00D417DA"/>
    <w:rsid w:val="00D66D5F"/>
    <w:rsid w:val="00D707DE"/>
    <w:rsid w:val="00D85933"/>
    <w:rsid w:val="00D94372"/>
    <w:rsid w:val="00DA57AA"/>
    <w:rsid w:val="00DB312D"/>
    <w:rsid w:val="00DC02C3"/>
    <w:rsid w:val="00DD0E5E"/>
    <w:rsid w:val="00DD7AD9"/>
    <w:rsid w:val="00DF20B8"/>
    <w:rsid w:val="00DF7B2B"/>
    <w:rsid w:val="00E02298"/>
    <w:rsid w:val="00E23CCD"/>
    <w:rsid w:val="00E4508A"/>
    <w:rsid w:val="00E768B2"/>
    <w:rsid w:val="00E943C2"/>
    <w:rsid w:val="00EB037C"/>
    <w:rsid w:val="00EB2901"/>
    <w:rsid w:val="00EB43E9"/>
    <w:rsid w:val="00EC1DD4"/>
    <w:rsid w:val="00ED2EC0"/>
    <w:rsid w:val="00ED526B"/>
    <w:rsid w:val="00ED539D"/>
    <w:rsid w:val="00EF7632"/>
    <w:rsid w:val="00F173A8"/>
    <w:rsid w:val="00F21DAE"/>
    <w:rsid w:val="00F31AE4"/>
    <w:rsid w:val="00F44AE5"/>
    <w:rsid w:val="00F50A52"/>
    <w:rsid w:val="00F515B8"/>
    <w:rsid w:val="00F55543"/>
    <w:rsid w:val="00F564A8"/>
    <w:rsid w:val="00F63C4C"/>
    <w:rsid w:val="00F67F51"/>
    <w:rsid w:val="00F804E2"/>
    <w:rsid w:val="00F82939"/>
    <w:rsid w:val="00F86DCA"/>
    <w:rsid w:val="00F967F7"/>
    <w:rsid w:val="00FA7F40"/>
    <w:rsid w:val="00FE449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6D9A13"/>
  <w15:chartTrackingRefBased/>
  <w15:docId w15:val="{1D9F6BD4-C442-4E8B-A630-9CD7AC7E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46A"/>
    <w:pPr>
      <w:spacing w:after="200" w:line="276" w:lineRule="auto"/>
    </w:pPr>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Head">
    <w:name w:val="Abst Head"/>
    <w:basedOn w:val="Normal"/>
    <w:rsid w:val="0052446A"/>
    <w:pPr>
      <w:keepNext/>
      <w:spacing w:after="240" w:line="240" w:lineRule="auto"/>
    </w:pPr>
    <w:rPr>
      <w:rFonts w:ascii="Helvetica" w:eastAsia="Times New Roman" w:hAnsi="Helvetica" w:cs="Times New Roman"/>
      <w:b/>
      <w:caps/>
      <w:lang w:val="en-US" w:bidi="ar-SA"/>
    </w:rPr>
  </w:style>
  <w:style w:type="paragraph" w:customStyle="1" w:styleId="Author">
    <w:name w:val="Author"/>
    <w:basedOn w:val="Normal"/>
    <w:rsid w:val="0052446A"/>
    <w:pPr>
      <w:spacing w:after="0" w:line="280" w:lineRule="exact"/>
      <w:jc w:val="right"/>
    </w:pPr>
    <w:rPr>
      <w:rFonts w:ascii="Helvetica" w:eastAsia="Times New Roman" w:hAnsi="Helvetica" w:cs="Times New Roman"/>
      <w:b/>
      <w:sz w:val="24"/>
      <w:lang w:val="en-US" w:bidi="ar-SA"/>
    </w:rPr>
  </w:style>
  <w:style w:type="paragraph" w:customStyle="1" w:styleId="Affiliation">
    <w:name w:val="Affiliation"/>
    <w:basedOn w:val="Normal"/>
    <w:rsid w:val="0052446A"/>
    <w:pPr>
      <w:spacing w:after="240" w:line="240" w:lineRule="exact"/>
      <w:jc w:val="right"/>
    </w:pPr>
    <w:rPr>
      <w:rFonts w:ascii="Helvetica" w:eastAsia="Times New Roman" w:hAnsi="Helvetica" w:cs="Times New Roman"/>
      <w:sz w:val="20"/>
      <w:lang w:val="en-US" w:bidi="ar-SA"/>
    </w:rPr>
  </w:style>
  <w:style w:type="paragraph" w:customStyle="1" w:styleId="Body">
    <w:name w:val="Body"/>
    <w:basedOn w:val="Normal"/>
    <w:rsid w:val="0052446A"/>
    <w:pPr>
      <w:spacing w:after="240" w:line="240" w:lineRule="auto"/>
      <w:jc w:val="both"/>
    </w:pPr>
    <w:rPr>
      <w:rFonts w:ascii="Helvetica" w:eastAsia="Times New Roman" w:hAnsi="Helvetica" w:cs="Times New Roman"/>
      <w:sz w:val="20"/>
      <w:lang w:val="en-US" w:bidi="ar-SA"/>
    </w:rPr>
  </w:style>
  <w:style w:type="paragraph" w:customStyle="1" w:styleId="Copyright">
    <w:name w:val="Copyright"/>
    <w:basedOn w:val="Normal"/>
    <w:rsid w:val="0052446A"/>
    <w:pPr>
      <w:spacing w:after="960" w:line="200" w:lineRule="exact"/>
    </w:pPr>
    <w:rPr>
      <w:rFonts w:ascii="Helvetica" w:eastAsia="Times New Roman" w:hAnsi="Helvetica" w:cs="Times New Roman"/>
      <w:sz w:val="16"/>
      <w:lang w:val="en-US" w:bidi="ar-SA"/>
    </w:rPr>
  </w:style>
  <w:style w:type="paragraph" w:customStyle="1" w:styleId="Head1">
    <w:name w:val="Head1"/>
    <w:basedOn w:val="Normal"/>
    <w:rsid w:val="00027B0B"/>
    <w:pPr>
      <w:keepNext/>
      <w:spacing w:after="240" w:line="240" w:lineRule="auto"/>
    </w:pPr>
    <w:rPr>
      <w:rFonts w:ascii="Helvetica" w:eastAsia="Times New Roman" w:hAnsi="Helvetica" w:cs="Times New Roman"/>
      <w:b/>
      <w:caps/>
      <w:lang w:val="en-US" w:bidi="ar-SA"/>
    </w:rPr>
  </w:style>
  <w:style w:type="table" w:styleId="TableGrid">
    <w:name w:val="Table Grid"/>
    <w:basedOn w:val="TableNormal"/>
    <w:uiPriority w:val="59"/>
    <w:rsid w:val="000D1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11D3E"/>
    <w:rPr>
      <w:b/>
      <w:bCs/>
    </w:rPr>
  </w:style>
  <w:style w:type="paragraph" w:customStyle="1" w:styleId="AcknHead">
    <w:name w:val="Ackn Head"/>
    <w:basedOn w:val="Normal"/>
    <w:rsid w:val="008019B3"/>
    <w:pPr>
      <w:keepNext/>
      <w:spacing w:after="240" w:line="240" w:lineRule="auto"/>
    </w:pPr>
    <w:rPr>
      <w:rFonts w:ascii="Helvetica" w:eastAsia="Times New Roman" w:hAnsi="Helvetica" w:cs="Times New Roman"/>
      <w:b/>
      <w:caps/>
      <w:lang w:val="en-US" w:bidi="ar-SA"/>
    </w:rPr>
  </w:style>
  <w:style w:type="paragraph" w:customStyle="1" w:styleId="ReferHead">
    <w:name w:val="Refer Head"/>
    <w:basedOn w:val="Normal"/>
    <w:rsid w:val="008019B3"/>
    <w:pPr>
      <w:keepNext/>
      <w:spacing w:after="240" w:line="240" w:lineRule="auto"/>
    </w:pPr>
    <w:rPr>
      <w:rFonts w:ascii="Helvetica" w:eastAsia="Times New Roman" w:hAnsi="Helvetica" w:cs="Times New Roman"/>
      <w:b/>
      <w:caps/>
      <w:lang w:val="en-US" w:bidi="ar-SA"/>
    </w:rPr>
  </w:style>
  <w:style w:type="paragraph" w:styleId="Header">
    <w:name w:val="header"/>
    <w:basedOn w:val="Normal"/>
    <w:link w:val="HeaderChar"/>
    <w:uiPriority w:val="99"/>
    <w:unhideWhenUsed/>
    <w:rsid w:val="008019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B3"/>
    <w:rPr>
      <w:rFonts w:ascii="Calibri" w:eastAsia="Calibri" w:hAnsi="Calibri" w:cs="Mangal"/>
    </w:rPr>
  </w:style>
  <w:style w:type="paragraph" w:styleId="Footer">
    <w:name w:val="footer"/>
    <w:basedOn w:val="Normal"/>
    <w:link w:val="FooterChar"/>
    <w:uiPriority w:val="99"/>
    <w:unhideWhenUsed/>
    <w:rsid w:val="008019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B3"/>
    <w:rPr>
      <w:rFonts w:ascii="Calibri" w:eastAsia="Calibri" w:hAnsi="Calibri" w:cs="Mangal"/>
    </w:rPr>
  </w:style>
  <w:style w:type="paragraph" w:styleId="BalloonText">
    <w:name w:val="Balloon Text"/>
    <w:basedOn w:val="Normal"/>
    <w:link w:val="BalloonTextChar"/>
    <w:uiPriority w:val="99"/>
    <w:semiHidden/>
    <w:unhideWhenUsed/>
    <w:rsid w:val="00082CA0"/>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082CA0"/>
    <w:rPr>
      <w:rFonts w:ascii="Segoe UI" w:eastAsia="Calibri" w:hAnsi="Segoe UI" w:cs="Segoe UI"/>
      <w:sz w:val="18"/>
      <w:szCs w:val="16"/>
    </w:rPr>
  </w:style>
  <w:style w:type="character" w:styleId="Hyperlink">
    <w:name w:val="Hyperlink"/>
    <w:basedOn w:val="DefaultParagraphFont"/>
    <w:uiPriority w:val="99"/>
    <w:unhideWhenUsed/>
    <w:rsid w:val="008D1D65"/>
    <w:rPr>
      <w:color w:val="0563C1" w:themeColor="hyperlink"/>
      <w:u w:val="single"/>
    </w:rPr>
  </w:style>
  <w:style w:type="character" w:styleId="UnresolvedMention">
    <w:name w:val="Unresolved Mention"/>
    <w:basedOn w:val="DefaultParagraphFont"/>
    <w:uiPriority w:val="99"/>
    <w:semiHidden/>
    <w:unhideWhenUsed/>
    <w:rsid w:val="008D1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aquaculture.2006.04.030" TargetMode="External"/><Relationship Id="rId26" Type="http://schemas.openxmlformats.org/officeDocument/2006/relationships/hyperlink" Target="https://doi.org/10.1016/0044-8486(90)90270-W" TargetMode="External"/><Relationship Id="rId39" Type="http://schemas.openxmlformats.org/officeDocument/2006/relationships/hyperlink" Target="https://doi.org/10.1007/s10499-014-9817-z" TargetMode="External"/><Relationship Id="rId21" Type="http://schemas.openxmlformats.org/officeDocument/2006/relationships/hyperlink" Target="https://doi.org/10.1111/j.1365-2095.2009.00648.x" TargetMode="External"/><Relationship Id="rId34" Type="http://schemas.openxmlformats.org/officeDocument/2006/relationships/hyperlink" Target="https://doi.org/10.1079/9780851990965.0015" TargetMode="External"/><Relationship Id="rId42" Type="http://schemas.openxmlformats.org/officeDocument/2006/relationships/hyperlink" Target="https://doi.org/10.4194/1303-2712-v21_8_02" TargetMode="External"/><Relationship Id="rId47" Type="http://schemas.openxmlformats.org/officeDocument/2006/relationships/hyperlink" Target="https://doi.org/10.1016/j.aquaculture.2012.05.022"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j.1749-7345.2004.tb00121.x" TargetMode="External"/><Relationship Id="rId29" Type="http://schemas.openxmlformats.org/officeDocument/2006/relationships/hyperlink" Target="https://doi.org/10.5772/66416" TargetMode="External"/><Relationship Id="rId11" Type="http://schemas.openxmlformats.org/officeDocument/2006/relationships/footer" Target="footer2.xml"/><Relationship Id="rId24" Type="http://schemas.openxmlformats.org/officeDocument/2006/relationships/hyperlink" Target="https://doi.org/10.1016/j.aquaculture.2005.02.026" TargetMode="External"/><Relationship Id="rId32" Type="http://schemas.openxmlformats.org/officeDocument/2006/relationships/hyperlink" Target="https://doi.org/10.1016/j.aquaculture.2006.03.019" TargetMode="External"/><Relationship Id="rId37" Type="http://schemas.openxmlformats.org/officeDocument/2006/relationships/hyperlink" Target="https://doi.org/10.5772/66416" TargetMode="External"/><Relationship Id="rId40" Type="http://schemas.openxmlformats.org/officeDocument/2006/relationships/hyperlink" Target="https://doi.org/10.3389/fnut.2021.791738" TargetMode="External"/><Relationship Id="rId45" Type="http://schemas.openxmlformats.org/officeDocument/2006/relationships/hyperlink" Target="https://doi.org/10.1016/j.aquaculture.2012.03.034"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111/are.14256" TargetMode="External"/><Relationship Id="rId28" Type="http://schemas.openxmlformats.org/officeDocument/2006/relationships/hyperlink" Target="https://www.globalseafood.org/advocate/effluent-composition-and-water-quality-standards/" TargetMode="External"/><Relationship Id="rId36" Type="http://schemas.openxmlformats.org/officeDocument/2006/relationships/hyperlink" Target="https://doi.org/10.1007/s10499-012-9585-6"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16/j.aquaeng.2024.102434" TargetMode="External"/><Relationship Id="rId31" Type="http://schemas.openxmlformats.org/officeDocument/2006/relationships/hyperlink" Target="https://doi.org/10.1016/j.aquaeng.2012.12.003" TargetMode="External"/><Relationship Id="rId44" Type="http://schemas.openxmlformats.org/officeDocument/2006/relationships/hyperlink" Target="https://doi.org/10.1016/j.aquaculture.2008.02.01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02/9781118250105.ch12" TargetMode="External"/><Relationship Id="rId27" Type="http://schemas.openxmlformats.org/officeDocument/2006/relationships/hyperlink" Target="https://www.standardmethods.org/" TargetMode="External"/><Relationship Id="rId30" Type="http://schemas.openxmlformats.org/officeDocument/2006/relationships/hyperlink" Target="https://doi.org/10.1007/978-1-4615-5407-3" TargetMode="External"/><Relationship Id="rId35" Type="http://schemas.openxmlformats.org/officeDocument/2006/relationships/hyperlink" Target="https://doi.org/10.1016/j.fsi.2014.09.004" TargetMode="External"/><Relationship Id="rId43" Type="http://schemas.openxmlformats.org/officeDocument/2006/relationships/hyperlink" Target="https://doi.org/10.1016/j.aqrep.2018.06.001" TargetMode="External"/><Relationship Id="rId48" Type="http://schemas.openxmlformats.org/officeDocument/2006/relationships/hyperlink" Target="https://doi.org/10.1016/j.aquaculture.2013.09.051"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aquaculture.2009.03.049" TargetMode="External"/><Relationship Id="rId25" Type="http://schemas.openxmlformats.org/officeDocument/2006/relationships/hyperlink" Target="https://doi.org/10.1016/j.aquaculture.2006.07.036" TargetMode="External"/><Relationship Id="rId33" Type="http://schemas.openxmlformats.org/officeDocument/2006/relationships/hyperlink" Target="https://doi.org/10.1016/j.aquaculture.2012.04.046" TargetMode="External"/><Relationship Id="rId38" Type="http://schemas.openxmlformats.org/officeDocument/2006/relationships/hyperlink" Target="https://doi.org/10.1016/j.aquaculture.2019.04.031" TargetMode="External"/><Relationship Id="rId46" Type="http://schemas.openxmlformats.org/officeDocument/2006/relationships/hyperlink" Target="https://doi.org/10.3390/ani14101489" TargetMode="External"/><Relationship Id="rId20" Type="http://schemas.openxmlformats.org/officeDocument/2006/relationships/hyperlink" Target="https://doi.org/10.1111/raq.12494" TargetMode="External"/><Relationship Id="rId41" Type="http://schemas.openxmlformats.org/officeDocument/2006/relationships/hyperlink" Target="https://doi.org/10.1038/s41598-024-61328-4"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file:///F:\Research%20work\Data%20analysis\Expt.%20II%20Data%20analysis\Microbes%20Expt%20I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TBC!$B$28</c:f>
              <c:strCache>
                <c:ptCount val="1"/>
                <c:pt idx="0">
                  <c:v>BT</c:v>
                </c:pt>
              </c:strCache>
            </c:strRef>
          </c:tx>
          <c:spPr>
            <a:solidFill>
              <a:srgbClr val="0070C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TBC!$A$29:$A$32</c:f>
              <c:numCache>
                <c:formatCode>General</c:formatCode>
                <c:ptCount val="4"/>
                <c:pt idx="0">
                  <c:v>2000</c:v>
                </c:pt>
                <c:pt idx="1">
                  <c:v>4000</c:v>
                </c:pt>
                <c:pt idx="2">
                  <c:v>6000</c:v>
                </c:pt>
                <c:pt idx="3">
                  <c:v>8000</c:v>
                </c:pt>
              </c:numCache>
            </c:numRef>
          </c:cat>
          <c:val>
            <c:numRef>
              <c:f>TBC!$B$29:$B$32</c:f>
              <c:numCache>
                <c:formatCode>0.00</c:formatCode>
                <c:ptCount val="4"/>
                <c:pt idx="0">
                  <c:v>88975.555555555547</c:v>
                </c:pt>
                <c:pt idx="1">
                  <c:v>130823.88888888889</c:v>
                </c:pt>
                <c:pt idx="2">
                  <c:v>144473.33333333334</c:v>
                </c:pt>
                <c:pt idx="3">
                  <c:v>153059.44444444447</c:v>
                </c:pt>
              </c:numCache>
            </c:numRef>
          </c:val>
          <c:extLst>
            <c:ext xmlns:c16="http://schemas.microsoft.com/office/drawing/2014/chart" uri="{C3380CC4-5D6E-409C-BE32-E72D297353CC}">
              <c16:uniqueId val="{00000000-4E07-451A-99F6-6E4300428ECB}"/>
            </c:ext>
          </c:extLst>
        </c:ser>
        <c:ser>
          <c:idx val="1"/>
          <c:order val="1"/>
          <c:tx>
            <c:strRef>
              <c:f>TBC!$C$28</c:f>
              <c:strCache>
                <c:ptCount val="1"/>
                <c:pt idx="0">
                  <c:v>BST</c:v>
                </c:pt>
              </c:strCache>
            </c:strRef>
          </c:tx>
          <c:spPr>
            <a:solidFill>
              <a:srgbClr val="92D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TBC!$A$29:$A$32</c:f>
              <c:numCache>
                <c:formatCode>General</c:formatCode>
                <c:ptCount val="4"/>
                <c:pt idx="0">
                  <c:v>2000</c:v>
                </c:pt>
                <c:pt idx="1">
                  <c:v>4000</c:v>
                </c:pt>
                <c:pt idx="2">
                  <c:v>6000</c:v>
                </c:pt>
                <c:pt idx="3">
                  <c:v>8000</c:v>
                </c:pt>
              </c:numCache>
            </c:numRef>
          </c:cat>
          <c:val>
            <c:numRef>
              <c:f>TBC!$C$29:$C$32</c:f>
              <c:numCache>
                <c:formatCode>0.00</c:formatCode>
                <c:ptCount val="4"/>
                <c:pt idx="0">
                  <c:v>164133.33333333334</c:v>
                </c:pt>
                <c:pt idx="1">
                  <c:v>165192.77777777778</c:v>
                </c:pt>
                <c:pt idx="2">
                  <c:v>222088.88888888888</c:v>
                </c:pt>
                <c:pt idx="3">
                  <c:v>225977.77777777775</c:v>
                </c:pt>
              </c:numCache>
            </c:numRef>
          </c:val>
          <c:extLst>
            <c:ext xmlns:c16="http://schemas.microsoft.com/office/drawing/2014/chart" uri="{C3380CC4-5D6E-409C-BE32-E72D297353CC}">
              <c16:uniqueId val="{00000001-4E07-451A-99F6-6E4300428ECB}"/>
            </c:ext>
          </c:extLst>
        </c:ser>
        <c:dLbls>
          <c:showLegendKey val="0"/>
          <c:showVal val="0"/>
          <c:showCatName val="0"/>
          <c:showSerName val="0"/>
          <c:showPercent val="0"/>
          <c:showBubbleSize val="0"/>
        </c:dLbls>
        <c:gapWidth val="150"/>
        <c:shape val="box"/>
        <c:axId val="536793792"/>
        <c:axId val="536800064"/>
        <c:axId val="0"/>
      </c:bar3DChart>
      <c:catAx>
        <c:axId val="53679379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IN">
                    <a:solidFill>
                      <a:sysClr val="windowText" lastClr="000000"/>
                    </a:solidFill>
                  </a:rPr>
                  <a:t>Stocking density (PL</a:t>
                </a:r>
                <a:r>
                  <a:rPr lang="en-IN" baseline="0">
                    <a:solidFill>
                      <a:sysClr val="windowText" lastClr="000000"/>
                    </a:solidFill>
                  </a:rPr>
                  <a:t> L</a:t>
                </a:r>
                <a:r>
                  <a:rPr lang="en-IN" baseline="30000">
                    <a:solidFill>
                      <a:sysClr val="windowText" lastClr="000000"/>
                    </a:solidFill>
                  </a:rPr>
                  <a:t>-1</a:t>
                </a:r>
                <a:r>
                  <a:rPr lang="en-IN" baseline="0">
                    <a:solidFill>
                      <a:sysClr val="windowText" lastClr="000000"/>
                    </a:solidFill>
                  </a:rPr>
                  <a:t>)</a:t>
                </a:r>
                <a:endParaRPr lang="en-IN">
                  <a:solidFill>
                    <a:sysClr val="windowText" lastClr="000000"/>
                  </a:solidFill>
                </a:endParaRP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6800064"/>
        <c:crosses val="autoZero"/>
        <c:auto val="1"/>
        <c:lblAlgn val="ctr"/>
        <c:lblOffset val="100"/>
        <c:noMultiLvlLbl val="0"/>
      </c:catAx>
      <c:valAx>
        <c:axId val="536800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IN">
                    <a:solidFill>
                      <a:sysClr val="windowText" lastClr="000000"/>
                    </a:solidFill>
                  </a:rPr>
                  <a:t>Total</a:t>
                </a:r>
                <a:r>
                  <a:rPr lang="en-IN" baseline="0">
                    <a:solidFill>
                      <a:sysClr val="windowText" lastClr="000000"/>
                    </a:solidFill>
                  </a:rPr>
                  <a:t> bacterial count (CFU ml</a:t>
                </a:r>
                <a:r>
                  <a:rPr lang="en-IN" baseline="30000">
                    <a:solidFill>
                      <a:sysClr val="windowText" lastClr="000000"/>
                    </a:solidFill>
                  </a:rPr>
                  <a:t>-1</a:t>
                </a:r>
                <a:r>
                  <a:rPr lang="en-IN" baseline="0">
                    <a:solidFill>
                      <a:sysClr val="windowText" lastClr="000000"/>
                    </a:solidFill>
                  </a:rPr>
                  <a:t>) </a:t>
                </a:r>
                <a:endParaRPr lang="en-IN">
                  <a:solidFill>
                    <a:sysClr val="windowText" lastClr="000000"/>
                  </a:solidFill>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679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1587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Bacillus!$C$28</c:f>
              <c:strCache>
                <c:ptCount val="1"/>
                <c:pt idx="0">
                  <c:v>BT</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Bacillus!$B$29:$B$32</c:f>
              <c:numCache>
                <c:formatCode>General</c:formatCode>
                <c:ptCount val="4"/>
                <c:pt idx="0">
                  <c:v>2000</c:v>
                </c:pt>
                <c:pt idx="1">
                  <c:v>4000</c:v>
                </c:pt>
                <c:pt idx="2">
                  <c:v>6000</c:v>
                </c:pt>
                <c:pt idx="3">
                  <c:v>8000</c:v>
                </c:pt>
              </c:numCache>
            </c:numRef>
          </c:cat>
          <c:val>
            <c:numRef>
              <c:f>Bacillus!$C$29:$C$32</c:f>
              <c:numCache>
                <c:formatCode>0.00</c:formatCode>
                <c:ptCount val="4"/>
                <c:pt idx="0">
                  <c:v>3679.4444444444448</c:v>
                </c:pt>
                <c:pt idx="1">
                  <c:v>3457</c:v>
                </c:pt>
                <c:pt idx="2">
                  <c:v>3433.8888888888891</c:v>
                </c:pt>
                <c:pt idx="3">
                  <c:v>2754.5555555555552</c:v>
                </c:pt>
              </c:numCache>
            </c:numRef>
          </c:val>
          <c:extLst>
            <c:ext xmlns:c16="http://schemas.microsoft.com/office/drawing/2014/chart" uri="{C3380CC4-5D6E-409C-BE32-E72D297353CC}">
              <c16:uniqueId val="{00000000-BF24-43F3-AA9F-89FD10604B5B}"/>
            </c:ext>
          </c:extLst>
        </c:ser>
        <c:ser>
          <c:idx val="1"/>
          <c:order val="1"/>
          <c:tx>
            <c:strRef>
              <c:f>Bacillus!$D$28</c:f>
              <c:strCache>
                <c:ptCount val="1"/>
                <c:pt idx="0">
                  <c:v>BST</c:v>
                </c:pt>
              </c:strCache>
            </c:strRef>
          </c:tx>
          <c:spPr>
            <a:solidFill>
              <a:srgbClr val="92D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Bacillus!$B$29:$B$32</c:f>
              <c:numCache>
                <c:formatCode>General</c:formatCode>
                <c:ptCount val="4"/>
                <c:pt idx="0">
                  <c:v>2000</c:v>
                </c:pt>
                <c:pt idx="1">
                  <c:v>4000</c:v>
                </c:pt>
                <c:pt idx="2">
                  <c:v>6000</c:v>
                </c:pt>
                <c:pt idx="3">
                  <c:v>8000</c:v>
                </c:pt>
              </c:numCache>
            </c:numRef>
          </c:cat>
          <c:val>
            <c:numRef>
              <c:f>Bacillus!$D$29:$D$32</c:f>
              <c:numCache>
                <c:formatCode>0.00</c:formatCode>
                <c:ptCount val="4"/>
                <c:pt idx="0">
                  <c:v>10433.333333333334</c:v>
                </c:pt>
                <c:pt idx="1">
                  <c:v>9626.1111111111113</c:v>
                </c:pt>
                <c:pt idx="2">
                  <c:v>9642.7777777777792</c:v>
                </c:pt>
                <c:pt idx="3">
                  <c:v>6691.666666666667</c:v>
                </c:pt>
              </c:numCache>
            </c:numRef>
          </c:val>
          <c:extLst>
            <c:ext xmlns:c16="http://schemas.microsoft.com/office/drawing/2014/chart" uri="{C3380CC4-5D6E-409C-BE32-E72D297353CC}">
              <c16:uniqueId val="{00000001-BF24-43F3-AA9F-89FD10604B5B}"/>
            </c:ext>
          </c:extLst>
        </c:ser>
        <c:dLbls>
          <c:showLegendKey val="0"/>
          <c:showVal val="0"/>
          <c:showCatName val="0"/>
          <c:showSerName val="0"/>
          <c:showPercent val="0"/>
          <c:showBubbleSize val="0"/>
        </c:dLbls>
        <c:gapWidth val="150"/>
        <c:shape val="box"/>
        <c:axId val="536796536"/>
        <c:axId val="536794576"/>
        <c:axId val="0"/>
      </c:bar3DChart>
      <c:catAx>
        <c:axId val="53679653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IN">
                    <a:solidFill>
                      <a:sysClr val="windowText" lastClr="000000"/>
                    </a:solidFill>
                  </a:rPr>
                  <a:t>Stocking density</a:t>
                </a:r>
                <a:r>
                  <a:rPr lang="en-IN" baseline="0">
                    <a:solidFill>
                      <a:sysClr val="windowText" lastClr="000000"/>
                    </a:solidFill>
                  </a:rPr>
                  <a:t> (PL L</a:t>
                </a:r>
                <a:r>
                  <a:rPr lang="en-IN" baseline="30000">
                    <a:solidFill>
                      <a:sysClr val="windowText" lastClr="000000"/>
                    </a:solidFill>
                  </a:rPr>
                  <a:t>-1</a:t>
                </a:r>
                <a:r>
                  <a:rPr lang="en-IN" baseline="0">
                    <a:solidFill>
                      <a:sysClr val="windowText" lastClr="000000"/>
                    </a:solidFill>
                  </a:rPr>
                  <a:t>)</a:t>
                </a:r>
                <a:endParaRPr lang="en-IN">
                  <a:solidFill>
                    <a:sysClr val="windowText" lastClr="000000"/>
                  </a:solidFill>
                </a:endParaRP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6794576"/>
        <c:crosses val="autoZero"/>
        <c:auto val="1"/>
        <c:lblAlgn val="ctr"/>
        <c:lblOffset val="100"/>
        <c:noMultiLvlLbl val="0"/>
      </c:catAx>
      <c:valAx>
        <c:axId val="536794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IN" i="1">
                    <a:solidFill>
                      <a:sysClr val="windowText" lastClr="000000"/>
                    </a:solidFill>
                  </a:rPr>
                  <a:t>Bacillus</a:t>
                </a:r>
                <a:r>
                  <a:rPr lang="en-IN" baseline="0">
                    <a:solidFill>
                      <a:sysClr val="windowText" lastClr="000000"/>
                    </a:solidFill>
                  </a:rPr>
                  <a:t> count (CFU ml</a:t>
                </a:r>
                <a:r>
                  <a:rPr lang="en-IN" baseline="30000">
                    <a:solidFill>
                      <a:sysClr val="windowText" lastClr="000000"/>
                    </a:solidFill>
                  </a:rPr>
                  <a:t>-1</a:t>
                </a:r>
                <a:r>
                  <a:rPr lang="en-IN" baseline="0">
                    <a:solidFill>
                      <a:sysClr val="windowText" lastClr="000000"/>
                    </a:solidFill>
                  </a:rPr>
                  <a:t>)</a:t>
                </a:r>
                <a:endParaRPr lang="en-IN">
                  <a:solidFill>
                    <a:sysClr val="windowText" lastClr="000000"/>
                  </a:solidFill>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6796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1587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CE5CF-7E3E-499D-AC5D-D4E6FCEAD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12</Pages>
  <Words>5281</Words>
  <Characters>30108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46</cp:revision>
  <cp:lastPrinted>2025-12-06T15:09:00Z</cp:lastPrinted>
  <dcterms:created xsi:type="dcterms:W3CDTF">2025-12-05T07:02:00Z</dcterms:created>
  <dcterms:modified xsi:type="dcterms:W3CDTF">2025-12-08T13:47:00Z</dcterms:modified>
</cp:coreProperties>
</file>