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9B1FA" w14:textId="77777777" w:rsidR="00754C9A" w:rsidRDefault="00754C9A" w:rsidP="00441B6F">
      <w:pPr>
        <w:pStyle w:val="Title"/>
        <w:spacing w:after="0"/>
        <w:jc w:val="both"/>
        <w:rPr>
          <w:rFonts w:ascii="Arial" w:hAnsi="Arial" w:cs="Arial"/>
        </w:rPr>
      </w:pPr>
    </w:p>
    <w:p w14:paraId="3C520EF9" w14:textId="2669A427" w:rsidR="00A258C3" w:rsidRPr="00790ADA" w:rsidRDefault="0084286F" w:rsidP="00441B6F">
      <w:pPr>
        <w:pStyle w:val="Author"/>
        <w:spacing w:line="240" w:lineRule="auto"/>
        <w:jc w:val="both"/>
        <w:rPr>
          <w:rFonts w:ascii="Arial" w:hAnsi="Arial" w:cs="Arial"/>
          <w:sz w:val="36"/>
        </w:rPr>
      </w:pPr>
      <w:r w:rsidRPr="0084286F">
        <w:rPr>
          <w:rFonts w:ascii="Arial" w:hAnsi="Arial" w:cs="Arial"/>
          <w:bCs/>
          <w:iCs/>
          <w:kern w:val="28"/>
          <w:sz w:val="36"/>
        </w:rPr>
        <w:t>Drought-Adaptive Grouping of Black Pepper (</w:t>
      </w:r>
      <w:r w:rsidRPr="0084286F">
        <w:rPr>
          <w:rFonts w:ascii="Arial" w:hAnsi="Arial" w:cs="Arial"/>
          <w:bCs/>
          <w:i/>
          <w:kern w:val="28"/>
          <w:sz w:val="36"/>
        </w:rPr>
        <w:t>Piper nigrum</w:t>
      </w:r>
      <w:r w:rsidRPr="0084286F">
        <w:rPr>
          <w:rFonts w:ascii="Arial" w:hAnsi="Arial" w:cs="Arial"/>
          <w:bCs/>
          <w:iCs/>
          <w:kern w:val="28"/>
          <w:sz w:val="36"/>
        </w:rPr>
        <w:t xml:space="preserve"> L.) Genotypes Using Hierarchical Clustering on Principal Components (HCPC)</w:t>
      </w:r>
    </w:p>
    <w:p w14:paraId="62BFE21B" w14:textId="77777777" w:rsidR="001423E5" w:rsidRDefault="001423E5" w:rsidP="00441B6F">
      <w:pPr>
        <w:pStyle w:val="AbstHead"/>
        <w:spacing w:after="0"/>
        <w:jc w:val="both"/>
        <w:rPr>
          <w:rFonts w:ascii="Arial" w:hAnsi="Arial" w:cs="Arial"/>
        </w:rPr>
      </w:pPr>
    </w:p>
    <w:p w14:paraId="4801F8D7" w14:textId="77777777" w:rsidR="001423E5" w:rsidRDefault="001423E5" w:rsidP="00441B6F">
      <w:pPr>
        <w:pStyle w:val="AbstHead"/>
        <w:spacing w:after="0"/>
        <w:jc w:val="both"/>
        <w:rPr>
          <w:rFonts w:ascii="Arial" w:hAnsi="Arial" w:cs="Arial"/>
        </w:rPr>
      </w:pPr>
    </w:p>
    <w:p w14:paraId="30F37800" w14:textId="77777777" w:rsidR="001423E5" w:rsidRDefault="001423E5" w:rsidP="00441B6F">
      <w:pPr>
        <w:pStyle w:val="AbstHead"/>
        <w:spacing w:after="0"/>
        <w:jc w:val="both"/>
        <w:rPr>
          <w:rFonts w:ascii="Arial" w:hAnsi="Arial" w:cs="Arial"/>
        </w:rPr>
      </w:pPr>
    </w:p>
    <w:p w14:paraId="0CE36163" w14:textId="77777777" w:rsidR="001423E5" w:rsidRDefault="001423E5" w:rsidP="00441B6F">
      <w:pPr>
        <w:pStyle w:val="AbstHead"/>
        <w:spacing w:after="0"/>
        <w:jc w:val="both"/>
        <w:rPr>
          <w:rFonts w:ascii="Arial" w:hAnsi="Arial" w:cs="Arial"/>
        </w:rPr>
      </w:pPr>
    </w:p>
    <w:p w14:paraId="669D5080" w14:textId="074F6B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2632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2835683" w14:textId="77777777" w:rsidTr="001E44FE">
        <w:tc>
          <w:tcPr>
            <w:tcW w:w="9576" w:type="dxa"/>
            <w:shd w:val="clear" w:color="auto" w:fill="F2F2F2"/>
          </w:tcPr>
          <w:p w14:paraId="5C0B97E5" w14:textId="77777777" w:rsidR="00E3114E" w:rsidRDefault="00E3114E" w:rsidP="00441B6F">
            <w:pPr>
              <w:pStyle w:val="Body"/>
              <w:spacing w:after="0"/>
              <w:rPr>
                <w:rFonts w:ascii="Arial" w:eastAsia="Calibri" w:hAnsi="Arial" w:cs="Arial"/>
                <w:b/>
                <w:szCs w:val="22"/>
              </w:rPr>
            </w:pPr>
          </w:p>
          <w:p w14:paraId="3EDDBF0F" w14:textId="62CBF6F3" w:rsidR="00D6662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662C" w:rsidRPr="00D6662C">
              <w:rPr>
                <w:rFonts w:ascii="Arial" w:eastAsia="Calibri" w:hAnsi="Arial" w:cs="Arial"/>
                <w:szCs w:val="22"/>
              </w:rPr>
              <w:t xml:space="preserve">Application of Hierarchical Clustering on Principal Components </w:t>
            </w:r>
            <w:r w:rsidR="00D6662C">
              <w:rPr>
                <w:rFonts w:ascii="Arial" w:eastAsia="Calibri" w:hAnsi="Arial" w:cs="Arial"/>
                <w:szCs w:val="22"/>
              </w:rPr>
              <w:t>(</w:t>
            </w:r>
            <w:r w:rsidR="00D6662C" w:rsidRPr="00D6662C">
              <w:rPr>
                <w:rFonts w:ascii="Arial" w:eastAsia="Calibri" w:hAnsi="Arial" w:cs="Arial"/>
                <w:szCs w:val="22"/>
              </w:rPr>
              <w:t>HCPC</w:t>
            </w:r>
            <w:r w:rsidR="00D6662C">
              <w:rPr>
                <w:rFonts w:ascii="Arial" w:eastAsia="Calibri" w:hAnsi="Arial" w:cs="Arial"/>
                <w:szCs w:val="22"/>
              </w:rPr>
              <w:t>)</w:t>
            </w:r>
            <w:r w:rsidR="00D6662C" w:rsidRPr="00D6662C">
              <w:rPr>
                <w:rFonts w:ascii="Arial" w:eastAsia="Calibri" w:hAnsi="Arial" w:cs="Arial"/>
                <w:szCs w:val="22"/>
              </w:rPr>
              <w:t xml:space="preserve"> to identify drought-tolerant genotypes of black pepper (</w:t>
            </w:r>
            <w:r w:rsidR="00D6662C" w:rsidRPr="00D6662C">
              <w:rPr>
                <w:rFonts w:ascii="Arial" w:eastAsia="Calibri" w:hAnsi="Arial" w:cs="Arial"/>
                <w:i/>
                <w:iCs/>
                <w:szCs w:val="22"/>
              </w:rPr>
              <w:t>Piper</w:t>
            </w:r>
            <w:r w:rsidR="00D6662C" w:rsidRPr="00D6662C">
              <w:rPr>
                <w:rFonts w:ascii="Arial" w:eastAsia="Calibri" w:hAnsi="Arial" w:cs="Arial"/>
                <w:szCs w:val="22"/>
              </w:rPr>
              <w:t xml:space="preserve"> </w:t>
            </w:r>
            <w:r w:rsidR="00D6662C" w:rsidRPr="00D6662C">
              <w:rPr>
                <w:rFonts w:ascii="Arial" w:eastAsia="Calibri" w:hAnsi="Arial" w:cs="Arial"/>
                <w:i/>
                <w:iCs/>
                <w:szCs w:val="22"/>
              </w:rPr>
              <w:t>nigrum</w:t>
            </w:r>
            <w:r w:rsidR="00D6662C" w:rsidRPr="00D6662C">
              <w:rPr>
                <w:rFonts w:ascii="Arial" w:eastAsia="Calibri" w:hAnsi="Arial" w:cs="Arial"/>
                <w:szCs w:val="22"/>
              </w:rPr>
              <w:t xml:space="preserve"> L.) based on important morpho-physiological characteristics.</w:t>
            </w:r>
          </w:p>
          <w:p w14:paraId="7974A393" w14:textId="6D96E6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37316" w:rsidRPr="00737316">
              <w:rPr>
                <w:rFonts w:ascii="Arial" w:eastAsia="Calibri" w:hAnsi="Arial" w:cs="Arial"/>
                <w:szCs w:val="22"/>
              </w:rPr>
              <w:t>Field observation supported by multivariate statistical analysis (HCPC) for genotype classification.</w:t>
            </w:r>
          </w:p>
          <w:p w14:paraId="2CEF646B" w14:textId="7BA95873" w:rsidR="0073731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37316" w:rsidRPr="00737316">
              <w:rPr>
                <w:rFonts w:ascii="Arial" w:eastAsia="Calibri" w:hAnsi="Arial" w:cs="Arial"/>
                <w:szCs w:val="22"/>
              </w:rPr>
              <w:t>The investigation was conducted across major black pepper-growing regions of Kerala, India, part of the Western Ghats. Trait measurements were performed during the peak summer drought period</w:t>
            </w:r>
            <w:r w:rsidR="00295858">
              <w:rPr>
                <w:rFonts w:ascii="Arial" w:eastAsia="Calibri" w:hAnsi="Arial" w:cs="Arial"/>
                <w:szCs w:val="22"/>
              </w:rPr>
              <w:t xml:space="preserve"> (</w:t>
            </w:r>
            <w:r w:rsidR="00737316" w:rsidRPr="00737316">
              <w:rPr>
                <w:rFonts w:ascii="Arial" w:eastAsia="Calibri" w:hAnsi="Arial" w:cs="Arial"/>
                <w:szCs w:val="22"/>
              </w:rPr>
              <w:t>March–May</w:t>
            </w:r>
            <w:r w:rsidR="00737316">
              <w:rPr>
                <w:rFonts w:ascii="Arial" w:eastAsia="Calibri" w:hAnsi="Arial" w:cs="Arial"/>
                <w:szCs w:val="22"/>
              </w:rPr>
              <w:t xml:space="preserve"> 2023</w:t>
            </w:r>
            <w:r w:rsidR="00295858">
              <w:rPr>
                <w:rFonts w:ascii="Arial" w:eastAsia="Calibri" w:hAnsi="Arial" w:cs="Arial"/>
                <w:szCs w:val="22"/>
              </w:rPr>
              <w:t>)</w:t>
            </w:r>
            <w:r w:rsidR="00737316" w:rsidRPr="00737316">
              <w:rPr>
                <w:rFonts w:ascii="Arial" w:eastAsia="Calibri" w:hAnsi="Arial" w:cs="Arial"/>
                <w:szCs w:val="22"/>
              </w:rPr>
              <w:t xml:space="preserve"> of the study year under </w:t>
            </w:r>
            <w:r w:rsidR="00737316" w:rsidRPr="00295858">
              <w:rPr>
                <w:rFonts w:ascii="Arial" w:eastAsia="Calibri" w:hAnsi="Arial" w:cs="Arial"/>
                <w:i/>
                <w:iCs/>
                <w:szCs w:val="22"/>
              </w:rPr>
              <w:t>in situ</w:t>
            </w:r>
            <w:r w:rsidR="00737316" w:rsidRPr="00737316">
              <w:rPr>
                <w:rFonts w:ascii="Arial" w:eastAsia="Calibri" w:hAnsi="Arial" w:cs="Arial"/>
                <w:szCs w:val="22"/>
              </w:rPr>
              <w:t xml:space="preserve"> farmer-field conditions.</w:t>
            </w:r>
          </w:p>
          <w:p w14:paraId="3D1AF15A" w14:textId="162C8D1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5858" w:rsidRPr="00295858">
              <w:rPr>
                <w:rFonts w:ascii="Arial" w:eastAsia="Calibri" w:hAnsi="Arial" w:cs="Arial"/>
                <w:szCs w:val="22"/>
              </w:rPr>
              <w:t xml:space="preserve">In the present study, sixty-two black pepper genotypes were evaluated for various key morpho-physiological characteristics such as </w:t>
            </w:r>
            <w:r w:rsidR="00295858">
              <w:rPr>
                <w:rFonts w:ascii="Arial" w:eastAsia="Calibri" w:hAnsi="Arial" w:cs="Arial"/>
                <w:szCs w:val="22"/>
              </w:rPr>
              <w:t>specific leaf area (SLA)</w:t>
            </w:r>
            <w:r w:rsidR="00295858" w:rsidRPr="00295858">
              <w:rPr>
                <w:rFonts w:ascii="Arial" w:eastAsia="Calibri" w:hAnsi="Arial" w:cs="Arial"/>
                <w:szCs w:val="22"/>
              </w:rPr>
              <w:t>,</w:t>
            </w:r>
            <w:r w:rsidR="00295858">
              <w:rPr>
                <w:rFonts w:ascii="Arial" w:eastAsia="Calibri" w:hAnsi="Arial" w:cs="Arial"/>
                <w:szCs w:val="22"/>
              </w:rPr>
              <w:t xml:space="preserve"> relative water content (RWC)</w:t>
            </w:r>
            <w:r w:rsidR="00295858" w:rsidRPr="00295858">
              <w:rPr>
                <w:rFonts w:ascii="Arial" w:eastAsia="Calibri" w:hAnsi="Arial" w:cs="Arial"/>
                <w:szCs w:val="22"/>
              </w:rPr>
              <w:t xml:space="preserve">, leaf thickness, stomatal density, epicuticular wax content, leaf area, </w:t>
            </w:r>
            <w:r w:rsidR="00295858">
              <w:rPr>
                <w:rFonts w:ascii="Arial" w:eastAsia="Calibri" w:hAnsi="Arial" w:cs="Arial"/>
                <w:szCs w:val="22"/>
              </w:rPr>
              <w:t xml:space="preserve">leaf angle, leaf length, leaf width, petiole length, no. of nodes per lateral branch and lateral branch length. </w:t>
            </w:r>
            <w:r w:rsidR="00295858" w:rsidRPr="00295858">
              <w:rPr>
                <w:rFonts w:ascii="Arial" w:eastAsia="Calibri" w:hAnsi="Arial" w:cs="Arial"/>
                <w:szCs w:val="22"/>
              </w:rPr>
              <w:t xml:space="preserve">HCPC was employed to classify the genotypes into clusters. The pattern of genotype groupings was further visualized through factor maps (2D &amp; 3D). </w:t>
            </w:r>
          </w:p>
          <w:p w14:paraId="6A5A62AD" w14:textId="7763D7B2" w:rsidR="00435FA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35FAB" w:rsidRPr="00435FAB">
              <w:rPr>
                <w:rFonts w:ascii="Arial" w:eastAsia="Calibri" w:hAnsi="Arial" w:cs="Arial"/>
                <w:szCs w:val="22"/>
              </w:rPr>
              <w:t xml:space="preserve">HCPC classified the 62 genotypes into two significant clusters: Cluster 1, containing drought-resilient genotypes (e.g., G-38, G-61, G-25, G-36, G-50, G-56), showed significantly higher leaf thickness, wax deposition and RWC (v values: leaf thickness = 5.97; wax = 6.21; RWC = 6.20). Cluster 2, comprising drought-susceptible genotypes (e.g., G-60, G-1, G-12, G-55, G-27), exhibited higher SLA (v = 6.01) and stomatal density (v = 6.33). HCPC factor maps confirmed strong separation between clusters along Dim1 (34.9%) and Dim2 (24.6%). </w:t>
            </w:r>
          </w:p>
          <w:p w14:paraId="4ACC8125" w14:textId="601A8B0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35FAB" w:rsidRPr="00435FAB">
              <w:rPr>
                <w:rFonts w:ascii="Arial" w:eastAsia="Calibri" w:hAnsi="Arial" w:cs="Arial"/>
                <w:szCs w:val="22"/>
              </w:rPr>
              <w:t>HCPC effectively differentiated the drought-tolerant and drought-sensitive black pepper genotypes based on morpho-physiological adaptation. Leaf thickness, epicuticular wax and RWC showed the most positive indicators of drought tolerance, while high SLA and stomatal density were characteristic features of susceptibility. The identified drought-resilient genotypes can be used as promising candidates for climate-smart breeding and targeted conservation programs.</w:t>
            </w:r>
          </w:p>
        </w:tc>
      </w:tr>
    </w:tbl>
    <w:p w14:paraId="239AB2EA" w14:textId="77777777" w:rsidR="00636EB2" w:rsidRDefault="00636EB2" w:rsidP="00441B6F">
      <w:pPr>
        <w:pStyle w:val="Body"/>
        <w:spacing w:after="0"/>
        <w:rPr>
          <w:rFonts w:ascii="Arial" w:hAnsi="Arial" w:cs="Arial"/>
          <w:i/>
        </w:rPr>
      </w:pPr>
    </w:p>
    <w:p w14:paraId="0A5A5DC2" w14:textId="36F807A9" w:rsidR="00790ADA" w:rsidRDefault="00A24E7E" w:rsidP="00441B6F">
      <w:pPr>
        <w:pStyle w:val="Body"/>
        <w:spacing w:after="0"/>
        <w:rPr>
          <w:rFonts w:ascii="Arial" w:hAnsi="Arial" w:cs="Arial"/>
          <w:i/>
        </w:rPr>
      </w:pPr>
      <w:r>
        <w:rPr>
          <w:rFonts w:ascii="Arial" w:hAnsi="Arial" w:cs="Arial"/>
          <w:i/>
        </w:rPr>
        <w:t xml:space="preserve">Keywords: </w:t>
      </w:r>
      <w:r w:rsidR="00435FAB">
        <w:rPr>
          <w:rFonts w:ascii="Arial" w:hAnsi="Arial" w:cs="Arial"/>
          <w:i/>
        </w:rPr>
        <w:t>Specific leaf area, epicuticular wax, germplasm conservation, genetic diversity, black pepper</w:t>
      </w:r>
    </w:p>
    <w:p w14:paraId="5AA5734C" w14:textId="77777777" w:rsidR="00505F06" w:rsidRPr="00A24E7E" w:rsidRDefault="00505F06" w:rsidP="00441B6F">
      <w:pPr>
        <w:pStyle w:val="Body"/>
        <w:spacing w:after="0"/>
        <w:rPr>
          <w:rFonts w:ascii="Arial" w:hAnsi="Arial" w:cs="Arial"/>
          <w:i/>
        </w:rPr>
      </w:pPr>
    </w:p>
    <w:p w14:paraId="2D4C647B" w14:textId="2786A66A"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99CE28" w14:textId="77777777" w:rsidR="00435FAB" w:rsidRPr="00FB3A86" w:rsidRDefault="00435FAB" w:rsidP="00441B6F">
      <w:pPr>
        <w:pStyle w:val="AbstHead"/>
        <w:spacing w:after="0"/>
        <w:jc w:val="both"/>
        <w:rPr>
          <w:rFonts w:ascii="Arial" w:hAnsi="Arial" w:cs="Arial"/>
        </w:rPr>
      </w:pPr>
    </w:p>
    <w:p w14:paraId="6012CE2B" w14:textId="085255B4" w:rsidR="00435FAB" w:rsidRPr="00435FAB" w:rsidRDefault="00435FAB" w:rsidP="00435FAB">
      <w:pPr>
        <w:pStyle w:val="Body"/>
        <w:rPr>
          <w:rFonts w:ascii="Arial" w:hAnsi="Arial" w:cs="Arial"/>
        </w:rPr>
      </w:pPr>
      <w:r w:rsidRPr="00435FAB">
        <w:rPr>
          <w:rFonts w:ascii="Arial" w:hAnsi="Arial" w:cs="Arial"/>
        </w:rPr>
        <w:t>Black pepper (</w:t>
      </w:r>
      <w:r w:rsidRPr="00435FAB">
        <w:rPr>
          <w:rFonts w:ascii="Arial" w:hAnsi="Arial" w:cs="Arial"/>
          <w:i/>
          <w:iCs/>
        </w:rPr>
        <w:t>Piper nigrum</w:t>
      </w:r>
      <w:r w:rsidRPr="00435FAB">
        <w:rPr>
          <w:rFonts w:ascii="Arial" w:hAnsi="Arial" w:cs="Arial"/>
        </w:rPr>
        <w:t xml:space="preserve"> L.) is a commercially and economically important spice crop cultivated widely in Kerala, India, where its productivity is increasingly threatened by drought stress during dry summer months (Anuradha</w:t>
      </w:r>
      <w:r>
        <w:rPr>
          <w:rFonts w:ascii="Arial" w:hAnsi="Arial" w:cs="Arial"/>
        </w:rPr>
        <w:t>,</w:t>
      </w:r>
      <w:r w:rsidRPr="00435FAB">
        <w:rPr>
          <w:rFonts w:ascii="Arial" w:hAnsi="Arial" w:cs="Arial"/>
        </w:rPr>
        <w:t xml:space="preserve"> 2004).  The plant is grown as a crop which prefers an average rainfall of 2000-3000 mm for its optimum growth (</w:t>
      </w:r>
      <w:proofErr w:type="spellStart"/>
      <w:r w:rsidRPr="00435FAB">
        <w:rPr>
          <w:rFonts w:ascii="Arial" w:hAnsi="Arial" w:cs="Arial"/>
        </w:rPr>
        <w:t>Gopakumar</w:t>
      </w:r>
      <w:proofErr w:type="spellEnd"/>
      <w:r w:rsidRPr="00435FAB">
        <w:rPr>
          <w:rFonts w:ascii="Arial" w:hAnsi="Arial" w:cs="Arial"/>
        </w:rPr>
        <w:t xml:space="preserve">, 2011). Drought adversely affects physiological and morphological traits critical for growth, such as leaf water content, stomatal conductance, and photosynthetic efficiency, leading to significant yield reductions (Ferreira </w:t>
      </w:r>
      <w:r w:rsidRPr="00435FAB">
        <w:rPr>
          <w:rFonts w:ascii="Arial" w:hAnsi="Arial" w:cs="Arial"/>
          <w:i/>
          <w:iCs/>
        </w:rPr>
        <w:t>et al</w:t>
      </w:r>
      <w:r w:rsidRPr="00435FAB">
        <w:rPr>
          <w:rFonts w:ascii="Arial" w:hAnsi="Arial" w:cs="Arial"/>
        </w:rPr>
        <w:t xml:space="preserve">., 2024). Drought stress can lead to reduced growth, poor yield, and increased susceptibility to diseases (Kaur </w:t>
      </w:r>
      <w:r w:rsidRPr="00435FAB">
        <w:rPr>
          <w:rFonts w:ascii="Arial" w:hAnsi="Arial" w:cs="Arial"/>
          <w:i/>
          <w:iCs/>
        </w:rPr>
        <w:t>et al</w:t>
      </w:r>
      <w:r w:rsidRPr="00435FAB">
        <w:rPr>
          <w:rFonts w:ascii="Arial" w:hAnsi="Arial" w:cs="Arial"/>
        </w:rPr>
        <w:t xml:space="preserve">., 2020). Understanding and identifying drought-tolerant genotypes is </w:t>
      </w:r>
      <w:r>
        <w:rPr>
          <w:rFonts w:ascii="Arial" w:hAnsi="Arial" w:cs="Arial"/>
        </w:rPr>
        <w:t>crucial for targeted breeding programs to enhance resilience in the face of</w:t>
      </w:r>
      <w:r w:rsidRPr="00435FAB">
        <w:rPr>
          <w:rFonts w:ascii="Arial" w:hAnsi="Arial" w:cs="Arial"/>
        </w:rPr>
        <w:t xml:space="preserve"> climate variability.</w:t>
      </w:r>
    </w:p>
    <w:p w14:paraId="4C7C250E" w14:textId="33510FA7" w:rsidR="00435FAB" w:rsidRPr="00435FAB" w:rsidRDefault="00435FAB" w:rsidP="00435FAB">
      <w:pPr>
        <w:pStyle w:val="Body"/>
        <w:rPr>
          <w:rFonts w:ascii="Arial" w:hAnsi="Arial" w:cs="Arial"/>
        </w:rPr>
      </w:pPr>
      <w:r w:rsidRPr="00435FAB">
        <w:rPr>
          <w:rFonts w:ascii="Arial" w:hAnsi="Arial" w:cs="Arial"/>
        </w:rPr>
        <w:t xml:space="preserve">Drought tolerance in plant varieties can fluctuate depending on growth stages and environmental factors (Farooq </w:t>
      </w:r>
      <w:r w:rsidRPr="00435FAB">
        <w:rPr>
          <w:rFonts w:ascii="Arial" w:hAnsi="Arial" w:cs="Arial"/>
          <w:i/>
          <w:iCs/>
        </w:rPr>
        <w:t>et al</w:t>
      </w:r>
      <w:r w:rsidRPr="00435FAB">
        <w:rPr>
          <w:rFonts w:ascii="Arial" w:hAnsi="Arial" w:cs="Arial"/>
        </w:rPr>
        <w:t xml:space="preserve">., 2012). Previous studies have revealed considerable variability among black pepper genotypes in drought adaptive traits including leaf thickness, relative water content (RWC), stomatal density, and epicuticular wax deposition, which are physiological indicators of tolerance (Negi </w:t>
      </w:r>
      <w:r w:rsidRPr="0065503B">
        <w:rPr>
          <w:rFonts w:ascii="Arial" w:hAnsi="Arial" w:cs="Arial"/>
          <w:i/>
          <w:iCs/>
        </w:rPr>
        <w:t>et al</w:t>
      </w:r>
      <w:r w:rsidRPr="00435FAB">
        <w:rPr>
          <w:rFonts w:ascii="Arial" w:hAnsi="Arial" w:cs="Arial"/>
        </w:rPr>
        <w:t xml:space="preserve">., 2021; Reshma </w:t>
      </w:r>
      <w:r w:rsidRPr="0065503B">
        <w:rPr>
          <w:rFonts w:ascii="Arial" w:hAnsi="Arial" w:cs="Arial"/>
          <w:i/>
          <w:iCs/>
        </w:rPr>
        <w:t>et al</w:t>
      </w:r>
      <w:r w:rsidRPr="00435FAB">
        <w:rPr>
          <w:rFonts w:ascii="Arial" w:hAnsi="Arial" w:cs="Arial"/>
        </w:rPr>
        <w:t xml:space="preserve">., 2024). For instance, tolerant genotypes maintain higher RWC and exhibit biochemical and morphological adjustments such as osmotic regulation and antioxidant enzyme activity that mitigate drought effects (Anuradha, 2004; Ferreira </w:t>
      </w:r>
      <w:r w:rsidRPr="0065503B">
        <w:rPr>
          <w:rFonts w:ascii="Arial" w:hAnsi="Arial" w:cs="Arial"/>
          <w:i/>
          <w:iCs/>
        </w:rPr>
        <w:t>et al</w:t>
      </w:r>
      <w:r w:rsidRPr="00435FAB">
        <w:rPr>
          <w:rFonts w:ascii="Arial" w:hAnsi="Arial" w:cs="Arial"/>
        </w:rPr>
        <w:t xml:space="preserve">., 2024). Moreover, multivariate statistical approaches have proven effective in classifying germplasm based on complex trait interactions relevant to drought response (Long </w:t>
      </w:r>
      <w:r w:rsidRPr="0065503B">
        <w:rPr>
          <w:rFonts w:ascii="Arial" w:hAnsi="Arial" w:cs="Arial"/>
          <w:i/>
          <w:iCs/>
        </w:rPr>
        <w:t xml:space="preserve">et </w:t>
      </w:r>
      <w:r w:rsidRPr="0065503B">
        <w:rPr>
          <w:rFonts w:ascii="Arial" w:hAnsi="Arial" w:cs="Arial"/>
          <w:i/>
          <w:iCs/>
        </w:rPr>
        <w:lastRenderedPageBreak/>
        <w:t>al</w:t>
      </w:r>
      <w:r w:rsidRPr="00435FAB">
        <w:rPr>
          <w:rFonts w:ascii="Arial" w:hAnsi="Arial" w:cs="Arial"/>
        </w:rPr>
        <w:t>., 2024</w:t>
      </w:r>
      <w:r w:rsidR="0065503B">
        <w:rPr>
          <w:rFonts w:ascii="Arial" w:hAnsi="Arial" w:cs="Arial"/>
        </w:rPr>
        <w:t xml:space="preserve">; </w:t>
      </w:r>
      <w:r w:rsidR="0065503B" w:rsidRPr="00435FAB">
        <w:rPr>
          <w:rFonts w:ascii="Arial" w:hAnsi="Arial" w:cs="Arial"/>
        </w:rPr>
        <w:t xml:space="preserve">Theertha </w:t>
      </w:r>
      <w:r w:rsidR="0065503B" w:rsidRPr="0065503B">
        <w:rPr>
          <w:rFonts w:ascii="Arial" w:hAnsi="Arial" w:cs="Arial"/>
          <w:i/>
          <w:iCs/>
        </w:rPr>
        <w:t>et al</w:t>
      </w:r>
      <w:r w:rsidR="0065503B" w:rsidRPr="00435FAB">
        <w:rPr>
          <w:rFonts w:ascii="Arial" w:hAnsi="Arial" w:cs="Arial"/>
        </w:rPr>
        <w:t>., 2025</w:t>
      </w:r>
      <w:r w:rsidRPr="00435FAB">
        <w:rPr>
          <w:rFonts w:ascii="Arial" w:hAnsi="Arial" w:cs="Arial"/>
        </w:rPr>
        <w:t xml:space="preserve">). Hierarchical clustering has been a powerful method for developing classification systems (Murtagh </w:t>
      </w:r>
      <w:r w:rsidR="001D5366">
        <w:rPr>
          <w:rFonts w:ascii="Arial" w:hAnsi="Arial" w:cs="Arial"/>
        </w:rPr>
        <w:t>&amp;</w:t>
      </w:r>
      <w:r w:rsidRPr="00435FAB">
        <w:rPr>
          <w:rFonts w:ascii="Arial" w:hAnsi="Arial" w:cs="Arial"/>
        </w:rPr>
        <w:t xml:space="preserve"> Contreras, 2011). The Hierarchical Clustering on Principal Components (HCPC) method combines 3 main multivariate data analysis methodologies, namely PCA, hierarchical clustering, and K-means. PCA is used to reduce the dimensionality of data by extracting continuous variables encompassing the most significant information. The findings of the PCA are then subjected to cluster analysis as a noise removal phase, which ensures robust clustering (Husson </w:t>
      </w:r>
      <w:r w:rsidRPr="001736E4">
        <w:rPr>
          <w:rFonts w:ascii="Arial" w:hAnsi="Arial" w:cs="Arial"/>
          <w:i/>
          <w:iCs/>
        </w:rPr>
        <w:t>et al</w:t>
      </w:r>
      <w:r w:rsidRPr="00435FAB">
        <w:rPr>
          <w:rFonts w:ascii="Arial" w:hAnsi="Arial" w:cs="Arial"/>
        </w:rPr>
        <w:t xml:space="preserve">., 2010; Maugeri </w:t>
      </w:r>
      <w:r w:rsidRPr="001736E4">
        <w:rPr>
          <w:rFonts w:ascii="Arial" w:hAnsi="Arial" w:cs="Arial"/>
          <w:i/>
          <w:iCs/>
        </w:rPr>
        <w:t>et al</w:t>
      </w:r>
      <w:r w:rsidRPr="00435FAB">
        <w:rPr>
          <w:rFonts w:ascii="Arial" w:hAnsi="Arial" w:cs="Arial"/>
        </w:rPr>
        <w:t>., 2021).</w:t>
      </w:r>
    </w:p>
    <w:p w14:paraId="172A1284" w14:textId="51A67755" w:rsidR="00790ADA" w:rsidRPr="00FB3A86" w:rsidRDefault="00435FAB" w:rsidP="00435FAB">
      <w:pPr>
        <w:pStyle w:val="Body"/>
        <w:spacing w:after="0"/>
        <w:rPr>
          <w:rFonts w:ascii="Arial" w:hAnsi="Arial" w:cs="Arial"/>
        </w:rPr>
      </w:pPr>
      <w:r w:rsidRPr="00435FAB">
        <w:rPr>
          <w:rFonts w:ascii="Arial" w:hAnsi="Arial" w:cs="Arial"/>
        </w:rPr>
        <w:t>This study aims to evaluate morphological and physiological traits of 62 black pepper genotypes during peak drought periods in situ from major growing regions of Kerala. We apply HCPC to identify distinct clusters of drought-resilient and susceptible genotypes, thus facilitating the selection of promising candidates for climate-smart breeding and conservation initiatives.</w:t>
      </w:r>
    </w:p>
    <w:p w14:paraId="7630569D" w14:textId="5B67539F"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D54FDE" w14:textId="77777777" w:rsidR="00522310" w:rsidRPr="00CD6106" w:rsidRDefault="00522310" w:rsidP="00522310">
      <w:pPr>
        <w:pStyle w:val="Body"/>
        <w:rPr>
          <w:rFonts w:ascii="Arial" w:hAnsi="Arial" w:cs="Arial"/>
        </w:rPr>
      </w:pPr>
      <w:r w:rsidRPr="00522310">
        <w:rPr>
          <w:rFonts w:ascii="Arial" w:hAnsi="Arial" w:cs="Arial"/>
        </w:rPr>
        <w:t>Sixty</w:t>
      </w:r>
      <w:r w:rsidRPr="00CD6106">
        <w:rPr>
          <w:rFonts w:ascii="Cambria Math" w:hAnsi="Cambria Math" w:cs="Cambria Math"/>
        </w:rPr>
        <w:t>‑</w:t>
      </w:r>
      <w:r w:rsidRPr="00CD6106">
        <w:rPr>
          <w:rFonts w:ascii="Arial" w:hAnsi="Arial" w:cs="Arial"/>
        </w:rPr>
        <w:t>two black pepper genotypes selected from major black pepper</w:t>
      </w:r>
      <w:r w:rsidRPr="00CD6106">
        <w:rPr>
          <w:rFonts w:ascii="Cambria Math" w:hAnsi="Cambria Math" w:cs="Cambria Math"/>
        </w:rPr>
        <w:t>‑</w:t>
      </w:r>
      <w:r w:rsidRPr="00CD6106">
        <w:rPr>
          <w:rFonts w:ascii="Arial" w:hAnsi="Arial" w:cs="Arial"/>
        </w:rPr>
        <w:t>growing regions of Kerala, India, were evaluated under natural farmer</w:t>
      </w:r>
      <w:r w:rsidRPr="00CD6106">
        <w:rPr>
          <w:rFonts w:ascii="Cambria Math" w:hAnsi="Cambria Math" w:cs="Cambria Math"/>
        </w:rPr>
        <w:t>‑</w:t>
      </w:r>
      <w:r w:rsidRPr="00CD6106">
        <w:rPr>
          <w:rFonts w:ascii="Arial" w:hAnsi="Arial" w:cs="Arial"/>
        </w:rPr>
        <w:t xml:space="preserve">field conditions during the peak summer drought period of March–May.  Drought-related morpho-physiological traits were recorded on fully expanded, healthy mature leaves from representative vines in each genotype. </w:t>
      </w:r>
      <w:bookmarkStart w:id="0" w:name="_Hlk215610239"/>
      <w:r w:rsidRPr="00CD6106">
        <w:rPr>
          <w:rFonts w:ascii="Arial" w:hAnsi="Arial" w:cs="Arial"/>
        </w:rPr>
        <w:t xml:space="preserve">Specific leaf area (SLA), relative water content (RWC), leaf thickness, stomatal density, epicuticular wax content, leaf area, leaf angle, leaf length, leaf width, petiole length and lateral branch length and number of nodes per lateral branch were recorded. </w:t>
      </w:r>
    </w:p>
    <w:p w14:paraId="5265D23C" w14:textId="77777777" w:rsidR="00522310" w:rsidRPr="00CD6106" w:rsidRDefault="00522310" w:rsidP="00522310">
      <w:pPr>
        <w:pStyle w:val="Body"/>
        <w:rPr>
          <w:rFonts w:ascii="Arial" w:hAnsi="Arial" w:cs="Arial"/>
        </w:rPr>
      </w:pPr>
      <w:r w:rsidRPr="00CD6106">
        <w:rPr>
          <w:rFonts w:ascii="Arial" w:hAnsi="Arial" w:cs="Arial"/>
        </w:rPr>
        <w:t xml:space="preserve">Through the application of multivariate analysis, such as hierarchical clustering on principal components (HCPC) </w:t>
      </w:r>
      <w:bookmarkEnd w:id="0"/>
      <w:r w:rsidRPr="00CD6106">
        <w:rPr>
          <w:rFonts w:ascii="Arial" w:hAnsi="Arial" w:cs="Arial"/>
        </w:rPr>
        <w:t>using Ward's minimum-variance method, genotypes were classified into distinct groups based on their profiles of drought-adaptive traits. The combination of an initial dimensionality-reduction step with hierarchical clustering on the resulting components increases the discrimination of traits while reducing noise due to correlated variables. The partition obtained from this study was visualized through dendrograms and two- and three-dimensional factor maps showing the relative position and separation of genotypes in the reduced multivariate space.</w:t>
      </w:r>
    </w:p>
    <w:p w14:paraId="2DC0B177" w14:textId="77777777" w:rsidR="00522310" w:rsidRDefault="00522310" w:rsidP="00522310">
      <w:pPr>
        <w:pStyle w:val="Body"/>
        <w:spacing w:after="0"/>
        <w:rPr>
          <w:rFonts w:ascii="Arial" w:hAnsi="Arial" w:cs="Arial"/>
        </w:rPr>
      </w:pPr>
      <w:r w:rsidRPr="00CD6106">
        <w:rPr>
          <w:rFonts w:ascii="Arial" w:hAnsi="Arial" w:cs="Arial"/>
        </w:rPr>
        <w:t>Statistical tests within the HCPC framework allowed refinement of cluster characterization, identifying</w:t>
      </w:r>
      <w:r w:rsidRPr="00522310">
        <w:rPr>
          <w:rFonts w:ascii="Arial" w:hAnsi="Arial" w:cs="Arial"/>
        </w:rPr>
        <w:t xml:space="preserve"> which traits contributed most to cluster discrimination and enabling the interpretation of trait complexes associated with drought resilience and susceptibility. A chord diagram was also constructed to show the strength and direction of associations between each HCPC</w:t>
      </w:r>
      <w:r w:rsidRPr="00522310">
        <w:rPr>
          <w:rFonts w:ascii="Cambria Math" w:hAnsi="Cambria Math" w:cs="Cambria Math"/>
        </w:rPr>
        <w:t>‑</w:t>
      </w:r>
      <w:r w:rsidRPr="00522310">
        <w:rPr>
          <w:rFonts w:ascii="Arial" w:hAnsi="Arial" w:cs="Arial"/>
        </w:rPr>
        <w:t>derived cluster and the major discriminating traits. The optimal number of clusters was determined jointly from the dendrogram structure, by looking for marked jumps in fusion levels between successive nodes, and from the inertia criterion, by considering the gain in between-cluster inertia relative to total inertia. To assist visualization, genotypes were projected onto the principal dimensions, while cluster membership was superimposed to display group boundaries as a function of inter</w:t>
      </w:r>
      <w:r w:rsidRPr="00522310">
        <w:rPr>
          <w:rFonts w:ascii="Cambria Math" w:hAnsi="Cambria Math" w:cs="Cambria Math"/>
        </w:rPr>
        <w:t>‑</w:t>
      </w:r>
      <w:r w:rsidRPr="00522310">
        <w:rPr>
          <w:rFonts w:ascii="Arial" w:hAnsi="Arial" w:cs="Arial"/>
        </w:rPr>
        <w:t>genotype distances.</w:t>
      </w:r>
    </w:p>
    <w:p w14:paraId="26AB5B4C" w14:textId="77777777" w:rsidR="00790ADA" w:rsidRPr="00FB3A86" w:rsidRDefault="00790ADA" w:rsidP="00441B6F">
      <w:pPr>
        <w:pStyle w:val="Body"/>
        <w:spacing w:after="0"/>
        <w:rPr>
          <w:rFonts w:ascii="Arial" w:hAnsi="Arial" w:cs="Arial"/>
        </w:rPr>
      </w:pPr>
    </w:p>
    <w:p w14:paraId="16DA47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F8D1DB" w14:textId="77777777" w:rsidR="00790ADA" w:rsidRPr="00FB3A86" w:rsidRDefault="00790ADA" w:rsidP="00441B6F">
      <w:pPr>
        <w:pStyle w:val="Head1"/>
        <w:spacing w:after="0"/>
        <w:jc w:val="both"/>
        <w:rPr>
          <w:rFonts w:ascii="Arial" w:hAnsi="Arial" w:cs="Arial"/>
        </w:rPr>
      </w:pPr>
    </w:p>
    <w:p w14:paraId="0A079642" w14:textId="34585BAA" w:rsidR="00E053D0" w:rsidRDefault="00522310" w:rsidP="00441B6F">
      <w:pPr>
        <w:pStyle w:val="Body"/>
        <w:spacing w:after="0"/>
        <w:rPr>
          <w:rFonts w:ascii="Arial" w:hAnsi="Arial" w:cs="Arial"/>
        </w:rPr>
      </w:pPr>
      <w:r w:rsidRPr="00522310">
        <w:rPr>
          <w:rFonts w:ascii="Arial" w:hAnsi="Arial" w:cs="Arial"/>
        </w:rPr>
        <w:t xml:space="preserve">Inertia statistics were employed to evaluate the quality of the HCPC partition (Table 1), following established applications of HCPC in biological datasets. The total sum of squares (Total SS = 632.23) represented the overall multivariate variability among genotypes in the PCA-reduced space, while the within- and between-cluster inertia components quantified cluster compactness and centroid separation, respectively. The resulting between-to-total inertia ratio of 0.33 indicated that approximately one third of the total variation was explained by differences between clusters, a proportion consistent with genotype clustering studies under abiotic stress and supportive of a biologically meaningful separation between drought-resilient and drought-susceptible groups. The use of inertia statistics in this manner aligns with clustering methodologies across diverse biological datasets, where partition quality is assessed through total, between- and within-cluster inertia and validated by visual inspection of cluster separation (Styka </w:t>
      </w:r>
      <w:r w:rsidRPr="00522310">
        <w:rPr>
          <w:rFonts w:ascii="Arial" w:hAnsi="Arial" w:cs="Arial"/>
          <w:i/>
          <w:iCs/>
        </w:rPr>
        <w:t>et al</w:t>
      </w:r>
      <w:r w:rsidRPr="00522310">
        <w:rPr>
          <w:rFonts w:ascii="Arial" w:hAnsi="Arial" w:cs="Arial"/>
        </w:rPr>
        <w:t xml:space="preserve">., 2025). As noted by Argüelles </w:t>
      </w:r>
      <w:r w:rsidRPr="00522310">
        <w:rPr>
          <w:rFonts w:ascii="Arial" w:hAnsi="Arial" w:cs="Arial"/>
          <w:i/>
          <w:iCs/>
        </w:rPr>
        <w:t>et al</w:t>
      </w:r>
      <w:r w:rsidRPr="00522310">
        <w:rPr>
          <w:rFonts w:ascii="Arial" w:hAnsi="Arial" w:cs="Arial"/>
        </w:rPr>
        <w:t>. (2014), the number of clusters can be guided by examining inertia gains, with higher inertia reflecting improved clustering performance; accordingly, the suggested cut-off based on inertia gain was applied, and the tree was automatically partitioned into three groups.</w:t>
      </w:r>
    </w:p>
    <w:p w14:paraId="342C6C26" w14:textId="77777777" w:rsidR="006321A3" w:rsidRDefault="006321A3" w:rsidP="00441B6F">
      <w:pPr>
        <w:pStyle w:val="Body"/>
        <w:spacing w:after="0"/>
        <w:rPr>
          <w:rFonts w:ascii="Arial" w:hAnsi="Arial" w:cs="Arial"/>
        </w:rPr>
      </w:pPr>
    </w:p>
    <w:p w14:paraId="3E2D482F" w14:textId="665B427F" w:rsidR="00522310" w:rsidRDefault="00522310" w:rsidP="00441B6F">
      <w:pPr>
        <w:pStyle w:val="Body"/>
        <w:spacing w:after="0"/>
        <w:rPr>
          <w:rFonts w:ascii="Arial" w:hAnsi="Arial" w:cs="Arial"/>
        </w:rPr>
      </w:pPr>
      <w:r w:rsidRPr="00522310">
        <w:rPr>
          <w:rFonts w:ascii="Arial" w:hAnsi="Arial" w:cs="Arial"/>
        </w:rPr>
        <w:t xml:space="preserve">The HCPC separated the genotypes into two well-separated clusters (Figure 1), indicating a distinctive multivariate divergence in their drought response profiles. Cluster 1 (blue) included genotypes clustered at relatively low linkage distances, thereby showing greater internal resemblance in combinations of traits associated with drought adaptation. In contrast, Cluster 2 (yellow) grouped at higher linkage levels, implying a contrasting combination of traits that may further characterize drought susceptibility. In addition, similar studies have proven that drought-tolerant genotypes maintain better biomass, mineral status, or water-use efficiency under water deficit conditions (Chaturvedi </w:t>
      </w:r>
      <w:r w:rsidRPr="00522310">
        <w:rPr>
          <w:rFonts w:ascii="Arial" w:hAnsi="Arial" w:cs="Arial"/>
          <w:i/>
          <w:iCs/>
        </w:rPr>
        <w:t>et al</w:t>
      </w:r>
      <w:r w:rsidRPr="00522310">
        <w:rPr>
          <w:rFonts w:ascii="Arial" w:hAnsi="Arial" w:cs="Arial"/>
        </w:rPr>
        <w:t xml:space="preserve">., 2021), consistent with the traits observed in our tolerant cluster. The dendrogram showed that the studied black pepper genotypes from Cluster 1 possess morpho-physiological traits consistent with drought-resilient </w:t>
      </w:r>
      <w:proofErr w:type="spellStart"/>
      <w:r w:rsidRPr="00522310">
        <w:rPr>
          <w:rFonts w:ascii="Arial" w:hAnsi="Arial" w:cs="Arial"/>
        </w:rPr>
        <w:t>behaviour</w:t>
      </w:r>
      <w:proofErr w:type="spellEnd"/>
      <w:r w:rsidRPr="00522310">
        <w:rPr>
          <w:rFonts w:ascii="Arial" w:hAnsi="Arial" w:cs="Arial"/>
        </w:rPr>
        <w:t xml:space="preserve">, such as thicker leaves, higher relative water content and greater epicuticular wax deposition. These traits were reported in earlier black pepper drought studies (Theertha </w:t>
      </w:r>
      <w:r w:rsidRPr="00522310">
        <w:rPr>
          <w:rFonts w:ascii="Arial" w:hAnsi="Arial" w:cs="Arial"/>
          <w:i/>
          <w:iCs/>
        </w:rPr>
        <w:t>et al</w:t>
      </w:r>
      <w:r w:rsidRPr="00522310">
        <w:rPr>
          <w:rFonts w:ascii="Arial" w:hAnsi="Arial" w:cs="Arial"/>
        </w:rPr>
        <w:t xml:space="preserve">., 2023; (Ferreira </w:t>
      </w:r>
      <w:r w:rsidRPr="00522310">
        <w:rPr>
          <w:rFonts w:ascii="Arial" w:hAnsi="Arial" w:cs="Arial"/>
          <w:i/>
          <w:iCs/>
        </w:rPr>
        <w:t>et al</w:t>
      </w:r>
      <w:r w:rsidRPr="00522310">
        <w:rPr>
          <w:rFonts w:ascii="Arial" w:hAnsi="Arial" w:cs="Arial"/>
        </w:rPr>
        <w:t xml:space="preserve">., 2024; Reshma </w:t>
      </w:r>
      <w:r w:rsidRPr="00522310">
        <w:rPr>
          <w:rFonts w:ascii="Arial" w:hAnsi="Arial" w:cs="Arial"/>
          <w:i/>
          <w:iCs/>
        </w:rPr>
        <w:t>et al</w:t>
      </w:r>
      <w:r w:rsidRPr="00522310">
        <w:rPr>
          <w:rFonts w:ascii="Arial" w:hAnsi="Arial" w:cs="Arial"/>
        </w:rPr>
        <w:t xml:space="preserve">., 2024). On the contrary, Cluster 2 genotypes form subgroups </w:t>
      </w:r>
      <w:r w:rsidRPr="00522310">
        <w:rPr>
          <w:rFonts w:ascii="Arial" w:hAnsi="Arial" w:cs="Arial"/>
        </w:rPr>
        <w:lastRenderedPageBreak/>
        <w:t xml:space="preserve">characterized by higher SLA and stomatal density, matching previously described drought-sensitive profiles in which expansive foliage and dense stomata predispose plants to greater transpiration water loss (Theertha </w:t>
      </w:r>
      <w:r w:rsidRPr="00522310">
        <w:rPr>
          <w:rFonts w:ascii="Arial" w:hAnsi="Arial" w:cs="Arial"/>
          <w:i/>
          <w:iCs/>
        </w:rPr>
        <w:t>et al.,</w:t>
      </w:r>
      <w:r w:rsidRPr="00522310">
        <w:rPr>
          <w:rFonts w:ascii="Arial" w:hAnsi="Arial" w:cs="Arial"/>
        </w:rPr>
        <w:t xml:space="preserve"> 2023; Reshma </w:t>
      </w:r>
      <w:r w:rsidRPr="00522310">
        <w:rPr>
          <w:rFonts w:ascii="Arial" w:hAnsi="Arial" w:cs="Arial"/>
          <w:i/>
          <w:iCs/>
        </w:rPr>
        <w:t>et al</w:t>
      </w:r>
      <w:r w:rsidRPr="00522310">
        <w:rPr>
          <w:rFonts w:ascii="Arial" w:hAnsi="Arial" w:cs="Arial"/>
        </w:rPr>
        <w:t>., 2024). HCPC has been advocated as a robust extension of PCA for deriving biologically meaningful clusters from complex trait datasets (</w:t>
      </w:r>
      <w:proofErr w:type="spellStart"/>
      <w:r w:rsidRPr="00522310">
        <w:rPr>
          <w:rFonts w:ascii="Arial" w:hAnsi="Arial" w:cs="Arial"/>
        </w:rPr>
        <w:t>Crossay</w:t>
      </w:r>
      <w:proofErr w:type="spellEnd"/>
      <w:r w:rsidRPr="00522310">
        <w:rPr>
          <w:rFonts w:ascii="Arial" w:hAnsi="Arial" w:cs="Arial"/>
        </w:rPr>
        <w:t xml:space="preserve"> </w:t>
      </w:r>
      <w:r w:rsidRPr="001503D7">
        <w:rPr>
          <w:rFonts w:ascii="Arial" w:hAnsi="Arial" w:cs="Arial"/>
          <w:i/>
          <w:iCs/>
        </w:rPr>
        <w:t>et al</w:t>
      </w:r>
      <w:r w:rsidRPr="00522310">
        <w:rPr>
          <w:rFonts w:ascii="Arial" w:hAnsi="Arial" w:cs="Arial"/>
        </w:rPr>
        <w:t xml:space="preserve">., 2019; Koh </w:t>
      </w:r>
      <w:r w:rsidRPr="001503D7">
        <w:rPr>
          <w:rFonts w:ascii="Arial" w:hAnsi="Arial" w:cs="Arial"/>
          <w:i/>
          <w:iCs/>
        </w:rPr>
        <w:t>et al</w:t>
      </w:r>
      <w:r w:rsidR="001503D7">
        <w:rPr>
          <w:rFonts w:ascii="Arial" w:hAnsi="Arial" w:cs="Arial"/>
        </w:rPr>
        <w:t xml:space="preserve">., </w:t>
      </w:r>
      <w:r w:rsidRPr="00522310">
        <w:rPr>
          <w:rFonts w:ascii="Arial" w:hAnsi="Arial" w:cs="Arial"/>
        </w:rPr>
        <w:t>2022). From a breeding and conservation perspective, the HCPC</w:t>
      </w:r>
      <w:r w:rsidRPr="00522310">
        <w:rPr>
          <w:rFonts w:ascii="Cambria Math" w:hAnsi="Cambria Math" w:cs="Cambria Math"/>
        </w:rPr>
        <w:t>‑</w:t>
      </w:r>
      <w:r w:rsidRPr="00522310">
        <w:rPr>
          <w:rFonts w:ascii="Arial" w:hAnsi="Arial" w:cs="Arial"/>
        </w:rPr>
        <w:t>derived clusters provide a practical framework to prioritize genotypes for downstream evaluation and climate</w:t>
      </w:r>
      <w:r w:rsidRPr="00522310">
        <w:rPr>
          <w:rFonts w:ascii="Cambria Math" w:hAnsi="Cambria Math" w:cs="Cambria Math"/>
        </w:rPr>
        <w:t>‑</w:t>
      </w:r>
      <w:r w:rsidRPr="00522310">
        <w:rPr>
          <w:rFonts w:ascii="Arial" w:hAnsi="Arial" w:cs="Arial"/>
        </w:rPr>
        <w:t>resilient cultivar development. Genotypes embedded deeply within Cluster 1 can be considered core candidates for drought</w:t>
      </w:r>
      <w:r w:rsidRPr="00522310">
        <w:rPr>
          <w:rFonts w:ascii="Cambria Math" w:hAnsi="Cambria Math" w:cs="Cambria Math"/>
        </w:rPr>
        <w:t>‑</w:t>
      </w:r>
      <w:r w:rsidRPr="00522310">
        <w:rPr>
          <w:rFonts w:ascii="Arial" w:hAnsi="Arial" w:cs="Arial"/>
        </w:rPr>
        <w:t xml:space="preserve">resilient ideotypes since their consistent grouping implies stable combinations of adaptive traits under field drought conditions. </w:t>
      </w:r>
    </w:p>
    <w:p w14:paraId="31176F81" w14:textId="0DBF8F9F" w:rsidR="001503D7" w:rsidRDefault="001503D7" w:rsidP="00441B6F">
      <w:pPr>
        <w:pStyle w:val="Body"/>
        <w:spacing w:after="0"/>
        <w:rPr>
          <w:rFonts w:ascii="Arial" w:hAnsi="Arial" w:cs="Arial"/>
        </w:rPr>
      </w:pPr>
      <w:r w:rsidRPr="001503D7">
        <w:rPr>
          <w:rFonts w:ascii="Arial" w:hAnsi="Arial" w:cs="Arial"/>
        </w:rPr>
        <w:t xml:space="preserve">The HCPC analysis generated both a </w:t>
      </w:r>
      <w:proofErr w:type="gramStart"/>
      <w:r w:rsidRPr="001503D7">
        <w:rPr>
          <w:rFonts w:ascii="Arial" w:hAnsi="Arial" w:cs="Arial"/>
        </w:rPr>
        <w:t>two dimensional</w:t>
      </w:r>
      <w:proofErr w:type="gramEnd"/>
      <w:r w:rsidRPr="001503D7">
        <w:rPr>
          <w:rFonts w:ascii="Arial" w:hAnsi="Arial" w:cs="Arial"/>
        </w:rPr>
        <w:t xml:space="preserve"> factor map and a three dimensional representation of the hierarchical clustering in the reduced multivariate space (Figures 2 and 3). The factor map displayed two </w:t>
      </w:r>
      <w:proofErr w:type="spellStart"/>
      <w:r w:rsidRPr="001503D7">
        <w:rPr>
          <w:rFonts w:ascii="Arial" w:hAnsi="Arial" w:cs="Arial"/>
        </w:rPr>
        <w:t>non overlapping</w:t>
      </w:r>
      <w:proofErr w:type="spellEnd"/>
      <w:r w:rsidRPr="001503D7">
        <w:rPr>
          <w:rFonts w:ascii="Arial" w:hAnsi="Arial" w:cs="Arial"/>
        </w:rPr>
        <w:t xml:space="preserve"> clusters along Dim1 (34.9%), with Cluster 1 genotypes occupying negative scores and Cluster 2 positive scores, underscoring strong multivariate divergence in drought adaptive traits. The first two dimensions (Dim1 = 34.9%, Dim2 = 24.6%) jointly explained 59.5% of total trait variation, so genotypes positioned close together on the plot share similar </w:t>
      </w:r>
      <w:r w:rsidR="008A280C">
        <w:rPr>
          <w:rFonts w:ascii="Arial" w:hAnsi="Arial" w:cs="Arial"/>
        </w:rPr>
        <w:t>morpho-physiological</w:t>
      </w:r>
      <w:r w:rsidRPr="001503D7">
        <w:rPr>
          <w:rFonts w:ascii="Arial" w:hAnsi="Arial" w:cs="Arial"/>
        </w:rPr>
        <w:t xml:space="preserve"> profiles, whereas those far apart are distinctly different. The use of PCA factor maps to </w:t>
      </w:r>
      <w:proofErr w:type="spellStart"/>
      <w:r w:rsidRPr="001503D7">
        <w:rPr>
          <w:rFonts w:ascii="Arial" w:hAnsi="Arial" w:cs="Arial"/>
        </w:rPr>
        <w:t>visualise</w:t>
      </w:r>
      <w:proofErr w:type="spellEnd"/>
      <w:r w:rsidRPr="001503D7">
        <w:rPr>
          <w:rFonts w:ascii="Arial" w:hAnsi="Arial" w:cs="Arial"/>
        </w:rPr>
        <w:t xml:space="preserve"> cluster separation, often supported by ellipse-based cluster validation, is a standard approach in biological datasets and reinforces the reliability of the observed separation (Vidal </w:t>
      </w:r>
      <w:r w:rsidRPr="008A280C">
        <w:rPr>
          <w:rFonts w:ascii="Arial" w:hAnsi="Arial" w:cs="Arial"/>
          <w:i/>
          <w:iCs/>
        </w:rPr>
        <w:t>et al.,</w:t>
      </w:r>
      <w:r w:rsidRPr="001503D7">
        <w:rPr>
          <w:rFonts w:ascii="Arial" w:hAnsi="Arial" w:cs="Arial"/>
        </w:rPr>
        <w:t xml:space="preserve"> 2024). Cluster 1 (blue polygon) occupied the negative side of Dim1, where most genotypes (e.g. G 38, G 50, G 56, G 61) were tightly grouped, indicating a homogeneous complex of traits associated with thicker leaves, higher RWC and enhanced wax deposition, in agreement with earlier reports on tolerant black pepper accessions (Prakash </w:t>
      </w:r>
      <w:r w:rsidRPr="001503D7">
        <w:rPr>
          <w:rFonts w:ascii="Arial" w:hAnsi="Arial" w:cs="Arial"/>
          <w:i/>
          <w:iCs/>
        </w:rPr>
        <w:t>et al</w:t>
      </w:r>
      <w:r w:rsidRPr="001503D7">
        <w:rPr>
          <w:rFonts w:ascii="Arial" w:hAnsi="Arial" w:cs="Arial"/>
        </w:rPr>
        <w:t xml:space="preserve">., 2024). Cluster 2 (yellow polygon) lay on the positive side of Dim1, with genotypes such as G 60, G 57, G 17 and G 27 more widely dispersed along Dim2, reflecting contrasting combinations of higher SLA and stomatal density characteristic of drought susceptible types. Evidence for effectiveness in trait-based classification of germplasm by HCPC also comes from a study by Marcos-Barbero </w:t>
      </w:r>
      <w:r w:rsidRPr="001503D7">
        <w:rPr>
          <w:rFonts w:ascii="Arial" w:hAnsi="Arial" w:cs="Arial"/>
          <w:i/>
          <w:iCs/>
        </w:rPr>
        <w:t>et al.</w:t>
      </w:r>
      <w:r w:rsidRPr="001503D7">
        <w:rPr>
          <w:rFonts w:ascii="Arial" w:hAnsi="Arial" w:cs="Arial"/>
        </w:rPr>
        <w:t xml:space="preserve"> (2021) in wheat, where 60 genotypes were distinctly separated into three clusters based on yield and biomass attributes.</w:t>
      </w:r>
    </w:p>
    <w:p w14:paraId="777593C5" w14:textId="77777777" w:rsidR="006321A3" w:rsidRDefault="006321A3" w:rsidP="00441B6F">
      <w:pPr>
        <w:pStyle w:val="Body"/>
        <w:spacing w:after="0"/>
        <w:rPr>
          <w:rFonts w:ascii="Arial" w:hAnsi="Arial" w:cs="Arial"/>
        </w:rPr>
      </w:pPr>
    </w:p>
    <w:p w14:paraId="4F1017E9" w14:textId="612F90F8" w:rsidR="001503D7" w:rsidRDefault="001503D7" w:rsidP="00441B6F">
      <w:pPr>
        <w:pStyle w:val="Body"/>
        <w:spacing w:after="0"/>
        <w:rPr>
          <w:rFonts w:ascii="Arial" w:hAnsi="Arial" w:cs="Arial"/>
        </w:rPr>
      </w:pPr>
      <w:r w:rsidRPr="001503D7">
        <w:rPr>
          <w:rFonts w:ascii="Arial" w:hAnsi="Arial" w:cs="Arial"/>
        </w:rPr>
        <w:t xml:space="preserve">Cluster profiling based on HCPC identified five morpho-physiological variables that significantly discriminated between the two clusters: stomatal density, SLA, epicuticular wax content, RWC and leaf thickness (Table 2). All five traits showed highly significant </w:t>
      </w:r>
      <w:proofErr w:type="spellStart"/>
      <w:r w:rsidRPr="001503D7">
        <w:rPr>
          <w:rFonts w:ascii="Arial" w:hAnsi="Arial" w:cs="Arial"/>
        </w:rPr>
        <w:t>v.test</w:t>
      </w:r>
      <w:proofErr w:type="spellEnd"/>
      <w:r w:rsidRPr="001503D7">
        <w:rPr>
          <w:rFonts w:ascii="Arial" w:hAnsi="Arial" w:cs="Arial"/>
        </w:rPr>
        <w:t xml:space="preserve"> statistics (|</w:t>
      </w:r>
      <w:proofErr w:type="spellStart"/>
      <w:r w:rsidRPr="001503D7">
        <w:rPr>
          <w:rFonts w:ascii="Arial" w:hAnsi="Arial" w:cs="Arial"/>
        </w:rPr>
        <w:t>v.test</w:t>
      </w:r>
      <w:proofErr w:type="spellEnd"/>
      <w:r w:rsidRPr="001503D7">
        <w:rPr>
          <w:rFonts w:ascii="Arial" w:hAnsi="Arial" w:cs="Arial"/>
        </w:rPr>
        <w:t xml:space="preserve">| ≥ 5.97, p &lt; 0.001), indicating strong contributions to cluster separation, and their cluster means differed markedly from the overall population means. Cluster 1 was characterized by reduced stomatal density and SLA together with increased epicuticular wax, RWC and leaf thickness. Negative </w:t>
      </w:r>
      <w:proofErr w:type="spellStart"/>
      <w:r w:rsidRPr="001503D7">
        <w:rPr>
          <w:rFonts w:ascii="Arial" w:hAnsi="Arial" w:cs="Arial"/>
        </w:rPr>
        <w:t>v.test</w:t>
      </w:r>
      <w:proofErr w:type="spellEnd"/>
      <w:r w:rsidRPr="001503D7">
        <w:rPr>
          <w:rFonts w:ascii="Arial" w:hAnsi="Arial" w:cs="Arial"/>
        </w:rPr>
        <w:t xml:space="preserve"> values for stomatal density (-6.33) and SLA (-6.01) indicate substantially lower values of these traits, whereas positive </w:t>
      </w:r>
      <w:proofErr w:type="spellStart"/>
      <w:r w:rsidRPr="001503D7">
        <w:rPr>
          <w:rFonts w:ascii="Arial" w:hAnsi="Arial" w:cs="Arial"/>
        </w:rPr>
        <w:t>v.test</w:t>
      </w:r>
      <w:proofErr w:type="spellEnd"/>
      <w:r w:rsidRPr="001503D7">
        <w:rPr>
          <w:rFonts w:ascii="Arial" w:hAnsi="Arial" w:cs="Arial"/>
        </w:rPr>
        <w:t xml:space="preserve"> values for epicuticular wax (6.21), RWC (6.20) and leaf thickness (5.97) indicate thicker, more wax-covered leaves with superior water status. Such a constellation of traits is consistent with reduced transpiration water loss and better maintenance of tissue hydration mechanisms frequently linked to drought tolerance in black pepper and related species. However, Cluster 2 presented the opposite pattern, with higher stomatal density (</w:t>
      </w:r>
      <w:proofErr w:type="spellStart"/>
      <w:r w:rsidRPr="001503D7">
        <w:rPr>
          <w:rFonts w:ascii="Arial" w:hAnsi="Arial" w:cs="Arial"/>
        </w:rPr>
        <w:t>v.test</w:t>
      </w:r>
      <w:proofErr w:type="spellEnd"/>
      <w:r w:rsidRPr="001503D7">
        <w:rPr>
          <w:rFonts w:ascii="Arial" w:hAnsi="Arial" w:cs="Arial"/>
        </w:rPr>
        <w:t xml:space="preserve"> = 6.33) and SLA (</w:t>
      </w:r>
      <w:proofErr w:type="spellStart"/>
      <w:r w:rsidRPr="001503D7">
        <w:rPr>
          <w:rFonts w:ascii="Arial" w:hAnsi="Arial" w:cs="Arial"/>
        </w:rPr>
        <w:t>v.test</w:t>
      </w:r>
      <w:proofErr w:type="spellEnd"/>
      <w:r w:rsidRPr="001503D7">
        <w:rPr>
          <w:rFonts w:ascii="Arial" w:hAnsi="Arial" w:cs="Arial"/>
        </w:rPr>
        <w:t xml:space="preserve"> = 6.01) and lower epicuticular wax, RWC and leaf thickness (</w:t>
      </w:r>
      <w:proofErr w:type="spellStart"/>
      <w:r w:rsidRPr="001503D7">
        <w:rPr>
          <w:rFonts w:ascii="Arial" w:hAnsi="Arial" w:cs="Arial"/>
        </w:rPr>
        <w:t>v.test</w:t>
      </w:r>
      <w:proofErr w:type="spellEnd"/>
      <w:r w:rsidRPr="001503D7">
        <w:rPr>
          <w:rFonts w:ascii="Arial" w:hAnsi="Arial" w:cs="Arial"/>
        </w:rPr>
        <w:t xml:space="preserve"> &lt; –5.97) than the overall means, indicating thinner, less protected leaves with greater stomatal abundance and increased evaporative demand under moisture deficit. The near</w:t>
      </w:r>
      <w:r w:rsidRPr="001503D7">
        <w:rPr>
          <w:rFonts w:ascii="Cambria Math" w:hAnsi="Cambria Math" w:cs="Cambria Math"/>
        </w:rPr>
        <w:t>‑</w:t>
      </w:r>
      <w:r w:rsidRPr="001503D7">
        <w:rPr>
          <w:rFonts w:ascii="Arial" w:hAnsi="Arial" w:cs="Arial"/>
        </w:rPr>
        <w:t xml:space="preserve">symmetric </w:t>
      </w:r>
      <w:proofErr w:type="spellStart"/>
      <w:r w:rsidRPr="001503D7">
        <w:rPr>
          <w:rFonts w:ascii="Arial" w:hAnsi="Arial" w:cs="Arial"/>
        </w:rPr>
        <w:t>v.test</w:t>
      </w:r>
      <w:proofErr w:type="spellEnd"/>
      <w:r w:rsidRPr="001503D7">
        <w:rPr>
          <w:rFonts w:ascii="Arial" w:hAnsi="Arial" w:cs="Arial"/>
        </w:rPr>
        <w:t xml:space="preserve"> values between clusters highlight the fact that the same set of characteristics underpins both the tolerant and susceptible syndromes of drought, but with the effect reversed. The role of epicuticular wax in modulating drought tolerance has also been emphasized in other crops. In wheat, high-wax mutants exhibited markedly reduced water loss, enhanced antioxidant protection and lower oxidative damage under drought stress (Wen </w:t>
      </w:r>
      <w:r w:rsidRPr="001503D7">
        <w:rPr>
          <w:rFonts w:ascii="Arial" w:hAnsi="Arial" w:cs="Arial"/>
          <w:i/>
          <w:iCs/>
        </w:rPr>
        <w:t>et al</w:t>
      </w:r>
      <w:r w:rsidRPr="001503D7">
        <w:rPr>
          <w:rFonts w:ascii="Arial" w:hAnsi="Arial" w:cs="Arial"/>
        </w:rPr>
        <w:t xml:space="preserve">., 2025). Faba bean studies showing wide, genetically controlled variation in epicuticular wax independent of stomatal traits align with our findings, where wax content and stomatal density contributed separately to drought-response differentiation (Khazaei </w:t>
      </w:r>
      <w:r w:rsidRPr="006321A3">
        <w:rPr>
          <w:rFonts w:ascii="Arial" w:hAnsi="Arial" w:cs="Arial"/>
          <w:i/>
          <w:iCs/>
        </w:rPr>
        <w:t>et al</w:t>
      </w:r>
      <w:r w:rsidRPr="001503D7">
        <w:rPr>
          <w:rFonts w:ascii="Arial" w:hAnsi="Arial" w:cs="Arial"/>
        </w:rPr>
        <w:t xml:space="preserve">., 2019). Studies comparing plants with contrasting stomatal densities show that individuals with fewer stomata reduce transpiration more effectively, conserve soil moisture and exhibit markedly higher drought tolerance (Hepworth </w:t>
      </w:r>
      <w:r w:rsidRPr="006321A3">
        <w:rPr>
          <w:rFonts w:ascii="Arial" w:hAnsi="Arial" w:cs="Arial"/>
          <w:i/>
          <w:iCs/>
        </w:rPr>
        <w:t>et al.,</w:t>
      </w:r>
      <w:r w:rsidRPr="001503D7">
        <w:rPr>
          <w:rFonts w:ascii="Arial" w:hAnsi="Arial" w:cs="Arial"/>
        </w:rPr>
        <w:t xml:space="preserve"> 2015). Studies in </w:t>
      </w:r>
      <w:proofErr w:type="spellStart"/>
      <w:r w:rsidRPr="001503D7">
        <w:rPr>
          <w:rFonts w:ascii="Arial" w:hAnsi="Arial" w:cs="Arial"/>
        </w:rPr>
        <w:t>Leymus</w:t>
      </w:r>
      <w:proofErr w:type="spellEnd"/>
      <w:r w:rsidRPr="001503D7">
        <w:rPr>
          <w:rFonts w:ascii="Arial" w:hAnsi="Arial" w:cs="Arial"/>
        </w:rPr>
        <w:t xml:space="preserve"> </w:t>
      </w:r>
      <w:proofErr w:type="spellStart"/>
      <w:r w:rsidRPr="001503D7">
        <w:rPr>
          <w:rFonts w:ascii="Arial" w:hAnsi="Arial" w:cs="Arial"/>
        </w:rPr>
        <w:t>chinensis</w:t>
      </w:r>
      <w:proofErr w:type="spellEnd"/>
      <w:r w:rsidRPr="001503D7">
        <w:rPr>
          <w:rFonts w:ascii="Arial" w:hAnsi="Arial" w:cs="Arial"/>
        </w:rPr>
        <w:t xml:space="preserve"> show that stomatal density changes with water availability, rising under moderate stress but declining under severe drought, and is closely linked to stomatal conductance, photosynthesis and water use efficiency. A negative relationship with SLA was also observed (Xu </w:t>
      </w:r>
      <w:r w:rsidR="008A280C">
        <w:rPr>
          <w:rFonts w:ascii="Arial" w:hAnsi="Arial" w:cs="Arial"/>
        </w:rPr>
        <w:t>&amp;</w:t>
      </w:r>
      <w:r w:rsidRPr="001503D7">
        <w:rPr>
          <w:rFonts w:ascii="Arial" w:hAnsi="Arial" w:cs="Arial"/>
        </w:rPr>
        <w:t xml:space="preserve"> Zhou, 2008). These patterns support our findings that variation in stomatal density and SLA contributes significantly to drought response differences among black pepper genotypes. The relationships between key traits and clusters were further elucidated by the chord diagram, Figure 4, in order to visualize the relative strength of each trait-cluster association. Thick ribbons linked epicuticular wax, leaf thickness and RWC to Cluster 1, while SLA and stomatal density dominated Cluster 2, confirming that structural and water-status traits underpin the tolerant group and expansive, highly stomatous leaves characterize the susceptible genotypes. This graphical summary is consistent with the HCPC </w:t>
      </w:r>
      <w:proofErr w:type="spellStart"/>
      <w:r w:rsidRPr="001503D7">
        <w:rPr>
          <w:rFonts w:ascii="Arial" w:hAnsi="Arial" w:cs="Arial"/>
        </w:rPr>
        <w:t>v.test</w:t>
      </w:r>
      <w:proofErr w:type="spellEnd"/>
      <w:r w:rsidRPr="001503D7">
        <w:rPr>
          <w:rFonts w:ascii="Arial" w:hAnsi="Arial" w:cs="Arial"/>
        </w:rPr>
        <w:t xml:space="preserve"> statistics and with previous morpho</w:t>
      </w:r>
      <w:r w:rsidRPr="001503D7">
        <w:rPr>
          <w:rFonts w:ascii="Cambria Math" w:hAnsi="Cambria Math" w:cs="Cambria Math"/>
        </w:rPr>
        <w:t>‑</w:t>
      </w:r>
      <w:r w:rsidRPr="001503D7">
        <w:rPr>
          <w:rFonts w:ascii="Arial" w:hAnsi="Arial" w:cs="Arial"/>
        </w:rPr>
        <w:t>physiological studies of black pepper drought responses.</w:t>
      </w:r>
    </w:p>
    <w:p w14:paraId="309DE209" w14:textId="77777777" w:rsidR="00522310" w:rsidRDefault="00522310" w:rsidP="00441B6F">
      <w:pPr>
        <w:pStyle w:val="Body"/>
        <w:spacing w:after="0"/>
        <w:rPr>
          <w:rFonts w:ascii="Arial" w:hAnsi="Arial" w:cs="Arial"/>
        </w:rPr>
      </w:pPr>
    </w:p>
    <w:p w14:paraId="6AD4B857" w14:textId="77777777" w:rsidR="00790ADA" w:rsidRDefault="00790ADA" w:rsidP="00441B6F">
      <w:pPr>
        <w:pStyle w:val="Body"/>
        <w:spacing w:after="0"/>
        <w:rPr>
          <w:rFonts w:ascii="Arial" w:hAnsi="Arial" w:cs="Arial"/>
        </w:rPr>
      </w:pPr>
    </w:p>
    <w:p w14:paraId="3961E2EB" w14:textId="77777777" w:rsidR="00760CEA" w:rsidRDefault="00760CEA" w:rsidP="00441B6F">
      <w:pPr>
        <w:pStyle w:val="Body"/>
        <w:spacing w:after="0"/>
        <w:rPr>
          <w:rFonts w:ascii="Arial" w:hAnsi="Arial" w:cs="Arial"/>
        </w:rPr>
      </w:pPr>
    </w:p>
    <w:p w14:paraId="016CC6A5" w14:textId="76330D14"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321A3" w:rsidRPr="006321A3">
        <w:rPr>
          <w:rFonts w:ascii="Arial" w:hAnsi="Arial"/>
          <w:b/>
        </w:rPr>
        <w:t>Inertia statistics for HCPC partition of 62 black pepper genotypes</w:t>
      </w:r>
    </w:p>
    <w:p w14:paraId="46121351" w14:textId="77777777" w:rsidR="00B41B92" w:rsidRPr="00DC3180" w:rsidRDefault="00B41B92" w:rsidP="00441B6F">
      <w:pPr>
        <w:tabs>
          <w:tab w:val="left" w:pos="1080"/>
        </w:tabs>
        <w:jc w:val="both"/>
        <w:rPr>
          <w:rFonts w:ascii="Arial" w:hAnsi="Arial"/>
          <w:b/>
        </w:rPr>
      </w:pPr>
    </w:p>
    <w:tbl>
      <w:tblPr>
        <w:tblW w:w="421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tblGrid>
      <w:tr w:rsidR="006321A3" w:rsidRPr="00DC3180" w14:paraId="58B1861A" w14:textId="77777777" w:rsidTr="006321A3">
        <w:trPr>
          <w:jc w:val="center"/>
        </w:trPr>
        <w:tc>
          <w:tcPr>
            <w:tcW w:w="3150" w:type="dxa"/>
            <w:tcBorders>
              <w:bottom w:val="single" w:sz="4" w:space="0" w:color="auto"/>
            </w:tcBorders>
          </w:tcPr>
          <w:p w14:paraId="450D6635" w14:textId="6F1B8596" w:rsidR="006321A3" w:rsidRPr="00DC3180" w:rsidRDefault="006321A3" w:rsidP="00441B6F">
            <w:pPr>
              <w:jc w:val="both"/>
              <w:rPr>
                <w:rFonts w:ascii="Arial" w:hAnsi="Arial"/>
                <w:b/>
                <w:bCs/>
              </w:rPr>
            </w:pPr>
            <w:r w:rsidRPr="006321A3">
              <w:rPr>
                <w:rFonts w:ascii="Arial" w:hAnsi="Arial"/>
                <w:b/>
              </w:rPr>
              <w:t>Metric</w:t>
            </w:r>
          </w:p>
        </w:tc>
        <w:tc>
          <w:tcPr>
            <w:tcW w:w="1067" w:type="dxa"/>
            <w:tcBorders>
              <w:bottom w:val="single" w:sz="4" w:space="0" w:color="auto"/>
            </w:tcBorders>
          </w:tcPr>
          <w:p w14:paraId="2E16D6EC" w14:textId="77777777" w:rsidR="006321A3" w:rsidRPr="00DC3180" w:rsidRDefault="006321A3" w:rsidP="00441B6F">
            <w:pPr>
              <w:jc w:val="both"/>
              <w:rPr>
                <w:rFonts w:ascii="Arial" w:hAnsi="Arial"/>
                <w:b/>
                <w:bCs/>
              </w:rPr>
            </w:pPr>
            <w:r w:rsidRPr="00DC3180">
              <w:rPr>
                <w:rFonts w:ascii="Arial" w:hAnsi="Arial"/>
                <w:b/>
                <w:bCs/>
              </w:rPr>
              <w:t>Value</w:t>
            </w:r>
          </w:p>
        </w:tc>
      </w:tr>
      <w:tr w:rsidR="006321A3" w:rsidRPr="00DC3180" w14:paraId="2F524018" w14:textId="77777777" w:rsidTr="006321A3">
        <w:trPr>
          <w:trHeight w:val="773"/>
          <w:jc w:val="center"/>
          <w:hidden/>
        </w:trPr>
        <w:tc>
          <w:tcPr>
            <w:tcW w:w="3150" w:type="dxa"/>
            <w:tcBorders>
              <w:bottom w:val="nil"/>
            </w:tcBorders>
          </w:tcPr>
          <w:p w14:paraId="2D726C76" w14:textId="7355DAF9" w:rsidR="006321A3" w:rsidRPr="00DC3180" w:rsidRDefault="006321A3" w:rsidP="00441B6F">
            <w:pPr>
              <w:jc w:val="both"/>
              <w:rPr>
                <w:rFonts w:ascii="Arial" w:hAnsi="Arial"/>
                <w:vanish/>
              </w:rPr>
            </w:pPr>
            <w:r w:rsidRPr="006321A3">
              <w:rPr>
                <w:rFonts w:ascii="Arial" w:hAnsi="Arial"/>
                <w:vanish/>
              </w:rPr>
              <w:lastRenderedPageBreak/>
              <w:t>Total Sum of Squares (Total SS)</w:t>
            </w:r>
          </w:p>
          <w:p w14:paraId="38CBB365" w14:textId="54CAFEB5" w:rsidR="006321A3" w:rsidRPr="00DC3180" w:rsidRDefault="006321A3" w:rsidP="00441B6F">
            <w:pPr>
              <w:jc w:val="both"/>
              <w:rPr>
                <w:rFonts w:ascii="Arial" w:hAnsi="Arial"/>
                <w:vanish/>
              </w:rPr>
            </w:pPr>
            <w:r w:rsidRPr="006321A3">
              <w:rPr>
                <w:rFonts w:ascii="Arial" w:hAnsi="Arial"/>
              </w:rPr>
              <w:t>Within-Cluster Sum of Squares (Within SS)</w:t>
            </w:r>
          </w:p>
          <w:p w14:paraId="4C408198" w14:textId="77777777" w:rsidR="006747D4" w:rsidRDefault="006747D4" w:rsidP="00441B6F">
            <w:pPr>
              <w:jc w:val="both"/>
              <w:rPr>
                <w:rFonts w:ascii="Arial" w:hAnsi="Arial"/>
              </w:rPr>
            </w:pPr>
            <w:r w:rsidRPr="006747D4">
              <w:rPr>
                <w:rFonts w:ascii="Arial" w:hAnsi="Arial"/>
              </w:rPr>
              <w:t>Between-Cluster Sum of Squares (</w:t>
            </w:r>
            <w:proofErr w:type="spellStart"/>
            <w:r w:rsidRPr="006747D4">
              <w:rPr>
                <w:rFonts w:ascii="Arial" w:hAnsi="Arial"/>
              </w:rPr>
              <w:t>Between_SS</w:t>
            </w:r>
            <w:proofErr w:type="spellEnd"/>
            <w:r w:rsidRPr="006747D4">
              <w:rPr>
                <w:rFonts w:ascii="Arial" w:hAnsi="Arial"/>
              </w:rPr>
              <w:t>)</w:t>
            </w:r>
          </w:p>
          <w:p w14:paraId="216EA53D" w14:textId="51120DD1" w:rsidR="006321A3" w:rsidRPr="00DC3180" w:rsidRDefault="006747D4" w:rsidP="00441B6F">
            <w:pPr>
              <w:jc w:val="both"/>
              <w:rPr>
                <w:rFonts w:ascii="Arial" w:hAnsi="Arial"/>
                <w:b/>
                <w:bCs/>
              </w:rPr>
            </w:pPr>
            <w:r w:rsidRPr="006747D4">
              <w:rPr>
                <w:rFonts w:ascii="Arial" w:hAnsi="Arial"/>
              </w:rPr>
              <w:t>Between / Total Ratio</w:t>
            </w:r>
          </w:p>
        </w:tc>
        <w:tc>
          <w:tcPr>
            <w:tcW w:w="1067" w:type="dxa"/>
            <w:tcBorders>
              <w:bottom w:val="nil"/>
            </w:tcBorders>
          </w:tcPr>
          <w:p w14:paraId="2289A3D6" w14:textId="77777777" w:rsidR="006747D4" w:rsidRPr="006747D4" w:rsidRDefault="006747D4" w:rsidP="006747D4">
            <w:pPr>
              <w:jc w:val="both"/>
              <w:rPr>
                <w:rFonts w:ascii="Arial" w:hAnsi="Arial"/>
              </w:rPr>
            </w:pPr>
            <w:r w:rsidRPr="006747D4">
              <w:rPr>
                <w:rFonts w:ascii="Arial" w:hAnsi="Arial"/>
              </w:rPr>
              <w:t>632.23</w:t>
            </w:r>
          </w:p>
          <w:p w14:paraId="155F03F0" w14:textId="77777777" w:rsidR="006747D4" w:rsidRPr="006747D4" w:rsidRDefault="006747D4" w:rsidP="006747D4">
            <w:pPr>
              <w:jc w:val="both"/>
              <w:rPr>
                <w:rFonts w:ascii="Arial" w:hAnsi="Arial"/>
              </w:rPr>
            </w:pPr>
            <w:r w:rsidRPr="006747D4">
              <w:rPr>
                <w:rFonts w:ascii="Arial" w:hAnsi="Arial"/>
              </w:rPr>
              <w:t>421.38</w:t>
            </w:r>
          </w:p>
          <w:p w14:paraId="7926D4B1" w14:textId="77777777" w:rsidR="006747D4" w:rsidRPr="006747D4" w:rsidRDefault="006747D4" w:rsidP="006747D4">
            <w:pPr>
              <w:jc w:val="both"/>
              <w:rPr>
                <w:rFonts w:ascii="Arial" w:hAnsi="Arial"/>
              </w:rPr>
            </w:pPr>
            <w:r w:rsidRPr="006747D4">
              <w:rPr>
                <w:rFonts w:ascii="Arial" w:hAnsi="Arial"/>
              </w:rPr>
              <w:t>210.85</w:t>
            </w:r>
          </w:p>
          <w:p w14:paraId="7FE03D3D" w14:textId="61BA8794" w:rsidR="006321A3" w:rsidRPr="00DC3180" w:rsidRDefault="006747D4" w:rsidP="006747D4">
            <w:pPr>
              <w:jc w:val="both"/>
              <w:rPr>
                <w:rFonts w:ascii="Arial" w:hAnsi="Arial"/>
                <w:b/>
                <w:bCs/>
              </w:rPr>
            </w:pPr>
            <w:r w:rsidRPr="006747D4">
              <w:rPr>
                <w:rFonts w:ascii="Arial" w:hAnsi="Arial"/>
              </w:rPr>
              <w:t>0.33</w:t>
            </w:r>
          </w:p>
        </w:tc>
      </w:tr>
    </w:tbl>
    <w:p w14:paraId="42A5A12D" w14:textId="77777777" w:rsidR="00EC22DE" w:rsidRDefault="00EC22DE" w:rsidP="000819F0">
      <w:pPr>
        <w:pStyle w:val="BodyText3"/>
        <w:tabs>
          <w:tab w:val="left" w:pos="1080"/>
        </w:tabs>
        <w:spacing w:after="0"/>
        <w:ind w:left="1080" w:hanging="1080"/>
        <w:jc w:val="both"/>
        <w:rPr>
          <w:rFonts w:ascii="Arial" w:hAnsi="Arial"/>
          <w:b/>
          <w:iCs/>
          <w:sz w:val="18"/>
        </w:rPr>
      </w:pPr>
    </w:p>
    <w:p w14:paraId="0374DFC3"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13EDE7EF"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66B73E56"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4045BFAD" w14:textId="77777777" w:rsidR="00760CEA" w:rsidRDefault="00760CEA" w:rsidP="000819F0">
      <w:pPr>
        <w:pStyle w:val="BodyText3"/>
        <w:tabs>
          <w:tab w:val="left" w:pos="1080"/>
        </w:tabs>
        <w:spacing w:after="0"/>
        <w:ind w:left="1080" w:hanging="1080"/>
        <w:jc w:val="both"/>
        <w:rPr>
          <w:rFonts w:ascii="Arial" w:hAnsi="Arial"/>
          <w:b/>
          <w:iCs/>
          <w:sz w:val="20"/>
          <w:szCs w:val="20"/>
        </w:rPr>
      </w:pPr>
    </w:p>
    <w:p w14:paraId="69D2DC5C" w14:textId="1CB3FEE1" w:rsidR="00863BD3" w:rsidRPr="006A6617" w:rsidRDefault="00EC22DE" w:rsidP="000819F0">
      <w:pPr>
        <w:pStyle w:val="BodyText3"/>
        <w:tabs>
          <w:tab w:val="left" w:pos="1080"/>
        </w:tabs>
        <w:spacing w:after="0"/>
        <w:ind w:left="1080" w:hanging="1080"/>
        <w:jc w:val="both"/>
        <w:rPr>
          <w:rFonts w:ascii="Arial" w:hAnsi="Arial"/>
          <w:b/>
          <w:iCs/>
          <w:sz w:val="20"/>
          <w:szCs w:val="20"/>
        </w:rPr>
      </w:pPr>
      <w:r w:rsidRPr="006A6617">
        <w:rPr>
          <w:rFonts w:ascii="Arial" w:hAnsi="Arial"/>
          <w:b/>
          <w:iCs/>
          <w:sz w:val="20"/>
          <w:szCs w:val="20"/>
        </w:rPr>
        <w:t xml:space="preserve">Table 2. </w:t>
      </w:r>
      <w:r w:rsidR="006A6617">
        <w:rPr>
          <w:rFonts w:ascii="Arial" w:hAnsi="Arial"/>
          <w:b/>
          <w:iCs/>
          <w:sz w:val="20"/>
          <w:szCs w:val="20"/>
        </w:rPr>
        <w:t>Key m</w:t>
      </w:r>
      <w:r w:rsidRPr="006A6617">
        <w:rPr>
          <w:rFonts w:ascii="Arial" w:hAnsi="Arial"/>
          <w:b/>
          <w:iCs/>
          <w:sz w:val="20"/>
          <w:szCs w:val="20"/>
        </w:rPr>
        <w:t>orpho physiological traits discriminating HCPC clusters in black pepper genotypes</w:t>
      </w:r>
    </w:p>
    <w:p w14:paraId="3B2C0E6E" w14:textId="77777777" w:rsidR="000819F0" w:rsidRDefault="000819F0" w:rsidP="000819F0">
      <w:pPr>
        <w:pStyle w:val="BodyText3"/>
        <w:tabs>
          <w:tab w:val="left" w:pos="1080"/>
        </w:tabs>
        <w:spacing w:after="0"/>
        <w:ind w:left="1080" w:hanging="1080"/>
        <w:jc w:val="both"/>
        <w:rPr>
          <w:rFonts w:ascii="Arial" w:hAnsi="Arial"/>
          <w:bCs/>
          <w:i/>
          <w:sz w:val="18"/>
        </w:rPr>
      </w:pPr>
    </w:p>
    <w:tbl>
      <w:tblPr>
        <w:tblStyle w:val="TableGrid"/>
        <w:tblW w:w="10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3411"/>
        <w:gridCol w:w="938"/>
        <w:gridCol w:w="1050"/>
        <w:gridCol w:w="895"/>
        <w:gridCol w:w="1083"/>
        <w:gridCol w:w="895"/>
        <w:gridCol w:w="1142"/>
      </w:tblGrid>
      <w:tr w:rsidR="000819F0" w:rsidRPr="000819F0" w14:paraId="238F16B3" w14:textId="77777777" w:rsidTr="00790E2E">
        <w:trPr>
          <w:trHeight w:val="463"/>
          <w:jc w:val="center"/>
        </w:trPr>
        <w:tc>
          <w:tcPr>
            <w:tcW w:w="906" w:type="dxa"/>
            <w:tcBorders>
              <w:top w:val="single" w:sz="4" w:space="0" w:color="auto"/>
              <w:bottom w:val="single" w:sz="4" w:space="0" w:color="auto"/>
            </w:tcBorders>
            <w:noWrap/>
            <w:hideMark/>
          </w:tcPr>
          <w:p w14:paraId="5C47F43F" w14:textId="77777777" w:rsidR="000819F0" w:rsidRPr="000819F0" w:rsidRDefault="000819F0" w:rsidP="000819F0">
            <w:pPr>
              <w:pStyle w:val="BodyText3"/>
              <w:tabs>
                <w:tab w:val="left" w:pos="1080"/>
              </w:tabs>
              <w:spacing w:after="0"/>
              <w:ind w:left="1080" w:hanging="1080"/>
              <w:jc w:val="both"/>
              <w:rPr>
                <w:rFonts w:ascii="Arial" w:hAnsi="Arial"/>
                <w:b/>
                <w:bCs/>
                <w:sz w:val="20"/>
                <w:lang w:val="en-IN"/>
              </w:rPr>
            </w:pPr>
            <w:r w:rsidRPr="000819F0">
              <w:rPr>
                <w:rFonts w:ascii="Arial" w:hAnsi="Arial"/>
                <w:b/>
                <w:bCs/>
                <w:sz w:val="20"/>
                <w:lang w:val="en-IN"/>
              </w:rPr>
              <w:t>Cluster</w:t>
            </w:r>
          </w:p>
        </w:tc>
        <w:tc>
          <w:tcPr>
            <w:tcW w:w="3411" w:type="dxa"/>
            <w:tcBorders>
              <w:top w:val="single" w:sz="4" w:space="0" w:color="auto"/>
              <w:bottom w:val="single" w:sz="4" w:space="0" w:color="auto"/>
            </w:tcBorders>
            <w:noWrap/>
            <w:hideMark/>
          </w:tcPr>
          <w:p w14:paraId="4F720308" w14:textId="77777777" w:rsidR="000819F0" w:rsidRPr="000819F0" w:rsidRDefault="000819F0" w:rsidP="000819F0">
            <w:pPr>
              <w:pStyle w:val="BodyText3"/>
              <w:tabs>
                <w:tab w:val="left" w:pos="1080"/>
              </w:tabs>
              <w:spacing w:after="0"/>
              <w:ind w:left="1080" w:hanging="1080"/>
              <w:jc w:val="both"/>
              <w:rPr>
                <w:rFonts w:ascii="Arial" w:hAnsi="Arial"/>
                <w:b/>
                <w:bCs/>
                <w:sz w:val="20"/>
                <w:lang w:val="en-IN"/>
              </w:rPr>
            </w:pPr>
            <w:r w:rsidRPr="000819F0">
              <w:rPr>
                <w:rFonts w:ascii="Arial" w:hAnsi="Arial"/>
                <w:b/>
                <w:bCs/>
                <w:sz w:val="20"/>
                <w:lang w:val="en-IN"/>
              </w:rPr>
              <w:t>Variable</w:t>
            </w:r>
          </w:p>
        </w:tc>
        <w:tc>
          <w:tcPr>
            <w:tcW w:w="938" w:type="dxa"/>
            <w:tcBorders>
              <w:top w:val="single" w:sz="4" w:space="0" w:color="auto"/>
              <w:bottom w:val="single" w:sz="4" w:space="0" w:color="auto"/>
            </w:tcBorders>
            <w:noWrap/>
          </w:tcPr>
          <w:p w14:paraId="63EB2431" w14:textId="3621E91C" w:rsidR="000819F0" w:rsidRPr="000819F0" w:rsidRDefault="000819F0" w:rsidP="000819F0">
            <w:pPr>
              <w:pStyle w:val="BodyText3"/>
              <w:tabs>
                <w:tab w:val="left" w:pos="1080"/>
              </w:tabs>
              <w:spacing w:after="0"/>
              <w:ind w:left="1080" w:hanging="1080"/>
              <w:jc w:val="both"/>
              <w:rPr>
                <w:rFonts w:ascii="Arial" w:hAnsi="Arial"/>
                <w:b/>
                <w:bCs/>
                <w:sz w:val="20"/>
                <w:lang w:val="en-IN"/>
              </w:rPr>
            </w:pPr>
            <w:proofErr w:type="spellStart"/>
            <w:r w:rsidRPr="00190D5F">
              <w:rPr>
                <w:rFonts w:ascii="Times New Roman" w:eastAsia="Times New Roman" w:hAnsi="Times New Roman"/>
                <w:b/>
                <w:bCs/>
                <w:sz w:val="24"/>
                <w:szCs w:val="24"/>
                <w:lang w:eastAsia="en-IN"/>
              </w:rPr>
              <w:t>v.test</w:t>
            </w:r>
            <w:proofErr w:type="spellEnd"/>
          </w:p>
        </w:tc>
        <w:tc>
          <w:tcPr>
            <w:tcW w:w="1050" w:type="dxa"/>
            <w:tcBorders>
              <w:top w:val="single" w:sz="4" w:space="0" w:color="auto"/>
              <w:bottom w:val="single" w:sz="4" w:space="0" w:color="auto"/>
            </w:tcBorders>
            <w:noWrap/>
          </w:tcPr>
          <w:p w14:paraId="7DAF36F3"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 xml:space="preserve">Mean in </w:t>
            </w:r>
          </w:p>
          <w:p w14:paraId="4ED86748" w14:textId="3E78D721"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category</w:t>
            </w:r>
          </w:p>
        </w:tc>
        <w:tc>
          <w:tcPr>
            <w:tcW w:w="895" w:type="dxa"/>
            <w:tcBorders>
              <w:top w:val="single" w:sz="4" w:space="0" w:color="auto"/>
              <w:bottom w:val="single" w:sz="4" w:space="0" w:color="auto"/>
            </w:tcBorders>
            <w:noWrap/>
          </w:tcPr>
          <w:p w14:paraId="77529421"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Overall</w:t>
            </w:r>
          </w:p>
          <w:p w14:paraId="5EFF1C2E" w14:textId="028F3435"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mean</w:t>
            </w:r>
          </w:p>
        </w:tc>
        <w:tc>
          <w:tcPr>
            <w:tcW w:w="1083" w:type="dxa"/>
            <w:tcBorders>
              <w:top w:val="single" w:sz="4" w:space="0" w:color="auto"/>
              <w:bottom w:val="single" w:sz="4" w:space="0" w:color="auto"/>
            </w:tcBorders>
            <w:noWrap/>
          </w:tcPr>
          <w:p w14:paraId="3BE2C50D"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SD in</w:t>
            </w:r>
          </w:p>
          <w:p w14:paraId="7BE9078B" w14:textId="3A31FC60"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 xml:space="preserve">Category </w:t>
            </w:r>
          </w:p>
        </w:tc>
        <w:tc>
          <w:tcPr>
            <w:tcW w:w="895" w:type="dxa"/>
            <w:tcBorders>
              <w:top w:val="single" w:sz="4" w:space="0" w:color="auto"/>
              <w:bottom w:val="single" w:sz="4" w:space="0" w:color="auto"/>
            </w:tcBorders>
            <w:noWrap/>
          </w:tcPr>
          <w:p w14:paraId="01172FED" w14:textId="77777777"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Overall</w:t>
            </w:r>
          </w:p>
          <w:p w14:paraId="35D362D9" w14:textId="4153ABD8"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SD</w:t>
            </w:r>
          </w:p>
        </w:tc>
        <w:tc>
          <w:tcPr>
            <w:tcW w:w="1142" w:type="dxa"/>
            <w:tcBorders>
              <w:top w:val="single" w:sz="4" w:space="0" w:color="auto"/>
              <w:bottom w:val="single" w:sz="4" w:space="0" w:color="auto"/>
            </w:tcBorders>
            <w:noWrap/>
            <w:hideMark/>
          </w:tcPr>
          <w:p w14:paraId="0983E259" w14:textId="77777777" w:rsidR="000819F0" w:rsidRPr="000819F0" w:rsidRDefault="000819F0" w:rsidP="000819F0">
            <w:pPr>
              <w:pStyle w:val="BodyText3"/>
              <w:tabs>
                <w:tab w:val="left" w:pos="1080"/>
              </w:tabs>
              <w:spacing w:after="0"/>
              <w:ind w:left="1080" w:hanging="1080"/>
              <w:jc w:val="both"/>
              <w:rPr>
                <w:rFonts w:ascii="Arial" w:hAnsi="Arial"/>
                <w:b/>
                <w:bCs/>
                <w:sz w:val="20"/>
                <w:lang w:val="en-IN"/>
              </w:rPr>
            </w:pPr>
            <w:proofErr w:type="spellStart"/>
            <w:r w:rsidRPr="000819F0">
              <w:rPr>
                <w:rFonts w:ascii="Arial" w:hAnsi="Arial"/>
                <w:b/>
                <w:bCs/>
                <w:sz w:val="20"/>
                <w:lang w:val="en-IN"/>
              </w:rPr>
              <w:t>p.value</w:t>
            </w:r>
            <w:proofErr w:type="spellEnd"/>
          </w:p>
        </w:tc>
      </w:tr>
      <w:tr w:rsidR="00790E2E" w:rsidRPr="000819F0" w14:paraId="2B2ECE34" w14:textId="77777777" w:rsidTr="00790E2E">
        <w:trPr>
          <w:trHeight w:val="290"/>
          <w:jc w:val="center"/>
        </w:trPr>
        <w:tc>
          <w:tcPr>
            <w:tcW w:w="906" w:type="dxa"/>
            <w:vMerge w:val="restart"/>
            <w:tcBorders>
              <w:top w:val="single" w:sz="4" w:space="0" w:color="auto"/>
            </w:tcBorders>
            <w:noWrap/>
          </w:tcPr>
          <w:p w14:paraId="4366848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4EF61A8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5264D32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w:t>
            </w:r>
          </w:p>
        </w:tc>
        <w:tc>
          <w:tcPr>
            <w:tcW w:w="3411" w:type="dxa"/>
            <w:tcBorders>
              <w:top w:val="single" w:sz="4" w:space="0" w:color="auto"/>
            </w:tcBorders>
            <w:noWrap/>
            <w:hideMark/>
          </w:tcPr>
          <w:p w14:paraId="01059A20" w14:textId="2E09E984" w:rsidR="000819F0" w:rsidRPr="000819F0" w:rsidRDefault="000819F0" w:rsidP="00790E2E">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Stomatal density</w:t>
            </w:r>
            <w:r w:rsidR="006A6617">
              <w:rPr>
                <w:rFonts w:ascii="Arial" w:hAnsi="Arial"/>
                <w:sz w:val="20"/>
                <w:lang w:val="en-IN"/>
              </w:rPr>
              <w:t xml:space="preserve"> </w:t>
            </w:r>
            <w:r w:rsidR="00760CEA">
              <w:rPr>
                <w:rFonts w:ascii="Arial" w:hAnsi="Arial"/>
                <w:sz w:val="20"/>
                <w:lang w:val="en-IN"/>
              </w:rPr>
              <w:t>(mm</w:t>
            </w:r>
            <w:r w:rsidR="00760CEA">
              <w:rPr>
                <w:rFonts w:ascii="Arial" w:hAnsi="Arial"/>
                <w:sz w:val="20"/>
                <w:vertAlign w:val="superscript"/>
                <w:lang w:val="en-IN"/>
              </w:rPr>
              <w:t>-2</w:t>
            </w:r>
            <w:r w:rsidR="00760CEA">
              <w:rPr>
                <w:rFonts w:ascii="Arial" w:hAnsi="Arial"/>
                <w:sz w:val="20"/>
                <w:lang w:val="en-IN"/>
              </w:rPr>
              <w:t>)</w:t>
            </w:r>
          </w:p>
        </w:tc>
        <w:tc>
          <w:tcPr>
            <w:tcW w:w="938" w:type="dxa"/>
            <w:tcBorders>
              <w:top w:val="single" w:sz="4" w:space="0" w:color="auto"/>
            </w:tcBorders>
            <w:noWrap/>
            <w:hideMark/>
          </w:tcPr>
          <w:p w14:paraId="4EF6630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-6.33</w:t>
            </w:r>
          </w:p>
        </w:tc>
        <w:tc>
          <w:tcPr>
            <w:tcW w:w="1050" w:type="dxa"/>
            <w:tcBorders>
              <w:top w:val="single" w:sz="4" w:space="0" w:color="auto"/>
            </w:tcBorders>
            <w:noWrap/>
            <w:hideMark/>
          </w:tcPr>
          <w:p w14:paraId="5D415C6E"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33.97</w:t>
            </w:r>
          </w:p>
        </w:tc>
        <w:tc>
          <w:tcPr>
            <w:tcW w:w="895" w:type="dxa"/>
            <w:tcBorders>
              <w:top w:val="single" w:sz="4" w:space="0" w:color="auto"/>
            </w:tcBorders>
            <w:noWrap/>
            <w:hideMark/>
          </w:tcPr>
          <w:p w14:paraId="2F83D44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49.56</w:t>
            </w:r>
          </w:p>
        </w:tc>
        <w:tc>
          <w:tcPr>
            <w:tcW w:w="1083" w:type="dxa"/>
            <w:tcBorders>
              <w:top w:val="single" w:sz="4" w:space="0" w:color="auto"/>
            </w:tcBorders>
            <w:noWrap/>
            <w:hideMark/>
          </w:tcPr>
          <w:p w14:paraId="6F74A73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13.18</w:t>
            </w:r>
          </w:p>
        </w:tc>
        <w:tc>
          <w:tcPr>
            <w:tcW w:w="895" w:type="dxa"/>
            <w:tcBorders>
              <w:top w:val="single" w:sz="4" w:space="0" w:color="auto"/>
            </w:tcBorders>
            <w:noWrap/>
            <w:hideMark/>
          </w:tcPr>
          <w:p w14:paraId="693F3AD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25.05</w:t>
            </w:r>
          </w:p>
        </w:tc>
        <w:tc>
          <w:tcPr>
            <w:tcW w:w="1142" w:type="dxa"/>
            <w:tcBorders>
              <w:top w:val="single" w:sz="4" w:space="0" w:color="auto"/>
            </w:tcBorders>
            <w:noWrap/>
            <w:hideMark/>
          </w:tcPr>
          <w:p w14:paraId="39C08EB0"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301D2B03" w14:textId="77777777" w:rsidTr="00790E2E">
        <w:trPr>
          <w:trHeight w:val="290"/>
          <w:jc w:val="center"/>
        </w:trPr>
        <w:tc>
          <w:tcPr>
            <w:tcW w:w="906" w:type="dxa"/>
            <w:vMerge/>
            <w:noWrap/>
          </w:tcPr>
          <w:p w14:paraId="3DA979AE"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29ADEB6B" w14:textId="17F089C9"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Epicuticular wax</w:t>
            </w:r>
            <w:r w:rsidR="00790E2E">
              <w:rPr>
                <w:rFonts w:ascii="Arial" w:hAnsi="Arial"/>
                <w:sz w:val="20"/>
                <w:lang w:val="en-IN"/>
              </w:rPr>
              <w:t xml:space="preserve"> (mg10cm</w:t>
            </w:r>
            <w:r w:rsidR="00790E2E">
              <w:rPr>
                <w:rFonts w:ascii="Arial" w:hAnsi="Arial"/>
                <w:sz w:val="20"/>
                <w:vertAlign w:val="superscript"/>
                <w:lang w:val="en-IN"/>
              </w:rPr>
              <w:t>-2</w:t>
            </w:r>
            <w:r w:rsidR="00790E2E">
              <w:rPr>
                <w:rFonts w:ascii="Arial" w:hAnsi="Arial"/>
                <w:sz w:val="20"/>
                <w:lang w:val="en-IN"/>
              </w:rPr>
              <w:t>)</w:t>
            </w:r>
          </w:p>
        </w:tc>
        <w:tc>
          <w:tcPr>
            <w:tcW w:w="938" w:type="dxa"/>
            <w:noWrap/>
            <w:hideMark/>
          </w:tcPr>
          <w:p w14:paraId="102D2E3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6.21</w:t>
            </w:r>
          </w:p>
        </w:tc>
        <w:tc>
          <w:tcPr>
            <w:tcW w:w="1050" w:type="dxa"/>
            <w:noWrap/>
            <w:hideMark/>
          </w:tcPr>
          <w:p w14:paraId="3053566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0.47</w:t>
            </w:r>
          </w:p>
        </w:tc>
        <w:tc>
          <w:tcPr>
            <w:tcW w:w="895" w:type="dxa"/>
            <w:noWrap/>
            <w:hideMark/>
          </w:tcPr>
          <w:p w14:paraId="0826F73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14:paraId="59E63F6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0.09</w:t>
            </w:r>
          </w:p>
        </w:tc>
        <w:tc>
          <w:tcPr>
            <w:tcW w:w="895" w:type="dxa"/>
            <w:noWrap/>
            <w:hideMark/>
          </w:tcPr>
          <w:p w14:paraId="711C725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14:paraId="6B5B7ED2"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528BE264" w14:textId="77777777" w:rsidTr="00790E2E">
        <w:trPr>
          <w:trHeight w:val="290"/>
          <w:jc w:val="center"/>
        </w:trPr>
        <w:tc>
          <w:tcPr>
            <w:tcW w:w="906" w:type="dxa"/>
            <w:vMerge/>
            <w:noWrap/>
          </w:tcPr>
          <w:p w14:paraId="6A07DB2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4A6EF81A" w14:textId="5FD1FE39"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Relative water content</w:t>
            </w:r>
            <w:r w:rsidR="006A6617">
              <w:rPr>
                <w:rFonts w:ascii="Arial" w:hAnsi="Arial"/>
                <w:sz w:val="20"/>
                <w:lang w:val="en-IN"/>
              </w:rPr>
              <w:t xml:space="preserve"> (%)</w:t>
            </w:r>
          </w:p>
        </w:tc>
        <w:tc>
          <w:tcPr>
            <w:tcW w:w="938" w:type="dxa"/>
            <w:noWrap/>
            <w:hideMark/>
          </w:tcPr>
          <w:p w14:paraId="1E30D93C"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6.20</w:t>
            </w:r>
          </w:p>
        </w:tc>
        <w:tc>
          <w:tcPr>
            <w:tcW w:w="1050" w:type="dxa"/>
            <w:noWrap/>
            <w:hideMark/>
          </w:tcPr>
          <w:p w14:paraId="530A99D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91.53</w:t>
            </w:r>
          </w:p>
        </w:tc>
        <w:tc>
          <w:tcPr>
            <w:tcW w:w="895" w:type="dxa"/>
            <w:noWrap/>
            <w:hideMark/>
          </w:tcPr>
          <w:p w14:paraId="58BC3B5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89.90</w:t>
            </w:r>
          </w:p>
        </w:tc>
        <w:tc>
          <w:tcPr>
            <w:tcW w:w="1083" w:type="dxa"/>
            <w:noWrap/>
            <w:hideMark/>
          </w:tcPr>
          <w:p w14:paraId="483D9D4C"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1.25</w:t>
            </w:r>
          </w:p>
        </w:tc>
        <w:tc>
          <w:tcPr>
            <w:tcW w:w="895" w:type="dxa"/>
            <w:noWrap/>
            <w:hideMark/>
          </w:tcPr>
          <w:p w14:paraId="7EC84FE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2.68</w:t>
            </w:r>
          </w:p>
        </w:tc>
        <w:tc>
          <w:tcPr>
            <w:tcW w:w="1142" w:type="dxa"/>
            <w:noWrap/>
            <w:hideMark/>
          </w:tcPr>
          <w:p w14:paraId="65ADAB2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2E43E0F3" w14:textId="77777777" w:rsidTr="00760CEA">
        <w:trPr>
          <w:trHeight w:val="290"/>
          <w:jc w:val="center"/>
        </w:trPr>
        <w:tc>
          <w:tcPr>
            <w:tcW w:w="906" w:type="dxa"/>
            <w:vMerge/>
            <w:noWrap/>
          </w:tcPr>
          <w:p w14:paraId="5B78ED6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49381814" w14:textId="5132DDF2"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specific leaf area</w:t>
            </w:r>
            <w:r w:rsidR="00790E2E">
              <w:rPr>
                <w:rFonts w:ascii="Arial" w:hAnsi="Arial"/>
                <w:sz w:val="20"/>
                <w:lang w:val="en-IN"/>
              </w:rPr>
              <w:t xml:space="preserve"> (cm</w:t>
            </w:r>
            <w:r w:rsidR="00790E2E">
              <w:rPr>
                <w:rFonts w:ascii="Arial" w:hAnsi="Arial"/>
                <w:sz w:val="20"/>
                <w:vertAlign w:val="superscript"/>
                <w:lang w:val="en-IN"/>
              </w:rPr>
              <w:t>2</w:t>
            </w:r>
            <w:r w:rsidR="00790E2E">
              <w:rPr>
                <w:rFonts w:ascii="Arial" w:hAnsi="Arial"/>
                <w:sz w:val="20"/>
                <w:lang w:val="en-IN"/>
              </w:rPr>
              <w:t>g</w:t>
            </w:r>
            <w:r w:rsidR="00790E2E">
              <w:rPr>
                <w:rFonts w:ascii="Arial" w:hAnsi="Arial"/>
                <w:sz w:val="20"/>
                <w:vertAlign w:val="superscript"/>
                <w:lang w:val="en-IN"/>
              </w:rPr>
              <w:t>-1</w:t>
            </w:r>
            <w:r w:rsidR="00790E2E">
              <w:rPr>
                <w:rFonts w:ascii="Arial" w:hAnsi="Arial"/>
                <w:sz w:val="20"/>
                <w:lang w:val="en-IN"/>
              </w:rPr>
              <w:t>)</w:t>
            </w:r>
          </w:p>
        </w:tc>
        <w:tc>
          <w:tcPr>
            <w:tcW w:w="938" w:type="dxa"/>
            <w:noWrap/>
            <w:hideMark/>
          </w:tcPr>
          <w:p w14:paraId="08008FA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-6.01</w:t>
            </w:r>
          </w:p>
        </w:tc>
        <w:tc>
          <w:tcPr>
            <w:tcW w:w="1050" w:type="dxa"/>
            <w:noWrap/>
            <w:hideMark/>
          </w:tcPr>
          <w:p w14:paraId="1894ECF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134.95</w:t>
            </w:r>
          </w:p>
        </w:tc>
        <w:tc>
          <w:tcPr>
            <w:tcW w:w="895" w:type="dxa"/>
            <w:noWrap/>
            <w:hideMark/>
          </w:tcPr>
          <w:p w14:paraId="24528E2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180.99</w:t>
            </w:r>
          </w:p>
        </w:tc>
        <w:tc>
          <w:tcPr>
            <w:tcW w:w="1083" w:type="dxa"/>
            <w:noWrap/>
            <w:hideMark/>
          </w:tcPr>
          <w:p w14:paraId="0E24354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44.19</w:t>
            </w:r>
          </w:p>
        </w:tc>
        <w:tc>
          <w:tcPr>
            <w:tcW w:w="895" w:type="dxa"/>
            <w:noWrap/>
            <w:hideMark/>
          </w:tcPr>
          <w:p w14:paraId="1E1CA6B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77.87</w:t>
            </w:r>
          </w:p>
        </w:tc>
        <w:tc>
          <w:tcPr>
            <w:tcW w:w="1142" w:type="dxa"/>
            <w:noWrap/>
            <w:hideMark/>
          </w:tcPr>
          <w:p w14:paraId="4C3527C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106A328F" w14:textId="77777777" w:rsidTr="00760CEA">
        <w:trPr>
          <w:trHeight w:val="290"/>
          <w:jc w:val="center"/>
        </w:trPr>
        <w:tc>
          <w:tcPr>
            <w:tcW w:w="906" w:type="dxa"/>
            <w:vMerge/>
            <w:noWrap/>
          </w:tcPr>
          <w:p w14:paraId="7D19941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tcBorders>
              <w:bottom w:val="single" w:sz="4" w:space="0" w:color="auto"/>
            </w:tcBorders>
            <w:noWrap/>
            <w:hideMark/>
          </w:tcPr>
          <w:p w14:paraId="5952C03F" w14:textId="1DA455C3"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Leaf thickness</w:t>
            </w:r>
            <w:r w:rsidR="006A6617">
              <w:rPr>
                <w:rFonts w:ascii="Arial" w:hAnsi="Arial"/>
                <w:sz w:val="20"/>
                <w:lang w:val="en-IN"/>
              </w:rPr>
              <w:t xml:space="preserve"> (mm)</w:t>
            </w:r>
          </w:p>
        </w:tc>
        <w:tc>
          <w:tcPr>
            <w:tcW w:w="938" w:type="dxa"/>
            <w:tcBorders>
              <w:bottom w:val="single" w:sz="4" w:space="0" w:color="auto"/>
            </w:tcBorders>
            <w:noWrap/>
            <w:hideMark/>
          </w:tcPr>
          <w:p w14:paraId="56A609D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5.97</w:t>
            </w:r>
          </w:p>
        </w:tc>
        <w:tc>
          <w:tcPr>
            <w:tcW w:w="1050" w:type="dxa"/>
            <w:tcBorders>
              <w:bottom w:val="single" w:sz="4" w:space="0" w:color="auto"/>
            </w:tcBorders>
            <w:noWrap/>
            <w:hideMark/>
          </w:tcPr>
          <w:p w14:paraId="3AD3D4C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0.47</w:t>
            </w:r>
          </w:p>
        </w:tc>
        <w:tc>
          <w:tcPr>
            <w:tcW w:w="895" w:type="dxa"/>
            <w:tcBorders>
              <w:bottom w:val="single" w:sz="4" w:space="0" w:color="auto"/>
            </w:tcBorders>
            <w:noWrap/>
            <w:hideMark/>
          </w:tcPr>
          <w:p w14:paraId="6B97543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tcBorders>
              <w:bottom w:val="single" w:sz="4" w:space="0" w:color="auto"/>
            </w:tcBorders>
            <w:noWrap/>
            <w:hideMark/>
          </w:tcPr>
          <w:p w14:paraId="2786FEC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0.10</w:t>
            </w:r>
          </w:p>
        </w:tc>
        <w:tc>
          <w:tcPr>
            <w:tcW w:w="895" w:type="dxa"/>
            <w:tcBorders>
              <w:bottom w:val="single" w:sz="4" w:space="0" w:color="auto"/>
            </w:tcBorders>
            <w:noWrap/>
            <w:hideMark/>
          </w:tcPr>
          <w:p w14:paraId="00E9CE20"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tcBorders>
              <w:bottom w:val="single" w:sz="4" w:space="0" w:color="auto"/>
            </w:tcBorders>
            <w:noWrap/>
            <w:hideMark/>
          </w:tcPr>
          <w:p w14:paraId="2495585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093941B4" w14:textId="77777777" w:rsidTr="00760CEA">
        <w:trPr>
          <w:trHeight w:val="290"/>
          <w:jc w:val="center"/>
        </w:trPr>
        <w:tc>
          <w:tcPr>
            <w:tcW w:w="906" w:type="dxa"/>
            <w:vMerge w:val="restart"/>
            <w:noWrap/>
          </w:tcPr>
          <w:p w14:paraId="55226516"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238CE9F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p w14:paraId="6FF8EA0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w:t>
            </w:r>
          </w:p>
        </w:tc>
        <w:tc>
          <w:tcPr>
            <w:tcW w:w="3411" w:type="dxa"/>
            <w:tcBorders>
              <w:top w:val="single" w:sz="4" w:space="0" w:color="auto"/>
            </w:tcBorders>
            <w:noWrap/>
            <w:hideMark/>
          </w:tcPr>
          <w:p w14:paraId="3B379A1D" w14:textId="1C2AD050"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Stomatal density</w:t>
            </w:r>
            <w:r w:rsidR="00760CEA">
              <w:rPr>
                <w:rFonts w:ascii="Arial" w:hAnsi="Arial"/>
                <w:sz w:val="20"/>
                <w:lang w:val="en-IN"/>
              </w:rPr>
              <w:t xml:space="preserve"> (mm</w:t>
            </w:r>
            <w:r w:rsidR="00760CEA">
              <w:rPr>
                <w:rFonts w:ascii="Arial" w:hAnsi="Arial"/>
                <w:sz w:val="20"/>
                <w:vertAlign w:val="superscript"/>
                <w:lang w:val="en-IN"/>
              </w:rPr>
              <w:t>-2</w:t>
            </w:r>
            <w:r w:rsidR="00760CEA">
              <w:rPr>
                <w:rFonts w:ascii="Arial" w:hAnsi="Arial"/>
                <w:sz w:val="20"/>
                <w:lang w:val="en-IN"/>
              </w:rPr>
              <w:t>)</w:t>
            </w:r>
          </w:p>
        </w:tc>
        <w:tc>
          <w:tcPr>
            <w:tcW w:w="938" w:type="dxa"/>
            <w:tcBorders>
              <w:top w:val="single" w:sz="4" w:space="0" w:color="auto"/>
            </w:tcBorders>
            <w:noWrap/>
            <w:hideMark/>
          </w:tcPr>
          <w:p w14:paraId="5F201696"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6.33</w:t>
            </w:r>
          </w:p>
        </w:tc>
        <w:tc>
          <w:tcPr>
            <w:tcW w:w="1050" w:type="dxa"/>
            <w:tcBorders>
              <w:top w:val="single" w:sz="4" w:space="0" w:color="auto"/>
            </w:tcBorders>
            <w:noWrap/>
            <w:hideMark/>
          </w:tcPr>
          <w:p w14:paraId="6D0F605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76.01</w:t>
            </w:r>
          </w:p>
        </w:tc>
        <w:tc>
          <w:tcPr>
            <w:tcW w:w="895" w:type="dxa"/>
            <w:tcBorders>
              <w:top w:val="single" w:sz="4" w:space="0" w:color="auto"/>
            </w:tcBorders>
            <w:noWrap/>
            <w:hideMark/>
          </w:tcPr>
          <w:p w14:paraId="01EFE05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49.56</w:t>
            </w:r>
          </w:p>
        </w:tc>
        <w:tc>
          <w:tcPr>
            <w:tcW w:w="1083" w:type="dxa"/>
            <w:tcBorders>
              <w:top w:val="single" w:sz="4" w:space="0" w:color="auto"/>
            </w:tcBorders>
            <w:noWrap/>
            <w:hideMark/>
          </w:tcPr>
          <w:p w14:paraId="6A7F4C3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16.90</w:t>
            </w:r>
          </w:p>
        </w:tc>
        <w:tc>
          <w:tcPr>
            <w:tcW w:w="895" w:type="dxa"/>
            <w:tcBorders>
              <w:top w:val="single" w:sz="4" w:space="0" w:color="auto"/>
            </w:tcBorders>
            <w:noWrap/>
            <w:hideMark/>
          </w:tcPr>
          <w:p w14:paraId="309CB50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25.05</w:t>
            </w:r>
          </w:p>
        </w:tc>
        <w:tc>
          <w:tcPr>
            <w:tcW w:w="1142" w:type="dxa"/>
            <w:tcBorders>
              <w:top w:val="single" w:sz="4" w:space="0" w:color="auto"/>
            </w:tcBorders>
            <w:noWrap/>
            <w:hideMark/>
          </w:tcPr>
          <w:p w14:paraId="06DA8BFE"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62057DEC" w14:textId="77777777" w:rsidTr="00790E2E">
        <w:trPr>
          <w:trHeight w:val="290"/>
          <w:jc w:val="center"/>
        </w:trPr>
        <w:tc>
          <w:tcPr>
            <w:tcW w:w="906" w:type="dxa"/>
            <w:vMerge/>
            <w:noWrap/>
          </w:tcPr>
          <w:p w14:paraId="749A533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5F77EB27" w14:textId="0C6FF38F"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Epicuticular wax</w:t>
            </w:r>
            <w:r w:rsidR="00790E2E">
              <w:rPr>
                <w:rFonts w:ascii="Arial" w:hAnsi="Arial"/>
                <w:sz w:val="20"/>
                <w:lang w:val="en-IN"/>
              </w:rPr>
              <w:t xml:space="preserve"> (mg10cm</w:t>
            </w:r>
            <w:r w:rsidR="00790E2E">
              <w:rPr>
                <w:rFonts w:ascii="Arial" w:hAnsi="Arial"/>
                <w:sz w:val="20"/>
                <w:vertAlign w:val="superscript"/>
                <w:lang w:val="en-IN"/>
              </w:rPr>
              <w:t>-2</w:t>
            </w:r>
            <w:r w:rsidR="00790E2E">
              <w:rPr>
                <w:rFonts w:ascii="Arial" w:hAnsi="Arial"/>
                <w:sz w:val="20"/>
                <w:lang w:val="en-IN"/>
              </w:rPr>
              <w:t>)</w:t>
            </w:r>
          </w:p>
        </w:tc>
        <w:tc>
          <w:tcPr>
            <w:tcW w:w="938" w:type="dxa"/>
            <w:noWrap/>
            <w:hideMark/>
          </w:tcPr>
          <w:p w14:paraId="1685269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-6.21</w:t>
            </w:r>
          </w:p>
        </w:tc>
        <w:tc>
          <w:tcPr>
            <w:tcW w:w="1050" w:type="dxa"/>
            <w:noWrap/>
            <w:hideMark/>
          </w:tcPr>
          <w:p w14:paraId="0D26262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0.24</w:t>
            </w:r>
          </w:p>
        </w:tc>
        <w:tc>
          <w:tcPr>
            <w:tcW w:w="895" w:type="dxa"/>
            <w:noWrap/>
            <w:hideMark/>
          </w:tcPr>
          <w:p w14:paraId="0B9281F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14:paraId="0E905B0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0.08</w:t>
            </w:r>
          </w:p>
        </w:tc>
        <w:tc>
          <w:tcPr>
            <w:tcW w:w="895" w:type="dxa"/>
            <w:noWrap/>
            <w:hideMark/>
          </w:tcPr>
          <w:p w14:paraId="5301499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14:paraId="737170E9"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377E0BB8" w14:textId="77777777" w:rsidTr="00790E2E">
        <w:trPr>
          <w:trHeight w:val="290"/>
          <w:jc w:val="center"/>
        </w:trPr>
        <w:tc>
          <w:tcPr>
            <w:tcW w:w="906" w:type="dxa"/>
            <w:vMerge/>
            <w:noWrap/>
          </w:tcPr>
          <w:p w14:paraId="07BCBA8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6E4B8C53" w14:textId="628C3D5F"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Relative water content</w:t>
            </w:r>
            <w:r w:rsidR="006A6617">
              <w:rPr>
                <w:rFonts w:ascii="Arial" w:hAnsi="Arial"/>
                <w:sz w:val="20"/>
                <w:lang w:val="en-IN"/>
              </w:rPr>
              <w:t xml:space="preserve"> (%)</w:t>
            </w:r>
          </w:p>
        </w:tc>
        <w:tc>
          <w:tcPr>
            <w:tcW w:w="938" w:type="dxa"/>
            <w:noWrap/>
            <w:hideMark/>
          </w:tcPr>
          <w:p w14:paraId="63534576"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-6.20</w:t>
            </w:r>
          </w:p>
        </w:tc>
        <w:tc>
          <w:tcPr>
            <w:tcW w:w="1050" w:type="dxa"/>
            <w:noWrap/>
            <w:hideMark/>
          </w:tcPr>
          <w:p w14:paraId="0C9C9CB5"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87.13</w:t>
            </w:r>
          </w:p>
        </w:tc>
        <w:tc>
          <w:tcPr>
            <w:tcW w:w="895" w:type="dxa"/>
            <w:noWrap/>
            <w:hideMark/>
          </w:tcPr>
          <w:p w14:paraId="6F348140"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89.90</w:t>
            </w:r>
          </w:p>
        </w:tc>
        <w:tc>
          <w:tcPr>
            <w:tcW w:w="1083" w:type="dxa"/>
            <w:noWrap/>
            <w:hideMark/>
          </w:tcPr>
          <w:p w14:paraId="4C4F689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2.12</w:t>
            </w:r>
          </w:p>
        </w:tc>
        <w:tc>
          <w:tcPr>
            <w:tcW w:w="895" w:type="dxa"/>
            <w:noWrap/>
            <w:hideMark/>
          </w:tcPr>
          <w:p w14:paraId="1D6D2C5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2.68</w:t>
            </w:r>
          </w:p>
        </w:tc>
        <w:tc>
          <w:tcPr>
            <w:tcW w:w="1142" w:type="dxa"/>
            <w:noWrap/>
            <w:hideMark/>
          </w:tcPr>
          <w:p w14:paraId="004A251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2A22E9B6" w14:textId="77777777" w:rsidTr="00790E2E">
        <w:trPr>
          <w:trHeight w:val="290"/>
          <w:jc w:val="center"/>
        </w:trPr>
        <w:tc>
          <w:tcPr>
            <w:tcW w:w="906" w:type="dxa"/>
            <w:vMerge/>
            <w:noWrap/>
          </w:tcPr>
          <w:p w14:paraId="7994714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4ECB8EEF" w14:textId="780BA469"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specific leaf area</w:t>
            </w:r>
            <w:r w:rsidR="00790E2E">
              <w:rPr>
                <w:rFonts w:ascii="Arial" w:hAnsi="Arial"/>
                <w:sz w:val="20"/>
                <w:lang w:val="en-IN"/>
              </w:rPr>
              <w:t xml:space="preserve"> (cm</w:t>
            </w:r>
            <w:r w:rsidR="00790E2E">
              <w:rPr>
                <w:rFonts w:ascii="Arial" w:hAnsi="Arial"/>
                <w:sz w:val="20"/>
                <w:vertAlign w:val="superscript"/>
                <w:lang w:val="en-IN"/>
              </w:rPr>
              <w:t>2</w:t>
            </w:r>
            <w:r w:rsidR="00790E2E">
              <w:rPr>
                <w:rFonts w:ascii="Arial" w:hAnsi="Arial"/>
                <w:sz w:val="20"/>
                <w:lang w:val="en-IN"/>
              </w:rPr>
              <w:t>g</w:t>
            </w:r>
            <w:r w:rsidR="00790E2E">
              <w:rPr>
                <w:rFonts w:ascii="Arial" w:hAnsi="Arial"/>
                <w:sz w:val="20"/>
                <w:vertAlign w:val="superscript"/>
                <w:lang w:val="en-IN"/>
              </w:rPr>
              <w:t>-1</w:t>
            </w:r>
            <w:r w:rsidR="00790E2E">
              <w:rPr>
                <w:rFonts w:ascii="Arial" w:hAnsi="Arial"/>
                <w:sz w:val="20"/>
                <w:lang w:val="en-IN"/>
              </w:rPr>
              <w:t>)</w:t>
            </w:r>
          </w:p>
        </w:tc>
        <w:tc>
          <w:tcPr>
            <w:tcW w:w="938" w:type="dxa"/>
            <w:noWrap/>
            <w:hideMark/>
          </w:tcPr>
          <w:p w14:paraId="7237395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6.01</w:t>
            </w:r>
          </w:p>
        </w:tc>
        <w:tc>
          <w:tcPr>
            <w:tcW w:w="1050" w:type="dxa"/>
            <w:noWrap/>
            <w:hideMark/>
          </w:tcPr>
          <w:p w14:paraId="4B9ED81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259.05</w:t>
            </w:r>
          </w:p>
        </w:tc>
        <w:tc>
          <w:tcPr>
            <w:tcW w:w="895" w:type="dxa"/>
            <w:noWrap/>
            <w:hideMark/>
          </w:tcPr>
          <w:p w14:paraId="27D54B11"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180.99</w:t>
            </w:r>
          </w:p>
        </w:tc>
        <w:tc>
          <w:tcPr>
            <w:tcW w:w="1083" w:type="dxa"/>
            <w:noWrap/>
            <w:hideMark/>
          </w:tcPr>
          <w:p w14:paraId="3CAD9B0D"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57.82</w:t>
            </w:r>
          </w:p>
        </w:tc>
        <w:tc>
          <w:tcPr>
            <w:tcW w:w="895" w:type="dxa"/>
            <w:noWrap/>
            <w:hideMark/>
          </w:tcPr>
          <w:p w14:paraId="6B220D53"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77.87</w:t>
            </w:r>
          </w:p>
        </w:tc>
        <w:tc>
          <w:tcPr>
            <w:tcW w:w="1142" w:type="dxa"/>
            <w:noWrap/>
            <w:hideMark/>
          </w:tcPr>
          <w:p w14:paraId="14660D8F"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14:paraId="7F69A4E1" w14:textId="77777777" w:rsidTr="00790E2E">
        <w:trPr>
          <w:trHeight w:val="290"/>
          <w:jc w:val="center"/>
        </w:trPr>
        <w:tc>
          <w:tcPr>
            <w:tcW w:w="906" w:type="dxa"/>
            <w:vMerge/>
            <w:noWrap/>
          </w:tcPr>
          <w:p w14:paraId="186CBEE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14:paraId="1EE3E727" w14:textId="1A118C2D"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Leaf thickness</w:t>
            </w:r>
            <w:r w:rsidR="006A6617">
              <w:rPr>
                <w:rFonts w:ascii="Arial" w:hAnsi="Arial"/>
                <w:sz w:val="20"/>
                <w:lang w:val="en-IN"/>
              </w:rPr>
              <w:t xml:space="preserve"> (mm)</w:t>
            </w:r>
          </w:p>
        </w:tc>
        <w:tc>
          <w:tcPr>
            <w:tcW w:w="938" w:type="dxa"/>
            <w:noWrap/>
            <w:hideMark/>
          </w:tcPr>
          <w:p w14:paraId="28279118"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-5.97</w:t>
            </w:r>
          </w:p>
        </w:tc>
        <w:tc>
          <w:tcPr>
            <w:tcW w:w="1050" w:type="dxa"/>
            <w:noWrap/>
            <w:hideMark/>
          </w:tcPr>
          <w:p w14:paraId="10F61BF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0.25</w:t>
            </w:r>
          </w:p>
        </w:tc>
        <w:tc>
          <w:tcPr>
            <w:tcW w:w="895" w:type="dxa"/>
            <w:noWrap/>
            <w:hideMark/>
          </w:tcPr>
          <w:p w14:paraId="4C9B88D4"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14:paraId="05DD0C67"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0.07</w:t>
            </w:r>
          </w:p>
        </w:tc>
        <w:tc>
          <w:tcPr>
            <w:tcW w:w="895" w:type="dxa"/>
            <w:noWrap/>
            <w:hideMark/>
          </w:tcPr>
          <w:p w14:paraId="0C3187AA"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14:paraId="632E39BB" w14:textId="77777777"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bl>
    <w:p w14:paraId="22ED00FD"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2F815E28"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3A29A7F1"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08E03C6E" w14:textId="41C382B2" w:rsidR="000819F0" w:rsidRDefault="00760CEA" w:rsidP="000819F0">
      <w:pPr>
        <w:pStyle w:val="BodyText3"/>
        <w:tabs>
          <w:tab w:val="left" w:pos="1080"/>
        </w:tabs>
        <w:spacing w:after="0"/>
        <w:ind w:left="1080" w:hanging="1080"/>
        <w:jc w:val="both"/>
        <w:rPr>
          <w:rFonts w:ascii="Arial" w:hAnsi="Arial"/>
          <w:b/>
          <w:sz w:val="20"/>
          <w:szCs w:val="20"/>
        </w:rPr>
      </w:pPr>
      <w:r w:rsidRPr="00BF0F18">
        <w:rPr>
          <w:rFonts w:ascii="Times New Roman" w:hAnsi="Times New Roman"/>
          <w:b/>
          <w:bCs/>
          <w:noProof/>
        </w:rPr>
        <w:drawing>
          <wp:inline distT="0" distB="0" distL="0" distR="0" wp14:anchorId="0479C2E8" wp14:editId="7EF89FEE">
            <wp:extent cx="6219736" cy="2371851"/>
            <wp:effectExtent l="0" t="0" r="0" b="0"/>
            <wp:docPr id="681814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14788" name=""/>
                    <pic:cNvPicPr/>
                  </pic:nvPicPr>
                  <pic:blipFill>
                    <a:blip r:embed="rId8"/>
                    <a:stretch>
                      <a:fillRect/>
                    </a:stretch>
                  </pic:blipFill>
                  <pic:spPr>
                    <a:xfrm>
                      <a:off x="0" y="0"/>
                      <a:ext cx="6237390" cy="2378583"/>
                    </a:xfrm>
                    <a:prstGeom prst="rect">
                      <a:avLst/>
                    </a:prstGeom>
                  </pic:spPr>
                </pic:pic>
              </a:graphicData>
            </a:graphic>
          </wp:inline>
        </w:drawing>
      </w:r>
    </w:p>
    <w:p w14:paraId="4FBABDE3"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358A1915" w14:textId="71983864" w:rsidR="00760CEA" w:rsidRPr="00760CEA" w:rsidRDefault="00760CEA" w:rsidP="00760CEA">
      <w:pPr>
        <w:spacing w:before="120" w:after="120" w:line="276" w:lineRule="auto"/>
        <w:jc w:val="both"/>
        <w:rPr>
          <w:rFonts w:ascii="Arial" w:hAnsi="Arial" w:cs="Arial"/>
          <w:b/>
          <w:bCs/>
        </w:rPr>
      </w:pPr>
      <w:r w:rsidRPr="00760CEA">
        <w:rPr>
          <w:rFonts w:ascii="Arial" w:hAnsi="Arial" w:cs="Arial"/>
          <w:b/>
          <w:bCs/>
        </w:rPr>
        <w:t>Fig. 1. Hierarchical clustering on principal components showing the grouping of black pepper genotypes based on multivariate trait patterns</w:t>
      </w:r>
    </w:p>
    <w:p w14:paraId="2C41DA02"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17124F71" w14:textId="3884D1E5" w:rsidR="00760CEA" w:rsidRDefault="00760CEA" w:rsidP="000819F0">
      <w:pPr>
        <w:pStyle w:val="BodyText3"/>
        <w:tabs>
          <w:tab w:val="left" w:pos="1080"/>
        </w:tabs>
        <w:spacing w:after="0"/>
        <w:ind w:left="1080" w:hanging="1080"/>
        <w:jc w:val="both"/>
        <w:rPr>
          <w:rFonts w:ascii="Arial" w:hAnsi="Arial"/>
          <w:b/>
          <w:sz w:val="20"/>
          <w:szCs w:val="20"/>
        </w:rPr>
      </w:pPr>
      <w:r w:rsidRPr="00BF0F18">
        <w:rPr>
          <w:rFonts w:ascii="Times New Roman" w:hAnsi="Times New Roman"/>
          <w:noProof/>
        </w:rPr>
        <w:lastRenderedPageBreak/>
        <w:drawing>
          <wp:inline distT="0" distB="0" distL="0" distR="0" wp14:anchorId="5A750DD7" wp14:editId="3B8E9996">
            <wp:extent cx="5719019" cy="3874883"/>
            <wp:effectExtent l="0" t="0" r="0" b="0"/>
            <wp:docPr id="1679051452" name="Picture 2"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t obj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67"/>
                    <a:stretch>
                      <a:fillRect/>
                    </a:stretch>
                  </pic:blipFill>
                  <pic:spPr bwMode="auto">
                    <a:xfrm>
                      <a:off x="0" y="0"/>
                      <a:ext cx="5725448" cy="3879239"/>
                    </a:xfrm>
                    <a:prstGeom prst="rect">
                      <a:avLst/>
                    </a:prstGeom>
                    <a:noFill/>
                    <a:ln>
                      <a:noFill/>
                    </a:ln>
                    <a:extLst>
                      <a:ext uri="{53640926-AAD7-44D8-BBD7-CCE9431645EC}">
                        <a14:shadowObscured xmlns:a14="http://schemas.microsoft.com/office/drawing/2010/main"/>
                      </a:ext>
                    </a:extLst>
                  </pic:spPr>
                </pic:pic>
              </a:graphicData>
            </a:graphic>
          </wp:inline>
        </w:drawing>
      </w:r>
    </w:p>
    <w:p w14:paraId="510D6DF4" w14:textId="77777777" w:rsidR="000819F0" w:rsidRDefault="000819F0" w:rsidP="000819F0">
      <w:pPr>
        <w:pStyle w:val="BodyText3"/>
        <w:tabs>
          <w:tab w:val="left" w:pos="1080"/>
        </w:tabs>
        <w:spacing w:after="0"/>
        <w:ind w:left="1080" w:hanging="1080"/>
        <w:jc w:val="both"/>
        <w:rPr>
          <w:rFonts w:ascii="Arial" w:hAnsi="Arial"/>
          <w:b/>
          <w:sz w:val="20"/>
          <w:szCs w:val="20"/>
        </w:rPr>
      </w:pPr>
    </w:p>
    <w:p w14:paraId="5A92E982" w14:textId="77777777" w:rsidR="00760CEA" w:rsidRDefault="00760CEA" w:rsidP="00441B6F">
      <w:pPr>
        <w:pStyle w:val="Body"/>
        <w:spacing w:after="0"/>
        <w:rPr>
          <w:rFonts w:ascii="Arial" w:hAnsi="Arial" w:cs="Arial"/>
        </w:rPr>
      </w:pPr>
    </w:p>
    <w:p w14:paraId="08AC71B4" w14:textId="77777777" w:rsidR="00760CEA" w:rsidRDefault="00760CEA" w:rsidP="00441B6F">
      <w:pPr>
        <w:pStyle w:val="Body"/>
        <w:spacing w:after="0"/>
        <w:rPr>
          <w:rFonts w:ascii="Arial" w:hAnsi="Arial" w:cs="Arial"/>
        </w:rPr>
      </w:pPr>
    </w:p>
    <w:p w14:paraId="5C03DD77" w14:textId="05CC4B49" w:rsidR="00760CEA" w:rsidRPr="00696D6B" w:rsidRDefault="00760CEA" w:rsidP="00760CEA">
      <w:pPr>
        <w:spacing w:before="120" w:after="120" w:line="276" w:lineRule="auto"/>
        <w:jc w:val="both"/>
        <w:rPr>
          <w:rFonts w:ascii="Arial" w:hAnsi="Arial" w:cs="Arial"/>
          <w:b/>
          <w:bCs/>
        </w:rPr>
      </w:pPr>
      <w:r w:rsidRPr="00696D6B">
        <w:rPr>
          <w:rFonts w:ascii="Arial" w:hAnsi="Arial" w:cs="Arial"/>
          <w:b/>
          <w:bCs/>
        </w:rPr>
        <w:t>Fig. 2. Two-dimensional HCPC factor map showing the distribution of black pepper genotypes along the first two principal components</w:t>
      </w:r>
    </w:p>
    <w:p w14:paraId="5E314BCF" w14:textId="161B99CB" w:rsidR="00696D6B" w:rsidRPr="00BF0F18" w:rsidRDefault="00696D6B" w:rsidP="00760CEA">
      <w:pPr>
        <w:spacing w:before="120" w:after="120" w:line="276" w:lineRule="auto"/>
        <w:jc w:val="both"/>
        <w:rPr>
          <w:rFonts w:ascii="Times New Roman" w:hAnsi="Times New Roman"/>
          <w:b/>
          <w:bCs/>
        </w:rPr>
      </w:pPr>
      <w:r w:rsidRPr="00BF0F18">
        <w:rPr>
          <w:rFonts w:ascii="Times New Roman" w:hAnsi="Times New Roman"/>
          <w:noProof/>
        </w:rPr>
        <w:drawing>
          <wp:inline distT="0" distB="0" distL="0" distR="0" wp14:anchorId="3BE7CFF2" wp14:editId="372FB063">
            <wp:extent cx="5828938" cy="3108960"/>
            <wp:effectExtent l="0" t="0" r="0" b="0"/>
            <wp:docPr id="1968965095" name="Picture 3"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ot obj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60" b="3958"/>
                    <a:stretch>
                      <a:fillRect/>
                    </a:stretch>
                  </pic:blipFill>
                  <pic:spPr bwMode="auto">
                    <a:xfrm>
                      <a:off x="0" y="0"/>
                      <a:ext cx="5845503" cy="3117795"/>
                    </a:xfrm>
                    <a:prstGeom prst="rect">
                      <a:avLst/>
                    </a:prstGeom>
                    <a:noFill/>
                    <a:ln>
                      <a:noFill/>
                    </a:ln>
                    <a:extLst>
                      <a:ext uri="{53640926-AAD7-44D8-BBD7-CCE9431645EC}">
                        <a14:shadowObscured xmlns:a14="http://schemas.microsoft.com/office/drawing/2010/main"/>
                      </a:ext>
                    </a:extLst>
                  </pic:spPr>
                </pic:pic>
              </a:graphicData>
            </a:graphic>
          </wp:inline>
        </w:drawing>
      </w:r>
    </w:p>
    <w:p w14:paraId="1C343BB3" w14:textId="38C8D7A4" w:rsidR="00696D6B" w:rsidRPr="00696D6B" w:rsidRDefault="00696D6B" w:rsidP="00696D6B">
      <w:pPr>
        <w:spacing w:before="120" w:after="120" w:line="276" w:lineRule="auto"/>
        <w:jc w:val="both"/>
        <w:rPr>
          <w:rFonts w:ascii="Arial" w:hAnsi="Arial" w:cs="Arial"/>
          <w:b/>
          <w:bCs/>
        </w:rPr>
      </w:pPr>
      <w:r w:rsidRPr="00696D6B">
        <w:rPr>
          <w:rFonts w:ascii="Arial" w:hAnsi="Arial" w:cs="Arial"/>
          <w:b/>
          <w:bCs/>
        </w:rPr>
        <w:t>Fig</w:t>
      </w:r>
      <w:r>
        <w:rPr>
          <w:rFonts w:ascii="Arial" w:hAnsi="Arial" w:cs="Arial"/>
          <w:b/>
          <w:bCs/>
        </w:rPr>
        <w:t xml:space="preserve">. </w:t>
      </w:r>
      <w:r w:rsidRPr="00696D6B">
        <w:rPr>
          <w:rFonts w:ascii="Arial" w:hAnsi="Arial" w:cs="Arial"/>
          <w:b/>
          <w:bCs/>
        </w:rPr>
        <w:t>3. Three-dimensional HCPC factor map showing the distribution of black pepper genotypes along the first two principal components</w:t>
      </w:r>
    </w:p>
    <w:p w14:paraId="223C8746" w14:textId="77777777" w:rsidR="00760CEA" w:rsidRDefault="00760CEA" w:rsidP="00441B6F">
      <w:pPr>
        <w:pStyle w:val="Body"/>
        <w:spacing w:after="0"/>
        <w:rPr>
          <w:rFonts w:ascii="Arial" w:hAnsi="Arial" w:cs="Arial"/>
        </w:rPr>
      </w:pPr>
    </w:p>
    <w:p w14:paraId="6C85CDEC" w14:textId="77777777" w:rsidR="00696D6B" w:rsidRPr="00BF0F18" w:rsidRDefault="00696D6B" w:rsidP="00696D6B">
      <w:pPr>
        <w:spacing w:before="120" w:after="120" w:line="276" w:lineRule="auto"/>
        <w:jc w:val="center"/>
        <w:rPr>
          <w:rFonts w:ascii="Times New Roman" w:hAnsi="Times New Roman"/>
          <w:b/>
          <w:bCs/>
        </w:rPr>
      </w:pPr>
      <w:r w:rsidRPr="00BF0F18">
        <w:rPr>
          <w:rFonts w:ascii="Times New Roman" w:hAnsi="Times New Roman"/>
          <w:noProof/>
        </w:rPr>
        <w:lastRenderedPageBreak/>
        <w:drawing>
          <wp:inline distT="0" distB="0" distL="0" distR="0" wp14:anchorId="1A76013F" wp14:editId="402B3BBC">
            <wp:extent cx="3109519" cy="3514476"/>
            <wp:effectExtent l="0" t="0" r="0" b="0"/>
            <wp:docPr id="840179782" name="Picture 4"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ot obj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476" t="2104" r="17894"/>
                    <a:stretch>
                      <a:fillRect/>
                    </a:stretch>
                  </pic:blipFill>
                  <pic:spPr bwMode="auto">
                    <a:xfrm>
                      <a:off x="0" y="0"/>
                      <a:ext cx="3139306" cy="3548143"/>
                    </a:xfrm>
                    <a:prstGeom prst="rect">
                      <a:avLst/>
                    </a:prstGeom>
                    <a:noFill/>
                    <a:ln>
                      <a:noFill/>
                    </a:ln>
                    <a:extLst>
                      <a:ext uri="{53640926-AAD7-44D8-BBD7-CCE9431645EC}">
                        <a14:shadowObscured xmlns:a14="http://schemas.microsoft.com/office/drawing/2010/main"/>
                      </a:ext>
                    </a:extLst>
                  </pic:spPr>
                </pic:pic>
              </a:graphicData>
            </a:graphic>
          </wp:inline>
        </w:drawing>
      </w:r>
    </w:p>
    <w:p w14:paraId="6439DA3B" w14:textId="6790F7C6" w:rsidR="00696D6B" w:rsidRPr="00696D6B" w:rsidRDefault="00696D6B" w:rsidP="00696D6B">
      <w:pPr>
        <w:spacing w:before="120" w:after="120"/>
        <w:jc w:val="both"/>
        <w:rPr>
          <w:rFonts w:ascii="Arial" w:hAnsi="Arial" w:cs="Arial"/>
          <w:b/>
          <w:bCs/>
        </w:rPr>
      </w:pPr>
      <w:r w:rsidRPr="00696D6B">
        <w:rPr>
          <w:rFonts w:ascii="Arial" w:hAnsi="Arial" w:cs="Arial"/>
          <w:b/>
          <w:bCs/>
        </w:rPr>
        <w:t>Fig</w:t>
      </w:r>
      <w:r>
        <w:rPr>
          <w:rFonts w:ascii="Arial" w:hAnsi="Arial" w:cs="Arial"/>
          <w:b/>
          <w:bCs/>
        </w:rPr>
        <w:t>.</w:t>
      </w:r>
      <w:r w:rsidRPr="00696D6B">
        <w:rPr>
          <w:rFonts w:ascii="Arial" w:hAnsi="Arial" w:cs="Arial"/>
          <w:b/>
          <w:bCs/>
        </w:rPr>
        <w:t xml:space="preserve"> 4. Chord diagram illustrating the association between key morpho-physiological traits and the two HCPC-derived clusters</w:t>
      </w:r>
    </w:p>
    <w:p w14:paraId="0FF4F5C1" w14:textId="77777777" w:rsidR="00E053D0" w:rsidRDefault="00E053D0" w:rsidP="00441B6F">
      <w:pPr>
        <w:pStyle w:val="Body"/>
        <w:spacing w:after="0"/>
        <w:rPr>
          <w:rFonts w:ascii="Arial" w:hAnsi="Arial" w:cs="Arial"/>
        </w:rPr>
      </w:pPr>
    </w:p>
    <w:p w14:paraId="4384A3BC" w14:textId="77777777" w:rsidR="00790ADA" w:rsidRPr="00FB3A86" w:rsidRDefault="00790ADA" w:rsidP="00441B6F">
      <w:pPr>
        <w:pStyle w:val="Body"/>
        <w:spacing w:after="0"/>
        <w:rPr>
          <w:rFonts w:ascii="Arial" w:hAnsi="Arial" w:cs="Arial"/>
        </w:rPr>
      </w:pPr>
    </w:p>
    <w:p w14:paraId="528A4D1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BC7DD8" w14:textId="77777777" w:rsidR="00790ADA" w:rsidRPr="00FB3A86" w:rsidRDefault="00790ADA" w:rsidP="00441B6F">
      <w:pPr>
        <w:pStyle w:val="ConcHead"/>
        <w:spacing w:after="0"/>
        <w:jc w:val="both"/>
        <w:rPr>
          <w:rFonts w:ascii="Arial" w:hAnsi="Arial" w:cs="Arial"/>
        </w:rPr>
      </w:pPr>
    </w:p>
    <w:p w14:paraId="40347F11" w14:textId="48CF2F9E" w:rsidR="00B01FCD" w:rsidRDefault="00530285" w:rsidP="00441B6F">
      <w:pPr>
        <w:pStyle w:val="Body"/>
        <w:spacing w:after="0"/>
        <w:rPr>
          <w:rFonts w:ascii="Arial" w:hAnsi="Arial" w:cs="Arial"/>
        </w:rPr>
      </w:pPr>
      <w:r w:rsidRPr="00530285">
        <w:rPr>
          <w:rFonts w:ascii="Arial" w:hAnsi="Arial" w:cs="Arial"/>
        </w:rPr>
        <w:t xml:space="preserve">The HCPC analysis provided a clear and statistically robust delineation of drought resilient and drought susceptible black pepper genotypes, with inertia statistics demonstrating a stable and biologically meaningful partitioning of the germplasm. The distinct separation of clusters within the PCA factor map further substantiated the multivariate structure. Cluster differentiation was driven primarily by five traits: stomatal density, specific leaf area, epicuticular wax content, relative water content and leaf thickness. Genotypes aggregated within Cluster 1 expressed a coherent set of adaptive characteristics associated with reduced </w:t>
      </w:r>
      <w:proofErr w:type="spellStart"/>
      <w:r w:rsidRPr="00530285">
        <w:rPr>
          <w:rFonts w:ascii="Arial" w:hAnsi="Arial" w:cs="Arial"/>
        </w:rPr>
        <w:t>transpirational</w:t>
      </w:r>
      <w:proofErr w:type="spellEnd"/>
      <w:r w:rsidRPr="00530285">
        <w:rPr>
          <w:rFonts w:ascii="Arial" w:hAnsi="Arial" w:cs="Arial"/>
        </w:rPr>
        <w:t xml:space="preserve"> water loss and improved maintenance of tissue hydration. These findings are consistent with established drought tolerance mechanisms in black pepper and other crop species, particularly those involving wax deposition, leaf structural modifications and stomatal regulation. Collectively, the HCPC outcomes provide a rigorous framework for identifying drought tolerant genotypes and offer valuable guidance for the selection of superior candidates in climate resilient black pepper breeding and conservation programs.</w:t>
      </w:r>
    </w:p>
    <w:p w14:paraId="38FB8079" w14:textId="77777777" w:rsidR="00790ADA" w:rsidRPr="00FB3A86" w:rsidRDefault="00790ADA" w:rsidP="00441B6F">
      <w:pPr>
        <w:pStyle w:val="Body"/>
        <w:spacing w:after="0"/>
        <w:rPr>
          <w:rFonts w:ascii="Arial" w:hAnsi="Arial" w:cs="Arial"/>
        </w:rPr>
      </w:pPr>
    </w:p>
    <w:p w14:paraId="0819EBD0" w14:textId="77777777" w:rsidR="00315186" w:rsidRPr="00315186" w:rsidRDefault="00315186" w:rsidP="00441B6F"/>
    <w:p w14:paraId="657845E7" w14:textId="77777777" w:rsidR="00315186" w:rsidRPr="00315186" w:rsidRDefault="00315186" w:rsidP="00441B6F"/>
    <w:p w14:paraId="46AD50AE" w14:textId="77777777" w:rsidR="00371FB6" w:rsidRDefault="00371FB6" w:rsidP="00441B6F">
      <w:pPr>
        <w:pStyle w:val="ReferHead"/>
        <w:spacing w:after="0"/>
        <w:jc w:val="both"/>
        <w:rPr>
          <w:rFonts w:ascii="Arial" w:hAnsi="Arial" w:cs="Arial"/>
          <w:b w:val="0"/>
          <w:caps w:val="0"/>
          <w:sz w:val="20"/>
        </w:rPr>
      </w:pPr>
      <w:bookmarkStart w:id="1" w:name="_GoBack"/>
      <w:bookmarkEnd w:id="1"/>
    </w:p>
    <w:p w14:paraId="44B5D550" w14:textId="77777777" w:rsidR="005A146C" w:rsidRDefault="005A146C" w:rsidP="00441B6F">
      <w:pPr>
        <w:pStyle w:val="ReferHead"/>
        <w:spacing w:after="0"/>
        <w:jc w:val="both"/>
        <w:rPr>
          <w:rFonts w:ascii="Arial" w:hAnsi="Arial" w:cs="Arial"/>
        </w:rPr>
      </w:pPr>
    </w:p>
    <w:p w14:paraId="4AE58C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ED57A4" w14:textId="244B23D9" w:rsidR="00117706" w:rsidRDefault="00117706" w:rsidP="00117706">
      <w:pPr>
        <w:pStyle w:val="Body"/>
        <w:spacing w:after="0"/>
        <w:rPr>
          <w:rFonts w:ascii="Arial" w:hAnsi="Arial" w:cs="Arial"/>
          <w:lang w:val="en-IN"/>
        </w:rPr>
      </w:pPr>
      <w:r w:rsidRPr="00117706">
        <w:rPr>
          <w:rFonts w:ascii="Arial" w:hAnsi="Arial" w:cs="Arial"/>
          <w:lang w:val="en-IN"/>
        </w:rPr>
        <w:t xml:space="preserve">Anuradha, Y. (2004). Improvement of black pepper (Piper nigrum L.) through induction of stress tolerance in vitro (Ph.D. thesis). Calicut University, Kerala. </w:t>
      </w:r>
      <w:hyperlink r:id="rId12" w:history="1">
        <w:r w:rsidRPr="00C533ED">
          <w:rPr>
            <w:rStyle w:val="Hyperlink"/>
            <w:rFonts w:ascii="Arial" w:hAnsi="Arial" w:cs="Arial"/>
            <w:lang w:val="en-IN"/>
          </w:rPr>
          <w:t>https://hdl.handle.net/20.500.12818/2760</w:t>
        </w:r>
      </w:hyperlink>
    </w:p>
    <w:p w14:paraId="410CF395" w14:textId="7BF4795F" w:rsidR="00117706" w:rsidRDefault="00117706" w:rsidP="00117706">
      <w:pPr>
        <w:pStyle w:val="Body"/>
        <w:spacing w:after="0"/>
        <w:rPr>
          <w:rFonts w:ascii="Arial" w:hAnsi="Arial" w:cs="Arial"/>
          <w:lang w:val="en-IN"/>
        </w:rPr>
      </w:pPr>
      <w:r w:rsidRPr="00117706">
        <w:rPr>
          <w:rFonts w:ascii="Arial" w:hAnsi="Arial" w:cs="Arial"/>
          <w:lang w:val="en-IN"/>
        </w:rPr>
        <w:t xml:space="preserve">Ayala, A., Muñoz, M. F., &amp; Argüelles, S. (2014). Lipid peroxidation: Production, metabolism, and </w:t>
      </w:r>
      <w:proofErr w:type="spellStart"/>
      <w:r w:rsidRPr="00117706">
        <w:rPr>
          <w:rFonts w:ascii="Arial" w:hAnsi="Arial" w:cs="Arial"/>
          <w:lang w:val="en-IN"/>
        </w:rPr>
        <w:t>signaling</w:t>
      </w:r>
      <w:proofErr w:type="spellEnd"/>
      <w:r w:rsidRPr="00117706">
        <w:rPr>
          <w:rFonts w:ascii="Arial" w:hAnsi="Arial" w:cs="Arial"/>
          <w:lang w:val="en-IN"/>
        </w:rPr>
        <w:t xml:space="preserve"> mechanisms of malondialdehyde and 4-hydroxy-2-nonenal. Oxidative Medicine and Cellular Longevity. </w:t>
      </w:r>
      <w:hyperlink r:id="rId13" w:history="1">
        <w:r w:rsidRPr="00C533ED">
          <w:rPr>
            <w:rStyle w:val="Hyperlink"/>
            <w:rFonts w:ascii="Arial" w:hAnsi="Arial" w:cs="Arial"/>
            <w:lang w:val="en-IN"/>
          </w:rPr>
          <w:t>https://doi.org/10.1155/2014/360438</w:t>
        </w:r>
      </w:hyperlink>
    </w:p>
    <w:p w14:paraId="4A499A87" w14:textId="78577384" w:rsidR="00117706" w:rsidRDefault="00117706" w:rsidP="00117706">
      <w:pPr>
        <w:pStyle w:val="Body"/>
        <w:spacing w:after="0"/>
        <w:rPr>
          <w:rFonts w:ascii="Arial" w:hAnsi="Arial" w:cs="Arial"/>
          <w:lang w:val="en-IN"/>
        </w:rPr>
      </w:pPr>
      <w:r w:rsidRPr="00117706">
        <w:rPr>
          <w:rFonts w:ascii="Arial" w:hAnsi="Arial" w:cs="Arial"/>
          <w:lang w:val="en-IN"/>
        </w:rPr>
        <w:t xml:space="preserve">Beers, M. H., Porter, R. S., Jones, T. V., Kaplan, J. L., &amp; </w:t>
      </w:r>
      <w:proofErr w:type="spellStart"/>
      <w:r w:rsidRPr="00117706">
        <w:rPr>
          <w:rFonts w:ascii="Arial" w:hAnsi="Arial" w:cs="Arial"/>
          <w:lang w:val="en-IN"/>
        </w:rPr>
        <w:t>Berkwits</w:t>
      </w:r>
      <w:proofErr w:type="spellEnd"/>
      <w:r w:rsidRPr="00117706">
        <w:rPr>
          <w:rFonts w:ascii="Arial" w:hAnsi="Arial" w:cs="Arial"/>
          <w:lang w:val="en-IN"/>
        </w:rPr>
        <w:t xml:space="preserve">, M. (Eds.). (2006). The Merck manual of diagnosis and therapy (18th ed.). Merck Research Laboratories. </w:t>
      </w:r>
      <w:hyperlink r:id="rId14" w:history="1">
        <w:r w:rsidRPr="00C533ED">
          <w:rPr>
            <w:rStyle w:val="Hyperlink"/>
            <w:rFonts w:ascii="Arial" w:hAnsi="Arial" w:cs="Arial"/>
            <w:lang w:val="en-IN"/>
          </w:rPr>
          <w:t>https://www.merckmanuals.com/</w:t>
        </w:r>
      </w:hyperlink>
    </w:p>
    <w:p w14:paraId="532D8769" w14:textId="0A4D39B6" w:rsidR="00117706" w:rsidRDefault="00117706" w:rsidP="00117706">
      <w:pPr>
        <w:pStyle w:val="Body"/>
        <w:spacing w:after="0"/>
        <w:rPr>
          <w:rFonts w:ascii="Arial" w:hAnsi="Arial" w:cs="Arial"/>
          <w:lang w:val="en-IN"/>
        </w:rPr>
      </w:pPr>
      <w:r w:rsidRPr="00117706">
        <w:rPr>
          <w:rFonts w:ascii="Arial" w:hAnsi="Arial" w:cs="Arial"/>
          <w:lang w:val="en-IN"/>
        </w:rPr>
        <w:t xml:space="preserve">Chaturvedi, R. K., Tripathi, A., </w:t>
      </w:r>
      <w:proofErr w:type="spellStart"/>
      <w:r w:rsidRPr="00117706">
        <w:rPr>
          <w:rFonts w:ascii="Arial" w:hAnsi="Arial" w:cs="Arial"/>
          <w:lang w:val="en-IN"/>
        </w:rPr>
        <w:t>Raghubanshi</w:t>
      </w:r>
      <w:proofErr w:type="spellEnd"/>
      <w:r w:rsidRPr="00117706">
        <w:rPr>
          <w:rFonts w:ascii="Arial" w:hAnsi="Arial" w:cs="Arial"/>
          <w:lang w:val="en-IN"/>
        </w:rPr>
        <w:t xml:space="preserve">, A. S., &amp; Singh, J. S. (2021). Functional traits indicate a continuum of tree drought strategies across a soil water availability gradient in a tropical dry forest. Forest Ecology and Management, 482, 118740. </w:t>
      </w:r>
      <w:hyperlink r:id="rId15" w:history="1">
        <w:r w:rsidRPr="00C533ED">
          <w:rPr>
            <w:rStyle w:val="Hyperlink"/>
            <w:rFonts w:ascii="Arial" w:hAnsi="Arial" w:cs="Arial"/>
            <w:lang w:val="en-IN"/>
          </w:rPr>
          <w:t>https://doi.org/10.1016/J.FORECO.2020.118740</w:t>
        </w:r>
      </w:hyperlink>
    </w:p>
    <w:p w14:paraId="4BD4DA4A" w14:textId="4E3EBFB5" w:rsidR="00117706" w:rsidRDefault="00117706" w:rsidP="00117706">
      <w:pPr>
        <w:pStyle w:val="Body"/>
        <w:spacing w:after="0"/>
        <w:rPr>
          <w:rFonts w:ascii="Arial" w:hAnsi="Arial" w:cs="Arial"/>
          <w:lang w:val="en-IN"/>
        </w:rPr>
      </w:pPr>
      <w:proofErr w:type="spellStart"/>
      <w:r w:rsidRPr="00117706">
        <w:rPr>
          <w:rFonts w:ascii="Arial" w:hAnsi="Arial" w:cs="Arial"/>
          <w:lang w:val="en-IN"/>
        </w:rPr>
        <w:lastRenderedPageBreak/>
        <w:t>Crossay</w:t>
      </w:r>
      <w:proofErr w:type="spellEnd"/>
      <w:r w:rsidRPr="00117706">
        <w:rPr>
          <w:rFonts w:ascii="Arial" w:hAnsi="Arial" w:cs="Arial"/>
          <w:lang w:val="en-IN"/>
        </w:rPr>
        <w:t xml:space="preserve">, T., </w:t>
      </w:r>
      <w:proofErr w:type="spellStart"/>
      <w:r w:rsidRPr="00117706">
        <w:rPr>
          <w:rFonts w:ascii="Arial" w:hAnsi="Arial" w:cs="Arial"/>
          <w:lang w:val="en-IN"/>
        </w:rPr>
        <w:t>Majorel</w:t>
      </w:r>
      <w:proofErr w:type="spellEnd"/>
      <w:r w:rsidRPr="00117706">
        <w:rPr>
          <w:rFonts w:ascii="Arial" w:hAnsi="Arial" w:cs="Arial"/>
          <w:lang w:val="en-IN"/>
        </w:rPr>
        <w:t xml:space="preserve">, C., Redecker, D., </w:t>
      </w:r>
      <w:proofErr w:type="spellStart"/>
      <w:r w:rsidRPr="00117706">
        <w:rPr>
          <w:rFonts w:ascii="Arial" w:hAnsi="Arial" w:cs="Arial"/>
          <w:lang w:val="en-IN"/>
        </w:rPr>
        <w:t>Gensous</w:t>
      </w:r>
      <w:proofErr w:type="spellEnd"/>
      <w:r w:rsidRPr="00117706">
        <w:rPr>
          <w:rFonts w:ascii="Arial" w:hAnsi="Arial" w:cs="Arial"/>
          <w:lang w:val="en-IN"/>
        </w:rPr>
        <w:t xml:space="preserve">, S., </w:t>
      </w:r>
      <w:proofErr w:type="spellStart"/>
      <w:r w:rsidRPr="00117706">
        <w:rPr>
          <w:rFonts w:ascii="Arial" w:hAnsi="Arial" w:cs="Arial"/>
          <w:lang w:val="en-IN"/>
        </w:rPr>
        <w:t>Medevielle</w:t>
      </w:r>
      <w:proofErr w:type="spellEnd"/>
      <w:r w:rsidRPr="00117706">
        <w:rPr>
          <w:rFonts w:ascii="Arial" w:hAnsi="Arial" w:cs="Arial"/>
          <w:lang w:val="en-IN"/>
        </w:rPr>
        <w:t xml:space="preserve">, V., Durrieu, G., </w:t>
      </w:r>
      <w:proofErr w:type="spellStart"/>
      <w:r w:rsidRPr="00117706">
        <w:rPr>
          <w:rFonts w:ascii="Arial" w:hAnsi="Arial" w:cs="Arial"/>
          <w:lang w:val="en-IN"/>
        </w:rPr>
        <w:t>Cavaloc</w:t>
      </w:r>
      <w:proofErr w:type="spellEnd"/>
      <w:r w:rsidRPr="00117706">
        <w:rPr>
          <w:rFonts w:ascii="Arial" w:hAnsi="Arial" w:cs="Arial"/>
          <w:lang w:val="en-IN"/>
        </w:rPr>
        <w:t xml:space="preserve">, Y., &amp; Amir, H. (2019). Is a mixture of arbuscular mycorrhizal fungi better for plant growth than single-species inoculants? Mycorrhiza. </w:t>
      </w:r>
      <w:hyperlink r:id="rId16" w:history="1">
        <w:r w:rsidRPr="00C533ED">
          <w:rPr>
            <w:rStyle w:val="Hyperlink"/>
            <w:rFonts w:ascii="Arial" w:hAnsi="Arial" w:cs="Arial"/>
            <w:lang w:val="en-IN"/>
          </w:rPr>
          <w:t>https://doi.org/10.1007/s00572-019-00898-y</w:t>
        </w:r>
      </w:hyperlink>
    </w:p>
    <w:p w14:paraId="44541DC1" w14:textId="7C0B6717" w:rsidR="00117706" w:rsidRDefault="00117706" w:rsidP="00117706">
      <w:pPr>
        <w:pStyle w:val="Body"/>
        <w:spacing w:after="0"/>
        <w:rPr>
          <w:rFonts w:ascii="Arial" w:hAnsi="Arial" w:cs="Arial"/>
          <w:lang w:val="en-IN"/>
        </w:rPr>
      </w:pPr>
      <w:r w:rsidRPr="00117706">
        <w:rPr>
          <w:rFonts w:ascii="Arial" w:hAnsi="Arial" w:cs="Arial"/>
          <w:lang w:val="en-IN"/>
        </w:rPr>
        <w:t xml:space="preserve">Farooq, M., Hussain, M., Wahid, A., &amp; Siddique, K. H. M. (2012). Drought stress in plants: An overview. In R. Aroca (Ed.), Plant responses to drought stress: From morphological to molecular features (pp. 1-33). Springer. </w:t>
      </w:r>
      <w:hyperlink r:id="rId17" w:history="1">
        <w:r w:rsidRPr="00C533ED">
          <w:rPr>
            <w:rStyle w:val="Hyperlink"/>
            <w:rFonts w:ascii="Arial" w:hAnsi="Arial" w:cs="Arial"/>
            <w:lang w:val="en-IN"/>
          </w:rPr>
          <w:t>https://doi.org/10.1007/978-3-642-32653-0_1</w:t>
        </w:r>
      </w:hyperlink>
    </w:p>
    <w:p w14:paraId="79DD4E9F" w14:textId="34F6EBEC" w:rsidR="00117706" w:rsidRDefault="00117706" w:rsidP="00117706">
      <w:pPr>
        <w:pStyle w:val="Body"/>
        <w:spacing w:after="0"/>
        <w:rPr>
          <w:rFonts w:ascii="Arial" w:hAnsi="Arial" w:cs="Arial"/>
          <w:lang w:val="en-IN"/>
        </w:rPr>
      </w:pPr>
      <w:r w:rsidRPr="00117706">
        <w:rPr>
          <w:rFonts w:ascii="Arial" w:hAnsi="Arial" w:cs="Arial"/>
          <w:lang w:val="en-IN"/>
        </w:rPr>
        <w:t xml:space="preserve">Ferreira, T. R., Sallin, V. P., Cerri Neto, B., </w:t>
      </w:r>
      <w:proofErr w:type="spellStart"/>
      <w:r w:rsidRPr="00117706">
        <w:rPr>
          <w:rFonts w:ascii="Arial" w:hAnsi="Arial" w:cs="Arial"/>
          <w:lang w:val="en-IN"/>
        </w:rPr>
        <w:t>Crasque</w:t>
      </w:r>
      <w:proofErr w:type="spellEnd"/>
      <w:r w:rsidRPr="00117706">
        <w:rPr>
          <w:rFonts w:ascii="Arial" w:hAnsi="Arial" w:cs="Arial"/>
          <w:lang w:val="en-IN"/>
        </w:rPr>
        <w:t xml:space="preserve">, J., Pires, A., Rodrigues, P. S., </w:t>
      </w:r>
      <w:proofErr w:type="spellStart"/>
      <w:r w:rsidRPr="00117706">
        <w:rPr>
          <w:rFonts w:ascii="Arial" w:hAnsi="Arial" w:cs="Arial"/>
          <w:lang w:val="en-IN"/>
        </w:rPr>
        <w:t>Chisté</w:t>
      </w:r>
      <w:proofErr w:type="spellEnd"/>
      <w:r w:rsidRPr="00117706">
        <w:rPr>
          <w:rFonts w:ascii="Arial" w:hAnsi="Arial" w:cs="Arial"/>
          <w:lang w:val="en-IN"/>
        </w:rPr>
        <w:t xml:space="preserve">, H., Lima, A. B. P., Machado Filho, J. A., Arantes, L. O., Lira, J. M. S., Falqueto, A. R., &amp; </w:t>
      </w:r>
      <w:proofErr w:type="spellStart"/>
      <w:r w:rsidRPr="00117706">
        <w:rPr>
          <w:rFonts w:ascii="Arial" w:hAnsi="Arial" w:cs="Arial"/>
          <w:lang w:val="en-IN"/>
        </w:rPr>
        <w:t>Dousseau-Arantes</w:t>
      </w:r>
      <w:proofErr w:type="spellEnd"/>
      <w:r w:rsidRPr="00117706">
        <w:rPr>
          <w:rFonts w:ascii="Arial" w:hAnsi="Arial" w:cs="Arial"/>
          <w:lang w:val="en-IN"/>
        </w:rPr>
        <w:t xml:space="preserve">, S. (2024). Morphophysiological responses of black pepper to recurrent water deficit. </w:t>
      </w:r>
      <w:proofErr w:type="spellStart"/>
      <w:r w:rsidRPr="00117706">
        <w:rPr>
          <w:rFonts w:ascii="Arial" w:hAnsi="Arial" w:cs="Arial"/>
          <w:lang w:val="en-IN"/>
        </w:rPr>
        <w:t>Photosynthetica</w:t>
      </w:r>
      <w:proofErr w:type="spellEnd"/>
      <w:r w:rsidRPr="00117706">
        <w:rPr>
          <w:rFonts w:ascii="Arial" w:hAnsi="Arial" w:cs="Arial"/>
          <w:lang w:val="en-IN"/>
        </w:rPr>
        <w:t xml:space="preserve">, 62(3), 292-301. </w:t>
      </w:r>
      <w:hyperlink r:id="rId18" w:history="1">
        <w:r w:rsidRPr="00C533ED">
          <w:rPr>
            <w:rStyle w:val="Hyperlink"/>
            <w:rFonts w:ascii="Arial" w:hAnsi="Arial" w:cs="Arial"/>
            <w:lang w:val="en-IN"/>
          </w:rPr>
          <w:t>https://doi.org/10.32615/ps.2024.030</w:t>
        </w:r>
      </w:hyperlink>
    </w:p>
    <w:p w14:paraId="5B304667" w14:textId="3E193ECA" w:rsidR="00117706" w:rsidRDefault="00117706" w:rsidP="00117706">
      <w:pPr>
        <w:pStyle w:val="Body"/>
        <w:spacing w:after="0"/>
        <w:rPr>
          <w:rFonts w:ascii="Arial" w:hAnsi="Arial" w:cs="Arial"/>
          <w:lang w:val="en-IN"/>
        </w:rPr>
      </w:pPr>
      <w:proofErr w:type="spellStart"/>
      <w:r w:rsidRPr="00117706">
        <w:rPr>
          <w:rFonts w:ascii="Arial" w:hAnsi="Arial" w:cs="Arial"/>
          <w:lang w:val="en-IN"/>
        </w:rPr>
        <w:t>Gopakumar</w:t>
      </w:r>
      <w:proofErr w:type="spellEnd"/>
      <w:r w:rsidRPr="00117706">
        <w:rPr>
          <w:rFonts w:ascii="Arial" w:hAnsi="Arial" w:cs="Arial"/>
          <w:lang w:val="en-IN"/>
        </w:rPr>
        <w:t xml:space="preserve">, C. S. (2011). Impacts of climate variability on agriculture in Kerala (Ph.D. thesis). Cochin University of Science and Technology. </w:t>
      </w:r>
      <w:hyperlink r:id="rId19" w:history="1">
        <w:r w:rsidRPr="00C533ED">
          <w:rPr>
            <w:rStyle w:val="Hyperlink"/>
            <w:rFonts w:ascii="Arial" w:hAnsi="Arial" w:cs="Arial"/>
            <w:lang w:val="en-IN"/>
          </w:rPr>
          <w:t>https://dyuthi.cusat.ac.in/xmlui/bitstream/handle/purl/2940/Dyuthi-T0931.pdf;sequence=1</w:t>
        </w:r>
      </w:hyperlink>
    </w:p>
    <w:p w14:paraId="77EE9147" w14:textId="30337EC8" w:rsidR="00117706" w:rsidRDefault="00117706" w:rsidP="00117706">
      <w:pPr>
        <w:pStyle w:val="Body"/>
        <w:spacing w:after="0"/>
        <w:rPr>
          <w:rFonts w:ascii="Arial" w:hAnsi="Arial" w:cs="Arial"/>
          <w:lang w:val="en-IN"/>
        </w:rPr>
      </w:pPr>
      <w:r w:rsidRPr="00117706">
        <w:rPr>
          <w:rFonts w:ascii="Arial" w:hAnsi="Arial" w:cs="Arial"/>
          <w:lang w:val="en-IN"/>
        </w:rPr>
        <w:t xml:space="preserve">Hepworth, C., Doheny-Adams, T., Hunt, L., Cameron, D. D., &amp; Gray, J. E. (2015). Manipulating stomatal density enhances drought tolerance without deleterious effect on nutrient uptake. New Phytologist, 208(2), 336-341. </w:t>
      </w:r>
      <w:hyperlink r:id="rId20" w:history="1">
        <w:r w:rsidRPr="00C533ED">
          <w:rPr>
            <w:rStyle w:val="Hyperlink"/>
            <w:rFonts w:ascii="Arial" w:hAnsi="Arial" w:cs="Arial"/>
            <w:lang w:val="en-IN"/>
          </w:rPr>
          <w:t>https://doi.org/10.1111/nph.13598</w:t>
        </w:r>
      </w:hyperlink>
    </w:p>
    <w:p w14:paraId="43120C23" w14:textId="5AF1B9C9" w:rsidR="00117706" w:rsidRDefault="00117706" w:rsidP="00117706">
      <w:pPr>
        <w:pStyle w:val="Body"/>
        <w:spacing w:after="0"/>
        <w:rPr>
          <w:rFonts w:ascii="Arial" w:hAnsi="Arial" w:cs="Arial"/>
          <w:lang w:val="en-IN"/>
        </w:rPr>
      </w:pPr>
      <w:r w:rsidRPr="00117706">
        <w:rPr>
          <w:rFonts w:ascii="Arial" w:hAnsi="Arial" w:cs="Arial"/>
          <w:lang w:val="en-IN"/>
        </w:rPr>
        <w:t xml:space="preserve">Husson, F., Josse, J., &amp; </w:t>
      </w:r>
      <w:proofErr w:type="spellStart"/>
      <w:r w:rsidRPr="00117706">
        <w:rPr>
          <w:rFonts w:ascii="Arial" w:hAnsi="Arial" w:cs="Arial"/>
          <w:lang w:val="en-IN"/>
        </w:rPr>
        <w:t>Pagès</w:t>
      </w:r>
      <w:proofErr w:type="spellEnd"/>
      <w:r w:rsidRPr="00117706">
        <w:rPr>
          <w:rFonts w:ascii="Arial" w:hAnsi="Arial" w:cs="Arial"/>
          <w:lang w:val="en-IN"/>
        </w:rPr>
        <w:t xml:space="preserve">, J. (2010). Principal component methods - hierarchical clustering - partitional clustering: why would we need to choose for visualizing data. Applied Mathematics Department. </w:t>
      </w:r>
      <w:hyperlink r:id="rId21" w:history="1">
        <w:r w:rsidRPr="00C533ED">
          <w:rPr>
            <w:rStyle w:val="Hyperlink"/>
            <w:rFonts w:ascii="Arial" w:hAnsi="Arial" w:cs="Arial"/>
            <w:lang w:val="en-IN"/>
          </w:rPr>
          <w:t>http://www.sthda.com/english/upload/hcpc_husson_josse.pdf</w:t>
        </w:r>
      </w:hyperlink>
    </w:p>
    <w:p w14:paraId="3A29E06A" w14:textId="4DC96788" w:rsidR="00117706" w:rsidRDefault="00117706" w:rsidP="00117706">
      <w:pPr>
        <w:pStyle w:val="Body"/>
        <w:spacing w:after="0"/>
        <w:rPr>
          <w:rFonts w:ascii="Arial" w:hAnsi="Arial" w:cs="Arial"/>
          <w:lang w:val="en-IN"/>
        </w:rPr>
      </w:pPr>
      <w:r w:rsidRPr="00117706">
        <w:rPr>
          <w:rFonts w:ascii="Arial" w:hAnsi="Arial" w:cs="Arial"/>
          <w:lang w:val="en-IN"/>
        </w:rPr>
        <w:t xml:space="preserve">Kaur, G., Singh, G., Motavalli, P. P., Nelson, K. A., Orlowski, J. M., &amp; Golden, B. R. (2020). Impacts and management strategies for crop production in waterlogged or flooded soils: A review. Agronomy Journal, 112(3), 1475–1501. </w:t>
      </w:r>
      <w:hyperlink r:id="rId22" w:history="1">
        <w:r w:rsidRPr="00C533ED">
          <w:rPr>
            <w:rStyle w:val="Hyperlink"/>
            <w:rFonts w:ascii="Arial" w:hAnsi="Arial" w:cs="Arial"/>
            <w:lang w:val="en-IN"/>
          </w:rPr>
          <w:t>https://doi.org/10.1002/agj2.20093</w:t>
        </w:r>
      </w:hyperlink>
    </w:p>
    <w:p w14:paraId="725D8850" w14:textId="4E39C0EB" w:rsidR="00117706" w:rsidRDefault="00117706" w:rsidP="00117706">
      <w:pPr>
        <w:pStyle w:val="Body"/>
        <w:spacing w:after="0"/>
        <w:rPr>
          <w:rFonts w:ascii="Arial" w:hAnsi="Arial" w:cs="Arial"/>
          <w:lang w:val="en-IN"/>
        </w:rPr>
      </w:pPr>
      <w:r w:rsidRPr="00117706">
        <w:rPr>
          <w:rFonts w:ascii="Arial" w:hAnsi="Arial" w:cs="Arial"/>
          <w:lang w:val="en-IN"/>
        </w:rPr>
        <w:t xml:space="preserve">Khazaei, H., </w:t>
      </w:r>
      <w:proofErr w:type="spellStart"/>
      <w:r w:rsidRPr="00117706">
        <w:rPr>
          <w:rFonts w:ascii="Arial" w:hAnsi="Arial" w:cs="Arial"/>
          <w:lang w:val="en-IN"/>
        </w:rPr>
        <w:t>Santanen</w:t>
      </w:r>
      <w:proofErr w:type="spellEnd"/>
      <w:r w:rsidRPr="00117706">
        <w:rPr>
          <w:rFonts w:ascii="Arial" w:hAnsi="Arial" w:cs="Arial"/>
          <w:lang w:val="en-IN"/>
        </w:rPr>
        <w:t xml:space="preserve">, A., Street, K., &amp; Stoddard, F. L. (2019). Genotypic variation in leaf epicuticular wax quantity in a large faba bean (Vicia faba L.) germplasm collection. Plant Genetic Resources, 17(3), 298–300. </w:t>
      </w:r>
      <w:hyperlink r:id="rId23" w:history="1">
        <w:r w:rsidRPr="00C533ED">
          <w:rPr>
            <w:rStyle w:val="Hyperlink"/>
            <w:rFonts w:ascii="Arial" w:hAnsi="Arial" w:cs="Arial"/>
            <w:lang w:val="en-IN"/>
          </w:rPr>
          <w:t>https://doi.org/10.1017/S1479262118000461</w:t>
        </w:r>
      </w:hyperlink>
    </w:p>
    <w:p w14:paraId="72A646A7" w14:textId="312E4F7D" w:rsidR="00117706" w:rsidRDefault="00117706" w:rsidP="00117706">
      <w:pPr>
        <w:pStyle w:val="Body"/>
        <w:spacing w:after="0"/>
        <w:rPr>
          <w:rFonts w:ascii="Arial" w:hAnsi="Arial" w:cs="Arial"/>
          <w:lang w:val="en-IN"/>
        </w:rPr>
      </w:pPr>
      <w:r w:rsidRPr="00117706">
        <w:rPr>
          <w:rFonts w:ascii="Arial" w:hAnsi="Arial" w:cs="Arial"/>
          <w:lang w:val="en-IN"/>
        </w:rPr>
        <w:t xml:space="preserve">Koh, K. Y., Ahmad, S., Lee, J. I., Suh, G. H., &amp; Lee, C. M. (2022). Hierarchical clustering on principal components analysis to detect clusters of highly pathogenic avian influenza subtype H5N6 epidemic across South Korean poultry farms. Symmetry, 14(3), 598. </w:t>
      </w:r>
      <w:hyperlink r:id="rId24" w:history="1">
        <w:r w:rsidRPr="00C533ED">
          <w:rPr>
            <w:rStyle w:val="Hyperlink"/>
            <w:rFonts w:ascii="Arial" w:hAnsi="Arial" w:cs="Arial"/>
            <w:lang w:val="en-IN"/>
          </w:rPr>
          <w:t>https://doi.org/10.3390/sym14030598</w:t>
        </w:r>
      </w:hyperlink>
    </w:p>
    <w:p w14:paraId="12437F7B" w14:textId="2AFEFC85" w:rsidR="00117706" w:rsidRDefault="00117706" w:rsidP="00117706">
      <w:pPr>
        <w:pStyle w:val="Body"/>
        <w:spacing w:after="0"/>
        <w:rPr>
          <w:rFonts w:ascii="Arial" w:hAnsi="Arial" w:cs="Arial"/>
          <w:lang w:val="en-IN"/>
        </w:rPr>
      </w:pPr>
      <w:r w:rsidRPr="00117706">
        <w:rPr>
          <w:rFonts w:ascii="Arial" w:hAnsi="Arial" w:cs="Arial"/>
          <w:lang w:val="en-IN"/>
        </w:rPr>
        <w:t xml:space="preserve">Long, N. V., Phommalueza, D., Minh, L. N., Phan, T. H. N., Ha, C. D., &amp; Van, L. N. (2024). The effects of water regimes on morphological and physiological traits of black pepper (Piper nigrum). Journal of Ecological Engineering, 25(11), 327–334. </w:t>
      </w:r>
      <w:hyperlink r:id="rId25" w:history="1">
        <w:r w:rsidRPr="00C533ED">
          <w:rPr>
            <w:rStyle w:val="Hyperlink"/>
            <w:rFonts w:ascii="Arial" w:hAnsi="Arial" w:cs="Arial"/>
            <w:lang w:val="en-IN"/>
          </w:rPr>
          <w:t>https://doi.org/10.12911/22998993/193409</w:t>
        </w:r>
      </w:hyperlink>
    </w:p>
    <w:p w14:paraId="4584265A" w14:textId="17DFBCE0" w:rsidR="00117706" w:rsidRDefault="00117706" w:rsidP="00117706">
      <w:pPr>
        <w:pStyle w:val="Body"/>
        <w:spacing w:after="0"/>
        <w:rPr>
          <w:rFonts w:ascii="Arial" w:hAnsi="Arial" w:cs="Arial"/>
          <w:lang w:val="en-IN"/>
        </w:rPr>
      </w:pPr>
      <w:r w:rsidRPr="00117706">
        <w:rPr>
          <w:rFonts w:ascii="Arial" w:hAnsi="Arial" w:cs="Arial"/>
          <w:lang w:val="en-IN"/>
        </w:rPr>
        <w:t xml:space="preserve">Marcos-Barbero, E. L., Pérez, P., Martínez-Carrasco, R., Arellano, J. B., &amp; </w:t>
      </w:r>
      <w:proofErr w:type="spellStart"/>
      <w:r w:rsidRPr="00117706">
        <w:rPr>
          <w:rFonts w:ascii="Arial" w:hAnsi="Arial" w:cs="Arial"/>
          <w:lang w:val="en-IN"/>
        </w:rPr>
        <w:t>Morcuende</w:t>
      </w:r>
      <w:proofErr w:type="spellEnd"/>
      <w:r w:rsidRPr="00117706">
        <w:rPr>
          <w:rFonts w:ascii="Arial" w:hAnsi="Arial" w:cs="Arial"/>
          <w:lang w:val="en-IN"/>
        </w:rPr>
        <w:t xml:space="preserve">, R. (2021). Screening for higher grain yield and biomass among sixty bread wheat genotypes grown under elevated CO2 and high-temperature conditions. Plants, 10(8), 1596. </w:t>
      </w:r>
      <w:hyperlink r:id="rId26" w:history="1">
        <w:r w:rsidRPr="00C533ED">
          <w:rPr>
            <w:rStyle w:val="Hyperlink"/>
            <w:rFonts w:ascii="Arial" w:hAnsi="Arial" w:cs="Arial"/>
            <w:lang w:val="en-IN"/>
          </w:rPr>
          <w:t>https://doi.org/10.3390/plants10081596</w:t>
        </w:r>
      </w:hyperlink>
    </w:p>
    <w:p w14:paraId="13C35F63" w14:textId="196B14D1" w:rsidR="00117706" w:rsidRDefault="00117706" w:rsidP="00117706">
      <w:pPr>
        <w:pStyle w:val="Body"/>
        <w:spacing w:after="0"/>
        <w:rPr>
          <w:rFonts w:ascii="Arial" w:hAnsi="Arial" w:cs="Arial"/>
          <w:lang w:val="en-IN"/>
        </w:rPr>
      </w:pPr>
      <w:r w:rsidRPr="00117706">
        <w:rPr>
          <w:rFonts w:ascii="Arial" w:hAnsi="Arial" w:cs="Arial"/>
          <w:lang w:val="en-IN"/>
        </w:rPr>
        <w:t xml:space="preserve">Maugeri, A., </w:t>
      </w:r>
      <w:proofErr w:type="spellStart"/>
      <w:r w:rsidRPr="00117706">
        <w:rPr>
          <w:rFonts w:ascii="Arial" w:hAnsi="Arial" w:cs="Arial"/>
          <w:lang w:val="en-IN"/>
        </w:rPr>
        <w:t>Barchitta</w:t>
      </w:r>
      <w:proofErr w:type="spellEnd"/>
      <w:r w:rsidRPr="00117706">
        <w:rPr>
          <w:rFonts w:ascii="Arial" w:hAnsi="Arial" w:cs="Arial"/>
          <w:lang w:val="en-IN"/>
        </w:rPr>
        <w:t xml:space="preserve">, M., Basile, G., &amp; Agodi, A. (2021). Applying a hierarchical clustering on principal components approach to identify different patterns of the SARS-CoV-2 epidemic across Italian regions. Scientific Reports, 11, 7082. </w:t>
      </w:r>
      <w:hyperlink r:id="rId27" w:history="1">
        <w:r w:rsidRPr="00C533ED">
          <w:rPr>
            <w:rStyle w:val="Hyperlink"/>
            <w:rFonts w:ascii="Arial" w:hAnsi="Arial" w:cs="Arial"/>
            <w:lang w:val="en-IN"/>
          </w:rPr>
          <w:t>https://doi.org/10.1038/s41598-021-86703-3</w:t>
        </w:r>
      </w:hyperlink>
    </w:p>
    <w:p w14:paraId="59C6A3EB" w14:textId="72AC2873" w:rsidR="00117706" w:rsidRDefault="00117706" w:rsidP="00117706">
      <w:pPr>
        <w:pStyle w:val="Body"/>
        <w:spacing w:after="0"/>
        <w:rPr>
          <w:rFonts w:ascii="Arial" w:hAnsi="Arial" w:cs="Arial"/>
          <w:lang w:val="en-IN"/>
        </w:rPr>
      </w:pPr>
      <w:r w:rsidRPr="00117706">
        <w:rPr>
          <w:rFonts w:ascii="Arial" w:hAnsi="Arial" w:cs="Arial"/>
          <w:lang w:val="en-IN"/>
        </w:rPr>
        <w:t xml:space="preserve">Murtagh, F., &amp; Contreras, P. (2011). Methods of Hierarchical Clustering. </w:t>
      </w:r>
      <w:proofErr w:type="spellStart"/>
      <w:r w:rsidRPr="00117706">
        <w:rPr>
          <w:rFonts w:ascii="Arial" w:hAnsi="Arial" w:cs="Arial"/>
          <w:lang w:val="en-IN"/>
        </w:rPr>
        <w:t>arXiv</w:t>
      </w:r>
      <w:proofErr w:type="spellEnd"/>
      <w:r w:rsidRPr="00117706">
        <w:rPr>
          <w:rFonts w:ascii="Arial" w:hAnsi="Arial" w:cs="Arial"/>
          <w:lang w:val="en-IN"/>
        </w:rPr>
        <w:t xml:space="preserve">. </w:t>
      </w:r>
      <w:hyperlink r:id="rId28" w:history="1">
        <w:r w:rsidRPr="00C533ED">
          <w:rPr>
            <w:rStyle w:val="Hyperlink"/>
            <w:rFonts w:ascii="Arial" w:hAnsi="Arial" w:cs="Arial"/>
            <w:lang w:val="en-IN"/>
          </w:rPr>
          <w:t>https://doi.org/10.48550/arXiv.1105.0121</w:t>
        </w:r>
      </w:hyperlink>
    </w:p>
    <w:p w14:paraId="5C7A2FA9" w14:textId="1C687884" w:rsidR="00117706" w:rsidRDefault="00117706" w:rsidP="00117706">
      <w:pPr>
        <w:pStyle w:val="Body"/>
        <w:spacing w:after="0"/>
        <w:rPr>
          <w:rFonts w:ascii="Arial" w:hAnsi="Arial" w:cs="Arial"/>
          <w:lang w:val="en-IN"/>
        </w:rPr>
      </w:pPr>
      <w:r w:rsidRPr="00117706">
        <w:rPr>
          <w:rFonts w:ascii="Arial" w:hAnsi="Arial" w:cs="Arial"/>
          <w:lang w:val="en-IN"/>
        </w:rPr>
        <w:t xml:space="preserve">Negi, A., George Kokkat, J., </w:t>
      </w:r>
      <w:proofErr w:type="spellStart"/>
      <w:r w:rsidRPr="00117706">
        <w:rPr>
          <w:rFonts w:ascii="Arial" w:hAnsi="Arial" w:cs="Arial"/>
          <w:lang w:val="en-IN"/>
        </w:rPr>
        <w:t>Jasrotia</w:t>
      </w:r>
      <w:proofErr w:type="spellEnd"/>
      <w:r w:rsidRPr="00117706">
        <w:rPr>
          <w:rFonts w:ascii="Arial" w:hAnsi="Arial" w:cs="Arial"/>
          <w:lang w:val="en-IN"/>
        </w:rPr>
        <w:t xml:space="preserve">, R. S., Madhavan, S., Jaiswal, S., Angadi, U. B., </w:t>
      </w:r>
      <w:proofErr w:type="spellStart"/>
      <w:r w:rsidRPr="00117706">
        <w:rPr>
          <w:rFonts w:ascii="Arial" w:hAnsi="Arial" w:cs="Arial"/>
          <w:lang w:val="en-IN"/>
        </w:rPr>
        <w:t>Iquebal</w:t>
      </w:r>
      <w:proofErr w:type="spellEnd"/>
      <w:r w:rsidRPr="00117706">
        <w:rPr>
          <w:rFonts w:ascii="Arial" w:hAnsi="Arial" w:cs="Arial"/>
          <w:lang w:val="en-IN"/>
        </w:rPr>
        <w:t xml:space="preserve">, M. A., Rai, A., &amp; Kumar, D. (2021). Drought responsiveness in black pepper (Piper nigrum L.): Genes associated and development of a web-genomic resource. </w:t>
      </w:r>
      <w:proofErr w:type="spellStart"/>
      <w:r w:rsidRPr="00117706">
        <w:rPr>
          <w:rFonts w:ascii="Arial" w:hAnsi="Arial" w:cs="Arial"/>
          <w:lang w:val="en-IN"/>
        </w:rPr>
        <w:t>Physiologia</w:t>
      </w:r>
      <w:proofErr w:type="spellEnd"/>
      <w:r w:rsidRPr="00117706">
        <w:rPr>
          <w:rFonts w:ascii="Arial" w:hAnsi="Arial" w:cs="Arial"/>
          <w:lang w:val="en-IN"/>
        </w:rPr>
        <w:t xml:space="preserve"> Plantarum, 172(2), 669–683. </w:t>
      </w:r>
      <w:hyperlink r:id="rId29" w:history="1">
        <w:r w:rsidRPr="00C533ED">
          <w:rPr>
            <w:rStyle w:val="Hyperlink"/>
            <w:rFonts w:ascii="Arial" w:hAnsi="Arial" w:cs="Arial"/>
            <w:lang w:val="en-IN"/>
          </w:rPr>
          <w:t>https://doi.org/10.1111/ppl.13308</w:t>
        </w:r>
      </w:hyperlink>
    </w:p>
    <w:p w14:paraId="1D3A93FD" w14:textId="052780E6" w:rsidR="00117706" w:rsidRDefault="00117706" w:rsidP="00117706">
      <w:pPr>
        <w:pStyle w:val="Body"/>
        <w:spacing w:after="0"/>
        <w:rPr>
          <w:rFonts w:ascii="Arial" w:hAnsi="Arial" w:cs="Arial"/>
          <w:lang w:val="en-IN"/>
        </w:rPr>
      </w:pPr>
      <w:r w:rsidRPr="00117706">
        <w:rPr>
          <w:rFonts w:ascii="Arial" w:hAnsi="Arial" w:cs="Arial"/>
          <w:lang w:val="en-IN"/>
        </w:rPr>
        <w:t xml:space="preserve">Prakash, K. M., Joseph, J., Santhoshkumar, A. V., Saji, K. V., </w:t>
      </w:r>
      <w:proofErr w:type="spellStart"/>
      <w:r w:rsidRPr="00117706">
        <w:rPr>
          <w:rFonts w:ascii="Arial" w:hAnsi="Arial" w:cs="Arial"/>
          <w:lang w:val="en-IN"/>
        </w:rPr>
        <w:t>Puthiamadom</w:t>
      </w:r>
      <w:proofErr w:type="spellEnd"/>
      <w:r w:rsidRPr="00117706">
        <w:rPr>
          <w:rFonts w:ascii="Arial" w:hAnsi="Arial" w:cs="Arial"/>
          <w:lang w:val="en-IN"/>
        </w:rPr>
        <w:t xml:space="preserve">, N., &amp; Ramachandran, A. (2023). Drought response of biotic-stress tolerant accessions of black pepper (Piper nigrum L.). Journal of Tropical Agriculture, 61(2), 189–195. </w:t>
      </w:r>
      <w:hyperlink r:id="rId30" w:history="1">
        <w:r w:rsidRPr="00C533ED">
          <w:rPr>
            <w:rStyle w:val="Hyperlink"/>
            <w:rFonts w:ascii="Arial" w:hAnsi="Arial" w:cs="Arial"/>
            <w:lang w:val="en-IN"/>
          </w:rPr>
          <w:t>https://journaloftropicalagriculture.in/index.php/jta/issue/view/61</w:t>
        </w:r>
      </w:hyperlink>
    </w:p>
    <w:p w14:paraId="04F2BDED" w14:textId="1EF0F6D9"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Rang, H. P., Dale, M. M., Ritter, J. M., &amp; Moore, P. K. (2003). </w:t>
      </w:r>
      <w:r w:rsidRPr="001D5366">
        <w:rPr>
          <w:rFonts w:ascii="Arial" w:hAnsi="Arial" w:cs="Arial"/>
          <w:i/>
          <w:iCs/>
          <w:lang w:val="en-IN"/>
        </w:rPr>
        <w:t>Pharmacology</w:t>
      </w:r>
      <w:r w:rsidRPr="001D5366">
        <w:rPr>
          <w:rFonts w:ascii="Arial" w:hAnsi="Arial" w:cs="Arial"/>
          <w:lang w:val="en-IN"/>
        </w:rPr>
        <w:t xml:space="preserve"> (5th ed.). Churchill Livingstone.</w:t>
      </w:r>
    </w:p>
    <w:p w14:paraId="3061C86B" w14:textId="3E78F404" w:rsidR="00117706" w:rsidRDefault="00117706" w:rsidP="00117706">
      <w:pPr>
        <w:pStyle w:val="Body"/>
        <w:spacing w:after="0"/>
        <w:rPr>
          <w:rFonts w:ascii="Arial" w:hAnsi="Arial" w:cs="Arial"/>
          <w:lang w:val="en-IN"/>
        </w:rPr>
      </w:pPr>
      <w:r w:rsidRPr="00117706">
        <w:rPr>
          <w:rFonts w:ascii="Arial" w:hAnsi="Arial" w:cs="Arial"/>
          <w:lang w:val="en-IN"/>
        </w:rPr>
        <w:t xml:space="preserve">Reshma, P., Sreekala, G. S., Deepa, S. N., &amp; Roy, S. (2024). Genetic diversity assessment of black pepper (Piper nigrum L.) cultivars of Western Ghats. Plant Science Today, 12(3). </w:t>
      </w:r>
      <w:hyperlink r:id="rId31" w:history="1">
        <w:r w:rsidRPr="00C533ED">
          <w:rPr>
            <w:rStyle w:val="Hyperlink"/>
            <w:rFonts w:ascii="Arial" w:hAnsi="Arial" w:cs="Arial"/>
            <w:lang w:val="en-IN"/>
          </w:rPr>
          <w:t>https://doi.org/10.14719/pst.4816</w:t>
        </w:r>
      </w:hyperlink>
    </w:p>
    <w:p w14:paraId="3CFC0F94" w14:textId="0D05BE4A"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Saha, M., Adams, M. L., &amp; Nelson, S. C. (2009). Review of digit fusion in the mouse embryo. </w:t>
      </w:r>
      <w:r w:rsidRPr="001D5366">
        <w:rPr>
          <w:rFonts w:ascii="Arial" w:hAnsi="Arial" w:cs="Arial"/>
          <w:i/>
          <w:iCs/>
          <w:lang w:val="en-IN"/>
        </w:rPr>
        <w:t>Journal of Embryology and Experimental Morphology</w:t>
      </w:r>
      <w:r w:rsidRPr="001D5366">
        <w:rPr>
          <w:rFonts w:ascii="Arial" w:hAnsi="Arial" w:cs="Arial"/>
          <w:lang w:val="en-IN"/>
        </w:rPr>
        <w:t>, 49(3), (In press).</w:t>
      </w:r>
    </w:p>
    <w:p w14:paraId="60D345BC" w14:textId="3BCDF98F" w:rsidR="00117706" w:rsidRDefault="00117706" w:rsidP="00117706">
      <w:pPr>
        <w:pStyle w:val="Body"/>
        <w:spacing w:after="0"/>
        <w:rPr>
          <w:rFonts w:ascii="Arial" w:hAnsi="Arial" w:cs="Arial"/>
          <w:lang w:val="en-IN"/>
        </w:rPr>
      </w:pPr>
      <w:r w:rsidRPr="00117706">
        <w:rPr>
          <w:rFonts w:ascii="Arial" w:hAnsi="Arial" w:cs="Arial"/>
          <w:lang w:val="en-IN"/>
        </w:rPr>
        <w:t xml:space="preserve">Styka, B., </w:t>
      </w:r>
      <w:proofErr w:type="spellStart"/>
      <w:r w:rsidRPr="00117706">
        <w:rPr>
          <w:rFonts w:ascii="Arial" w:hAnsi="Arial" w:cs="Arial"/>
          <w:lang w:val="en-IN"/>
        </w:rPr>
        <w:t>Ręka</w:t>
      </w:r>
      <w:proofErr w:type="spellEnd"/>
      <w:r w:rsidRPr="00117706">
        <w:rPr>
          <w:rFonts w:ascii="Arial" w:hAnsi="Arial" w:cs="Arial"/>
          <w:lang w:val="en-IN"/>
        </w:rPr>
        <w:t xml:space="preserve">, G., </w:t>
      </w:r>
      <w:proofErr w:type="spellStart"/>
      <w:r w:rsidRPr="00117706">
        <w:rPr>
          <w:rFonts w:ascii="Arial" w:hAnsi="Arial" w:cs="Arial"/>
          <w:lang w:val="en-IN"/>
        </w:rPr>
        <w:t>Ozygała</w:t>
      </w:r>
      <w:proofErr w:type="spellEnd"/>
      <w:r w:rsidRPr="00117706">
        <w:rPr>
          <w:rFonts w:ascii="Arial" w:hAnsi="Arial" w:cs="Arial"/>
          <w:lang w:val="en-IN"/>
        </w:rPr>
        <w:t xml:space="preserve">, A., Janiszewska, M., Stelmach, M., Skowera, P., Urbańska, Z., &amp; Lejman, M. (2025). Loss of heterozygosity in </w:t>
      </w:r>
      <w:proofErr w:type="spellStart"/>
      <w:r w:rsidRPr="00117706">
        <w:rPr>
          <w:rFonts w:ascii="Arial" w:hAnsi="Arial" w:cs="Arial"/>
          <w:lang w:val="en-IN"/>
        </w:rPr>
        <w:t>pediatric</w:t>
      </w:r>
      <w:proofErr w:type="spellEnd"/>
      <w:r w:rsidRPr="00117706">
        <w:rPr>
          <w:rFonts w:ascii="Arial" w:hAnsi="Arial" w:cs="Arial"/>
          <w:lang w:val="en-IN"/>
        </w:rPr>
        <w:t xml:space="preserve"> acute lymphoblastic </w:t>
      </w:r>
      <w:proofErr w:type="spellStart"/>
      <w:r w:rsidRPr="00117706">
        <w:rPr>
          <w:rFonts w:ascii="Arial" w:hAnsi="Arial" w:cs="Arial"/>
          <w:lang w:val="en-IN"/>
        </w:rPr>
        <w:t>leukemia</w:t>
      </w:r>
      <w:proofErr w:type="spellEnd"/>
      <w:r w:rsidRPr="00117706">
        <w:rPr>
          <w:rFonts w:ascii="Arial" w:hAnsi="Arial" w:cs="Arial"/>
          <w:lang w:val="en-IN"/>
        </w:rPr>
        <w:t xml:space="preserve"> and its prognostic impact: A retrospective study. Cancers, 17(15), 2500. </w:t>
      </w:r>
      <w:hyperlink r:id="rId32" w:history="1">
        <w:r w:rsidRPr="00C533ED">
          <w:rPr>
            <w:rStyle w:val="Hyperlink"/>
            <w:rFonts w:ascii="Arial" w:hAnsi="Arial" w:cs="Arial"/>
            <w:lang w:val="en-IN"/>
          </w:rPr>
          <w:t>https://doi.org/10.3390/cancers17152500</w:t>
        </w:r>
      </w:hyperlink>
    </w:p>
    <w:p w14:paraId="0F35931B" w14:textId="5E8CC55E" w:rsidR="00117706" w:rsidRDefault="00117706" w:rsidP="00117706">
      <w:pPr>
        <w:pStyle w:val="Body"/>
        <w:spacing w:after="0"/>
        <w:rPr>
          <w:rFonts w:ascii="Arial" w:hAnsi="Arial" w:cs="Arial"/>
          <w:lang w:val="en-IN"/>
        </w:rPr>
      </w:pPr>
      <w:r w:rsidRPr="00117706">
        <w:rPr>
          <w:rFonts w:ascii="Arial" w:hAnsi="Arial" w:cs="Arial"/>
          <w:lang w:val="en-IN"/>
        </w:rPr>
        <w:t xml:space="preserve">Theertha, A. P., Shivakumar, M. S., &amp; Krishnamurthy, K. S. (2023). Genetic variability analysis in elite black pepper genotypes using morpho-physiological and yield-attributing traits. Journal of Spices and Aromatic Crops, 32(2), 107–119. </w:t>
      </w:r>
      <w:hyperlink r:id="rId33" w:history="1">
        <w:r w:rsidRPr="00C533ED">
          <w:rPr>
            <w:rStyle w:val="Hyperlink"/>
            <w:rFonts w:ascii="Arial" w:hAnsi="Arial" w:cs="Arial"/>
            <w:lang w:val="en-IN"/>
          </w:rPr>
          <w:t>https://doi.org/10.25081/josac.2023.v32.i2.8742</w:t>
        </w:r>
      </w:hyperlink>
    </w:p>
    <w:p w14:paraId="09206982" w14:textId="6F28E712"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Theertha, A. P., &amp; Krishnamurthy, K. S. (2025). Gene expression under different soil moisture regimes and its correlation with physiological parameters in black pepper (Piper nigrum L.) genotypes. </w:t>
      </w:r>
      <w:r w:rsidRPr="001D5366">
        <w:rPr>
          <w:rFonts w:ascii="Arial" w:hAnsi="Arial" w:cs="Arial"/>
          <w:i/>
          <w:iCs/>
          <w:lang w:val="en-IN"/>
        </w:rPr>
        <w:t>South African Journal of Botany</w:t>
      </w:r>
      <w:r w:rsidRPr="001D5366">
        <w:rPr>
          <w:rFonts w:ascii="Arial" w:hAnsi="Arial" w:cs="Arial"/>
          <w:lang w:val="en-IN"/>
        </w:rPr>
        <w:t>, 187, 134–144.</w:t>
      </w:r>
    </w:p>
    <w:p w14:paraId="0A3FFDB8" w14:textId="0B3AE1E8" w:rsidR="00117706" w:rsidRDefault="00117706" w:rsidP="00117706">
      <w:pPr>
        <w:pStyle w:val="Body"/>
        <w:spacing w:after="0"/>
        <w:rPr>
          <w:rFonts w:ascii="Arial" w:hAnsi="Arial" w:cs="Arial"/>
          <w:lang w:val="en-IN"/>
        </w:rPr>
      </w:pPr>
      <w:r w:rsidRPr="00117706">
        <w:rPr>
          <w:rFonts w:ascii="Arial" w:hAnsi="Arial" w:cs="Arial"/>
          <w:lang w:val="en-IN"/>
        </w:rPr>
        <w:t xml:space="preserve">Vidal, A. K. F., Daher, R. F., Freitas, R. S., Santana, J. G. S., </w:t>
      </w:r>
      <w:proofErr w:type="spellStart"/>
      <w:r w:rsidRPr="00117706">
        <w:rPr>
          <w:rFonts w:ascii="Arial" w:hAnsi="Arial" w:cs="Arial"/>
          <w:lang w:val="en-IN"/>
        </w:rPr>
        <w:t>Stida</w:t>
      </w:r>
      <w:proofErr w:type="spellEnd"/>
      <w:r w:rsidRPr="00117706">
        <w:rPr>
          <w:rFonts w:ascii="Arial" w:hAnsi="Arial" w:cs="Arial"/>
          <w:lang w:val="en-IN"/>
        </w:rPr>
        <w:t xml:space="preserve">, W. F., Ambrósio, M., Silva, V. B., Souza, A. G., Nascimento, M. R., Santos, R. M., Leite, C. L., &amp; Farias, J. E. C. (2024). Genetic diversity based on multivariate techniques in elephant grass genotypes for bioenergy. Brazilian Journal of Biology, 84, e278601. </w:t>
      </w:r>
      <w:hyperlink r:id="rId34" w:history="1">
        <w:r w:rsidRPr="00C533ED">
          <w:rPr>
            <w:rStyle w:val="Hyperlink"/>
            <w:rFonts w:ascii="Arial" w:hAnsi="Arial" w:cs="Arial"/>
            <w:lang w:val="en-IN"/>
          </w:rPr>
          <w:t>https://doi.org/10.1590/1519-6984.278601</w:t>
        </w:r>
      </w:hyperlink>
    </w:p>
    <w:p w14:paraId="5ACE8D1E" w14:textId="53C3FB7C" w:rsidR="00117706" w:rsidRDefault="00117706" w:rsidP="00117706">
      <w:pPr>
        <w:pStyle w:val="Body"/>
        <w:spacing w:after="0"/>
        <w:rPr>
          <w:rFonts w:ascii="Arial" w:hAnsi="Arial" w:cs="Arial"/>
          <w:lang w:val="en-IN"/>
        </w:rPr>
      </w:pPr>
      <w:r w:rsidRPr="00117706">
        <w:rPr>
          <w:rFonts w:ascii="Arial" w:hAnsi="Arial" w:cs="Arial"/>
          <w:lang w:val="en-IN"/>
        </w:rPr>
        <w:lastRenderedPageBreak/>
        <w:t xml:space="preserve">Wen, H., Meng, X., Shan, H., Wang, Y., Wang, S., Zhang, M., Fan, H., Zheng, J., Yang, B., &amp; Zhang, J. (2025). Integrated </w:t>
      </w:r>
      <w:proofErr w:type="spellStart"/>
      <w:r w:rsidRPr="00117706">
        <w:rPr>
          <w:rFonts w:ascii="Arial" w:hAnsi="Arial" w:cs="Arial"/>
          <w:lang w:val="en-IN"/>
        </w:rPr>
        <w:t>lipidomics</w:t>
      </w:r>
      <w:proofErr w:type="spellEnd"/>
      <w:r w:rsidRPr="00117706">
        <w:rPr>
          <w:rFonts w:ascii="Arial" w:hAnsi="Arial" w:cs="Arial"/>
          <w:lang w:val="en-IN"/>
        </w:rPr>
        <w:t xml:space="preserve"> and physiological analyses reveal the critical role of leaf sheath wax </w:t>
      </w:r>
      <w:proofErr w:type="spellStart"/>
      <w:r w:rsidRPr="00117706">
        <w:rPr>
          <w:rFonts w:ascii="Arial" w:hAnsi="Arial" w:cs="Arial"/>
          <w:lang w:val="en-IN"/>
        </w:rPr>
        <w:t>remodeling</w:t>
      </w:r>
      <w:proofErr w:type="spellEnd"/>
      <w:r w:rsidRPr="00117706">
        <w:rPr>
          <w:rFonts w:ascii="Arial" w:hAnsi="Arial" w:cs="Arial"/>
          <w:lang w:val="en-IN"/>
        </w:rPr>
        <w:t xml:space="preserve"> in wheat (Triticum aestivum L.) drought resistance. BMC Plant Biology, 25(1), 1657. </w:t>
      </w:r>
      <w:hyperlink r:id="rId35" w:history="1">
        <w:r w:rsidRPr="00C533ED">
          <w:rPr>
            <w:rStyle w:val="Hyperlink"/>
            <w:rFonts w:ascii="Arial" w:hAnsi="Arial" w:cs="Arial"/>
            <w:lang w:val="en-IN"/>
          </w:rPr>
          <w:t>https://doi.org/10.1186/s12870-025-07697-y</w:t>
        </w:r>
      </w:hyperlink>
    </w:p>
    <w:p w14:paraId="6FD0675D" w14:textId="613EB560" w:rsidR="00441B6F" w:rsidRDefault="00117706" w:rsidP="00117706">
      <w:pPr>
        <w:pStyle w:val="Body"/>
        <w:spacing w:after="0"/>
        <w:jc w:val="left"/>
        <w:rPr>
          <w:rFonts w:ascii="Arial" w:hAnsi="Arial" w:cs="Arial"/>
          <w:lang w:val="en-IN"/>
        </w:rPr>
      </w:pPr>
      <w:r w:rsidRPr="00117706">
        <w:rPr>
          <w:rFonts w:ascii="Arial" w:hAnsi="Arial" w:cs="Arial"/>
          <w:lang w:val="en-IN"/>
        </w:rPr>
        <w:t xml:space="preserve">Xu, Z., &amp; Zhou, G. (2008). Responses of leaf stomatal density to water status and its relationship with photosynthesis in a grass. Journal of Experimental Botany, 59(12), 3317–3325. </w:t>
      </w:r>
      <w:hyperlink r:id="rId36" w:history="1">
        <w:r w:rsidRPr="00C533ED">
          <w:rPr>
            <w:rStyle w:val="Hyperlink"/>
            <w:rFonts w:ascii="Arial" w:hAnsi="Arial" w:cs="Arial"/>
            <w:lang w:val="en-IN"/>
          </w:rPr>
          <w:t>https://doi.org/10.1093/jxb/ern185</w:t>
        </w:r>
      </w:hyperlink>
    </w:p>
    <w:p w14:paraId="1675CC88" w14:textId="77777777" w:rsidR="00117706" w:rsidRDefault="00117706" w:rsidP="008A280C">
      <w:pPr>
        <w:pStyle w:val="Body"/>
        <w:spacing w:after="0"/>
        <w:ind w:left="720" w:hanging="720"/>
        <w:jc w:val="left"/>
        <w:rPr>
          <w:rFonts w:ascii="Arial" w:hAnsi="Arial" w:cs="Arial"/>
        </w:rPr>
      </w:pPr>
    </w:p>
    <w:p w14:paraId="291A4E67" w14:textId="77777777" w:rsidR="00B01FCD" w:rsidRPr="00FB3A86" w:rsidRDefault="00B01FCD" w:rsidP="00441B6F">
      <w:pPr>
        <w:pStyle w:val="Reference"/>
        <w:numPr>
          <w:ilvl w:val="0"/>
          <w:numId w:val="0"/>
        </w:numPr>
        <w:spacing w:line="240" w:lineRule="auto"/>
        <w:rPr>
          <w:rFonts w:ascii="Arial" w:hAnsi="Arial" w:cs="Arial"/>
        </w:rPr>
      </w:pPr>
    </w:p>
    <w:p w14:paraId="04254452" w14:textId="77777777" w:rsidR="00B01FCD" w:rsidRPr="00B22E48" w:rsidRDefault="00B01FCD" w:rsidP="00441B6F">
      <w:pPr>
        <w:pStyle w:val="Appendix"/>
        <w:spacing w:after="0"/>
        <w:jc w:val="both"/>
        <w:rPr>
          <w:rFonts w:ascii="Arial" w:hAnsi="Arial" w:cs="Arial"/>
          <w:b w:val="0"/>
          <w:bCs/>
        </w:rPr>
      </w:pPr>
    </w:p>
    <w:sectPr w:rsidR="00B01FCD" w:rsidRPr="00B22E48" w:rsidSect="00712346">
      <w:headerReference w:type="even" r:id="rId37"/>
      <w:headerReference w:type="default" r:id="rId38"/>
      <w:footerReference w:type="even" r:id="rId39"/>
      <w:footerReference w:type="default" r:id="rId40"/>
      <w:headerReference w:type="first" r:id="rId41"/>
      <w:foot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ADF05" w14:textId="77777777" w:rsidR="00626C7C" w:rsidRDefault="00626C7C" w:rsidP="00C37E61">
      <w:r>
        <w:separator/>
      </w:r>
    </w:p>
  </w:endnote>
  <w:endnote w:type="continuationSeparator" w:id="0">
    <w:p w14:paraId="3A169828" w14:textId="77777777" w:rsidR="00626C7C" w:rsidRDefault="00626C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9ED5" w14:textId="77777777" w:rsidR="00DD1ABD" w:rsidRDefault="00DD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90E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6B46" w14:textId="77777777" w:rsidR="00DD1ABD" w:rsidRDefault="00DD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6F4EC" w14:textId="77777777" w:rsidR="00626C7C" w:rsidRDefault="00626C7C" w:rsidP="00C37E61">
      <w:r>
        <w:separator/>
      </w:r>
    </w:p>
  </w:footnote>
  <w:footnote w:type="continuationSeparator" w:id="0">
    <w:p w14:paraId="00450FE9" w14:textId="77777777" w:rsidR="00626C7C" w:rsidRDefault="00626C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B2F3" w14:textId="23692DEB" w:rsidR="00DD1ABD" w:rsidRDefault="00DD1ABD">
    <w:pPr>
      <w:pStyle w:val="Header"/>
    </w:pPr>
    <w:r>
      <w:rPr>
        <w:noProof/>
      </w:rPr>
      <w:pict w14:anchorId="4C4F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0F6D" w14:textId="0DFF4A23" w:rsidR="00DD1ABD" w:rsidRDefault="00DD1ABD">
    <w:pPr>
      <w:pStyle w:val="Header"/>
    </w:pPr>
    <w:r>
      <w:rPr>
        <w:noProof/>
      </w:rPr>
      <w:pict w14:anchorId="48EB8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875D" w14:textId="0C561B72" w:rsidR="00DD1ABD" w:rsidRDefault="00DD1ABD">
    <w:pPr>
      <w:pStyle w:val="Header"/>
    </w:pPr>
    <w:r>
      <w:rPr>
        <w:noProof/>
      </w:rPr>
      <w:pict w14:anchorId="543EE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D15072"/>
    <w:multiLevelType w:val="hybridMultilevel"/>
    <w:tmpl w:val="94EE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9F0"/>
    <w:rsid w:val="000A47FA"/>
    <w:rsid w:val="000A65D3"/>
    <w:rsid w:val="000B1E33"/>
    <w:rsid w:val="000B1FBF"/>
    <w:rsid w:val="000D689F"/>
    <w:rsid w:val="000E7B7B"/>
    <w:rsid w:val="000E7D62"/>
    <w:rsid w:val="00103357"/>
    <w:rsid w:val="00117706"/>
    <w:rsid w:val="00123C9F"/>
    <w:rsid w:val="00126190"/>
    <w:rsid w:val="00130F17"/>
    <w:rsid w:val="001320BF"/>
    <w:rsid w:val="001423E5"/>
    <w:rsid w:val="001503D7"/>
    <w:rsid w:val="00161042"/>
    <w:rsid w:val="00163BC4"/>
    <w:rsid w:val="001736E4"/>
    <w:rsid w:val="00191062"/>
    <w:rsid w:val="00192B72"/>
    <w:rsid w:val="001A29D8"/>
    <w:rsid w:val="001A5CAA"/>
    <w:rsid w:val="001B0427"/>
    <w:rsid w:val="001D3A51"/>
    <w:rsid w:val="001D536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85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60BB"/>
    <w:rsid w:val="0041027F"/>
    <w:rsid w:val="00412475"/>
    <w:rsid w:val="00423789"/>
    <w:rsid w:val="00435FAB"/>
    <w:rsid w:val="00440F43"/>
    <w:rsid w:val="00441B6F"/>
    <w:rsid w:val="00446221"/>
    <w:rsid w:val="00450E62"/>
    <w:rsid w:val="004539DB"/>
    <w:rsid w:val="00471A80"/>
    <w:rsid w:val="004D305E"/>
    <w:rsid w:val="004D4277"/>
    <w:rsid w:val="00502516"/>
    <w:rsid w:val="00505F06"/>
    <w:rsid w:val="00506828"/>
    <w:rsid w:val="00522310"/>
    <w:rsid w:val="00530285"/>
    <w:rsid w:val="0053056E"/>
    <w:rsid w:val="00554FDA"/>
    <w:rsid w:val="005A146C"/>
    <w:rsid w:val="005C784C"/>
    <w:rsid w:val="005D17F6"/>
    <w:rsid w:val="005E5539"/>
    <w:rsid w:val="005F6165"/>
    <w:rsid w:val="00602BF5"/>
    <w:rsid w:val="00617FDD"/>
    <w:rsid w:val="00626C7C"/>
    <w:rsid w:val="006321A3"/>
    <w:rsid w:val="00633614"/>
    <w:rsid w:val="00633F68"/>
    <w:rsid w:val="00636EB2"/>
    <w:rsid w:val="006375B8"/>
    <w:rsid w:val="0065503B"/>
    <w:rsid w:val="0066510A"/>
    <w:rsid w:val="006661CB"/>
    <w:rsid w:val="00673F9F"/>
    <w:rsid w:val="006747D4"/>
    <w:rsid w:val="00686953"/>
    <w:rsid w:val="00687DEA"/>
    <w:rsid w:val="00687E67"/>
    <w:rsid w:val="006967F7"/>
    <w:rsid w:val="00696D6B"/>
    <w:rsid w:val="006A250C"/>
    <w:rsid w:val="006A4574"/>
    <w:rsid w:val="006A6617"/>
    <w:rsid w:val="006B21D3"/>
    <w:rsid w:val="006B435B"/>
    <w:rsid w:val="006B57D0"/>
    <w:rsid w:val="006D30FF"/>
    <w:rsid w:val="006D6940"/>
    <w:rsid w:val="006F11EC"/>
    <w:rsid w:val="0070082C"/>
    <w:rsid w:val="00712346"/>
    <w:rsid w:val="007369E6"/>
    <w:rsid w:val="00737316"/>
    <w:rsid w:val="00746E59"/>
    <w:rsid w:val="00754C9A"/>
    <w:rsid w:val="0075599A"/>
    <w:rsid w:val="00760CEA"/>
    <w:rsid w:val="00761D52"/>
    <w:rsid w:val="0077749E"/>
    <w:rsid w:val="00790ADA"/>
    <w:rsid w:val="00790E2E"/>
    <w:rsid w:val="007D2288"/>
    <w:rsid w:val="007E088F"/>
    <w:rsid w:val="007F7B32"/>
    <w:rsid w:val="00804BC2"/>
    <w:rsid w:val="0081431A"/>
    <w:rsid w:val="0083216F"/>
    <w:rsid w:val="0084286F"/>
    <w:rsid w:val="00860000"/>
    <w:rsid w:val="00863BD3"/>
    <w:rsid w:val="008641ED"/>
    <w:rsid w:val="00866D66"/>
    <w:rsid w:val="008671C6"/>
    <w:rsid w:val="00875803"/>
    <w:rsid w:val="008A280C"/>
    <w:rsid w:val="008B459E"/>
    <w:rsid w:val="008E13AE"/>
    <w:rsid w:val="008E1506"/>
    <w:rsid w:val="008E710C"/>
    <w:rsid w:val="008F1440"/>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111B"/>
    <w:rsid w:val="009E3DB9"/>
    <w:rsid w:val="009E6E35"/>
    <w:rsid w:val="009F0EDA"/>
    <w:rsid w:val="00A03B96"/>
    <w:rsid w:val="00A05B19"/>
    <w:rsid w:val="00A1134E"/>
    <w:rsid w:val="00A24E7E"/>
    <w:rsid w:val="00A258C3"/>
    <w:rsid w:val="00A26619"/>
    <w:rsid w:val="00A347C0"/>
    <w:rsid w:val="00A42368"/>
    <w:rsid w:val="00A51431"/>
    <w:rsid w:val="00A539AD"/>
    <w:rsid w:val="00A94063"/>
    <w:rsid w:val="00AA6219"/>
    <w:rsid w:val="00AA74E0"/>
    <w:rsid w:val="00AB703F"/>
    <w:rsid w:val="00AC6BB8"/>
    <w:rsid w:val="00AE008F"/>
    <w:rsid w:val="00B01FCD"/>
    <w:rsid w:val="00B1776C"/>
    <w:rsid w:val="00B22E48"/>
    <w:rsid w:val="00B34AB4"/>
    <w:rsid w:val="00B41B92"/>
    <w:rsid w:val="00B52583"/>
    <w:rsid w:val="00B52896"/>
    <w:rsid w:val="00B95236"/>
    <w:rsid w:val="00B96BD9"/>
    <w:rsid w:val="00BA1B01"/>
    <w:rsid w:val="00BA2641"/>
    <w:rsid w:val="00BA703E"/>
    <w:rsid w:val="00BB1EE0"/>
    <w:rsid w:val="00BB37AA"/>
    <w:rsid w:val="00BC53A0"/>
    <w:rsid w:val="00BE62AD"/>
    <w:rsid w:val="00BF121F"/>
    <w:rsid w:val="00BF1F80"/>
    <w:rsid w:val="00C166EF"/>
    <w:rsid w:val="00C17EB0"/>
    <w:rsid w:val="00C27F5F"/>
    <w:rsid w:val="00C30A0F"/>
    <w:rsid w:val="00C37E61"/>
    <w:rsid w:val="00C54D4C"/>
    <w:rsid w:val="00C556FF"/>
    <w:rsid w:val="00C70F1B"/>
    <w:rsid w:val="00C71A47"/>
    <w:rsid w:val="00C7464C"/>
    <w:rsid w:val="00C85588"/>
    <w:rsid w:val="00CD6106"/>
    <w:rsid w:val="00CD6755"/>
    <w:rsid w:val="00CD6856"/>
    <w:rsid w:val="00CE0089"/>
    <w:rsid w:val="00CE793C"/>
    <w:rsid w:val="00CF193C"/>
    <w:rsid w:val="00D173F1"/>
    <w:rsid w:val="00D467A8"/>
    <w:rsid w:val="00D6662C"/>
    <w:rsid w:val="00D74CB0"/>
    <w:rsid w:val="00D8295D"/>
    <w:rsid w:val="00DC2A65"/>
    <w:rsid w:val="00DD1ABD"/>
    <w:rsid w:val="00DE15F0"/>
    <w:rsid w:val="00DE5663"/>
    <w:rsid w:val="00DE78AA"/>
    <w:rsid w:val="00E053D0"/>
    <w:rsid w:val="00E1255B"/>
    <w:rsid w:val="00E15994"/>
    <w:rsid w:val="00E3114E"/>
    <w:rsid w:val="00E31A70"/>
    <w:rsid w:val="00E35B02"/>
    <w:rsid w:val="00E66496"/>
    <w:rsid w:val="00E66B35"/>
    <w:rsid w:val="00E66E10"/>
    <w:rsid w:val="00E769F6"/>
    <w:rsid w:val="00E8407C"/>
    <w:rsid w:val="00E84F3C"/>
    <w:rsid w:val="00E970CC"/>
    <w:rsid w:val="00EA012C"/>
    <w:rsid w:val="00EC22DE"/>
    <w:rsid w:val="00EC6A55"/>
    <w:rsid w:val="00ED0288"/>
    <w:rsid w:val="00EE22BE"/>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373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4/360438" TargetMode="External"/><Relationship Id="rId18" Type="http://schemas.openxmlformats.org/officeDocument/2006/relationships/hyperlink" Target="https://doi.org/10.32615/ps.2024.030" TargetMode="External"/><Relationship Id="rId26" Type="http://schemas.openxmlformats.org/officeDocument/2006/relationships/hyperlink" Target="https://doi.org/10.3390/plants10081596" TargetMode="External"/><Relationship Id="rId39" Type="http://schemas.openxmlformats.org/officeDocument/2006/relationships/footer" Target="footer1.xml"/><Relationship Id="rId21" Type="http://schemas.openxmlformats.org/officeDocument/2006/relationships/hyperlink" Target="http://www.sthda.com/english/upload/hcpc_husson_josse.pdf" TargetMode="External"/><Relationship Id="rId34" Type="http://schemas.openxmlformats.org/officeDocument/2006/relationships/hyperlink" Target="https://doi.org/10.1590/1519-6984.278601"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00572-019-00898-y" TargetMode="External"/><Relationship Id="rId20" Type="http://schemas.openxmlformats.org/officeDocument/2006/relationships/hyperlink" Target="https://doi.org/10.1111/nph.13598" TargetMode="External"/><Relationship Id="rId29" Type="http://schemas.openxmlformats.org/officeDocument/2006/relationships/hyperlink" Target="https://doi.org/10.1111/ppl.13308"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90/sym14030598" TargetMode="External"/><Relationship Id="rId32" Type="http://schemas.openxmlformats.org/officeDocument/2006/relationships/hyperlink" Target="https://doi.org/10.3390/cancers1715250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FORECO.2020.118740" TargetMode="External"/><Relationship Id="rId23" Type="http://schemas.openxmlformats.org/officeDocument/2006/relationships/hyperlink" Target="https://doi.org/10.1017/S1479262118000461" TargetMode="External"/><Relationship Id="rId28" Type="http://schemas.openxmlformats.org/officeDocument/2006/relationships/hyperlink" Target="https://doi.org/10.48550/arXiv.1105.0121" TargetMode="External"/><Relationship Id="rId36" Type="http://schemas.openxmlformats.org/officeDocument/2006/relationships/hyperlink" Target="https://doi.org/10.1093/jxb/ern185" TargetMode="External"/><Relationship Id="rId10" Type="http://schemas.openxmlformats.org/officeDocument/2006/relationships/image" Target="media/image3.png"/><Relationship Id="rId19" Type="http://schemas.openxmlformats.org/officeDocument/2006/relationships/hyperlink" Target="https://dyuthi.cusat.ac.in/xmlui/bitstream/handle/purl/2940/Dyuthi-T0931.pdf;sequence=1" TargetMode="External"/><Relationship Id="rId31" Type="http://schemas.openxmlformats.org/officeDocument/2006/relationships/hyperlink" Target="https://doi.org/10.14719/pst.481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rckmanuals.com/" TargetMode="External"/><Relationship Id="rId22" Type="http://schemas.openxmlformats.org/officeDocument/2006/relationships/hyperlink" Target="https://doi.org/10.1002/agj2.20093" TargetMode="External"/><Relationship Id="rId27" Type="http://schemas.openxmlformats.org/officeDocument/2006/relationships/hyperlink" Target="https://doi.org/10.1038/s41598-021-86703-3" TargetMode="External"/><Relationship Id="rId30" Type="http://schemas.openxmlformats.org/officeDocument/2006/relationships/hyperlink" Target="https://journaloftropicalagriculture.in/index.php/jta/issue/view/61" TargetMode="External"/><Relationship Id="rId35" Type="http://schemas.openxmlformats.org/officeDocument/2006/relationships/hyperlink" Target="https://doi.org/10.1186/s12870-025-07697-y"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dl.handle.net/20.500.12818/2760" TargetMode="External"/><Relationship Id="rId17" Type="http://schemas.openxmlformats.org/officeDocument/2006/relationships/hyperlink" Target="https://doi.org/10.1007/978-3-642-32653-0_1" TargetMode="External"/><Relationship Id="rId25" Type="http://schemas.openxmlformats.org/officeDocument/2006/relationships/hyperlink" Target="https://doi.org/10.12911/22998993/193409" TargetMode="External"/><Relationship Id="rId33" Type="http://schemas.openxmlformats.org/officeDocument/2006/relationships/hyperlink" Target="https://doi.org/10.25081/josac.2023.v32.i2.8742"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8821C-5EDB-40AD-96E2-4CFB9626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192</TotalTime>
  <Pages>8</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54</cp:revision>
  <cp:lastPrinted>1999-07-06T11:00:00Z</cp:lastPrinted>
  <dcterms:created xsi:type="dcterms:W3CDTF">2014-10-25T14:34:00Z</dcterms:created>
  <dcterms:modified xsi:type="dcterms:W3CDTF">2025-12-03T10:54:00Z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bd270b65-7f82-42d9-b6e1-eaf0f0e2d9c9</vt:lpwstr>
  </property>
</Properties>
</file>