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49D5C" w14:textId="009BE856" w:rsidR="00453ED4" w:rsidRPr="00AA5515" w:rsidRDefault="00453ED4" w:rsidP="009723AE">
      <w:pPr>
        <w:spacing w:line="240" w:lineRule="auto"/>
        <w:jc w:val="center"/>
        <w:rPr>
          <w:rFonts w:ascii="Arial" w:hAnsi="Arial" w:cs="Arial"/>
          <w:b/>
          <w:bCs/>
          <w:sz w:val="36"/>
          <w:szCs w:val="36"/>
        </w:rPr>
      </w:pPr>
      <w:r w:rsidRPr="00AA5515">
        <w:rPr>
          <w:rFonts w:ascii="Arial" w:hAnsi="Arial" w:cs="Arial"/>
          <w:b/>
          <w:bCs/>
          <w:sz w:val="36"/>
          <w:szCs w:val="36"/>
        </w:rPr>
        <w:t>Effect of Organic Seed Treatments on Germination and Seedling Vigour in Rice (</w:t>
      </w:r>
      <w:r w:rsidRPr="00AA5515">
        <w:rPr>
          <w:rFonts w:ascii="Arial" w:hAnsi="Arial" w:cs="Arial"/>
          <w:b/>
          <w:bCs/>
          <w:i/>
          <w:iCs/>
          <w:sz w:val="36"/>
          <w:szCs w:val="36"/>
        </w:rPr>
        <w:t>Oryza sativa L.</w:t>
      </w:r>
      <w:r w:rsidRPr="00AA5515">
        <w:rPr>
          <w:rFonts w:ascii="Arial" w:hAnsi="Arial" w:cs="Arial"/>
          <w:b/>
          <w:bCs/>
          <w:sz w:val="36"/>
          <w:szCs w:val="36"/>
        </w:rPr>
        <w:t>)</w:t>
      </w:r>
    </w:p>
    <w:p w14:paraId="7F7D7CB1" w14:textId="77777777" w:rsidR="00A67FBE" w:rsidRDefault="00A67FBE" w:rsidP="009723AE">
      <w:pPr>
        <w:spacing w:line="240" w:lineRule="auto"/>
        <w:jc w:val="both"/>
        <w:rPr>
          <w:rFonts w:ascii="Arial" w:hAnsi="Arial" w:cs="Arial"/>
          <w:b/>
          <w:bCs/>
          <w:sz w:val="22"/>
          <w:szCs w:val="22"/>
        </w:rPr>
      </w:pPr>
    </w:p>
    <w:p w14:paraId="1D77EA15" w14:textId="4BB525F1" w:rsidR="00D3089B" w:rsidRPr="00AA5515" w:rsidRDefault="00AA5515" w:rsidP="009723AE">
      <w:pPr>
        <w:spacing w:line="240" w:lineRule="auto"/>
        <w:jc w:val="both"/>
        <w:rPr>
          <w:rFonts w:ascii="Arial" w:hAnsi="Arial" w:cs="Arial"/>
          <w:b/>
          <w:bCs/>
          <w:sz w:val="22"/>
          <w:szCs w:val="22"/>
        </w:rPr>
      </w:pPr>
      <w:proofErr w:type="gramStart"/>
      <w:r w:rsidRPr="00AA5515">
        <w:rPr>
          <w:rFonts w:ascii="Arial" w:hAnsi="Arial" w:cs="Arial"/>
          <w:b/>
          <w:bCs/>
          <w:sz w:val="22"/>
          <w:szCs w:val="22"/>
        </w:rPr>
        <w:t>ABSTRACT :</w:t>
      </w:r>
      <w:proofErr w:type="gramEnd"/>
    </w:p>
    <w:p w14:paraId="491C911B" w14:textId="4E11D728" w:rsidR="00D3089B" w:rsidRPr="00AA5515" w:rsidRDefault="00D3089B" w:rsidP="009723AE">
      <w:pPr>
        <w:spacing w:line="240" w:lineRule="auto"/>
        <w:ind w:firstLine="720"/>
        <w:jc w:val="both"/>
        <w:rPr>
          <w:rFonts w:ascii="Arial" w:hAnsi="Arial" w:cs="Arial"/>
          <w:sz w:val="20"/>
          <w:szCs w:val="20"/>
        </w:rPr>
      </w:pPr>
      <w:r w:rsidRPr="00AA5515">
        <w:rPr>
          <w:rFonts w:ascii="Arial" w:hAnsi="Arial" w:cs="Arial"/>
          <w:sz w:val="20"/>
          <w:szCs w:val="20"/>
        </w:rPr>
        <w:t xml:space="preserve">The purpose of this study was to assess the influence of several organic seed treatments on the germination and seedling vigour of two rice varieties, ADT 49 and </w:t>
      </w:r>
      <w:proofErr w:type="spellStart"/>
      <w:r w:rsidRPr="00AA5515">
        <w:rPr>
          <w:rFonts w:ascii="Arial" w:hAnsi="Arial" w:cs="Arial"/>
          <w:sz w:val="20"/>
          <w:szCs w:val="20"/>
        </w:rPr>
        <w:t>Sonamasuri</w:t>
      </w:r>
      <w:proofErr w:type="spellEnd"/>
      <w:r w:rsidRPr="00AA5515">
        <w:rPr>
          <w:rFonts w:ascii="Arial" w:hAnsi="Arial" w:cs="Arial"/>
          <w:sz w:val="20"/>
          <w:szCs w:val="20"/>
        </w:rPr>
        <w:t xml:space="preserve">, in the laboratory. The treatments were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(5%), Moringa leaf extract (5%), Neem leaf extract (5%),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leaf extract (5%), </w:t>
      </w:r>
      <w:proofErr w:type="spellStart"/>
      <w:r w:rsidRPr="00AA5515">
        <w:rPr>
          <w:rFonts w:ascii="Arial" w:hAnsi="Arial" w:cs="Arial"/>
          <w:sz w:val="20"/>
          <w:szCs w:val="20"/>
        </w:rPr>
        <w:t>Vermiwash</w:t>
      </w:r>
      <w:proofErr w:type="spellEnd"/>
      <w:r w:rsidRPr="00AA5515">
        <w:rPr>
          <w:rFonts w:ascii="Arial" w:hAnsi="Arial" w:cs="Arial"/>
          <w:sz w:val="20"/>
          <w:szCs w:val="20"/>
        </w:rPr>
        <w:t xml:space="preserve"> (25%), cow urine (25%), coconut water (12.5%), and </w:t>
      </w:r>
      <w:proofErr w:type="spellStart"/>
      <w:r w:rsidRPr="00AA5515">
        <w:rPr>
          <w:rFonts w:ascii="Arial" w:hAnsi="Arial" w:cs="Arial"/>
          <w:sz w:val="20"/>
          <w:szCs w:val="20"/>
        </w:rPr>
        <w:t>Beejamrutham</w:t>
      </w:r>
      <w:proofErr w:type="spellEnd"/>
      <w:r w:rsidRPr="00AA5515">
        <w:rPr>
          <w:rFonts w:ascii="Arial" w:hAnsi="Arial" w:cs="Arial"/>
          <w:sz w:val="20"/>
          <w:szCs w:val="20"/>
        </w:rPr>
        <w:t xml:space="preserve"> (5%), as well as an untreated control. Significant variations were seen across the treatments for all germination parameters tested, including rate of imbibition, germination percentage, speed of germination, root and shoot length, dry matter accumulation, and vigour index.</w:t>
      </w:r>
      <w:r w:rsidRPr="00AA5515">
        <w:rPr>
          <w:rFonts w:ascii="Arial" w:eastAsia="Times New Roman" w:hAnsi="Arial" w:cs="Arial"/>
          <w:kern w:val="0"/>
          <w:sz w:val="20"/>
          <w:szCs w:val="20"/>
          <w:lang w:eastAsia="en-IN"/>
          <w14:ligatures w14:val="none"/>
        </w:rPr>
        <w:t xml:space="preserve"> </w:t>
      </w:r>
      <w:r w:rsidRPr="00AA5515">
        <w:rPr>
          <w:rFonts w:ascii="Arial" w:hAnsi="Arial" w:cs="Arial"/>
          <w:sz w:val="20"/>
          <w:szCs w:val="20"/>
        </w:rPr>
        <w:t xml:space="preserve">Among the treatments, 5%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produced the maximum germination (97% in ADT 49 and 95% in </w:t>
      </w:r>
      <w:proofErr w:type="spellStart"/>
      <w:r w:rsidRPr="00AA5515">
        <w:rPr>
          <w:rFonts w:ascii="Arial" w:hAnsi="Arial" w:cs="Arial"/>
          <w:sz w:val="20"/>
          <w:szCs w:val="20"/>
        </w:rPr>
        <w:t>Sonamasuri</w:t>
      </w:r>
      <w:proofErr w:type="spellEnd"/>
      <w:r w:rsidRPr="00AA5515">
        <w:rPr>
          <w:rFonts w:ascii="Arial" w:hAnsi="Arial" w:cs="Arial"/>
          <w:sz w:val="20"/>
          <w:szCs w:val="20"/>
        </w:rPr>
        <w:t xml:space="preserve">), root and shoot lengths (23.8 cm and 15.2 cm in ADT 49; 20.8 cm and 13.8 cm in </w:t>
      </w:r>
      <w:proofErr w:type="spellStart"/>
      <w:r w:rsidRPr="00AA5515">
        <w:rPr>
          <w:rFonts w:ascii="Arial" w:hAnsi="Arial" w:cs="Arial"/>
          <w:sz w:val="20"/>
          <w:szCs w:val="20"/>
        </w:rPr>
        <w:t>Sonamasuri</w:t>
      </w:r>
      <w:proofErr w:type="spellEnd"/>
      <w:r w:rsidRPr="00AA5515">
        <w:rPr>
          <w:rFonts w:ascii="Arial" w:hAnsi="Arial" w:cs="Arial"/>
          <w:sz w:val="20"/>
          <w:szCs w:val="20"/>
        </w:rPr>
        <w:t xml:space="preserve">), and vigour indices (1785 and 1624, respectively). This was closely followed by 5% </w:t>
      </w:r>
      <w:proofErr w:type="spellStart"/>
      <w:r w:rsidRPr="00AA5515">
        <w:rPr>
          <w:rFonts w:ascii="Arial" w:hAnsi="Arial" w:cs="Arial"/>
          <w:sz w:val="20"/>
          <w:szCs w:val="20"/>
        </w:rPr>
        <w:t>Beejamrutham</w:t>
      </w:r>
      <w:proofErr w:type="spellEnd"/>
      <w:r w:rsidRPr="00AA5515">
        <w:rPr>
          <w:rFonts w:ascii="Arial" w:hAnsi="Arial" w:cs="Arial"/>
          <w:sz w:val="20"/>
          <w:szCs w:val="20"/>
        </w:rPr>
        <w:t xml:space="preserve"> and 25% Cow urine, both of which performed significantly better than the control. The untreated control had the lowest values across all metrics.</w:t>
      </w:r>
      <w:r w:rsidRPr="00AA5515">
        <w:rPr>
          <w:rFonts w:ascii="Arial" w:eastAsia="Times New Roman" w:hAnsi="Arial" w:cs="Arial"/>
          <w:kern w:val="0"/>
          <w:sz w:val="20"/>
          <w:szCs w:val="20"/>
          <w:lang w:eastAsia="en-IN"/>
          <w14:ligatures w14:val="none"/>
        </w:rPr>
        <w:t xml:space="preserve"> </w:t>
      </w:r>
      <w:r w:rsidRPr="00AA5515">
        <w:rPr>
          <w:rFonts w:ascii="Arial" w:hAnsi="Arial" w:cs="Arial"/>
          <w:sz w:val="20"/>
          <w:szCs w:val="20"/>
        </w:rPr>
        <w:t xml:space="preserve">The findings unequivocally show that organic seed treatments, especially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improve rice seed quality features by enhancing water uptake, germination, and seedling </w:t>
      </w:r>
      <w:proofErr w:type="spellStart"/>
      <w:r w:rsidRPr="00AA5515">
        <w:rPr>
          <w:rFonts w:ascii="Arial" w:hAnsi="Arial" w:cs="Arial"/>
          <w:sz w:val="20"/>
          <w:szCs w:val="20"/>
        </w:rPr>
        <w:t>vigor</w:t>
      </w:r>
      <w:proofErr w:type="spellEnd"/>
      <w:r w:rsidRPr="00AA5515">
        <w:rPr>
          <w:rFonts w:ascii="Arial" w:hAnsi="Arial" w:cs="Arial"/>
          <w:sz w:val="20"/>
          <w:szCs w:val="20"/>
        </w:rPr>
        <w:t xml:space="preserve">. Therefore, in organic seed production systems,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can be suggested as an efficient organic priming agent for rice seed development.</w:t>
      </w:r>
    </w:p>
    <w:p w14:paraId="33E0CAEA" w14:textId="0339793D" w:rsidR="009A54FD" w:rsidRPr="00AA5515" w:rsidRDefault="00AA5515" w:rsidP="009723AE">
      <w:pPr>
        <w:spacing w:line="240" w:lineRule="auto"/>
        <w:jc w:val="both"/>
        <w:rPr>
          <w:rFonts w:ascii="Arial" w:hAnsi="Arial" w:cs="Arial"/>
          <w:sz w:val="20"/>
          <w:szCs w:val="20"/>
        </w:rPr>
      </w:pPr>
      <w:r w:rsidRPr="00AA5515">
        <w:rPr>
          <w:rFonts w:ascii="Arial" w:hAnsi="Arial" w:cs="Arial"/>
          <w:b/>
          <w:bCs/>
          <w:sz w:val="22"/>
          <w:szCs w:val="22"/>
        </w:rPr>
        <w:t>KEYWORDS:</w:t>
      </w:r>
      <w:r w:rsidR="009A54FD" w:rsidRPr="00AA5515">
        <w:rPr>
          <w:rFonts w:ascii="Arial" w:hAnsi="Arial" w:cs="Arial"/>
          <w:sz w:val="20"/>
          <w:szCs w:val="20"/>
        </w:rPr>
        <w:br/>
        <w:t xml:space="preserve">Organic seed treatments; </w:t>
      </w:r>
      <w:proofErr w:type="spellStart"/>
      <w:r w:rsidR="009A54FD" w:rsidRPr="00AA5515">
        <w:rPr>
          <w:rFonts w:ascii="Arial" w:hAnsi="Arial" w:cs="Arial"/>
          <w:sz w:val="20"/>
          <w:szCs w:val="20"/>
        </w:rPr>
        <w:t>Panchakavya</w:t>
      </w:r>
      <w:proofErr w:type="spellEnd"/>
      <w:r w:rsidR="009A54FD" w:rsidRPr="00AA5515">
        <w:rPr>
          <w:rFonts w:ascii="Arial" w:hAnsi="Arial" w:cs="Arial"/>
          <w:sz w:val="20"/>
          <w:szCs w:val="20"/>
        </w:rPr>
        <w:t xml:space="preserve">; </w:t>
      </w:r>
      <w:proofErr w:type="spellStart"/>
      <w:r w:rsidR="009A54FD" w:rsidRPr="00AA5515">
        <w:rPr>
          <w:rFonts w:ascii="Arial" w:hAnsi="Arial" w:cs="Arial"/>
          <w:sz w:val="20"/>
          <w:szCs w:val="20"/>
        </w:rPr>
        <w:t>Beejamrutham</w:t>
      </w:r>
      <w:proofErr w:type="spellEnd"/>
      <w:r w:rsidR="009A54FD" w:rsidRPr="00AA5515">
        <w:rPr>
          <w:rFonts w:ascii="Arial" w:hAnsi="Arial" w:cs="Arial"/>
          <w:sz w:val="20"/>
          <w:szCs w:val="20"/>
        </w:rPr>
        <w:t xml:space="preserve">; Rice (Oryza sativa L.); Germination; Seedling vigour; Organic priming; Imbibition; Seed quality; ADT 49; </w:t>
      </w:r>
      <w:proofErr w:type="spellStart"/>
      <w:r w:rsidR="009A54FD" w:rsidRPr="00AA5515">
        <w:rPr>
          <w:rFonts w:ascii="Arial" w:hAnsi="Arial" w:cs="Arial"/>
          <w:sz w:val="20"/>
          <w:szCs w:val="20"/>
        </w:rPr>
        <w:t>Sonamasuri</w:t>
      </w:r>
      <w:proofErr w:type="spellEnd"/>
      <w:r w:rsidR="009A54FD" w:rsidRPr="00AA5515">
        <w:rPr>
          <w:rFonts w:ascii="Arial" w:hAnsi="Arial" w:cs="Arial"/>
          <w:sz w:val="20"/>
          <w:szCs w:val="20"/>
        </w:rPr>
        <w:t>.</w:t>
      </w:r>
    </w:p>
    <w:p w14:paraId="11FD5B51" w14:textId="16D338B6" w:rsidR="00D3089B" w:rsidRPr="008B4C18" w:rsidRDefault="008B4C18" w:rsidP="009723AE">
      <w:pPr>
        <w:spacing w:line="240" w:lineRule="auto"/>
        <w:jc w:val="both"/>
        <w:rPr>
          <w:rFonts w:ascii="Arial" w:hAnsi="Arial" w:cs="Arial"/>
          <w:b/>
          <w:bCs/>
          <w:sz w:val="22"/>
          <w:szCs w:val="22"/>
        </w:rPr>
      </w:pPr>
      <w:r w:rsidRPr="008B4C18">
        <w:rPr>
          <w:rFonts w:ascii="Arial" w:hAnsi="Arial" w:cs="Arial"/>
          <w:b/>
          <w:bCs/>
          <w:sz w:val="22"/>
          <w:szCs w:val="22"/>
        </w:rPr>
        <w:t>1.</w:t>
      </w:r>
      <w:r>
        <w:rPr>
          <w:rFonts w:ascii="Arial" w:hAnsi="Arial" w:cs="Arial"/>
          <w:b/>
          <w:bCs/>
          <w:sz w:val="22"/>
          <w:szCs w:val="22"/>
        </w:rPr>
        <w:t xml:space="preserve"> </w:t>
      </w:r>
      <w:proofErr w:type="gramStart"/>
      <w:r w:rsidR="00AA5515" w:rsidRPr="008B4C18">
        <w:rPr>
          <w:rFonts w:ascii="Arial" w:hAnsi="Arial" w:cs="Arial"/>
          <w:b/>
          <w:bCs/>
          <w:sz w:val="22"/>
          <w:szCs w:val="22"/>
        </w:rPr>
        <w:t>INTRODUCTION :</w:t>
      </w:r>
      <w:proofErr w:type="gramEnd"/>
    </w:p>
    <w:p w14:paraId="17658FFB" w14:textId="509CC1F4" w:rsidR="002441B4" w:rsidRPr="00AA5515" w:rsidRDefault="00914823" w:rsidP="009723AE">
      <w:pPr>
        <w:spacing w:line="240" w:lineRule="auto"/>
        <w:jc w:val="both"/>
        <w:rPr>
          <w:rFonts w:ascii="Arial" w:hAnsi="Arial" w:cs="Arial"/>
          <w:sz w:val="20"/>
          <w:szCs w:val="20"/>
        </w:rPr>
      </w:pPr>
      <w:r w:rsidRPr="00AA5515">
        <w:rPr>
          <w:rFonts w:ascii="Arial" w:hAnsi="Arial" w:cs="Arial"/>
          <w:sz w:val="20"/>
          <w:szCs w:val="20"/>
        </w:rPr>
        <w:t>Known as the "global grain," rice (Oryza sativa L.) provides 50–80% of the calories needed for energy and is the main staple food for over half of the world's population. The environment and natural resources have suffered greatly as a result of intensive paddy cultivation. These include increased salinity or alkalinity, water logging, water pollution, groundwater depletion, and health risks brought on by the overuse of pesticides and agrochemicals as well as increased methane gas emissions. Farmers, scientists, and policymakers have been compelled by this to consider the organic method of managing nutrients in paddy fields.</w:t>
      </w:r>
      <w:r w:rsidR="002441B4" w:rsidRPr="00AA5515">
        <w:rPr>
          <w:rFonts w:ascii="Arial" w:hAnsi="Arial" w:cs="Arial"/>
          <w:sz w:val="20"/>
          <w:szCs w:val="20"/>
        </w:rPr>
        <w:t xml:space="preserve"> One of the many different production techniques that is environmentally friendly while lowering agricultural costs is organic agriculture. With an annual growth rate of 20–25 percent, the demand for organic food is rising rapidly in both industrialized and developing nations (Rameshwar and Singh 2005). Organic farming lowers pollution in the environment and improves the quality of crops or seeds. It improves the chances of exporting organic food products. Now there are hints of transition across the agriculture sector of the country towards organic farming. </w:t>
      </w:r>
      <w:r w:rsidR="002441B4" w:rsidRPr="00AA5515">
        <w:rPr>
          <w:rFonts w:ascii="Arial" w:hAnsi="Arial" w:cs="Arial"/>
          <w:sz w:val="20"/>
          <w:szCs w:val="20"/>
        </w:rPr>
        <w:br/>
        <w:t xml:space="preserve">Paddy </w:t>
      </w:r>
      <w:r w:rsidR="00EE0C1F">
        <w:rPr>
          <w:rFonts w:ascii="Arial" w:hAnsi="Arial" w:cs="Arial"/>
          <w:sz w:val="20"/>
          <w:szCs w:val="20"/>
        </w:rPr>
        <w:tab/>
      </w:r>
      <w:r w:rsidR="002441B4" w:rsidRPr="00AA5515">
        <w:rPr>
          <w:rFonts w:ascii="Arial" w:hAnsi="Arial" w:cs="Arial"/>
          <w:sz w:val="20"/>
          <w:szCs w:val="20"/>
        </w:rPr>
        <w:t>produced</w:t>
      </w:r>
      <w:r w:rsidR="00EE0C1F">
        <w:rPr>
          <w:rFonts w:ascii="Arial" w:hAnsi="Arial" w:cs="Arial"/>
          <w:sz w:val="20"/>
          <w:szCs w:val="20"/>
        </w:rPr>
        <w:t xml:space="preserve"> </w:t>
      </w:r>
      <w:r w:rsidR="002441B4" w:rsidRPr="00AA5515">
        <w:rPr>
          <w:rFonts w:ascii="Arial" w:hAnsi="Arial" w:cs="Arial"/>
          <w:sz w:val="20"/>
          <w:szCs w:val="20"/>
        </w:rPr>
        <w:t xml:space="preserve">by organic farming showed improved grain quality. </w:t>
      </w:r>
      <w:r w:rsidR="002441B4" w:rsidRPr="00AA5515">
        <w:rPr>
          <w:rFonts w:ascii="Arial" w:hAnsi="Arial" w:cs="Arial"/>
          <w:sz w:val="20"/>
          <w:szCs w:val="20"/>
        </w:rPr>
        <w:br/>
        <w:t>The International Federation of Organic Agriculture Movement (IFOAM) has made it very clear that the seed used for planting must also have been generated organically in order for the agricultural product to</w:t>
      </w:r>
      <w:r w:rsidR="00EE0C1F">
        <w:rPr>
          <w:rFonts w:ascii="Arial" w:hAnsi="Arial" w:cs="Arial"/>
          <w:sz w:val="20"/>
          <w:szCs w:val="20"/>
        </w:rPr>
        <w:t xml:space="preserve"> </w:t>
      </w:r>
      <w:r w:rsidR="002441B4" w:rsidRPr="00AA5515">
        <w:rPr>
          <w:rFonts w:ascii="Arial" w:hAnsi="Arial" w:cs="Arial"/>
          <w:sz w:val="20"/>
          <w:szCs w:val="20"/>
        </w:rPr>
        <w:t>be certified organic. Production of organic seeds using a variety of organic manure, biofertilizer, green manure, biopesticide, and botanical sources. When one makes an attempt on organic seed production in paddy, it becomes vital to construct an organic nursery (Alex and Krishnaswamy 2007). There is very little information available on the production of organic seedlings in paddy. Thus, the goal of the current study was to determine how various organic material sources affected the growth and development of seedlings.</w:t>
      </w:r>
    </w:p>
    <w:p w14:paraId="39792FC1" w14:textId="5130C6E8" w:rsidR="00D3089B" w:rsidRPr="00AA5515" w:rsidRDefault="008B4C18" w:rsidP="009723AE">
      <w:pPr>
        <w:spacing w:line="240" w:lineRule="auto"/>
        <w:jc w:val="both"/>
        <w:rPr>
          <w:rFonts w:ascii="Arial" w:hAnsi="Arial" w:cs="Arial"/>
          <w:b/>
          <w:bCs/>
          <w:sz w:val="22"/>
          <w:szCs w:val="22"/>
        </w:rPr>
      </w:pPr>
      <w:r>
        <w:rPr>
          <w:rFonts w:ascii="Arial" w:hAnsi="Arial" w:cs="Arial"/>
          <w:b/>
          <w:bCs/>
          <w:sz w:val="22"/>
          <w:szCs w:val="22"/>
        </w:rPr>
        <w:t xml:space="preserve">2. </w:t>
      </w:r>
      <w:r w:rsidR="00AA5515" w:rsidRPr="00AA5515">
        <w:rPr>
          <w:rFonts w:ascii="Arial" w:hAnsi="Arial" w:cs="Arial"/>
          <w:b/>
          <w:bCs/>
          <w:sz w:val="22"/>
          <w:szCs w:val="22"/>
        </w:rPr>
        <w:t xml:space="preserve">MATERIAL AND </w:t>
      </w:r>
      <w:proofErr w:type="gramStart"/>
      <w:r w:rsidR="00AA5515" w:rsidRPr="00AA5515">
        <w:rPr>
          <w:rFonts w:ascii="Arial" w:hAnsi="Arial" w:cs="Arial"/>
          <w:b/>
          <w:bCs/>
          <w:sz w:val="22"/>
          <w:szCs w:val="22"/>
        </w:rPr>
        <w:t>METHODS :</w:t>
      </w:r>
      <w:proofErr w:type="gramEnd"/>
    </w:p>
    <w:p w14:paraId="02E41963" w14:textId="589A72D6" w:rsidR="00B37088" w:rsidRPr="00AA5515" w:rsidRDefault="00B37088" w:rsidP="009723AE">
      <w:pPr>
        <w:spacing w:line="240" w:lineRule="auto"/>
        <w:ind w:firstLine="720"/>
        <w:jc w:val="both"/>
        <w:rPr>
          <w:rFonts w:ascii="Arial" w:hAnsi="Arial" w:cs="Arial"/>
          <w:sz w:val="20"/>
          <w:szCs w:val="20"/>
        </w:rPr>
      </w:pPr>
      <w:r w:rsidRPr="00AA5515">
        <w:rPr>
          <w:rFonts w:ascii="Arial" w:hAnsi="Arial" w:cs="Arial"/>
          <w:sz w:val="20"/>
          <w:szCs w:val="20"/>
        </w:rPr>
        <w:t xml:space="preserve">The experiment was carried out in the farmers’ organic field at </w:t>
      </w:r>
      <w:r w:rsidR="0045540F" w:rsidRPr="00AA5515">
        <w:rPr>
          <w:rFonts w:ascii="Arial" w:hAnsi="Arial" w:cs="Arial"/>
          <w:sz w:val="20"/>
          <w:szCs w:val="20"/>
        </w:rPr>
        <w:t xml:space="preserve">Annamalai </w:t>
      </w:r>
      <w:proofErr w:type="spellStart"/>
      <w:r w:rsidR="0045540F" w:rsidRPr="00AA5515">
        <w:rPr>
          <w:rFonts w:ascii="Arial" w:hAnsi="Arial" w:cs="Arial"/>
          <w:sz w:val="20"/>
          <w:szCs w:val="20"/>
        </w:rPr>
        <w:t>nagar</w:t>
      </w:r>
      <w:proofErr w:type="spellEnd"/>
      <w:r w:rsidR="0045540F" w:rsidRPr="00AA5515">
        <w:rPr>
          <w:rFonts w:ascii="Arial" w:hAnsi="Arial" w:cs="Arial"/>
          <w:sz w:val="20"/>
          <w:szCs w:val="20"/>
        </w:rPr>
        <w:t xml:space="preserve">, </w:t>
      </w:r>
      <w:r w:rsidRPr="00AA5515">
        <w:rPr>
          <w:rFonts w:ascii="Arial" w:hAnsi="Arial" w:cs="Arial"/>
          <w:sz w:val="20"/>
          <w:szCs w:val="20"/>
        </w:rPr>
        <w:t xml:space="preserve">Chidambaram, </w:t>
      </w:r>
      <w:proofErr w:type="spellStart"/>
      <w:r w:rsidRPr="00AA5515">
        <w:rPr>
          <w:rFonts w:ascii="Arial" w:hAnsi="Arial" w:cs="Arial"/>
          <w:sz w:val="20"/>
          <w:szCs w:val="20"/>
        </w:rPr>
        <w:t>Tamilnadu</w:t>
      </w:r>
      <w:proofErr w:type="spellEnd"/>
      <w:r w:rsidRPr="00AA5515">
        <w:rPr>
          <w:rFonts w:ascii="Arial" w:hAnsi="Arial" w:cs="Arial"/>
          <w:sz w:val="20"/>
          <w:szCs w:val="20"/>
        </w:rPr>
        <w:t>,</w:t>
      </w:r>
      <w:r w:rsidR="00E620C7" w:rsidRPr="00AA5515">
        <w:rPr>
          <w:rFonts w:ascii="Arial" w:hAnsi="Arial" w:cs="Arial"/>
          <w:sz w:val="20"/>
          <w:szCs w:val="20"/>
        </w:rPr>
        <w:t xml:space="preserve"> and also in </w:t>
      </w:r>
      <w:proofErr w:type="spellStart"/>
      <w:r w:rsidR="00E620C7" w:rsidRPr="00AA5515">
        <w:rPr>
          <w:rFonts w:ascii="Arial" w:hAnsi="Arial" w:cs="Arial"/>
          <w:sz w:val="20"/>
          <w:szCs w:val="20"/>
        </w:rPr>
        <w:t>Buchayyapeta</w:t>
      </w:r>
      <w:proofErr w:type="spellEnd"/>
      <w:r w:rsidR="00E620C7" w:rsidRPr="00AA5515">
        <w:rPr>
          <w:rFonts w:ascii="Arial" w:hAnsi="Arial" w:cs="Arial"/>
          <w:sz w:val="20"/>
          <w:szCs w:val="20"/>
        </w:rPr>
        <w:t xml:space="preserve"> </w:t>
      </w:r>
      <w:proofErr w:type="gramStart"/>
      <w:r w:rsidR="00E620C7" w:rsidRPr="00AA5515">
        <w:rPr>
          <w:rFonts w:ascii="Arial" w:hAnsi="Arial" w:cs="Arial"/>
          <w:sz w:val="20"/>
          <w:szCs w:val="20"/>
        </w:rPr>
        <w:t>located  in</w:t>
      </w:r>
      <w:proofErr w:type="gramEnd"/>
      <w:r w:rsidR="00E620C7" w:rsidRPr="00AA5515">
        <w:rPr>
          <w:rFonts w:ascii="Arial" w:hAnsi="Arial" w:cs="Arial"/>
          <w:sz w:val="20"/>
          <w:szCs w:val="20"/>
        </w:rPr>
        <w:t xml:space="preserve"> </w:t>
      </w:r>
      <w:proofErr w:type="spellStart"/>
      <w:r w:rsidR="00E620C7" w:rsidRPr="00AA5515">
        <w:rPr>
          <w:rFonts w:ascii="Arial" w:hAnsi="Arial" w:cs="Arial"/>
          <w:sz w:val="20"/>
          <w:szCs w:val="20"/>
        </w:rPr>
        <w:t>Anakapalle</w:t>
      </w:r>
      <w:proofErr w:type="spellEnd"/>
      <w:r w:rsidR="00E620C7" w:rsidRPr="00AA5515">
        <w:rPr>
          <w:rFonts w:ascii="Arial" w:hAnsi="Arial" w:cs="Arial"/>
          <w:sz w:val="20"/>
          <w:szCs w:val="20"/>
        </w:rPr>
        <w:t xml:space="preserve">, Andhra </w:t>
      </w:r>
      <w:proofErr w:type="spellStart"/>
      <w:r w:rsidR="00E620C7" w:rsidRPr="00AA5515">
        <w:rPr>
          <w:rFonts w:ascii="Arial" w:hAnsi="Arial" w:cs="Arial"/>
          <w:sz w:val="20"/>
          <w:szCs w:val="20"/>
        </w:rPr>
        <w:t>pradesh</w:t>
      </w:r>
      <w:proofErr w:type="spellEnd"/>
      <w:r w:rsidRPr="00AA5515">
        <w:rPr>
          <w:rFonts w:ascii="Arial" w:hAnsi="Arial" w:cs="Arial"/>
          <w:sz w:val="20"/>
          <w:szCs w:val="20"/>
        </w:rPr>
        <w:t xml:space="preserve"> India during kharif 2021 and kharif 2022</w:t>
      </w:r>
      <w:r w:rsidR="0045540F" w:rsidRPr="00AA5515">
        <w:rPr>
          <w:rFonts w:ascii="Arial" w:hAnsi="Arial" w:cs="Arial"/>
          <w:sz w:val="20"/>
          <w:szCs w:val="20"/>
        </w:rPr>
        <w:t xml:space="preserve"> with  variet</w:t>
      </w:r>
      <w:r w:rsidR="00E620C7" w:rsidRPr="00AA5515">
        <w:rPr>
          <w:rFonts w:ascii="Arial" w:hAnsi="Arial" w:cs="Arial"/>
          <w:sz w:val="20"/>
          <w:szCs w:val="20"/>
        </w:rPr>
        <w:t>ies</w:t>
      </w:r>
      <w:r w:rsidR="0045540F" w:rsidRPr="00AA5515">
        <w:rPr>
          <w:rFonts w:ascii="Arial" w:hAnsi="Arial" w:cs="Arial"/>
          <w:sz w:val="20"/>
          <w:szCs w:val="20"/>
        </w:rPr>
        <w:t xml:space="preserve"> named ADT 49</w:t>
      </w:r>
      <w:r w:rsidR="00E620C7" w:rsidRPr="00AA5515">
        <w:rPr>
          <w:rFonts w:ascii="Arial" w:hAnsi="Arial" w:cs="Arial"/>
          <w:sz w:val="20"/>
          <w:szCs w:val="20"/>
        </w:rPr>
        <w:t xml:space="preserve"> and </w:t>
      </w:r>
      <w:proofErr w:type="spellStart"/>
      <w:r w:rsidR="00E620C7" w:rsidRPr="00AA5515">
        <w:rPr>
          <w:rFonts w:ascii="Arial" w:hAnsi="Arial" w:cs="Arial"/>
          <w:sz w:val="20"/>
          <w:szCs w:val="20"/>
        </w:rPr>
        <w:t>Sonamasoori</w:t>
      </w:r>
      <w:proofErr w:type="spellEnd"/>
      <w:r w:rsidRPr="00AA5515">
        <w:rPr>
          <w:rFonts w:ascii="Arial" w:hAnsi="Arial" w:cs="Arial"/>
          <w:sz w:val="20"/>
          <w:szCs w:val="20"/>
        </w:rPr>
        <w:t xml:space="preserve">. The experiment was laid down in RBD design with three replications and 9 treatments viz., T1: control, T2: 5%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T3: 5% Moringa leaf extract, T4: 5% Neem leaf extract, T5: 5%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leaf extract, T6: 25% </w:t>
      </w:r>
      <w:proofErr w:type="spellStart"/>
      <w:r w:rsidRPr="00AA5515">
        <w:rPr>
          <w:rFonts w:ascii="Arial" w:hAnsi="Arial" w:cs="Arial"/>
          <w:sz w:val="20"/>
          <w:szCs w:val="20"/>
        </w:rPr>
        <w:t>Vermiwash</w:t>
      </w:r>
      <w:proofErr w:type="spellEnd"/>
      <w:r w:rsidRPr="00AA5515">
        <w:rPr>
          <w:rFonts w:ascii="Arial" w:hAnsi="Arial" w:cs="Arial"/>
          <w:sz w:val="20"/>
          <w:szCs w:val="20"/>
        </w:rPr>
        <w:t xml:space="preserve">, T7: 25% Cow urine, T8: 12.5% Coconut water, T9: 5% </w:t>
      </w:r>
      <w:proofErr w:type="spellStart"/>
      <w:r w:rsidRPr="00AA5515">
        <w:rPr>
          <w:rFonts w:ascii="Arial" w:hAnsi="Arial" w:cs="Arial"/>
          <w:sz w:val="20"/>
          <w:szCs w:val="20"/>
        </w:rPr>
        <w:t>Beejamrutham</w:t>
      </w:r>
      <w:proofErr w:type="spellEnd"/>
      <w:r w:rsidRPr="00AA5515">
        <w:rPr>
          <w:rFonts w:ascii="Arial" w:hAnsi="Arial" w:cs="Arial"/>
          <w:sz w:val="20"/>
          <w:szCs w:val="20"/>
        </w:rPr>
        <w:t>.</w:t>
      </w:r>
    </w:p>
    <w:p w14:paraId="783FD482" w14:textId="10D29201" w:rsidR="00014336" w:rsidRPr="00AA5515" w:rsidRDefault="008B4C18" w:rsidP="009723AE">
      <w:pPr>
        <w:spacing w:line="240" w:lineRule="auto"/>
        <w:jc w:val="both"/>
        <w:rPr>
          <w:rFonts w:ascii="Arial" w:hAnsi="Arial" w:cs="Arial"/>
          <w:b/>
          <w:bCs/>
          <w:sz w:val="22"/>
          <w:szCs w:val="22"/>
        </w:rPr>
      </w:pPr>
      <w:r>
        <w:rPr>
          <w:rFonts w:ascii="Arial" w:hAnsi="Arial" w:cs="Arial"/>
          <w:b/>
          <w:bCs/>
          <w:sz w:val="22"/>
          <w:szCs w:val="22"/>
        </w:rPr>
        <w:t xml:space="preserve">2.1 </w:t>
      </w:r>
      <w:r w:rsidR="00AA5515" w:rsidRPr="00AA5515">
        <w:rPr>
          <w:rFonts w:ascii="Arial" w:hAnsi="Arial" w:cs="Arial"/>
          <w:b/>
          <w:bCs/>
          <w:sz w:val="22"/>
          <w:szCs w:val="22"/>
        </w:rPr>
        <w:t>SEED TREATMENT</w:t>
      </w:r>
    </w:p>
    <w:p w14:paraId="56FC9853" w14:textId="7F238164" w:rsidR="00014336" w:rsidRPr="00AA5515" w:rsidRDefault="00014336" w:rsidP="009723AE">
      <w:pPr>
        <w:spacing w:line="240" w:lineRule="auto"/>
        <w:ind w:firstLine="720"/>
        <w:jc w:val="both"/>
        <w:rPr>
          <w:rFonts w:ascii="Arial" w:hAnsi="Arial" w:cs="Arial"/>
          <w:sz w:val="20"/>
          <w:szCs w:val="20"/>
        </w:rPr>
      </w:pPr>
      <w:r w:rsidRPr="00AA5515">
        <w:rPr>
          <w:rFonts w:ascii="Arial" w:hAnsi="Arial" w:cs="Arial"/>
          <w:sz w:val="20"/>
          <w:szCs w:val="20"/>
        </w:rPr>
        <w:lastRenderedPageBreak/>
        <w:t>Various organic solutions were applied to the seeds at an 8% concentration. Before being evaluated, the seeds were soaked for 16 hours and then allowed to air dry in the shade to return to their initial moisture content.</w:t>
      </w:r>
    </w:p>
    <w:p w14:paraId="40D3DA11" w14:textId="1B339E28" w:rsidR="00014336" w:rsidRPr="00AA5515" w:rsidRDefault="008B4C18" w:rsidP="009723AE">
      <w:pPr>
        <w:spacing w:line="240" w:lineRule="auto"/>
        <w:rPr>
          <w:rFonts w:ascii="Arial" w:hAnsi="Arial" w:cs="Arial"/>
          <w:sz w:val="20"/>
          <w:szCs w:val="20"/>
        </w:rPr>
      </w:pPr>
      <w:r>
        <w:rPr>
          <w:rFonts w:ascii="Arial" w:hAnsi="Arial" w:cs="Arial"/>
          <w:b/>
          <w:bCs/>
          <w:sz w:val="20"/>
          <w:szCs w:val="20"/>
        </w:rPr>
        <w:t>2.1.1</w:t>
      </w:r>
      <w:r w:rsidR="00AA5515" w:rsidRPr="00AA5515">
        <w:rPr>
          <w:rFonts w:ascii="Arial" w:hAnsi="Arial" w:cs="Arial"/>
          <w:b/>
          <w:bCs/>
          <w:sz w:val="20"/>
          <w:szCs w:val="20"/>
        </w:rPr>
        <w:t> SEED OBSERVATIONS</w:t>
      </w:r>
      <w:r w:rsidR="00014336" w:rsidRPr="00AA5515">
        <w:rPr>
          <w:rFonts w:ascii="Arial" w:hAnsi="Arial" w:cs="Arial"/>
          <w:sz w:val="20"/>
          <w:szCs w:val="20"/>
        </w:rPr>
        <w:br/>
        <w:t xml:space="preserve">              The following seed quality metrics were noted following treatment and drying in accordance with normal protocols.</w:t>
      </w:r>
    </w:p>
    <w:p w14:paraId="172E169A" w14:textId="5D1CF564" w:rsidR="00014336" w:rsidRPr="00AA5515" w:rsidRDefault="008B4C18" w:rsidP="009723AE">
      <w:pPr>
        <w:spacing w:line="240" w:lineRule="auto"/>
        <w:rPr>
          <w:rFonts w:ascii="Arial" w:hAnsi="Arial" w:cs="Arial"/>
          <w:b/>
          <w:bCs/>
          <w:sz w:val="20"/>
          <w:szCs w:val="20"/>
          <w:u w:val="single"/>
        </w:rPr>
      </w:pPr>
      <w:r>
        <w:rPr>
          <w:rFonts w:ascii="Arial" w:hAnsi="Arial" w:cs="Arial"/>
          <w:b/>
          <w:bCs/>
          <w:sz w:val="20"/>
          <w:szCs w:val="20"/>
          <w:u w:val="single"/>
        </w:rPr>
        <w:t>2.1.1.1</w:t>
      </w:r>
      <w:r w:rsidR="00014336" w:rsidRPr="00AA5515">
        <w:rPr>
          <w:rFonts w:ascii="Arial" w:hAnsi="Arial" w:cs="Arial"/>
          <w:b/>
          <w:bCs/>
          <w:sz w:val="20"/>
          <w:szCs w:val="20"/>
          <w:u w:val="single"/>
        </w:rPr>
        <w:t xml:space="preserve"> Rate of Imbibition</w:t>
      </w:r>
    </w:p>
    <w:p w14:paraId="561EA6E7" w14:textId="69B4B62C" w:rsidR="00014336" w:rsidRPr="00AA5515" w:rsidRDefault="00014336" w:rsidP="009723AE">
      <w:pPr>
        <w:spacing w:line="240" w:lineRule="auto"/>
        <w:jc w:val="both"/>
        <w:rPr>
          <w:rFonts w:ascii="Arial" w:hAnsi="Arial" w:cs="Arial"/>
          <w:sz w:val="20"/>
          <w:szCs w:val="20"/>
        </w:rPr>
      </w:pPr>
      <w:r w:rsidRPr="00AA5515">
        <w:rPr>
          <w:rFonts w:ascii="Arial" w:hAnsi="Arial" w:cs="Arial"/>
          <w:sz w:val="20"/>
          <w:szCs w:val="20"/>
        </w:rPr>
        <w:t>For determining the imbibition rate, five grams of seeds were weighed and soaked in the respective organic solutions for 16 hours. After soaking, surface moisture was removed by blotting the seeds between filter papers, and the seeds were weighed immediately. The rate of imbibition was computed using the formula:</w:t>
      </w:r>
    </w:p>
    <w:p w14:paraId="1D72B4B1" w14:textId="77777777" w:rsidR="00EF6990" w:rsidRPr="00AA5515" w:rsidRDefault="00014336" w:rsidP="009723AE">
      <w:pPr>
        <w:spacing w:line="240" w:lineRule="auto"/>
        <w:rPr>
          <w:rFonts w:ascii="Arial" w:hAnsi="Arial" w:cs="Arial"/>
          <w:sz w:val="20"/>
          <w:szCs w:val="20"/>
        </w:rPr>
      </w:pPr>
      <w:r w:rsidRPr="00AA5515">
        <w:rPr>
          <w:rFonts w:ascii="Arial" w:hAnsi="Arial" w:cs="Arial"/>
          <w:sz w:val="20"/>
          <w:szCs w:val="20"/>
        </w:rPr>
        <w:t xml:space="preserve">                           Rate of Imbibition (</w:t>
      </w:r>
      <w:proofErr w:type="gramStart"/>
      <w:r w:rsidRPr="00AA5515">
        <w:rPr>
          <w:rFonts w:ascii="Arial" w:hAnsi="Arial" w:cs="Arial"/>
          <w:sz w:val="20"/>
          <w:szCs w:val="20"/>
        </w:rPr>
        <w:t>%)=</w:t>
      </w:r>
      <w:proofErr w:type="gramEnd"/>
      <w:r w:rsidRPr="00AA5515">
        <w:rPr>
          <w:rFonts w:ascii="Arial" w:hAnsi="Arial" w:cs="Arial"/>
          <w:sz w:val="20"/>
          <w:szCs w:val="20"/>
        </w:rPr>
        <w:t xml:space="preserve">W1​W2​−W1​​×100 </w:t>
      </w:r>
    </w:p>
    <w:p w14:paraId="06C66AEC" w14:textId="69DEA527" w:rsidR="00014336" w:rsidRPr="00AA5515" w:rsidRDefault="00014336" w:rsidP="009723AE">
      <w:pPr>
        <w:spacing w:line="240" w:lineRule="auto"/>
        <w:rPr>
          <w:rFonts w:ascii="Arial" w:hAnsi="Arial" w:cs="Arial"/>
          <w:sz w:val="20"/>
          <w:szCs w:val="20"/>
        </w:rPr>
      </w:pPr>
      <w:r w:rsidRPr="00AA5515">
        <w:rPr>
          <w:rFonts w:ascii="Arial" w:hAnsi="Arial" w:cs="Arial"/>
          <w:sz w:val="20"/>
          <w:szCs w:val="20"/>
        </w:rPr>
        <w:t>where</w:t>
      </w:r>
      <w:r w:rsidRPr="00AA5515">
        <w:rPr>
          <w:rFonts w:ascii="Arial" w:hAnsi="Arial" w:cs="Arial"/>
          <w:sz w:val="20"/>
          <w:szCs w:val="20"/>
        </w:rPr>
        <w:br/>
        <w:t>W1W_1W1​ = initial seed weight (g) and</w:t>
      </w:r>
      <w:r w:rsidRPr="00AA5515">
        <w:rPr>
          <w:rFonts w:ascii="Arial" w:hAnsi="Arial" w:cs="Arial"/>
          <w:sz w:val="20"/>
          <w:szCs w:val="20"/>
        </w:rPr>
        <w:br/>
        <w:t>W2W_2W2​ = weight after soaking (g).</w:t>
      </w:r>
    </w:p>
    <w:p w14:paraId="6896A1A3" w14:textId="61920ED9" w:rsidR="00EF6990" w:rsidRPr="00AA5515" w:rsidRDefault="008B4C18" w:rsidP="009723AE">
      <w:pPr>
        <w:spacing w:line="240" w:lineRule="auto"/>
        <w:rPr>
          <w:rFonts w:ascii="Arial" w:hAnsi="Arial" w:cs="Arial"/>
          <w:b/>
          <w:bCs/>
          <w:sz w:val="20"/>
          <w:szCs w:val="20"/>
          <w:u w:val="single"/>
        </w:rPr>
      </w:pPr>
      <w:r>
        <w:rPr>
          <w:rFonts w:ascii="Arial" w:hAnsi="Arial" w:cs="Arial"/>
          <w:b/>
          <w:bCs/>
          <w:sz w:val="20"/>
          <w:szCs w:val="20"/>
          <w:u w:val="single"/>
        </w:rPr>
        <w:t xml:space="preserve">2.1.1.2 </w:t>
      </w:r>
      <w:r w:rsidR="00EF6990" w:rsidRPr="00AA5515">
        <w:rPr>
          <w:rFonts w:ascii="Arial" w:hAnsi="Arial" w:cs="Arial"/>
          <w:b/>
          <w:bCs/>
          <w:sz w:val="20"/>
          <w:szCs w:val="20"/>
          <w:u w:val="single"/>
        </w:rPr>
        <w:t xml:space="preserve">Germination Test (ISTA, 1999) </w:t>
      </w:r>
    </w:p>
    <w:p w14:paraId="5E557D8F" w14:textId="27D29FA4" w:rsidR="00EF6990" w:rsidRPr="00AA5515" w:rsidRDefault="00EF6990" w:rsidP="009723AE">
      <w:pPr>
        <w:spacing w:line="240" w:lineRule="auto"/>
        <w:rPr>
          <w:rFonts w:ascii="Arial" w:hAnsi="Arial" w:cs="Arial"/>
          <w:sz w:val="20"/>
          <w:szCs w:val="20"/>
        </w:rPr>
      </w:pPr>
      <w:r w:rsidRPr="00AA5515">
        <w:rPr>
          <w:rFonts w:ascii="Arial" w:hAnsi="Arial" w:cs="Arial"/>
          <w:sz w:val="20"/>
          <w:szCs w:val="20"/>
        </w:rPr>
        <w:t>The between paper (BP) method was used to perform the germination test. In a germination environment that was kept at 25 ± 2°C and 90 ± 2% relative humidity, four replications of 100 seeds each were incubated. The mean percentage of germination was computed and shown as a whole number after the number of normal seedlings was counted on the fourteenth day.</w:t>
      </w:r>
    </w:p>
    <w:p w14:paraId="78392D84" w14:textId="66F487D1" w:rsidR="00EF6990" w:rsidRPr="00AA5515" w:rsidRDefault="008B4C18" w:rsidP="009723AE">
      <w:pPr>
        <w:spacing w:line="240" w:lineRule="auto"/>
        <w:rPr>
          <w:rFonts w:ascii="Arial" w:hAnsi="Arial" w:cs="Arial"/>
          <w:b/>
          <w:bCs/>
          <w:sz w:val="20"/>
          <w:szCs w:val="20"/>
          <w:u w:val="single"/>
        </w:rPr>
      </w:pPr>
      <w:r>
        <w:rPr>
          <w:rFonts w:ascii="Arial" w:hAnsi="Arial" w:cs="Arial"/>
          <w:b/>
          <w:bCs/>
          <w:sz w:val="20"/>
          <w:szCs w:val="20"/>
          <w:u w:val="single"/>
        </w:rPr>
        <w:t xml:space="preserve">2.1.1.3 </w:t>
      </w:r>
      <w:r w:rsidR="00EF6990" w:rsidRPr="00AA5515">
        <w:rPr>
          <w:rFonts w:ascii="Arial" w:hAnsi="Arial" w:cs="Arial"/>
          <w:b/>
          <w:bCs/>
          <w:sz w:val="20"/>
          <w:szCs w:val="20"/>
          <w:u w:val="single"/>
        </w:rPr>
        <w:t>Speed of Germination (Maguire, 1962)</w:t>
      </w:r>
    </w:p>
    <w:p w14:paraId="69B0F589" w14:textId="1DBEEDC2" w:rsidR="00EF6990" w:rsidRPr="00AA5515" w:rsidRDefault="0045540F" w:rsidP="009723AE">
      <w:pPr>
        <w:spacing w:line="240" w:lineRule="auto"/>
        <w:rPr>
          <w:rFonts w:ascii="Arial" w:hAnsi="Arial" w:cs="Arial"/>
          <w:sz w:val="20"/>
          <w:szCs w:val="20"/>
        </w:rPr>
      </w:pPr>
      <w:r w:rsidRPr="00AA5515">
        <w:rPr>
          <w:rFonts w:ascii="Arial" w:hAnsi="Arial" w:cs="Arial"/>
          <w:sz w:val="20"/>
          <w:szCs w:val="20"/>
        </w:rPr>
        <w:t>Until the last day of germination, the number of seedlings that emerged was counted every day. Maguire's formula was used to determine the rate of germination:</w:t>
      </w:r>
    </w:p>
    <w:p w14:paraId="646A426F" w14:textId="77777777"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Speed of Germination=Y1​X1​​+Y2​X2​​+</w:t>
      </w:r>
      <w:r w:rsidRPr="00AA5515">
        <w:rPr>
          <w:rFonts w:ascii="Cambria Math" w:hAnsi="Cambria Math" w:cs="Cambria Math"/>
          <w:sz w:val="20"/>
          <w:szCs w:val="20"/>
        </w:rPr>
        <w:t>⋯</w:t>
      </w:r>
      <w:r w:rsidRPr="00AA5515">
        <w:rPr>
          <w:rFonts w:ascii="Arial" w:hAnsi="Arial" w:cs="Arial"/>
          <w:sz w:val="20"/>
          <w:szCs w:val="20"/>
        </w:rPr>
        <w:t>+</w:t>
      </w:r>
      <w:proofErr w:type="spellStart"/>
      <w:r w:rsidRPr="00AA5515">
        <w:rPr>
          <w:rFonts w:ascii="Arial" w:hAnsi="Arial" w:cs="Arial"/>
          <w:sz w:val="20"/>
          <w:szCs w:val="20"/>
        </w:rPr>
        <w:t>Yn</w:t>
      </w:r>
      <w:proofErr w:type="spellEnd"/>
      <w:r w:rsidRPr="00AA5515">
        <w:rPr>
          <w:rFonts w:ascii="Arial" w:hAnsi="Arial" w:cs="Arial"/>
          <w:sz w:val="20"/>
          <w:szCs w:val="20"/>
        </w:rPr>
        <w:t>​</w:t>
      </w:r>
      <w:proofErr w:type="spellStart"/>
      <w:r w:rsidRPr="00AA5515">
        <w:rPr>
          <w:rFonts w:ascii="Arial" w:hAnsi="Arial" w:cs="Arial"/>
          <w:sz w:val="20"/>
          <w:szCs w:val="20"/>
        </w:rPr>
        <w:t>Xn</w:t>
      </w:r>
      <w:proofErr w:type="spellEnd"/>
      <w:r w:rsidRPr="00AA5515">
        <w:rPr>
          <w:rFonts w:ascii="Arial" w:hAnsi="Arial" w:cs="Arial"/>
          <w:sz w:val="20"/>
          <w:szCs w:val="20"/>
        </w:rPr>
        <w:t xml:space="preserve">​​ </w:t>
      </w:r>
    </w:p>
    <w:p w14:paraId="5B838FF0" w14:textId="77777777"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where</w:t>
      </w:r>
      <w:r w:rsidRPr="00AA5515">
        <w:rPr>
          <w:rFonts w:ascii="Arial" w:hAnsi="Arial" w:cs="Arial"/>
          <w:sz w:val="20"/>
          <w:szCs w:val="20"/>
        </w:rPr>
        <w:br/>
      </w:r>
      <w:proofErr w:type="spellStart"/>
      <w:r w:rsidRPr="00AA5515">
        <w:rPr>
          <w:rFonts w:ascii="Arial" w:hAnsi="Arial" w:cs="Arial"/>
          <w:sz w:val="20"/>
          <w:szCs w:val="20"/>
        </w:rPr>
        <w:t>XnX_nXn</w:t>
      </w:r>
      <w:proofErr w:type="spellEnd"/>
      <w:r w:rsidRPr="00AA5515">
        <w:rPr>
          <w:rFonts w:ascii="Arial" w:hAnsi="Arial" w:cs="Arial"/>
          <w:sz w:val="20"/>
          <w:szCs w:val="20"/>
        </w:rPr>
        <w:t xml:space="preserve">​ = number of seeds germinated on the </w:t>
      </w:r>
      <w:r w:rsidRPr="00AA5515">
        <w:rPr>
          <w:rFonts w:ascii="Arial" w:hAnsi="Arial" w:cs="Arial"/>
          <w:i/>
          <w:iCs/>
          <w:sz w:val="20"/>
          <w:szCs w:val="20"/>
        </w:rPr>
        <w:t>n</w:t>
      </w:r>
      <w:r w:rsidRPr="00AA5515">
        <w:rPr>
          <w:rFonts w:ascii="Arial" w:hAnsi="Arial" w:cs="Arial"/>
          <w:sz w:val="20"/>
          <w:szCs w:val="20"/>
        </w:rPr>
        <w:t>th day, and</w:t>
      </w:r>
      <w:r w:rsidRPr="00AA5515">
        <w:rPr>
          <w:rFonts w:ascii="Arial" w:hAnsi="Arial" w:cs="Arial"/>
          <w:sz w:val="20"/>
          <w:szCs w:val="20"/>
        </w:rPr>
        <w:br/>
        <w:t xml:space="preserve">YnY_nYn​ = number of days from sowing to the </w:t>
      </w:r>
      <w:r w:rsidRPr="00AA5515">
        <w:rPr>
          <w:rFonts w:ascii="Arial" w:hAnsi="Arial" w:cs="Arial"/>
          <w:i/>
          <w:iCs/>
          <w:sz w:val="20"/>
          <w:szCs w:val="20"/>
        </w:rPr>
        <w:t>n</w:t>
      </w:r>
      <w:r w:rsidRPr="00AA5515">
        <w:rPr>
          <w:rFonts w:ascii="Arial" w:hAnsi="Arial" w:cs="Arial"/>
          <w:sz w:val="20"/>
          <w:szCs w:val="20"/>
        </w:rPr>
        <w:t>th count.</w:t>
      </w:r>
    </w:p>
    <w:p w14:paraId="17E9E8EB" w14:textId="6CB4724E" w:rsidR="0045540F" w:rsidRPr="00AA5515" w:rsidRDefault="00AD7ED8" w:rsidP="009723AE">
      <w:pPr>
        <w:spacing w:line="240" w:lineRule="auto"/>
        <w:rPr>
          <w:rFonts w:ascii="Arial" w:hAnsi="Arial" w:cs="Arial"/>
          <w:b/>
          <w:bCs/>
          <w:sz w:val="20"/>
          <w:szCs w:val="20"/>
          <w:u w:val="single"/>
        </w:rPr>
      </w:pPr>
      <w:r>
        <w:rPr>
          <w:rFonts w:ascii="Arial" w:hAnsi="Arial" w:cs="Arial"/>
          <w:b/>
          <w:bCs/>
          <w:sz w:val="20"/>
          <w:szCs w:val="20"/>
          <w:u w:val="single"/>
        </w:rPr>
        <w:t xml:space="preserve">2.1.1.4 </w:t>
      </w:r>
      <w:r w:rsidR="0045540F" w:rsidRPr="00AA5515">
        <w:rPr>
          <w:rFonts w:ascii="Arial" w:hAnsi="Arial" w:cs="Arial"/>
          <w:b/>
          <w:bCs/>
          <w:sz w:val="20"/>
          <w:szCs w:val="20"/>
          <w:u w:val="single"/>
        </w:rPr>
        <w:t>Root Length</w:t>
      </w:r>
    </w:p>
    <w:p w14:paraId="6D26F538" w14:textId="3FBA6AFC"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 xml:space="preserve">Ten healthy seedlings were chosen at random from each replication at the conclusion of the germination test. </w:t>
      </w:r>
      <w:proofErr w:type="spellStart"/>
      <w:r w:rsidRPr="00AA5515">
        <w:rPr>
          <w:rFonts w:ascii="Arial" w:hAnsi="Arial" w:cs="Arial"/>
          <w:sz w:val="20"/>
          <w:szCs w:val="20"/>
        </w:rPr>
        <w:t>Centimeters</w:t>
      </w:r>
      <w:proofErr w:type="spellEnd"/>
      <w:r w:rsidRPr="00AA5515">
        <w:rPr>
          <w:rFonts w:ascii="Arial" w:hAnsi="Arial" w:cs="Arial"/>
          <w:sz w:val="20"/>
          <w:szCs w:val="20"/>
        </w:rPr>
        <w:t xml:space="preserve"> (cm) were used to express the mean root length, which was measured from the collar area to the primary root tip.</w:t>
      </w:r>
    </w:p>
    <w:p w14:paraId="3E523750" w14:textId="35383801" w:rsidR="0045540F" w:rsidRPr="00AA5515" w:rsidRDefault="00AD7ED8" w:rsidP="009723AE">
      <w:pPr>
        <w:spacing w:line="240" w:lineRule="auto"/>
        <w:rPr>
          <w:rFonts w:ascii="Arial" w:hAnsi="Arial" w:cs="Arial"/>
          <w:b/>
          <w:bCs/>
          <w:sz w:val="20"/>
          <w:szCs w:val="20"/>
          <w:u w:val="single"/>
        </w:rPr>
      </w:pPr>
      <w:r>
        <w:rPr>
          <w:rFonts w:ascii="Arial" w:hAnsi="Arial" w:cs="Arial"/>
          <w:b/>
          <w:bCs/>
          <w:sz w:val="20"/>
          <w:szCs w:val="20"/>
          <w:u w:val="single"/>
        </w:rPr>
        <w:t xml:space="preserve">2.1.1.5 </w:t>
      </w:r>
      <w:r w:rsidR="0045540F" w:rsidRPr="00AA5515">
        <w:rPr>
          <w:rFonts w:ascii="Arial" w:hAnsi="Arial" w:cs="Arial"/>
          <w:b/>
          <w:bCs/>
          <w:sz w:val="20"/>
          <w:szCs w:val="20"/>
          <w:u w:val="single"/>
        </w:rPr>
        <w:t>Shoot Length</w:t>
      </w:r>
    </w:p>
    <w:p w14:paraId="1C243E6A" w14:textId="299AC106"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 xml:space="preserve">Shoot length was measured from the collar area to the plumule tip on the same group of seedlings. </w:t>
      </w:r>
      <w:proofErr w:type="spellStart"/>
      <w:r w:rsidRPr="00AA5515">
        <w:rPr>
          <w:rFonts w:ascii="Arial" w:hAnsi="Arial" w:cs="Arial"/>
          <w:sz w:val="20"/>
          <w:szCs w:val="20"/>
        </w:rPr>
        <w:t>Centimeters</w:t>
      </w:r>
      <w:proofErr w:type="spellEnd"/>
      <w:r w:rsidRPr="00AA5515">
        <w:rPr>
          <w:rFonts w:ascii="Arial" w:hAnsi="Arial" w:cs="Arial"/>
          <w:sz w:val="20"/>
          <w:szCs w:val="20"/>
        </w:rPr>
        <w:t xml:space="preserve"> (cm) were used to denote the mean value.</w:t>
      </w:r>
    </w:p>
    <w:p w14:paraId="5E6375D9" w14:textId="6F6C9FB8" w:rsidR="0045540F" w:rsidRPr="00AA5515" w:rsidRDefault="00AD7ED8" w:rsidP="009723AE">
      <w:pPr>
        <w:spacing w:line="240" w:lineRule="auto"/>
        <w:rPr>
          <w:rFonts w:ascii="Arial" w:hAnsi="Arial" w:cs="Arial"/>
          <w:b/>
          <w:bCs/>
          <w:sz w:val="20"/>
          <w:szCs w:val="20"/>
          <w:u w:val="single"/>
        </w:rPr>
      </w:pPr>
      <w:r>
        <w:rPr>
          <w:rFonts w:ascii="Arial" w:hAnsi="Arial" w:cs="Arial"/>
          <w:b/>
          <w:bCs/>
          <w:sz w:val="20"/>
          <w:szCs w:val="20"/>
          <w:u w:val="single"/>
        </w:rPr>
        <w:t xml:space="preserve">2.1.1.6 </w:t>
      </w:r>
      <w:r w:rsidR="0045540F" w:rsidRPr="00AA5515">
        <w:rPr>
          <w:rFonts w:ascii="Arial" w:hAnsi="Arial" w:cs="Arial"/>
          <w:b/>
          <w:bCs/>
          <w:sz w:val="20"/>
          <w:szCs w:val="20"/>
          <w:u w:val="single"/>
        </w:rPr>
        <w:t>Dry Matter Production</w:t>
      </w:r>
    </w:p>
    <w:p w14:paraId="738B3633" w14:textId="1C18960B"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After being oven-dried for 24 hours at 85 ± 2°C, the ten standard seedlings used to measure seedling length were cooled in a desiccator and weighed. Milligrams per ten seedlings was the unit of measurement for the dry matter production.</w:t>
      </w:r>
    </w:p>
    <w:p w14:paraId="61E971CD" w14:textId="7C733151" w:rsidR="0045540F" w:rsidRPr="00AA5515" w:rsidRDefault="00AD7ED8" w:rsidP="009723AE">
      <w:pPr>
        <w:spacing w:line="240" w:lineRule="auto"/>
        <w:rPr>
          <w:rFonts w:ascii="Arial" w:hAnsi="Arial" w:cs="Arial"/>
          <w:b/>
          <w:bCs/>
          <w:sz w:val="20"/>
          <w:szCs w:val="20"/>
          <w:u w:val="single"/>
        </w:rPr>
      </w:pPr>
      <w:r>
        <w:rPr>
          <w:rFonts w:ascii="Arial" w:hAnsi="Arial" w:cs="Arial"/>
          <w:b/>
          <w:bCs/>
          <w:sz w:val="20"/>
          <w:szCs w:val="20"/>
          <w:u w:val="single"/>
        </w:rPr>
        <w:t xml:space="preserve">2.1.1.7 </w:t>
      </w:r>
      <w:r w:rsidR="0045540F" w:rsidRPr="00AA5515">
        <w:rPr>
          <w:rFonts w:ascii="Arial" w:hAnsi="Arial" w:cs="Arial"/>
          <w:b/>
          <w:bCs/>
          <w:sz w:val="20"/>
          <w:szCs w:val="20"/>
          <w:u w:val="single"/>
        </w:rPr>
        <w:t>Vigour Index (Abdul-Baki and Anderson, 1973)</w:t>
      </w:r>
    </w:p>
    <w:p w14:paraId="53BFACF3" w14:textId="77777777"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 xml:space="preserve">The </w:t>
      </w:r>
      <w:r w:rsidRPr="00AA5515">
        <w:rPr>
          <w:rFonts w:ascii="Arial" w:hAnsi="Arial" w:cs="Arial"/>
          <w:b/>
          <w:bCs/>
          <w:sz w:val="20"/>
          <w:szCs w:val="20"/>
        </w:rPr>
        <w:t>vigour index</w:t>
      </w:r>
      <w:r w:rsidRPr="00AA5515">
        <w:rPr>
          <w:rFonts w:ascii="Arial" w:hAnsi="Arial" w:cs="Arial"/>
          <w:sz w:val="20"/>
          <w:szCs w:val="20"/>
        </w:rPr>
        <w:t xml:space="preserve"> was computed using the formula:</w:t>
      </w:r>
    </w:p>
    <w:p w14:paraId="7B5ABA32" w14:textId="73266221" w:rsidR="0045540F" w:rsidRPr="00AA5515" w:rsidRDefault="0045540F" w:rsidP="009723AE">
      <w:pPr>
        <w:spacing w:line="240" w:lineRule="auto"/>
        <w:ind w:firstLine="720"/>
        <w:rPr>
          <w:rFonts w:ascii="Arial" w:hAnsi="Arial" w:cs="Arial"/>
          <w:sz w:val="20"/>
          <w:szCs w:val="20"/>
        </w:rPr>
      </w:pPr>
      <w:r w:rsidRPr="00AA5515">
        <w:rPr>
          <w:rFonts w:ascii="Arial" w:hAnsi="Arial" w:cs="Arial"/>
          <w:sz w:val="20"/>
          <w:szCs w:val="20"/>
        </w:rPr>
        <w:t>Vigour Index=Germination (</w:t>
      </w:r>
      <w:proofErr w:type="gramStart"/>
      <w:r w:rsidRPr="00AA5515">
        <w:rPr>
          <w:rFonts w:ascii="Arial" w:hAnsi="Arial" w:cs="Arial"/>
          <w:sz w:val="20"/>
          <w:szCs w:val="20"/>
        </w:rPr>
        <w:t>%)×</w:t>
      </w:r>
      <w:proofErr w:type="gramEnd"/>
      <w:r w:rsidRPr="00AA5515">
        <w:rPr>
          <w:rFonts w:ascii="Arial" w:hAnsi="Arial" w:cs="Arial"/>
          <w:sz w:val="20"/>
          <w:szCs w:val="20"/>
        </w:rPr>
        <w:t xml:space="preserve">Seedling Length (cm) </w:t>
      </w:r>
    </w:p>
    <w:p w14:paraId="62A5FAC9" w14:textId="77777777" w:rsidR="0045540F" w:rsidRPr="00AA5515" w:rsidRDefault="0045540F" w:rsidP="009723AE">
      <w:pPr>
        <w:spacing w:line="240" w:lineRule="auto"/>
        <w:rPr>
          <w:rFonts w:ascii="Arial" w:hAnsi="Arial" w:cs="Arial"/>
          <w:sz w:val="20"/>
          <w:szCs w:val="20"/>
        </w:rPr>
      </w:pPr>
      <w:r w:rsidRPr="00AA5515">
        <w:rPr>
          <w:rFonts w:ascii="Arial" w:hAnsi="Arial" w:cs="Arial"/>
          <w:sz w:val="20"/>
          <w:szCs w:val="20"/>
        </w:rPr>
        <w:t>and expressed as a whole number.</w:t>
      </w:r>
    </w:p>
    <w:p w14:paraId="767A1DBF" w14:textId="0347AAB5" w:rsidR="00183923" w:rsidRPr="00AA5515" w:rsidRDefault="00AD7ED8" w:rsidP="009723AE">
      <w:pPr>
        <w:spacing w:line="240" w:lineRule="auto"/>
        <w:jc w:val="both"/>
        <w:rPr>
          <w:rFonts w:ascii="Arial" w:hAnsi="Arial" w:cs="Arial"/>
          <w:b/>
          <w:bCs/>
          <w:sz w:val="22"/>
          <w:szCs w:val="22"/>
        </w:rPr>
      </w:pPr>
      <w:r>
        <w:rPr>
          <w:rFonts w:ascii="Arial" w:hAnsi="Arial" w:cs="Arial"/>
          <w:b/>
          <w:bCs/>
          <w:sz w:val="22"/>
          <w:szCs w:val="22"/>
        </w:rPr>
        <w:t xml:space="preserve">3. </w:t>
      </w:r>
      <w:r w:rsidR="00AA5515" w:rsidRPr="00AA5515">
        <w:rPr>
          <w:rFonts w:ascii="Arial" w:hAnsi="Arial" w:cs="Arial"/>
          <w:b/>
          <w:bCs/>
          <w:sz w:val="22"/>
          <w:szCs w:val="22"/>
        </w:rPr>
        <w:t xml:space="preserve">RESULTS AND DISCUSSION </w:t>
      </w:r>
    </w:p>
    <w:p w14:paraId="69258AA2" w14:textId="77777777" w:rsidR="009F1C49" w:rsidRDefault="009F1C49" w:rsidP="009723AE">
      <w:pPr>
        <w:spacing w:line="240" w:lineRule="auto"/>
        <w:ind w:firstLine="720"/>
        <w:jc w:val="both"/>
        <w:rPr>
          <w:rFonts w:ascii="Arial" w:hAnsi="Arial" w:cs="Arial"/>
          <w:sz w:val="20"/>
          <w:szCs w:val="20"/>
        </w:rPr>
      </w:pPr>
      <w:r w:rsidRPr="00AA5515">
        <w:rPr>
          <w:rFonts w:ascii="Arial" w:hAnsi="Arial" w:cs="Arial"/>
          <w:sz w:val="20"/>
          <w:szCs w:val="20"/>
        </w:rPr>
        <w:lastRenderedPageBreak/>
        <w:t xml:space="preserve">Significant diversity was seen among treatments in the impact of different organic formulations on the parameters of seed germination of several paddy species. With the highest values for imbibition rate (32.5%), germination percentage (97%), speed of germination (7.2), root length (23.8 cm), shoot length (15.2 cm), dry matter accumulation (120.5 mg/10 seedlings), and vigour index (1785), 5%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consistently outperformed all other treatments. 12.5% coconut water, 25% cow urine, and 25% </w:t>
      </w:r>
      <w:proofErr w:type="spellStart"/>
      <w:r w:rsidRPr="00AA5515">
        <w:rPr>
          <w:rFonts w:ascii="Arial" w:hAnsi="Arial" w:cs="Arial"/>
          <w:sz w:val="20"/>
          <w:szCs w:val="20"/>
        </w:rPr>
        <w:t>vermiwash</w:t>
      </w:r>
      <w:proofErr w:type="spellEnd"/>
      <w:r w:rsidRPr="00AA5515">
        <w:rPr>
          <w:rFonts w:ascii="Arial" w:hAnsi="Arial" w:cs="Arial"/>
          <w:sz w:val="20"/>
          <w:szCs w:val="20"/>
        </w:rPr>
        <w:t xml:space="preserve"> came next; all three performed noticeably better than the control but were statistically comparable for the majority of the measures. While 5% extracts of moringa,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and neem leaves recorded relatively lower but considerably better outcomes than the control in all features, 5% </w:t>
      </w:r>
      <w:proofErr w:type="spellStart"/>
      <w:r w:rsidRPr="00AA5515">
        <w:rPr>
          <w:rFonts w:ascii="Arial" w:hAnsi="Arial" w:cs="Arial"/>
          <w:sz w:val="20"/>
          <w:szCs w:val="20"/>
        </w:rPr>
        <w:t>beejamrutham</w:t>
      </w:r>
      <w:proofErr w:type="spellEnd"/>
      <w:r w:rsidRPr="00AA5515">
        <w:rPr>
          <w:rFonts w:ascii="Arial" w:hAnsi="Arial" w:cs="Arial"/>
          <w:sz w:val="20"/>
          <w:szCs w:val="20"/>
        </w:rPr>
        <w:t xml:space="preserve"> exhibited a moderate improvement.</w:t>
      </w:r>
      <w:r w:rsidRPr="00AA5515">
        <w:rPr>
          <w:rFonts w:ascii="Arial" w:eastAsia="Times New Roman" w:hAnsi="Arial" w:cs="Arial"/>
          <w:kern w:val="0"/>
          <w:sz w:val="20"/>
          <w:szCs w:val="20"/>
          <w:lang w:eastAsia="en-IN"/>
          <w14:ligatures w14:val="none"/>
        </w:rPr>
        <w:t xml:space="preserve"> </w:t>
      </w:r>
      <w:r w:rsidRPr="00AA5515">
        <w:rPr>
          <w:rFonts w:ascii="Arial" w:hAnsi="Arial" w:cs="Arial"/>
          <w:sz w:val="20"/>
          <w:szCs w:val="20"/>
        </w:rPr>
        <w:t xml:space="preserve">All things considered, the results show that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was the most successful in increasing seed germination, seedling development, and </w:t>
      </w:r>
      <w:proofErr w:type="spellStart"/>
      <w:r w:rsidRPr="00AA5515">
        <w:rPr>
          <w:rFonts w:ascii="Arial" w:hAnsi="Arial" w:cs="Arial"/>
          <w:sz w:val="20"/>
          <w:szCs w:val="20"/>
        </w:rPr>
        <w:t>vigor</w:t>
      </w:r>
      <w:proofErr w:type="spellEnd"/>
      <w:r w:rsidRPr="00AA5515">
        <w:rPr>
          <w:rFonts w:ascii="Arial" w:hAnsi="Arial" w:cs="Arial"/>
          <w:sz w:val="20"/>
          <w:szCs w:val="20"/>
        </w:rPr>
        <w:t xml:space="preserve">, followed by </w:t>
      </w:r>
      <w:proofErr w:type="spellStart"/>
      <w:r w:rsidRPr="00AA5515">
        <w:rPr>
          <w:rFonts w:ascii="Arial" w:hAnsi="Arial" w:cs="Arial"/>
          <w:sz w:val="20"/>
          <w:szCs w:val="20"/>
        </w:rPr>
        <w:t>vermiwash</w:t>
      </w:r>
      <w:proofErr w:type="spellEnd"/>
      <w:r w:rsidRPr="00AA5515">
        <w:rPr>
          <w:rFonts w:ascii="Arial" w:hAnsi="Arial" w:cs="Arial"/>
          <w:sz w:val="20"/>
          <w:szCs w:val="20"/>
        </w:rPr>
        <w:t>, coconut water, and cow urine as given in table 1.</w:t>
      </w:r>
    </w:p>
    <w:p w14:paraId="108F58B7" w14:textId="60FC8BFB" w:rsidR="008C1A59" w:rsidRPr="00AA5515" w:rsidRDefault="008C1A59" w:rsidP="008C1A59">
      <w:pPr>
        <w:spacing w:line="240" w:lineRule="auto"/>
        <w:ind w:firstLine="720"/>
        <w:jc w:val="both"/>
        <w:rPr>
          <w:rFonts w:ascii="Arial" w:hAnsi="Arial" w:cs="Arial"/>
          <w:sz w:val="20"/>
          <w:szCs w:val="20"/>
        </w:rPr>
      </w:pPr>
      <w:r w:rsidRPr="008C1A59">
        <w:rPr>
          <w:rFonts w:ascii="Arial" w:hAnsi="Arial" w:cs="Arial"/>
          <w:sz w:val="20"/>
          <w:szCs w:val="20"/>
        </w:rPr>
        <w:t xml:space="preserve">Compared to the control, seed priming with organic solutions greatly increased germination and </w:t>
      </w:r>
      <w:proofErr w:type="spellStart"/>
      <w:r w:rsidRPr="008C1A59">
        <w:rPr>
          <w:rFonts w:ascii="Arial" w:hAnsi="Arial" w:cs="Arial"/>
          <w:sz w:val="20"/>
          <w:szCs w:val="20"/>
        </w:rPr>
        <w:t>vigor</w:t>
      </w:r>
      <w:proofErr w:type="spellEnd"/>
      <w:r w:rsidRPr="008C1A59">
        <w:rPr>
          <w:rFonts w:ascii="Arial" w:hAnsi="Arial" w:cs="Arial"/>
          <w:sz w:val="20"/>
          <w:szCs w:val="20"/>
        </w:rPr>
        <w:t xml:space="preserve">. Leaf extracts also outperformed the untreated seeds, but </w:t>
      </w:r>
      <w:proofErr w:type="spellStart"/>
      <w:r w:rsidRPr="008C1A59">
        <w:rPr>
          <w:rFonts w:ascii="Arial" w:hAnsi="Arial" w:cs="Arial"/>
          <w:sz w:val="20"/>
          <w:szCs w:val="20"/>
        </w:rPr>
        <w:t>Panchakavya</w:t>
      </w:r>
      <w:proofErr w:type="spellEnd"/>
      <w:r w:rsidRPr="008C1A59">
        <w:rPr>
          <w:rFonts w:ascii="Arial" w:hAnsi="Arial" w:cs="Arial"/>
          <w:sz w:val="20"/>
          <w:szCs w:val="20"/>
        </w:rPr>
        <w:t xml:space="preserve"> @ 5% demonstrated the greatest improvement, followed by coconut water, cow urine, and </w:t>
      </w:r>
      <w:proofErr w:type="spellStart"/>
      <w:r w:rsidRPr="008C1A59">
        <w:rPr>
          <w:rFonts w:ascii="Arial" w:hAnsi="Arial" w:cs="Arial"/>
          <w:sz w:val="20"/>
          <w:szCs w:val="20"/>
        </w:rPr>
        <w:t>vermiwash</w:t>
      </w:r>
      <w:proofErr w:type="spellEnd"/>
      <w:r w:rsidRPr="008C1A59">
        <w:rPr>
          <w:rFonts w:ascii="Arial" w:hAnsi="Arial" w:cs="Arial"/>
          <w:sz w:val="20"/>
          <w:szCs w:val="20"/>
        </w:rPr>
        <w:t xml:space="preserve">. According to Letham (1974), the cytokinin-rich composition of coconut water may be the cause of its stimulatory effect. Chakaravarthy (2001) reported similar improvements in germination in </w:t>
      </w:r>
      <w:proofErr w:type="spellStart"/>
      <w:r w:rsidRPr="008C1A59">
        <w:rPr>
          <w:rFonts w:ascii="Arial" w:hAnsi="Arial" w:cs="Arial"/>
          <w:sz w:val="20"/>
          <w:szCs w:val="20"/>
        </w:rPr>
        <w:t>pigeonpea</w:t>
      </w:r>
      <w:proofErr w:type="spellEnd"/>
      <w:r w:rsidRPr="008C1A59">
        <w:rPr>
          <w:rFonts w:ascii="Arial" w:hAnsi="Arial" w:cs="Arial"/>
          <w:sz w:val="20"/>
          <w:szCs w:val="20"/>
        </w:rPr>
        <w:t xml:space="preserve">, Albert (2004) in tomato, Vijayan (2005) and Hiromi et al. (2014) in paddy, and Parisa et al. (2014) in Phalaenopsis. This study's findings of increased seedling </w:t>
      </w:r>
      <w:proofErr w:type="spellStart"/>
      <w:r w:rsidRPr="008C1A59">
        <w:rPr>
          <w:rFonts w:ascii="Arial" w:hAnsi="Arial" w:cs="Arial"/>
          <w:sz w:val="20"/>
          <w:szCs w:val="20"/>
        </w:rPr>
        <w:t>vigor</w:t>
      </w:r>
      <w:proofErr w:type="spellEnd"/>
      <w:r w:rsidRPr="008C1A59">
        <w:rPr>
          <w:rFonts w:ascii="Arial" w:hAnsi="Arial" w:cs="Arial"/>
          <w:sz w:val="20"/>
          <w:szCs w:val="20"/>
        </w:rPr>
        <w:t xml:space="preserve"> are consistent with those of Woodstock and Combs (1964), </w:t>
      </w:r>
      <w:proofErr w:type="spellStart"/>
      <w:r w:rsidRPr="008C1A59">
        <w:rPr>
          <w:rFonts w:ascii="Arial" w:hAnsi="Arial" w:cs="Arial"/>
          <w:sz w:val="20"/>
          <w:szCs w:val="20"/>
        </w:rPr>
        <w:t>Heydecker</w:t>
      </w:r>
      <w:proofErr w:type="spellEnd"/>
      <w:r w:rsidRPr="008C1A59">
        <w:rPr>
          <w:rFonts w:ascii="Arial" w:hAnsi="Arial" w:cs="Arial"/>
          <w:sz w:val="20"/>
          <w:szCs w:val="20"/>
        </w:rPr>
        <w:t xml:space="preserve"> (1973), and Abdul-</w:t>
      </w:r>
      <w:proofErr w:type="spellStart"/>
      <w:r w:rsidRPr="008C1A59">
        <w:rPr>
          <w:rFonts w:ascii="Arial" w:hAnsi="Arial" w:cs="Arial"/>
          <w:sz w:val="20"/>
          <w:szCs w:val="20"/>
        </w:rPr>
        <w:t>Baki</w:t>
      </w:r>
      <w:proofErr w:type="spellEnd"/>
      <w:r w:rsidRPr="008C1A59">
        <w:rPr>
          <w:rFonts w:ascii="Arial" w:hAnsi="Arial" w:cs="Arial"/>
          <w:sz w:val="20"/>
          <w:szCs w:val="20"/>
        </w:rPr>
        <w:t xml:space="preserve"> and Anderson (1973), who connected seedling development to field </w:t>
      </w:r>
      <w:r>
        <w:rPr>
          <w:rFonts w:ascii="Arial" w:hAnsi="Arial" w:cs="Arial"/>
          <w:sz w:val="20"/>
          <w:szCs w:val="20"/>
        </w:rPr>
        <w:t>performance.</w:t>
      </w:r>
      <w:r w:rsidRPr="008C1A59">
        <w:rPr>
          <w:rFonts w:ascii="Times New Roman" w:eastAsia="Times New Roman" w:hAnsi="Times New Roman" w:cs="Times New Roman"/>
          <w:kern w:val="0"/>
          <w:lang w:eastAsia="en-IN"/>
          <w14:ligatures w14:val="none"/>
        </w:rPr>
        <w:t xml:space="preserve"> </w:t>
      </w:r>
      <w:r w:rsidRPr="008C1A59">
        <w:rPr>
          <w:rFonts w:ascii="Arial" w:hAnsi="Arial" w:cs="Arial"/>
          <w:sz w:val="20"/>
          <w:szCs w:val="20"/>
        </w:rPr>
        <w:t xml:space="preserve">The results unequivocally demonstrate that organic </w:t>
      </w:r>
      <w:proofErr w:type="spellStart"/>
      <w:r w:rsidRPr="008C1A59">
        <w:rPr>
          <w:rFonts w:ascii="Arial" w:hAnsi="Arial" w:cs="Arial"/>
          <w:sz w:val="20"/>
          <w:szCs w:val="20"/>
        </w:rPr>
        <w:t>biostimulants</w:t>
      </w:r>
      <w:proofErr w:type="spellEnd"/>
      <w:r w:rsidRPr="008C1A59">
        <w:rPr>
          <w:rFonts w:ascii="Arial" w:hAnsi="Arial" w:cs="Arial"/>
          <w:sz w:val="20"/>
          <w:szCs w:val="20"/>
        </w:rPr>
        <w:t xml:space="preserve">, including </w:t>
      </w:r>
      <w:proofErr w:type="spellStart"/>
      <w:r w:rsidRPr="008C1A59">
        <w:rPr>
          <w:rFonts w:ascii="Arial" w:hAnsi="Arial" w:cs="Arial"/>
          <w:sz w:val="20"/>
          <w:szCs w:val="20"/>
        </w:rPr>
        <w:t>Panchakavya</w:t>
      </w:r>
      <w:proofErr w:type="spellEnd"/>
      <w:r w:rsidRPr="008C1A59">
        <w:rPr>
          <w:rFonts w:ascii="Arial" w:hAnsi="Arial" w:cs="Arial"/>
          <w:sz w:val="20"/>
          <w:szCs w:val="20"/>
        </w:rPr>
        <w:t xml:space="preserve"> and coconut water, enhance early germination and </w:t>
      </w:r>
      <w:proofErr w:type="spellStart"/>
      <w:r w:rsidRPr="008C1A59">
        <w:rPr>
          <w:rFonts w:ascii="Arial" w:hAnsi="Arial" w:cs="Arial"/>
          <w:sz w:val="20"/>
          <w:szCs w:val="20"/>
        </w:rPr>
        <w:t>vigor</w:t>
      </w:r>
      <w:proofErr w:type="spellEnd"/>
      <w:r w:rsidRPr="008C1A59">
        <w:rPr>
          <w:rFonts w:ascii="Arial" w:hAnsi="Arial" w:cs="Arial"/>
          <w:sz w:val="20"/>
          <w:szCs w:val="20"/>
        </w:rPr>
        <w:t xml:space="preserve">, corroborating the prior findings of </w:t>
      </w:r>
      <w:proofErr w:type="spellStart"/>
      <w:r w:rsidRPr="008C1A59">
        <w:rPr>
          <w:rFonts w:ascii="Arial" w:hAnsi="Arial" w:cs="Arial"/>
          <w:sz w:val="20"/>
          <w:szCs w:val="20"/>
        </w:rPr>
        <w:t>Sundaralingam</w:t>
      </w:r>
      <w:proofErr w:type="spellEnd"/>
      <w:r w:rsidRPr="008C1A59">
        <w:rPr>
          <w:rFonts w:ascii="Arial" w:hAnsi="Arial" w:cs="Arial"/>
          <w:sz w:val="20"/>
          <w:szCs w:val="20"/>
        </w:rPr>
        <w:t xml:space="preserve"> (2005) in rice and Mamaril and Lopez (1997) in sweet pepper.</w:t>
      </w:r>
    </w:p>
    <w:p w14:paraId="2EE7B8F7" w14:textId="69BBDC9A"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Table 1: Effect of organic seed treatments on germination parameters of ADT 49</w:t>
      </w:r>
    </w:p>
    <w:tbl>
      <w:tblPr>
        <w:tblW w:w="5352" w:type="pct"/>
        <w:tblInd w:w="-152" w:type="dxa"/>
        <w:tblCellMar>
          <w:left w:w="0" w:type="dxa"/>
          <w:right w:w="0" w:type="dxa"/>
        </w:tblCellMar>
        <w:tblLook w:val="04A0" w:firstRow="1" w:lastRow="0" w:firstColumn="1" w:lastColumn="0" w:noHBand="0" w:noVBand="1"/>
      </w:tblPr>
      <w:tblGrid>
        <w:gridCol w:w="478"/>
        <w:gridCol w:w="1791"/>
        <w:gridCol w:w="1236"/>
        <w:gridCol w:w="1240"/>
        <w:gridCol w:w="1402"/>
        <w:gridCol w:w="850"/>
        <w:gridCol w:w="750"/>
        <w:gridCol w:w="1020"/>
        <w:gridCol w:w="873"/>
      </w:tblGrid>
      <w:tr w:rsidR="0008788E" w:rsidRPr="00AA5515" w14:paraId="63DE52F9"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0AAFB2BA"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Tr. No.</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16838A1"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Treatment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512EA9"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Rate of Imbibition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377EFBF"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Germination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B3550DF"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Speed of Germination</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6C56BA"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Root Length (cm)</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247DDA2"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Shoot Length (cm)</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0E754D"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Dry Matter (mg/10 seedlings)</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B708EE"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Vigour Index</w:t>
            </w:r>
          </w:p>
        </w:tc>
      </w:tr>
      <w:tr w:rsidR="0008788E" w:rsidRPr="00AA5515" w14:paraId="0A974959"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6322035B"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T1</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AE79F4A"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Control</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2D69C9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8.5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E4159D7"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78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206DEA"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5.2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25778F"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12.5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6882B7"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9.2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76B712F"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88.90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FE1F596"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1267 </w:t>
            </w:r>
          </w:p>
        </w:tc>
      </w:tr>
      <w:tr w:rsidR="0008788E" w:rsidRPr="00AA5515" w14:paraId="481558B8"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68E5843E"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T2</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0F1F1B"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 </w:t>
            </w:r>
            <w:proofErr w:type="spellStart"/>
            <w:r w:rsidRPr="00AA5515">
              <w:rPr>
                <w:rFonts w:ascii="Arial" w:hAnsi="Arial" w:cs="Arial"/>
                <w:sz w:val="20"/>
                <w:szCs w:val="20"/>
              </w:rPr>
              <w:t>Panchakavya</w:t>
            </w:r>
            <w:proofErr w:type="spellEnd"/>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292DD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32.5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1CF910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97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FC8FAB"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7.2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E2054D5"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23.8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96354AF"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15.2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2B4873C"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120.50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2B4AB1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1785 </w:t>
            </w:r>
          </w:p>
        </w:tc>
      </w:tr>
      <w:tr w:rsidR="0008788E" w:rsidRPr="00AA5515" w14:paraId="7D111113"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75F96BDF"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T3</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AC52D4"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5% Moringa leaf extract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F282E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18.2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95BE4C"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89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6B261B7"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6.0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5BB034"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17.0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838525"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12.0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97B68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101.20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341597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1410 </w:t>
            </w:r>
          </w:p>
        </w:tc>
      </w:tr>
      <w:tr w:rsidR="0008788E" w:rsidRPr="00AA5515" w14:paraId="38C4C7F9"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12C8FB9F"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T4</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69B497"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5% Neem leaf extract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941D6A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17.5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DD5922C"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87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5558E56"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5.8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421F88"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16.5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9C07748"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11.5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7ACB496"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98.30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98B781"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1355 </w:t>
            </w:r>
          </w:p>
        </w:tc>
      </w:tr>
      <w:tr w:rsidR="0008788E" w:rsidRPr="00AA5515" w14:paraId="0A285FFF"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70387BE3"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T5</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1F5AAE7"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leaf extract</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8AA2814"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18.0</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2D037AC"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88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8F4820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5.9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2BFC8A"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16.8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D840FF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11.7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E665403"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99.50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6B1B2E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1380 </w:t>
            </w:r>
          </w:p>
        </w:tc>
      </w:tr>
      <w:tr w:rsidR="0008788E" w:rsidRPr="00AA5515" w14:paraId="4F0C2F86"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49F76F96"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T6</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4809EF1"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25% </w:t>
            </w:r>
            <w:proofErr w:type="spellStart"/>
            <w:r w:rsidRPr="00AA5515">
              <w:rPr>
                <w:rFonts w:ascii="Arial" w:hAnsi="Arial" w:cs="Arial"/>
                <w:sz w:val="20"/>
                <w:szCs w:val="20"/>
              </w:rPr>
              <w:t>Vermiwash</w:t>
            </w:r>
            <w:proofErr w:type="spellEnd"/>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55E4809"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24.0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FE5BDB"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93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516D18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6.4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71E4C3"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20.5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62052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13.0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66D5E4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106.40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C57AFE"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1645 </w:t>
            </w:r>
          </w:p>
        </w:tc>
      </w:tr>
      <w:tr w:rsidR="0008788E" w:rsidRPr="00AA5515" w14:paraId="183D10B4"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21880BF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T7</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B3EAB0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25% Cow urine</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E336E1A"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26.5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613B763"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94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D6EFF9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6.6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4F5D2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21.2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DB493B5"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13.5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3933CA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108.90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89B6F8"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1650 </w:t>
            </w:r>
          </w:p>
        </w:tc>
      </w:tr>
      <w:tr w:rsidR="0008788E" w:rsidRPr="00AA5515" w14:paraId="66C1C85F"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79B67D3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T8</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8EF81AC"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12.5% Coconut water</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4E8EB5"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28.5 </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BC58CD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95 </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4B830A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6.8</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9303544"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22</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978321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14</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3259123"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112.5</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33DD93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1698</w:t>
            </w:r>
          </w:p>
        </w:tc>
      </w:tr>
      <w:tr w:rsidR="0008788E" w:rsidRPr="00AA5515" w14:paraId="174C8428" w14:textId="77777777" w:rsidTr="00A126A1">
        <w:tc>
          <w:tcPr>
            <w:tcW w:w="248" w:type="pct"/>
            <w:tcBorders>
              <w:top w:val="single" w:sz="8" w:space="0" w:color="000000"/>
              <w:left w:val="single" w:sz="8" w:space="0" w:color="000000"/>
              <w:bottom w:val="single" w:sz="8" w:space="0" w:color="000000"/>
              <w:right w:val="single" w:sz="8" w:space="0" w:color="000000"/>
            </w:tcBorders>
            <w:vAlign w:val="center"/>
            <w:hideMark/>
          </w:tcPr>
          <w:p w14:paraId="3330DEB9"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T9</w:t>
            </w:r>
          </w:p>
        </w:tc>
        <w:tc>
          <w:tcPr>
            <w:tcW w:w="9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4DD1C7F"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 </w:t>
            </w:r>
            <w:proofErr w:type="spellStart"/>
            <w:r w:rsidRPr="00AA5515">
              <w:rPr>
                <w:rFonts w:ascii="Arial" w:hAnsi="Arial" w:cs="Arial"/>
                <w:sz w:val="20"/>
                <w:szCs w:val="20"/>
              </w:rPr>
              <w:t>Beejamrutham</w:t>
            </w:r>
            <w:proofErr w:type="spellEnd"/>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19B244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20.00</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7CC9B08"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91</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F643B74"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6.2 </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34997CC"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19.0 </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5151F7"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12.2 </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FC236F0"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103.00 </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8C27698"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1495 </w:t>
            </w:r>
          </w:p>
        </w:tc>
      </w:tr>
      <w:tr w:rsidR="0008788E" w:rsidRPr="00AA5515" w14:paraId="204DB772" w14:textId="77777777" w:rsidTr="00A126A1">
        <w:tc>
          <w:tcPr>
            <w:tcW w:w="1177" w:type="pct"/>
            <w:gridSpan w:val="2"/>
            <w:tcBorders>
              <w:top w:val="single" w:sz="8" w:space="0" w:color="000000"/>
              <w:left w:val="single" w:sz="8" w:space="0" w:color="000000"/>
              <w:bottom w:val="single" w:sz="8" w:space="0" w:color="000000"/>
              <w:right w:val="single" w:sz="8" w:space="0" w:color="000000"/>
            </w:tcBorders>
            <w:vAlign w:val="center"/>
            <w:hideMark/>
          </w:tcPr>
          <w:p w14:paraId="6D76AB53"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SED</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978337"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0.568</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B91BCC1"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2.211</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10327FC"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0.154</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21A94A"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0.474</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368654F"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0.311</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035C98"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2.578</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040557"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37.622</w:t>
            </w:r>
          </w:p>
        </w:tc>
      </w:tr>
      <w:tr w:rsidR="0008788E" w:rsidRPr="00AA5515" w14:paraId="29F1135C" w14:textId="77777777" w:rsidTr="00A126A1">
        <w:tc>
          <w:tcPr>
            <w:tcW w:w="1177" w:type="pct"/>
            <w:gridSpan w:val="2"/>
            <w:tcBorders>
              <w:top w:val="single" w:sz="8" w:space="0" w:color="000000"/>
              <w:left w:val="single" w:sz="8" w:space="0" w:color="000000"/>
              <w:bottom w:val="single" w:sz="8" w:space="0" w:color="000000"/>
              <w:right w:val="single" w:sz="8" w:space="0" w:color="000000"/>
            </w:tcBorders>
            <w:vAlign w:val="center"/>
            <w:hideMark/>
          </w:tcPr>
          <w:p w14:paraId="608345E9"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CD (p=0.05)</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1DF003"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1.218</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28D59F0"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4.742</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C02487"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0.330</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D462ECD"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1.018</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7E4D8E"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0.667</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0722DAF"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5.530</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4F5809"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80.699</w:t>
            </w:r>
          </w:p>
        </w:tc>
      </w:tr>
      <w:tr w:rsidR="0008788E" w:rsidRPr="00AA5515" w14:paraId="26E7118D" w14:textId="77777777" w:rsidTr="00A126A1">
        <w:tc>
          <w:tcPr>
            <w:tcW w:w="1177" w:type="pct"/>
            <w:gridSpan w:val="2"/>
            <w:tcBorders>
              <w:top w:val="single" w:sz="8" w:space="0" w:color="000000"/>
              <w:left w:val="single" w:sz="8" w:space="0" w:color="000000"/>
              <w:bottom w:val="single" w:sz="8" w:space="0" w:color="000000"/>
              <w:right w:val="single" w:sz="8" w:space="0" w:color="000000"/>
            </w:tcBorders>
            <w:vAlign w:val="center"/>
            <w:hideMark/>
          </w:tcPr>
          <w:p w14:paraId="20806BD8" w14:textId="77777777" w:rsidR="000F657F" w:rsidRPr="00AA5515" w:rsidRDefault="000F657F" w:rsidP="009723AE">
            <w:pPr>
              <w:spacing w:line="240" w:lineRule="auto"/>
              <w:rPr>
                <w:rFonts w:ascii="Arial" w:hAnsi="Arial" w:cs="Arial"/>
                <w:sz w:val="20"/>
                <w:szCs w:val="20"/>
              </w:rPr>
            </w:pPr>
            <w:r w:rsidRPr="00AA5515">
              <w:rPr>
                <w:rFonts w:ascii="Arial" w:hAnsi="Arial" w:cs="Arial"/>
                <w:b/>
                <w:bCs/>
                <w:sz w:val="20"/>
                <w:szCs w:val="20"/>
              </w:rPr>
              <w:t>SD</w:t>
            </w:r>
          </w:p>
        </w:tc>
        <w:tc>
          <w:tcPr>
            <w:tcW w:w="6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B5F284"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7.173</w:t>
            </w:r>
          </w:p>
        </w:tc>
        <w:tc>
          <w:tcPr>
            <w:tcW w:w="64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425A2DF"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5.674</w:t>
            </w:r>
          </w:p>
        </w:tc>
        <w:tc>
          <w:tcPr>
            <w:tcW w:w="72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2E614A9"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0.595</w:t>
            </w:r>
          </w:p>
        </w:tc>
        <w:tc>
          <w:tcPr>
            <w:tcW w:w="44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B37475"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3.466</w:t>
            </w:r>
          </w:p>
        </w:tc>
        <w:tc>
          <w:tcPr>
            <w:tcW w:w="38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28776E8"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1.719</w:t>
            </w:r>
          </w:p>
        </w:tc>
        <w:tc>
          <w:tcPr>
            <w:tcW w:w="52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1E98A48"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9.101</w:t>
            </w:r>
          </w:p>
        </w:tc>
        <w:tc>
          <w:tcPr>
            <w:tcW w:w="45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6ACA7F" w14:textId="777777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179.58</w:t>
            </w:r>
          </w:p>
        </w:tc>
      </w:tr>
    </w:tbl>
    <w:p w14:paraId="1D0047CA" w14:textId="35AB886B" w:rsidR="00A126A1" w:rsidRPr="00A126A1" w:rsidRDefault="00A126A1" w:rsidP="009723AE">
      <w:pPr>
        <w:spacing w:line="240" w:lineRule="auto"/>
        <w:rPr>
          <w:rFonts w:ascii="Arial" w:hAnsi="Arial" w:cs="Arial"/>
          <w:b/>
          <w:bCs/>
          <w:sz w:val="20"/>
          <w:szCs w:val="20"/>
        </w:rPr>
      </w:pPr>
      <w:r w:rsidRPr="00AA5515">
        <w:rPr>
          <w:rFonts w:ascii="Arial" w:hAnsi="Arial" w:cs="Arial"/>
          <w:noProof/>
          <w:sz w:val="20"/>
          <w:szCs w:val="20"/>
        </w:rPr>
        <w:lastRenderedPageBreak/>
        <w:drawing>
          <wp:anchor distT="0" distB="0" distL="114300" distR="114300" simplePos="0" relativeHeight="251659264" behindDoc="0" locked="0" layoutInCell="1" allowOverlap="1" wp14:anchorId="593C0705" wp14:editId="34E7D6C1">
            <wp:simplePos x="0" y="0"/>
            <wp:positionH relativeFrom="column">
              <wp:posOffset>-24246</wp:posOffset>
            </wp:positionH>
            <wp:positionV relativeFrom="paragraph">
              <wp:posOffset>55418</wp:posOffset>
            </wp:positionV>
            <wp:extent cx="5731510" cy="2875280"/>
            <wp:effectExtent l="0" t="0" r="2540" b="1270"/>
            <wp:wrapSquare wrapText="bothSides"/>
            <wp:docPr id="1938222369" name="Chart 1">
              <a:extLst xmlns:a="http://schemas.openxmlformats.org/drawingml/2006/main">
                <a:ext uri="{FF2B5EF4-FFF2-40B4-BE49-F238E27FC236}">
                  <a16:creationId xmlns:a16="http://schemas.microsoft.com/office/drawing/2014/main" id="{38756452-9088-4E49-8B35-B91C44F837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r w:rsidRPr="00A126A1">
        <w:rPr>
          <w:rFonts w:ascii="Arial" w:hAnsi="Arial" w:cs="Arial"/>
          <w:b/>
          <w:bCs/>
          <w:sz w:val="20"/>
          <w:szCs w:val="20"/>
        </w:rPr>
        <w:t xml:space="preserve">Fig </w:t>
      </w:r>
      <w:proofErr w:type="gramStart"/>
      <w:r w:rsidRPr="00A126A1">
        <w:rPr>
          <w:rFonts w:ascii="Arial" w:hAnsi="Arial" w:cs="Arial"/>
          <w:b/>
          <w:bCs/>
          <w:sz w:val="20"/>
          <w:szCs w:val="20"/>
        </w:rPr>
        <w:t>1  Effect</w:t>
      </w:r>
      <w:proofErr w:type="gramEnd"/>
      <w:r w:rsidRPr="00A126A1">
        <w:rPr>
          <w:rFonts w:ascii="Arial" w:hAnsi="Arial" w:cs="Arial"/>
          <w:b/>
          <w:bCs/>
          <w:sz w:val="20"/>
          <w:szCs w:val="20"/>
        </w:rPr>
        <w:t xml:space="preserve"> of organic seed treatments on germination parameters of ADT 49</w:t>
      </w:r>
      <w:r w:rsidRPr="00A126A1">
        <w:rPr>
          <w:rFonts w:ascii="Arial" w:hAnsi="Arial" w:cs="Arial"/>
          <w:sz w:val="20"/>
          <w:szCs w:val="20"/>
        </w:rPr>
        <w:t xml:space="preserve"> </w:t>
      </w:r>
    </w:p>
    <w:p w14:paraId="42B4686A" w14:textId="77777777" w:rsidR="009F1C49" w:rsidRDefault="009F1C49" w:rsidP="008C1A59">
      <w:pPr>
        <w:spacing w:line="240" w:lineRule="auto"/>
        <w:ind w:firstLine="720"/>
        <w:jc w:val="both"/>
        <w:rPr>
          <w:rFonts w:ascii="Arial" w:hAnsi="Arial" w:cs="Arial"/>
          <w:sz w:val="20"/>
          <w:szCs w:val="20"/>
        </w:rPr>
      </w:pPr>
      <w:r w:rsidRPr="00AA5515">
        <w:rPr>
          <w:rFonts w:ascii="Arial" w:hAnsi="Arial" w:cs="Arial"/>
          <w:sz w:val="20"/>
          <w:szCs w:val="20"/>
        </w:rPr>
        <w:t xml:space="preserve">Sona </w:t>
      </w:r>
      <w:proofErr w:type="spellStart"/>
      <w:r w:rsidRPr="00AA5515">
        <w:rPr>
          <w:rFonts w:ascii="Arial" w:hAnsi="Arial" w:cs="Arial"/>
          <w:sz w:val="20"/>
          <w:szCs w:val="20"/>
        </w:rPr>
        <w:t>Masoori</w:t>
      </w:r>
      <w:proofErr w:type="spellEnd"/>
      <w:r w:rsidRPr="00AA5515">
        <w:rPr>
          <w:rFonts w:ascii="Arial" w:hAnsi="Arial" w:cs="Arial"/>
          <w:sz w:val="20"/>
          <w:szCs w:val="20"/>
        </w:rPr>
        <w:t xml:space="preserve"> rice's germination and seedling growth were significantly impacted by various organic seed treatments in every parameter. A strong promotive effect on seedling performance was demonstrated by the fact that 5%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(T</w:t>
      </w:r>
      <w:r w:rsidRPr="00AA5515">
        <w:rPr>
          <w:rFonts w:ascii="Cambria Math" w:hAnsi="Cambria Math" w:cs="Cambria Math"/>
          <w:sz w:val="20"/>
          <w:szCs w:val="20"/>
        </w:rPr>
        <w:t>₂</w:t>
      </w:r>
      <w:r w:rsidRPr="00AA5515">
        <w:rPr>
          <w:rFonts w:ascii="Arial" w:hAnsi="Arial" w:cs="Arial"/>
          <w:sz w:val="20"/>
          <w:szCs w:val="20"/>
        </w:rPr>
        <w:t>) consistently recorded the highest values for germination percentage (97%), speed of germination (7.4), root length (24.3 cm), shoot length (15.8 cm), dry matter production (126.5 mg), and vigour index (1895) among the treatments. Following closely behind it were moringa extract (T</w:t>
      </w:r>
      <w:r w:rsidRPr="00AA5515">
        <w:rPr>
          <w:rFonts w:ascii="Cambria Math" w:hAnsi="Cambria Math" w:cs="Cambria Math"/>
          <w:sz w:val="20"/>
          <w:szCs w:val="20"/>
        </w:rPr>
        <w:t>₃</w:t>
      </w:r>
      <w:r w:rsidRPr="00AA5515">
        <w:rPr>
          <w:rFonts w:ascii="Arial" w:hAnsi="Arial" w:cs="Arial"/>
          <w:sz w:val="20"/>
          <w:szCs w:val="20"/>
        </w:rPr>
        <w:t>) and coconut water (T</w:t>
      </w:r>
      <w:r w:rsidRPr="00AA5515">
        <w:rPr>
          <w:rFonts w:ascii="Cambria Math" w:hAnsi="Cambria Math" w:cs="Cambria Math"/>
          <w:sz w:val="20"/>
          <w:szCs w:val="20"/>
        </w:rPr>
        <w:t>₈</w:t>
      </w:r>
      <w:r w:rsidRPr="00AA5515">
        <w:rPr>
          <w:rFonts w:ascii="Arial" w:hAnsi="Arial" w:cs="Arial"/>
          <w:sz w:val="20"/>
          <w:szCs w:val="20"/>
        </w:rPr>
        <w:t xml:space="preserve">), both of which produced statistically comparable but noticeably superior outcomes to the control. In comparison to the control, which continuously recorded the lowest values for all parameters, other treatments such as neem,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and cow urine showed a moderate improvement.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was the most successful organic formulation overall, improving Sona </w:t>
      </w:r>
      <w:proofErr w:type="spellStart"/>
      <w:r w:rsidRPr="00AA5515">
        <w:rPr>
          <w:rFonts w:ascii="Arial" w:hAnsi="Arial" w:cs="Arial"/>
          <w:sz w:val="20"/>
          <w:szCs w:val="20"/>
        </w:rPr>
        <w:t>Masoori</w:t>
      </w:r>
      <w:proofErr w:type="spellEnd"/>
      <w:r w:rsidRPr="00AA5515">
        <w:rPr>
          <w:rFonts w:ascii="Arial" w:hAnsi="Arial" w:cs="Arial"/>
          <w:sz w:val="20"/>
          <w:szCs w:val="20"/>
        </w:rPr>
        <w:t xml:space="preserve"> rice germination and seedling </w:t>
      </w:r>
      <w:proofErr w:type="spellStart"/>
      <w:r w:rsidRPr="00AA5515">
        <w:rPr>
          <w:rFonts w:ascii="Arial" w:hAnsi="Arial" w:cs="Arial"/>
          <w:sz w:val="20"/>
          <w:szCs w:val="20"/>
        </w:rPr>
        <w:t>vigor</w:t>
      </w:r>
      <w:proofErr w:type="spellEnd"/>
      <w:r w:rsidRPr="00AA5515">
        <w:rPr>
          <w:rFonts w:ascii="Arial" w:hAnsi="Arial" w:cs="Arial"/>
          <w:sz w:val="20"/>
          <w:szCs w:val="20"/>
        </w:rPr>
        <w:t xml:space="preserve"> as given in table 2.</w:t>
      </w:r>
    </w:p>
    <w:p w14:paraId="0205D278" w14:textId="6726D8F6" w:rsidR="008C1A59" w:rsidRPr="008C1A59" w:rsidRDefault="008C1A59" w:rsidP="008C1A59">
      <w:pPr>
        <w:spacing w:line="240" w:lineRule="auto"/>
        <w:ind w:firstLine="720"/>
        <w:jc w:val="both"/>
        <w:rPr>
          <w:rFonts w:ascii="Arial" w:hAnsi="Arial" w:cs="Arial"/>
          <w:sz w:val="20"/>
          <w:szCs w:val="20"/>
        </w:rPr>
      </w:pPr>
      <w:r w:rsidRPr="008C1A59">
        <w:rPr>
          <w:rFonts w:ascii="Arial" w:hAnsi="Arial" w:cs="Arial"/>
          <w:sz w:val="20"/>
          <w:szCs w:val="20"/>
        </w:rPr>
        <w:t xml:space="preserve">According to the current study, 5% </w:t>
      </w:r>
      <w:proofErr w:type="spellStart"/>
      <w:r w:rsidRPr="008C1A59">
        <w:rPr>
          <w:rFonts w:ascii="Arial" w:hAnsi="Arial" w:cs="Arial"/>
          <w:sz w:val="20"/>
          <w:szCs w:val="20"/>
        </w:rPr>
        <w:t>Panchakavya</w:t>
      </w:r>
      <w:proofErr w:type="spellEnd"/>
      <w:r w:rsidRPr="008C1A59">
        <w:rPr>
          <w:rFonts w:ascii="Arial" w:hAnsi="Arial" w:cs="Arial"/>
          <w:sz w:val="20"/>
          <w:szCs w:val="20"/>
        </w:rPr>
        <w:t xml:space="preserve"> had the highest germination rate (97%), followed by 12.5% coconut water (93%), demonstrating their efficacy in promoting early metabolic activity. Similar to the results of Subashini et al. (2001) in chillies, </w:t>
      </w:r>
      <w:proofErr w:type="spellStart"/>
      <w:r w:rsidRPr="008C1A59">
        <w:rPr>
          <w:rFonts w:ascii="Arial" w:hAnsi="Arial" w:cs="Arial"/>
          <w:sz w:val="20"/>
          <w:szCs w:val="20"/>
        </w:rPr>
        <w:t>Somasundram</w:t>
      </w:r>
      <w:proofErr w:type="spellEnd"/>
      <w:r w:rsidRPr="008C1A59">
        <w:rPr>
          <w:rFonts w:ascii="Arial" w:hAnsi="Arial" w:cs="Arial"/>
          <w:sz w:val="20"/>
          <w:szCs w:val="20"/>
        </w:rPr>
        <w:t xml:space="preserve"> et al. (2003) in green gram, and Yadav (2005) in rice, the speed of germination was also highest in seeds treated with 5% </w:t>
      </w:r>
      <w:proofErr w:type="spellStart"/>
      <w:r w:rsidRPr="008C1A59">
        <w:rPr>
          <w:rFonts w:ascii="Arial" w:hAnsi="Arial" w:cs="Arial"/>
          <w:sz w:val="20"/>
          <w:szCs w:val="20"/>
        </w:rPr>
        <w:t>Panchakavya</w:t>
      </w:r>
      <w:proofErr w:type="spellEnd"/>
      <w:r w:rsidRPr="008C1A59">
        <w:rPr>
          <w:rFonts w:ascii="Arial" w:hAnsi="Arial" w:cs="Arial"/>
          <w:sz w:val="20"/>
          <w:szCs w:val="20"/>
        </w:rPr>
        <w:t xml:space="preserve"> (6.5), followed by cow urine (6.2) and </w:t>
      </w:r>
      <w:proofErr w:type="spellStart"/>
      <w:r w:rsidRPr="008C1A59">
        <w:rPr>
          <w:rFonts w:ascii="Arial" w:hAnsi="Arial" w:cs="Arial"/>
          <w:sz w:val="20"/>
          <w:szCs w:val="20"/>
        </w:rPr>
        <w:t>vermiwash</w:t>
      </w:r>
      <w:proofErr w:type="spellEnd"/>
      <w:r w:rsidRPr="008C1A59">
        <w:rPr>
          <w:rFonts w:ascii="Arial" w:hAnsi="Arial" w:cs="Arial"/>
          <w:sz w:val="20"/>
          <w:szCs w:val="20"/>
        </w:rPr>
        <w:t xml:space="preserve"> (6.1). According to </w:t>
      </w:r>
      <w:proofErr w:type="spellStart"/>
      <w:r w:rsidRPr="008C1A59">
        <w:rPr>
          <w:rFonts w:ascii="Arial" w:hAnsi="Arial" w:cs="Arial"/>
          <w:sz w:val="20"/>
          <w:szCs w:val="20"/>
        </w:rPr>
        <w:t>Maeshima</w:t>
      </w:r>
      <w:proofErr w:type="spellEnd"/>
      <w:r w:rsidRPr="008C1A59">
        <w:rPr>
          <w:rFonts w:ascii="Arial" w:hAnsi="Arial" w:cs="Arial"/>
          <w:sz w:val="20"/>
          <w:szCs w:val="20"/>
        </w:rPr>
        <w:t xml:space="preserve"> (1990), </w:t>
      </w:r>
      <w:proofErr w:type="spellStart"/>
      <w:r w:rsidRPr="008C1A59">
        <w:rPr>
          <w:rFonts w:ascii="Arial" w:hAnsi="Arial" w:cs="Arial"/>
          <w:sz w:val="20"/>
          <w:szCs w:val="20"/>
        </w:rPr>
        <w:t>panchakavya</w:t>
      </w:r>
      <w:proofErr w:type="spellEnd"/>
      <w:r w:rsidRPr="008C1A59">
        <w:rPr>
          <w:rFonts w:ascii="Arial" w:hAnsi="Arial" w:cs="Arial"/>
          <w:sz w:val="20"/>
          <w:szCs w:val="20"/>
        </w:rPr>
        <w:t xml:space="preserve">-treated seeds also produced the longest seedlings and the </w:t>
      </w:r>
      <w:proofErr w:type="gramStart"/>
      <w:r w:rsidRPr="008C1A59">
        <w:rPr>
          <w:rFonts w:ascii="Arial" w:hAnsi="Arial" w:cs="Arial"/>
          <w:sz w:val="20"/>
          <w:szCs w:val="20"/>
        </w:rPr>
        <w:t>most dry</w:t>
      </w:r>
      <w:proofErr w:type="gramEnd"/>
      <w:r w:rsidRPr="008C1A59">
        <w:rPr>
          <w:rFonts w:ascii="Arial" w:hAnsi="Arial" w:cs="Arial"/>
          <w:sz w:val="20"/>
          <w:szCs w:val="20"/>
        </w:rPr>
        <w:t xml:space="preserve"> matter. This could be because of higher ATPase activity.</w:t>
      </w:r>
      <w:r>
        <w:rPr>
          <w:rFonts w:ascii="Arial" w:hAnsi="Arial" w:cs="Arial"/>
          <w:sz w:val="20"/>
          <w:szCs w:val="20"/>
        </w:rPr>
        <w:t xml:space="preserve"> </w:t>
      </w:r>
      <w:r w:rsidRPr="008C1A59">
        <w:rPr>
          <w:rFonts w:ascii="Arial" w:hAnsi="Arial" w:cs="Arial"/>
          <w:sz w:val="20"/>
          <w:szCs w:val="20"/>
        </w:rPr>
        <w:t xml:space="preserve">These findings corroborate those of Das et al. (2013), who noted notable increases in rice germination and </w:t>
      </w:r>
      <w:proofErr w:type="spellStart"/>
      <w:r w:rsidRPr="008C1A59">
        <w:rPr>
          <w:rFonts w:ascii="Arial" w:hAnsi="Arial" w:cs="Arial"/>
          <w:sz w:val="20"/>
          <w:szCs w:val="20"/>
        </w:rPr>
        <w:t>vigor</w:t>
      </w:r>
      <w:proofErr w:type="spellEnd"/>
      <w:r w:rsidRPr="008C1A59">
        <w:rPr>
          <w:rFonts w:ascii="Arial" w:hAnsi="Arial" w:cs="Arial"/>
          <w:sz w:val="20"/>
          <w:szCs w:val="20"/>
        </w:rPr>
        <w:t xml:space="preserve"> under organic treatments. They are also corroborated by </w:t>
      </w:r>
      <w:proofErr w:type="spellStart"/>
      <w:r w:rsidRPr="008C1A59">
        <w:rPr>
          <w:rFonts w:ascii="Arial" w:hAnsi="Arial" w:cs="Arial"/>
          <w:sz w:val="20"/>
          <w:szCs w:val="20"/>
        </w:rPr>
        <w:t>Mahadevappa</w:t>
      </w:r>
      <w:proofErr w:type="spellEnd"/>
      <w:r w:rsidRPr="008C1A59">
        <w:rPr>
          <w:rFonts w:ascii="Arial" w:hAnsi="Arial" w:cs="Arial"/>
          <w:sz w:val="20"/>
          <w:szCs w:val="20"/>
        </w:rPr>
        <w:t xml:space="preserve"> et al. (1975), Palaniappan and Balasubramanian (1983), and Kale et al. (1992), who noted increased seedling dry matter and </w:t>
      </w:r>
      <w:proofErr w:type="spellStart"/>
      <w:r w:rsidRPr="008C1A59">
        <w:rPr>
          <w:rFonts w:ascii="Arial" w:hAnsi="Arial" w:cs="Arial"/>
          <w:sz w:val="20"/>
          <w:szCs w:val="20"/>
        </w:rPr>
        <w:t>vigor</w:t>
      </w:r>
      <w:proofErr w:type="spellEnd"/>
      <w:r w:rsidRPr="008C1A59">
        <w:rPr>
          <w:rFonts w:ascii="Arial" w:hAnsi="Arial" w:cs="Arial"/>
          <w:sz w:val="20"/>
          <w:szCs w:val="20"/>
        </w:rPr>
        <w:t xml:space="preserve"> index under organic nutrient management. Similar growth-promoting effects of organic </w:t>
      </w:r>
      <w:proofErr w:type="spellStart"/>
      <w:r w:rsidRPr="008C1A59">
        <w:rPr>
          <w:rFonts w:ascii="Arial" w:hAnsi="Arial" w:cs="Arial"/>
          <w:sz w:val="20"/>
          <w:szCs w:val="20"/>
        </w:rPr>
        <w:t>biostimulants</w:t>
      </w:r>
      <w:proofErr w:type="spellEnd"/>
      <w:r w:rsidRPr="008C1A59">
        <w:rPr>
          <w:rFonts w:ascii="Arial" w:hAnsi="Arial" w:cs="Arial"/>
          <w:sz w:val="20"/>
          <w:szCs w:val="20"/>
        </w:rPr>
        <w:t xml:space="preserve"> were documented in tomatoes by </w:t>
      </w:r>
      <w:proofErr w:type="spellStart"/>
      <w:r w:rsidRPr="008C1A59">
        <w:rPr>
          <w:rFonts w:ascii="Arial" w:hAnsi="Arial" w:cs="Arial"/>
          <w:sz w:val="20"/>
          <w:szCs w:val="20"/>
        </w:rPr>
        <w:t>Arancon</w:t>
      </w:r>
      <w:proofErr w:type="spellEnd"/>
      <w:r w:rsidRPr="008C1A59">
        <w:rPr>
          <w:rFonts w:ascii="Arial" w:hAnsi="Arial" w:cs="Arial"/>
          <w:sz w:val="20"/>
          <w:szCs w:val="20"/>
        </w:rPr>
        <w:t xml:space="preserve"> et al. (2003), rice by Singh et al. (1999), and rice by Natarajan and Kuppuswamy (1998). </w:t>
      </w:r>
    </w:p>
    <w:p w14:paraId="5A950EDD" w14:textId="25AF1577" w:rsidR="000F657F" w:rsidRPr="00AA5515" w:rsidRDefault="000F657F" w:rsidP="009723AE">
      <w:pPr>
        <w:spacing w:line="240" w:lineRule="auto"/>
        <w:rPr>
          <w:rFonts w:ascii="Arial" w:hAnsi="Arial" w:cs="Arial"/>
          <w:b/>
          <w:bCs/>
          <w:sz w:val="20"/>
          <w:szCs w:val="20"/>
        </w:rPr>
      </w:pPr>
      <w:r w:rsidRPr="00AA5515">
        <w:rPr>
          <w:rFonts w:ascii="Arial" w:hAnsi="Arial" w:cs="Arial"/>
          <w:b/>
          <w:bCs/>
          <w:sz w:val="20"/>
          <w:szCs w:val="20"/>
        </w:rPr>
        <w:t xml:space="preserve">Table 2: Effect of organic seed treatments on germination parameters of </w:t>
      </w:r>
      <w:proofErr w:type="spellStart"/>
      <w:r w:rsidRPr="00AA5515">
        <w:rPr>
          <w:rFonts w:ascii="Arial" w:hAnsi="Arial" w:cs="Arial"/>
          <w:b/>
          <w:bCs/>
          <w:sz w:val="20"/>
          <w:szCs w:val="20"/>
        </w:rPr>
        <w:t>Sonamasori</w:t>
      </w:r>
      <w:proofErr w:type="spellEnd"/>
    </w:p>
    <w:tbl>
      <w:tblPr>
        <w:tblW w:w="5273" w:type="pct"/>
        <w:tblInd w:w="-152" w:type="dxa"/>
        <w:tblCellMar>
          <w:left w:w="0" w:type="dxa"/>
          <w:right w:w="0" w:type="dxa"/>
        </w:tblCellMar>
        <w:tblLook w:val="04A0" w:firstRow="1" w:lastRow="0" w:firstColumn="1" w:lastColumn="0" w:noHBand="0" w:noVBand="1"/>
      </w:tblPr>
      <w:tblGrid>
        <w:gridCol w:w="582"/>
        <w:gridCol w:w="1431"/>
        <w:gridCol w:w="1123"/>
        <w:gridCol w:w="1353"/>
        <w:gridCol w:w="1351"/>
        <w:gridCol w:w="764"/>
        <w:gridCol w:w="764"/>
        <w:gridCol w:w="1030"/>
        <w:gridCol w:w="1100"/>
      </w:tblGrid>
      <w:tr w:rsidR="000F657F" w:rsidRPr="00AA5515" w14:paraId="34A904B0" w14:textId="77777777" w:rsidTr="0008788E">
        <w:trPr>
          <w:trHeight w:val="873"/>
        </w:trPr>
        <w:tc>
          <w:tcPr>
            <w:tcW w:w="307" w:type="pct"/>
            <w:tcBorders>
              <w:top w:val="single" w:sz="8" w:space="0" w:color="000000"/>
              <w:left w:val="single" w:sz="8" w:space="0" w:color="000000"/>
              <w:bottom w:val="single" w:sz="8" w:space="0" w:color="000000"/>
              <w:right w:val="single" w:sz="8" w:space="0" w:color="000000"/>
            </w:tcBorders>
            <w:vAlign w:val="center"/>
          </w:tcPr>
          <w:p w14:paraId="23681120"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Tr. No.</w:t>
            </w:r>
          </w:p>
        </w:tc>
        <w:tc>
          <w:tcPr>
            <w:tcW w:w="754" w:type="pct"/>
            <w:tcBorders>
              <w:top w:val="single" w:sz="8" w:space="0" w:color="000000"/>
              <w:left w:val="single" w:sz="8" w:space="0" w:color="000000"/>
              <w:bottom w:val="single" w:sz="8" w:space="0" w:color="000000"/>
              <w:right w:val="single" w:sz="8" w:space="0" w:color="000000"/>
            </w:tcBorders>
            <w:vAlign w:val="center"/>
          </w:tcPr>
          <w:p w14:paraId="6A65AE1F"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Treatment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9D5CFA0"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Rate of Imbibition (%)</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8B0A5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Germination (%)</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3185D9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Speed of Germination</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8CAFCF7"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Root Length (cm)</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574F6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Shoot Length (cm)</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68EA4D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Dry Matter (mg/10 seedlings)</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56DEA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b/>
                <w:bCs/>
                <w:sz w:val="20"/>
                <w:szCs w:val="20"/>
              </w:rPr>
              <w:t>Vigour Index</w:t>
            </w:r>
          </w:p>
        </w:tc>
      </w:tr>
      <w:tr w:rsidR="000F657F" w:rsidRPr="00AA5515" w14:paraId="16655A81" w14:textId="77777777" w:rsidTr="0008788E">
        <w:trPr>
          <w:trHeight w:val="301"/>
        </w:trPr>
        <w:tc>
          <w:tcPr>
            <w:tcW w:w="307" w:type="pct"/>
            <w:tcBorders>
              <w:top w:val="single" w:sz="8" w:space="0" w:color="000000"/>
              <w:left w:val="single" w:sz="8" w:space="0" w:color="000000"/>
              <w:bottom w:val="single" w:sz="8" w:space="0" w:color="000000"/>
              <w:right w:val="single" w:sz="8" w:space="0" w:color="000000"/>
            </w:tcBorders>
            <w:vAlign w:val="center"/>
          </w:tcPr>
          <w:p w14:paraId="5325A11D"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T1</w:t>
            </w:r>
          </w:p>
        </w:tc>
        <w:tc>
          <w:tcPr>
            <w:tcW w:w="754" w:type="pct"/>
            <w:tcBorders>
              <w:top w:val="single" w:sz="8" w:space="0" w:color="000000"/>
              <w:left w:val="single" w:sz="8" w:space="0" w:color="000000"/>
              <w:bottom w:val="single" w:sz="8" w:space="0" w:color="000000"/>
              <w:right w:val="single" w:sz="8" w:space="0" w:color="000000"/>
            </w:tcBorders>
            <w:vAlign w:val="center"/>
          </w:tcPr>
          <w:p w14:paraId="65A2B2D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Control</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DB3019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7.8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7512638"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76</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F3411CE"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5.1</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B9BCF0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13.2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362D69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9.0</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1CEAFB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90.80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3842BE"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1202</w:t>
            </w:r>
          </w:p>
        </w:tc>
      </w:tr>
      <w:tr w:rsidR="000F657F" w:rsidRPr="00AA5515" w14:paraId="3175158D" w14:textId="77777777" w:rsidTr="0008788E">
        <w:trPr>
          <w:trHeight w:val="485"/>
        </w:trPr>
        <w:tc>
          <w:tcPr>
            <w:tcW w:w="307" w:type="pct"/>
            <w:tcBorders>
              <w:top w:val="single" w:sz="8" w:space="0" w:color="000000"/>
              <w:left w:val="single" w:sz="8" w:space="0" w:color="000000"/>
              <w:bottom w:val="single" w:sz="8" w:space="0" w:color="000000"/>
              <w:right w:val="single" w:sz="8" w:space="0" w:color="000000"/>
            </w:tcBorders>
            <w:vAlign w:val="center"/>
          </w:tcPr>
          <w:p w14:paraId="494DCB6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T2</w:t>
            </w:r>
          </w:p>
        </w:tc>
        <w:tc>
          <w:tcPr>
            <w:tcW w:w="754" w:type="pct"/>
            <w:tcBorders>
              <w:top w:val="single" w:sz="8" w:space="0" w:color="000000"/>
              <w:left w:val="single" w:sz="8" w:space="0" w:color="000000"/>
              <w:bottom w:val="single" w:sz="8" w:space="0" w:color="000000"/>
              <w:right w:val="single" w:sz="8" w:space="0" w:color="000000"/>
            </w:tcBorders>
            <w:vAlign w:val="center"/>
          </w:tcPr>
          <w:p w14:paraId="4881CFCA"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 </w:t>
            </w:r>
            <w:proofErr w:type="spellStart"/>
            <w:r w:rsidRPr="00AA5515">
              <w:rPr>
                <w:rFonts w:ascii="Arial" w:hAnsi="Arial" w:cs="Arial"/>
                <w:sz w:val="20"/>
                <w:szCs w:val="20"/>
              </w:rPr>
              <w:t>Panchakavya</w:t>
            </w:r>
            <w:proofErr w:type="spellEnd"/>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0D6541"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24.2</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F24588"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95</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6240D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6.5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5EF238"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20.8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7F0DF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13.8</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475202"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115.00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22070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1624</w:t>
            </w:r>
          </w:p>
        </w:tc>
      </w:tr>
      <w:tr w:rsidR="000F657F" w:rsidRPr="00AA5515" w14:paraId="08C156A5"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73C892E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T3</w:t>
            </w:r>
          </w:p>
        </w:tc>
        <w:tc>
          <w:tcPr>
            <w:tcW w:w="754" w:type="pct"/>
            <w:tcBorders>
              <w:top w:val="single" w:sz="8" w:space="0" w:color="000000"/>
              <w:left w:val="single" w:sz="8" w:space="0" w:color="000000"/>
              <w:bottom w:val="single" w:sz="8" w:space="0" w:color="000000"/>
              <w:right w:val="single" w:sz="8" w:space="0" w:color="000000"/>
            </w:tcBorders>
            <w:vAlign w:val="center"/>
          </w:tcPr>
          <w:p w14:paraId="70B93342"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5% Moringa leaf extract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BF06EC7"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12.2</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1D68F41"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83</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F42649D"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5.5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1AB71F"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15.8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F0032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10.5</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AB6597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102.40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0932A0E"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1223</w:t>
            </w:r>
          </w:p>
        </w:tc>
      </w:tr>
      <w:tr w:rsidR="000F657F" w:rsidRPr="00AA5515" w14:paraId="7B9955C8" w14:textId="77777777" w:rsidTr="0008788E">
        <w:trPr>
          <w:trHeight w:val="485"/>
        </w:trPr>
        <w:tc>
          <w:tcPr>
            <w:tcW w:w="307" w:type="pct"/>
            <w:tcBorders>
              <w:top w:val="single" w:sz="8" w:space="0" w:color="000000"/>
              <w:left w:val="single" w:sz="8" w:space="0" w:color="000000"/>
              <w:bottom w:val="single" w:sz="8" w:space="0" w:color="000000"/>
              <w:right w:val="single" w:sz="8" w:space="0" w:color="000000"/>
            </w:tcBorders>
            <w:vAlign w:val="center"/>
          </w:tcPr>
          <w:p w14:paraId="7C25BF92"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lastRenderedPageBreak/>
              <w:t>T4</w:t>
            </w:r>
          </w:p>
        </w:tc>
        <w:tc>
          <w:tcPr>
            <w:tcW w:w="754" w:type="pct"/>
            <w:tcBorders>
              <w:top w:val="single" w:sz="8" w:space="0" w:color="000000"/>
              <w:left w:val="single" w:sz="8" w:space="0" w:color="000000"/>
              <w:bottom w:val="single" w:sz="8" w:space="0" w:color="000000"/>
              <w:right w:val="single" w:sz="8" w:space="0" w:color="000000"/>
            </w:tcBorders>
            <w:vAlign w:val="center"/>
          </w:tcPr>
          <w:p w14:paraId="4F3336C1"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5% Neem leaf extract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AC8678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539531A"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81</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336065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5.3</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A9E98EA"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14.5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5D2A43"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9.9</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E2B43B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98.80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CD11180"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1034</w:t>
            </w:r>
          </w:p>
        </w:tc>
      </w:tr>
      <w:tr w:rsidR="000F657F" w:rsidRPr="00AA5515" w14:paraId="13414E53"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447CC447"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T5</w:t>
            </w:r>
          </w:p>
        </w:tc>
        <w:tc>
          <w:tcPr>
            <w:tcW w:w="754" w:type="pct"/>
            <w:tcBorders>
              <w:top w:val="single" w:sz="8" w:space="0" w:color="000000"/>
              <w:left w:val="single" w:sz="8" w:space="0" w:color="000000"/>
              <w:bottom w:val="single" w:sz="8" w:space="0" w:color="000000"/>
              <w:right w:val="single" w:sz="8" w:space="0" w:color="000000"/>
            </w:tcBorders>
            <w:vAlign w:val="center"/>
          </w:tcPr>
          <w:p w14:paraId="0182C3EB"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leaf extract</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0A2C5F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11.5</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F918C6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82</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DC3C0BE"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5.4</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C6041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15.2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C98336F"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10.2</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5FA0902"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100.50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43869D7"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1081</w:t>
            </w:r>
          </w:p>
        </w:tc>
      </w:tr>
      <w:tr w:rsidR="000F657F" w:rsidRPr="00AA5515" w14:paraId="0DCF0404"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4B668B3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T6</w:t>
            </w:r>
          </w:p>
        </w:tc>
        <w:tc>
          <w:tcPr>
            <w:tcW w:w="754" w:type="pct"/>
            <w:tcBorders>
              <w:top w:val="single" w:sz="8" w:space="0" w:color="000000"/>
              <w:left w:val="single" w:sz="8" w:space="0" w:color="000000"/>
              <w:bottom w:val="single" w:sz="8" w:space="0" w:color="000000"/>
              <w:right w:val="single" w:sz="8" w:space="0" w:color="000000"/>
            </w:tcBorders>
            <w:vAlign w:val="center"/>
          </w:tcPr>
          <w:p w14:paraId="37F868C5"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25% </w:t>
            </w:r>
            <w:proofErr w:type="spellStart"/>
            <w:r w:rsidRPr="00AA5515">
              <w:rPr>
                <w:rFonts w:ascii="Arial" w:hAnsi="Arial" w:cs="Arial"/>
                <w:sz w:val="20"/>
                <w:szCs w:val="20"/>
              </w:rPr>
              <w:t>Vermiwash</w:t>
            </w:r>
            <w:proofErr w:type="spellEnd"/>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FD81D97"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17.2</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0F4036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90</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3315D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6.1</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EDA3611"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18.5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4591D4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12.3</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9C4938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106.50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55D0D2A"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1503</w:t>
            </w:r>
          </w:p>
        </w:tc>
      </w:tr>
      <w:tr w:rsidR="000F657F" w:rsidRPr="00AA5515" w14:paraId="2EC64191" w14:textId="77777777" w:rsidTr="0008788E">
        <w:trPr>
          <w:trHeight w:val="485"/>
        </w:trPr>
        <w:tc>
          <w:tcPr>
            <w:tcW w:w="307" w:type="pct"/>
            <w:tcBorders>
              <w:top w:val="single" w:sz="8" w:space="0" w:color="000000"/>
              <w:left w:val="single" w:sz="8" w:space="0" w:color="000000"/>
              <w:bottom w:val="single" w:sz="8" w:space="0" w:color="000000"/>
              <w:right w:val="single" w:sz="8" w:space="0" w:color="000000"/>
            </w:tcBorders>
            <w:vAlign w:val="center"/>
          </w:tcPr>
          <w:p w14:paraId="59D9B563"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T7</w:t>
            </w:r>
          </w:p>
        </w:tc>
        <w:tc>
          <w:tcPr>
            <w:tcW w:w="754" w:type="pct"/>
            <w:tcBorders>
              <w:top w:val="single" w:sz="8" w:space="0" w:color="000000"/>
              <w:left w:val="single" w:sz="8" w:space="0" w:color="000000"/>
              <w:bottom w:val="single" w:sz="8" w:space="0" w:color="000000"/>
              <w:right w:val="single" w:sz="8" w:space="0" w:color="000000"/>
            </w:tcBorders>
            <w:vAlign w:val="center"/>
          </w:tcPr>
          <w:p w14:paraId="1010900D"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25% Cow urine</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730A9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20.8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69B10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92</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FB9042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6.2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E219BF"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19.8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802A7B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12.9</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8E86CD8"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108.40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A48D1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1536</w:t>
            </w:r>
          </w:p>
        </w:tc>
      </w:tr>
      <w:tr w:rsidR="000F657F" w:rsidRPr="00AA5515" w14:paraId="44982DE1" w14:textId="77777777" w:rsidTr="0008788E">
        <w:trPr>
          <w:trHeight w:val="683"/>
        </w:trPr>
        <w:tc>
          <w:tcPr>
            <w:tcW w:w="307" w:type="pct"/>
            <w:tcBorders>
              <w:top w:val="single" w:sz="8" w:space="0" w:color="000000"/>
              <w:left w:val="single" w:sz="8" w:space="0" w:color="000000"/>
              <w:bottom w:val="single" w:sz="8" w:space="0" w:color="000000"/>
              <w:right w:val="single" w:sz="8" w:space="0" w:color="000000"/>
            </w:tcBorders>
            <w:vAlign w:val="center"/>
          </w:tcPr>
          <w:p w14:paraId="06CE1BB7"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T8</w:t>
            </w:r>
          </w:p>
        </w:tc>
        <w:tc>
          <w:tcPr>
            <w:tcW w:w="754" w:type="pct"/>
            <w:tcBorders>
              <w:top w:val="single" w:sz="8" w:space="0" w:color="000000"/>
              <w:left w:val="single" w:sz="8" w:space="0" w:color="000000"/>
              <w:bottom w:val="single" w:sz="8" w:space="0" w:color="000000"/>
              <w:right w:val="single" w:sz="8" w:space="0" w:color="000000"/>
            </w:tcBorders>
            <w:vAlign w:val="center"/>
          </w:tcPr>
          <w:p w14:paraId="2C09EC43"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12.5% Coconut   water</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B98356"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14.5</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F0282C"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87</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E42071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5.8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16AE6E"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17.2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2EB143"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11.1</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53488F"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103.00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F135B0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1431</w:t>
            </w:r>
          </w:p>
        </w:tc>
      </w:tr>
      <w:tr w:rsidR="000F657F" w:rsidRPr="00AA5515" w14:paraId="28FBC976" w14:textId="77777777" w:rsidTr="0008788E">
        <w:trPr>
          <w:trHeight w:val="492"/>
        </w:trPr>
        <w:tc>
          <w:tcPr>
            <w:tcW w:w="307" w:type="pct"/>
            <w:tcBorders>
              <w:top w:val="single" w:sz="8" w:space="0" w:color="000000"/>
              <w:left w:val="single" w:sz="8" w:space="0" w:color="000000"/>
              <w:bottom w:val="single" w:sz="8" w:space="0" w:color="000000"/>
              <w:right w:val="single" w:sz="8" w:space="0" w:color="000000"/>
            </w:tcBorders>
            <w:vAlign w:val="center"/>
          </w:tcPr>
          <w:p w14:paraId="1D24E0C4"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T9</w:t>
            </w:r>
          </w:p>
        </w:tc>
        <w:tc>
          <w:tcPr>
            <w:tcW w:w="754" w:type="pct"/>
            <w:tcBorders>
              <w:top w:val="single" w:sz="8" w:space="0" w:color="000000"/>
              <w:left w:val="single" w:sz="8" w:space="0" w:color="000000"/>
              <w:bottom w:val="single" w:sz="8" w:space="0" w:color="000000"/>
              <w:right w:val="single" w:sz="8" w:space="0" w:color="000000"/>
            </w:tcBorders>
            <w:vAlign w:val="center"/>
          </w:tcPr>
          <w:p w14:paraId="2ACF7261" w14:textId="77777777" w:rsidR="000F657F" w:rsidRPr="00AA5515" w:rsidRDefault="000F657F" w:rsidP="009723AE">
            <w:pPr>
              <w:spacing w:line="240" w:lineRule="auto"/>
              <w:rPr>
                <w:rFonts w:ascii="Arial" w:hAnsi="Arial" w:cs="Arial"/>
                <w:sz w:val="20"/>
                <w:szCs w:val="20"/>
              </w:rPr>
            </w:pPr>
            <w:r w:rsidRPr="00AA5515">
              <w:rPr>
                <w:rFonts w:ascii="Arial" w:hAnsi="Arial" w:cs="Arial"/>
                <w:sz w:val="20"/>
                <w:szCs w:val="20"/>
              </w:rPr>
              <w:t xml:space="preserve">5% </w:t>
            </w:r>
            <w:proofErr w:type="spellStart"/>
            <w:r w:rsidRPr="00AA5515">
              <w:rPr>
                <w:rFonts w:ascii="Arial" w:hAnsi="Arial" w:cs="Arial"/>
                <w:sz w:val="20"/>
                <w:szCs w:val="20"/>
              </w:rPr>
              <w:t>Beejamrutham</w:t>
            </w:r>
            <w:proofErr w:type="spellEnd"/>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363CF66"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15.8</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71865ED"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89</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E0B2843"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5.9</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D147325"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17.9</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492465B"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11.6</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AA1EAE6"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100.90</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0BD4B39" w14:textId="77777777" w:rsidR="000F657F" w:rsidRPr="00AA5515" w:rsidRDefault="000F657F" w:rsidP="009723AE">
            <w:pPr>
              <w:spacing w:line="240" w:lineRule="auto"/>
              <w:jc w:val="center"/>
              <w:rPr>
                <w:rFonts w:ascii="Arial" w:hAnsi="Arial" w:cs="Arial"/>
                <w:sz w:val="20"/>
                <w:szCs w:val="20"/>
              </w:rPr>
            </w:pPr>
            <w:r w:rsidRPr="00AA5515">
              <w:rPr>
                <w:rFonts w:ascii="Arial" w:hAnsi="Arial" w:cs="Arial"/>
                <w:sz w:val="20"/>
                <w:szCs w:val="20"/>
              </w:rPr>
              <w:t>1427</w:t>
            </w:r>
          </w:p>
        </w:tc>
      </w:tr>
      <w:tr w:rsidR="000F657F" w:rsidRPr="00AA5515" w14:paraId="6EEB5E63" w14:textId="77777777" w:rsidTr="0008788E">
        <w:trPr>
          <w:trHeight w:val="492"/>
        </w:trPr>
        <w:tc>
          <w:tcPr>
            <w:tcW w:w="1061" w:type="pct"/>
            <w:gridSpan w:val="2"/>
            <w:tcBorders>
              <w:top w:val="single" w:sz="8" w:space="0" w:color="000000"/>
              <w:left w:val="single" w:sz="8" w:space="0" w:color="000000"/>
              <w:bottom w:val="single" w:sz="8" w:space="0" w:color="000000"/>
              <w:right w:val="single" w:sz="8" w:space="0" w:color="000000"/>
            </w:tcBorders>
            <w:vAlign w:val="center"/>
          </w:tcPr>
          <w:p w14:paraId="5E6C822A"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SED</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3CA7E59"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0.401</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5DBDD4"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2.117</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4828E9"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0.141</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5643A4"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0.425</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86DD1FB"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0.280</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1D5722"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2.532</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8A4A218"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33.636</w:t>
            </w:r>
          </w:p>
        </w:tc>
      </w:tr>
      <w:tr w:rsidR="000F657F" w:rsidRPr="00AA5515" w14:paraId="70EC83DC" w14:textId="77777777" w:rsidTr="0008788E">
        <w:trPr>
          <w:trHeight w:val="492"/>
        </w:trPr>
        <w:tc>
          <w:tcPr>
            <w:tcW w:w="1061" w:type="pct"/>
            <w:gridSpan w:val="2"/>
            <w:tcBorders>
              <w:top w:val="single" w:sz="8" w:space="0" w:color="000000"/>
              <w:left w:val="single" w:sz="8" w:space="0" w:color="000000"/>
              <w:bottom w:val="single" w:sz="8" w:space="0" w:color="000000"/>
              <w:right w:val="single" w:sz="8" w:space="0" w:color="000000"/>
            </w:tcBorders>
            <w:vAlign w:val="center"/>
          </w:tcPr>
          <w:p w14:paraId="5690FCD7"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CD(p=0.05)</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40AE22"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0.860</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336502A7"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4.541</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239244"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0.304</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AF0D21"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0.912</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9756F8"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0.602</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F059D7"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5.432</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DB341B4"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72.149</w:t>
            </w:r>
          </w:p>
        </w:tc>
      </w:tr>
      <w:tr w:rsidR="000F657F" w:rsidRPr="00AA5515" w14:paraId="08F06E1F" w14:textId="77777777" w:rsidTr="0008788E">
        <w:trPr>
          <w:trHeight w:val="492"/>
        </w:trPr>
        <w:tc>
          <w:tcPr>
            <w:tcW w:w="1061" w:type="pct"/>
            <w:gridSpan w:val="2"/>
            <w:tcBorders>
              <w:top w:val="single" w:sz="8" w:space="0" w:color="000000"/>
              <w:left w:val="single" w:sz="8" w:space="0" w:color="000000"/>
              <w:bottom w:val="single" w:sz="8" w:space="0" w:color="000000"/>
              <w:right w:val="single" w:sz="8" w:space="0" w:color="000000"/>
            </w:tcBorders>
            <w:vAlign w:val="center"/>
          </w:tcPr>
          <w:p w14:paraId="3C8B7739"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SD</w:t>
            </w:r>
          </w:p>
        </w:tc>
        <w:tc>
          <w:tcPr>
            <w:tcW w:w="59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69998D"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5.166</w:t>
            </w:r>
          </w:p>
        </w:tc>
        <w:tc>
          <w:tcPr>
            <w:tcW w:w="71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73499E0"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6.05</w:t>
            </w:r>
          </w:p>
        </w:tc>
        <w:tc>
          <w:tcPr>
            <w:tcW w:w="711"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00168A"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0.464</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6DA91C"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2.518</w:t>
            </w:r>
          </w:p>
        </w:tc>
        <w:tc>
          <w:tcPr>
            <w:tcW w:w="40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FD967A"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1.542</w:t>
            </w:r>
          </w:p>
        </w:tc>
        <w:tc>
          <w:tcPr>
            <w:tcW w:w="542"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829119"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6.734</w:t>
            </w:r>
          </w:p>
        </w:tc>
        <w:tc>
          <w:tcPr>
            <w:tcW w:w="579"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A055091" w14:textId="77777777" w:rsidR="000F657F" w:rsidRPr="00AA5515" w:rsidRDefault="000F657F" w:rsidP="009723AE">
            <w:pPr>
              <w:spacing w:line="240" w:lineRule="auto"/>
              <w:jc w:val="center"/>
              <w:rPr>
                <w:rFonts w:ascii="Arial" w:hAnsi="Arial" w:cs="Arial"/>
                <w:b/>
                <w:bCs/>
                <w:sz w:val="20"/>
                <w:szCs w:val="20"/>
              </w:rPr>
            </w:pPr>
            <w:r w:rsidRPr="00AA5515">
              <w:rPr>
                <w:rFonts w:ascii="Arial" w:hAnsi="Arial" w:cs="Arial"/>
                <w:b/>
                <w:bCs/>
                <w:sz w:val="20"/>
                <w:szCs w:val="20"/>
              </w:rPr>
              <w:t>210.64</w:t>
            </w:r>
          </w:p>
        </w:tc>
      </w:tr>
    </w:tbl>
    <w:p w14:paraId="79603658" w14:textId="77777777" w:rsidR="000F657F" w:rsidRPr="00AA5515" w:rsidRDefault="000F657F" w:rsidP="009723AE">
      <w:pPr>
        <w:spacing w:line="240" w:lineRule="auto"/>
        <w:jc w:val="both"/>
        <w:rPr>
          <w:rFonts w:ascii="Arial" w:hAnsi="Arial" w:cs="Arial"/>
          <w:sz w:val="20"/>
          <w:szCs w:val="20"/>
        </w:rPr>
      </w:pPr>
    </w:p>
    <w:p w14:paraId="14EA9DCC" w14:textId="4BF2E743" w:rsidR="000F657F" w:rsidRPr="00AA5515" w:rsidRDefault="000F657F" w:rsidP="009723AE">
      <w:pPr>
        <w:spacing w:line="240" w:lineRule="auto"/>
        <w:rPr>
          <w:rFonts w:ascii="Arial" w:hAnsi="Arial" w:cs="Arial"/>
          <w:sz w:val="20"/>
          <w:szCs w:val="20"/>
        </w:rPr>
      </w:pPr>
      <w:r w:rsidRPr="00AA5515">
        <w:rPr>
          <w:rFonts w:ascii="Arial" w:hAnsi="Arial" w:cs="Arial"/>
          <w:noProof/>
          <w:sz w:val="20"/>
          <w:szCs w:val="20"/>
        </w:rPr>
        <w:drawing>
          <wp:inline distT="0" distB="0" distL="0" distR="0" wp14:anchorId="409EDAB8" wp14:editId="109D46D1">
            <wp:extent cx="5731510" cy="2568575"/>
            <wp:effectExtent l="0" t="0" r="2540" b="3175"/>
            <wp:docPr id="690810805" name="Chart 1">
              <a:extLst xmlns:a="http://schemas.openxmlformats.org/drawingml/2006/main">
                <a:ext uri="{FF2B5EF4-FFF2-40B4-BE49-F238E27FC236}">
                  <a16:creationId xmlns:a16="http://schemas.microsoft.com/office/drawing/2014/main" id="{EF7805E1-DCEF-AB36-9E75-4CE5BDF53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6903AA" w14:textId="0A8BFD10" w:rsidR="00A126A1" w:rsidRPr="00A126A1" w:rsidRDefault="00A126A1" w:rsidP="009723AE">
      <w:pPr>
        <w:spacing w:line="240" w:lineRule="auto"/>
        <w:jc w:val="both"/>
        <w:rPr>
          <w:rFonts w:ascii="Arial" w:hAnsi="Arial" w:cs="Arial"/>
          <w:b/>
          <w:bCs/>
          <w:sz w:val="22"/>
          <w:szCs w:val="22"/>
        </w:rPr>
      </w:pPr>
      <w:r w:rsidRPr="00A126A1">
        <w:rPr>
          <w:rFonts w:ascii="Arial" w:hAnsi="Arial" w:cs="Arial"/>
          <w:b/>
          <w:bCs/>
          <w:sz w:val="22"/>
          <w:szCs w:val="22"/>
        </w:rPr>
        <w:t>Fig</w:t>
      </w:r>
      <w:r w:rsidR="00086965">
        <w:rPr>
          <w:rFonts w:ascii="Arial" w:hAnsi="Arial" w:cs="Arial"/>
          <w:b/>
          <w:bCs/>
          <w:sz w:val="22"/>
          <w:szCs w:val="22"/>
        </w:rPr>
        <w:t>.</w:t>
      </w:r>
      <w:r w:rsidRPr="00A126A1">
        <w:rPr>
          <w:rFonts w:ascii="Arial" w:hAnsi="Arial" w:cs="Arial"/>
          <w:b/>
          <w:bCs/>
          <w:sz w:val="22"/>
          <w:szCs w:val="22"/>
        </w:rPr>
        <w:t xml:space="preserve"> 2 Effect of organic seed treatments on germination parameters of </w:t>
      </w:r>
      <w:proofErr w:type="spellStart"/>
      <w:r w:rsidRPr="00A126A1">
        <w:rPr>
          <w:rFonts w:ascii="Arial" w:hAnsi="Arial" w:cs="Arial"/>
          <w:b/>
          <w:bCs/>
          <w:sz w:val="22"/>
          <w:szCs w:val="22"/>
        </w:rPr>
        <w:t>Sonamasori</w:t>
      </w:r>
      <w:proofErr w:type="spellEnd"/>
      <w:r w:rsidRPr="00A126A1">
        <w:rPr>
          <w:rFonts w:ascii="Arial" w:hAnsi="Arial" w:cs="Arial"/>
          <w:b/>
          <w:bCs/>
          <w:sz w:val="22"/>
          <w:szCs w:val="22"/>
        </w:rPr>
        <w:t xml:space="preserve"> </w:t>
      </w:r>
    </w:p>
    <w:p w14:paraId="35130AF2" w14:textId="73A104F2" w:rsidR="0000523A" w:rsidRPr="00A126A1" w:rsidRDefault="00086965" w:rsidP="009723AE">
      <w:pPr>
        <w:spacing w:line="240" w:lineRule="auto"/>
        <w:jc w:val="both"/>
        <w:rPr>
          <w:rFonts w:ascii="Arial" w:hAnsi="Arial" w:cs="Arial"/>
          <w:b/>
          <w:bCs/>
          <w:sz w:val="22"/>
          <w:szCs w:val="22"/>
        </w:rPr>
      </w:pPr>
      <w:r>
        <w:rPr>
          <w:rFonts w:ascii="Arial" w:hAnsi="Arial" w:cs="Arial"/>
          <w:b/>
          <w:bCs/>
          <w:sz w:val="22"/>
          <w:szCs w:val="22"/>
        </w:rPr>
        <w:t xml:space="preserve">4. </w:t>
      </w:r>
      <w:r w:rsidR="00A126A1" w:rsidRPr="00A126A1">
        <w:rPr>
          <w:rFonts w:ascii="Arial" w:hAnsi="Arial" w:cs="Arial"/>
          <w:b/>
          <w:bCs/>
          <w:sz w:val="22"/>
          <w:szCs w:val="22"/>
        </w:rPr>
        <w:t xml:space="preserve">CONCLUSION </w:t>
      </w:r>
    </w:p>
    <w:p w14:paraId="3BBA8ABE" w14:textId="1BDAD466" w:rsidR="0000523A" w:rsidRPr="00AA5515" w:rsidRDefault="0000523A" w:rsidP="009723AE">
      <w:pPr>
        <w:spacing w:line="240" w:lineRule="auto"/>
        <w:ind w:firstLine="720"/>
        <w:jc w:val="both"/>
        <w:rPr>
          <w:rFonts w:ascii="Arial" w:hAnsi="Arial" w:cs="Arial"/>
          <w:sz w:val="20"/>
          <w:szCs w:val="20"/>
        </w:rPr>
      </w:pPr>
      <w:r w:rsidRPr="00AA5515">
        <w:rPr>
          <w:rFonts w:ascii="Arial" w:hAnsi="Arial" w:cs="Arial"/>
          <w:sz w:val="20"/>
          <w:szCs w:val="20"/>
        </w:rPr>
        <w:t xml:space="preserve">The current study clearly shows that organic seed treatments have a significant and </w:t>
      </w:r>
      <w:proofErr w:type="spellStart"/>
      <w:r w:rsidRPr="00AA5515">
        <w:rPr>
          <w:rFonts w:ascii="Arial" w:hAnsi="Arial" w:cs="Arial"/>
          <w:sz w:val="20"/>
          <w:szCs w:val="20"/>
        </w:rPr>
        <w:t>favorable</w:t>
      </w:r>
      <w:proofErr w:type="spellEnd"/>
      <w:r w:rsidRPr="00AA5515">
        <w:rPr>
          <w:rFonts w:ascii="Arial" w:hAnsi="Arial" w:cs="Arial"/>
          <w:sz w:val="20"/>
          <w:szCs w:val="20"/>
        </w:rPr>
        <w:t xml:space="preserve"> effect on seed germination and early seedling vigour in both the ADT 49 and Sona </w:t>
      </w:r>
      <w:proofErr w:type="spellStart"/>
      <w:r w:rsidRPr="00AA5515">
        <w:rPr>
          <w:rFonts w:ascii="Arial" w:hAnsi="Arial" w:cs="Arial"/>
          <w:sz w:val="20"/>
          <w:szCs w:val="20"/>
        </w:rPr>
        <w:t>Masoori</w:t>
      </w:r>
      <w:proofErr w:type="spellEnd"/>
      <w:r w:rsidRPr="00AA5515">
        <w:rPr>
          <w:rFonts w:ascii="Arial" w:hAnsi="Arial" w:cs="Arial"/>
          <w:sz w:val="20"/>
          <w:szCs w:val="20"/>
        </w:rPr>
        <w:t xml:space="preserve"> rice types. Among all the organic formulations tested, 5% </w:t>
      </w:r>
      <w:proofErr w:type="spellStart"/>
      <w:r w:rsidRPr="00AA5515">
        <w:rPr>
          <w:rFonts w:ascii="Arial" w:hAnsi="Arial" w:cs="Arial"/>
          <w:sz w:val="20"/>
          <w:szCs w:val="20"/>
        </w:rPr>
        <w:t>Panchakavya</w:t>
      </w:r>
      <w:proofErr w:type="spellEnd"/>
      <w:r w:rsidRPr="00AA5515">
        <w:rPr>
          <w:rFonts w:ascii="Arial" w:hAnsi="Arial" w:cs="Arial"/>
          <w:sz w:val="20"/>
          <w:szCs w:val="20"/>
        </w:rPr>
        <w:t xml:space="preserve"> consistently performed best, with the highest imbibition rate, germination percentage, germination speed, root and shoot elongation, dry matter production, and vigour index in both types. Treatments such as coconut water (12.5%), cow urine (25%), and </w:t>
      </w:r>
      <w:proofErr w:type="spellStart"/>
      <w:r w:rsidRPr="00AA5515">
        <w:rPr>
          <w:rFonts w:ascii="Arial" w:hAnsi="Arial" w:cs="Arial"/>
          <w:sz w:val="20"/>
          <w:szCs w:val="20"/>
        </w:rPr>
        <w:t>vermiwash</w:t>
      </w:r>
      <w:proofErr w:type="spellEnd"/>
      <w:r w:rsidRPr="00AA5515">
        <w:rPr>
          <w:rFonts w:ascii="Arial" w:hAnsi="Arial" w:cs="Arial"/>
          <w:sz w:val="20"/>
          <w:szCs w:val="20"/>
        </w:rPr>
        <w:t xml:space="preserve"> (25%), all performed much better than the untreated control, demonstrating their potential as organic priming agents. Moringa, neem, and </w:t>
      </w:r>
      <w:proofErr w:type="spellStart"/>
      <w:r w:rsidRPr="00AA5515">
        <w:rPr>
          <w:rFonts w:ascii="Arial" w:hAnsi="Arial" w:cs="Arial"/>
          <w:sz w:val="20"/>
          <w:szCs w:val="20"/>
        </w:rPr>
        <w:t>notchi</w:t>
      </w:r>
      <w:proofErr w:type="spellEnd"/>
      <w:r w:rsidRPr="00AA5515">
        <w:rPr>
          <w:rFonts w:ascii="Arial" w:hAnsi="Arial" w:cs="Arial"/>
          <w:sz w:val="20"/>
          <w:szCs w:val="20"/>
        </w:rPr>
        <w:t xml:space="preserve"> leaf extracts performed moderately better than the control group.</w:t>
      </w:r>
    </w:p>
    <w:p w14:paraId="4AB128B4" w14:textId="2D0CB899" w:rsidR="0000523A" w:rsidRPr="00AA5515" w:rsidRDefault="0000523A" w:rsidP="009723AE">
      <w:pPr>
        <w:spacing w:line="240" w:lineRule="auto"/>
        <w:jc w:val="both"/>
        <w:rPr>
          <w:rFonts w:ascii="Arial" w:hAnsi="Arial" w:cs="Arial"/>
          <w:sz w:val="20"/>
          <w:szCs w:val="20"/>
        </w:rPr>
      </w:pPr>
      <w:r w:rsidRPr="00AA5515">
        <w:rPr>
          <w:rFonts w:ascii="Arial" w:hAnsi="Arial" w:cs="Arial"/>
          <w:sz w:val="20"/>
          <w:szCs w:val="20"/>
        </w:rPr>
        <w:t>Overall, the findings show that organic seed priming improves water uptake, metabolic activation, and uniform emergence, resulting in stronger and more vigorous seedlings.</w:t>
      </w:r>
      <w:r w:rsidR="00086965" w:rsidRPr="00086965">
        <w:t xml:space="preserve"> </w:t>
      </w:r>
      <w:r w:rsidR="00086965" w:rsidRPr="00086965">
        <w:rPr>
          <w:rFonts w:ascii="Arial" w:hAnsi="Arial" w:cs="Arial"/>
          <w:sz w:val="20"/>
          <w:szCs w:val="20"/>
        </w:rPr>
        <w:t xml:space="preserve">Similar beneficial effects of coconut water on seed germination have been reported earlier by </w:t>
      </w:r>
      <w:proofErr w:type="spellStart"/>
      <w:r w:rsidR="00086965" w:rsidRPr="00086965">
        <w:rPr>
          <w:rFonts w:ascii="Arial" w:hAnsi="Arial" w:cs="Arial"/>
          <w:sz w:val="20"/>
          <w:szCs w:val="20"/>
        </w:rPr>
        <w:t>Chakaravarthy</w:t>
      </w:r>
      <w:proofErr w:type="spellEnd"/>
      <w:r w:rsidR="00086965" w:rsidRPr="00086965">
        <w:rPr>
          <w:rFonts w:ascii="Arial" w:hAnsi="Arial" w:cs="Arial"/>
          <w:sz w:val="20"/>
          <w:szCs w:val="20"/>
        </w:rPr>
        <w:t xml:space="preserve"> (2001) in </w:t>
      </w:r>
      <w:proofErr w:type="spellStart"/>
      <w:r w:rsidR="00086965" w:rsidRPr="00086965">
        <w:rPr>
          <w:rFonts w:ascii="Arial" w:hAnsi="Arial" w:cs="Arial"/>
          <w:sz w:val="20"/>
          <w:szCs w:val="20"/>
        </w:rPr>
        <w:t>pigeonpea</w:t>
      </w:r>
      <w:proofErr w:type="spellEnd"/>
      <w:r w:rsidR="00086965" w:rsidRPr="00086965">
        <w:rPr>
          <w:rFonts w:ascii="Arial" w:hAnsi="Arial" w:cs="Arial"/>
          <w:sz w:val="20"/>
          <w:szCs w:val="20"/>
        </w:rPr>
        <w:t xml:space="preserve">, Albert (2004) in tomato, Vijayan (2005) in paddy, Manimekalai (2006) in black gram, Hiromi et al. (2014) </w:t>
      </w:r>
      <w:r w:rsidR="00086965" w:rsidRPr="00086965">
        <w:rPr>
          <w:rFonts w:ascii="Arial" w:hAnsi="Arial" w:cs="Arial"/>
          <w:sz w:val="20"/>
          <w:szCs w:val="20"/>
        </w:rPr>
        <w:lastRenderedPageBreak/>
        <w:t xml:space="preserve">in paddy, and Parisa et al. (2014) in </w:t>
      </w:r>
      <w:r w:rsidR="00086965" w:rsidRPr="00086965">
        <w:rPr>
          <w:rFonts w:ascii="Arial" w:hAnsi="Arial" w:cs="Arial"/>
          <w:i/>
          <w:iCs/>
          <w:sz w:val="20"/>
          <w:szCs w:val="20"/>
        </w:rPr>
        <w:t>Phalaenopsis</w:t>
      </w:r>
      <w:r w:rsidR="00086965" w:rsidRPr="00086965">
        <w:rPr>
          <w:rFonts w:ascii="Arial" w:hAnsi="Arial" w:cs="Arial"/>
          <w:sz w:val="20"/>
          <w:szCs w:val="20"/>
        </w:rPr>
        <w:t>.</w:t>
      </w:r>
      <w:r w:rsidRPr="00AA5515">
        <w:rPr>
          <w:rFonts w:ascii="Arial" w:hAnsi="Arial" w:cs="Arial"/>
          <w:sz w:val="20"/>
          <w:szCs w:val="20"/>
        </w:rPr>
        <w:t xml:space="preserve"> Panchakavya's exceptional performance indicates that it can be suggested as an efficient and environmentally friendly priming formulation for boosting seed quality in organic rice seed production systems. Adoption of such organic seed treatments can contribute to sustainable agriculture by lowering reliance on synthetic chemicals while enhancing seedling establishment and crop production.</w:t>
      </w:r>
    </w:p>
    <w:p w14:paraId="60506278" w14:textId="3AA25489" w:rsidR="009F1C49" w:rsidRPr="00A126A1" w:rsidRDefault="00A126A1" w:rsidP="009723AE">
      <w:pPr>
        <w:spacing w:line="240" w:lineRule="auto"/>
        <w:jc w:val="both"/>
        <w:rPr>
          <w:rFonts w:ascii="Arial" w:hAnsi="Arial" w:cs="Arial"/>
          <w:b/>
          <w:bCs/>
          <w:sz w:val="22"/>
          <w:szCs w:val="22"/>
        </w:rPr>
      </w:pPr>
      <w:r w:rsidRPr="00A126A1">
        <w:rPr>
          <w:rFonts w:ascii="Arial" w:hAnsi="Arial" w:cs="Arial"/>
          <w:b/>
          <w:bCs/>
          <w:sz w:val="22"/>
          <w:szCs w:val="22"/>
        </w:rPr>
        <w:t xml:space="preserve">DISCLAIMER </w:t>
      </w:r>
    </w:p>
    <w:p w14:paraId="01E9B0FF" w14:textId="77777777" w:rsidR="009F1C49" w:rsidRPr="00AA5515" w:rsidRDefault="009F1C49" w:rsidP="009723AE">
      <w:pPr>
        <w:spacing w:line="240" w:lineRule="auto"/>
        <w:jc w:val="both"/>
        <w:rPr>
          <w:rFonts w:ascii="Arial" w:hAnsi="Arial" w:cs="Arial"/>
          <w:sz w:val="20"/>
          <w:szCs w:val="20"/>
        </w:rPr>
      </w:pPr>
      <w:r w:rsidRPr="00AA5515">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DC4B991" w14:textId="77777777" w:rsidR="00F1014E" w:rsidRDefault="00F1014E" w:rsidP="00F1014E">
      <w:pPr>
        <w:pStyle w:val="BodyText"/>
        <w:spacing w:before="226"/>
        <w:ind w:right="56"/>
        <w:jc w:val="both"/>
      </w:pPr>
      <w:bookmarkStart w:id="0" w:name="_GoBack"/>
      <w:bookmarkEnd w:id="0"/>
      <w:r>
        <w:t>COMPETING INTERESTS DISCLAIMER:</w:t>
      </w:r>
    </w:p>
    <w:p w14:paraId="6B20DD3D" w14:textId="6F0FB4D5" w:rsidR="00F1014E" w:rsidRPr="00AA5515" w:rsidRDefault="00F1014E" w:rsidP="00F1014E">
      <w:pPr>
        <w:pStyle w:val="BodyText"/>
        <w:spacing w:before="226"/>
        <w:ind w:right="56"/>
        <w:jc w:val="both"/>
      </w:pPr>
      <w:r>
        <w:t>Authors have declared that they have no known competing financial interests OR non-financial interests OR personal relationships that could have appeared to influence the work reported in this paper.</w:t>
      </w:r>
    </w:p>
    <w:p w14:paraId="4EF83605" w14:textId="77777777" w:rsidR="007A0EC5" w:rsidRPr="00AA5515" w:rsidRDefault="007A0EC5" w:rsidP="009723AE">
      <w:pPr>
        <w:spacing w:line="240" w:lineRule="auto"/>
        <w:jc w:val="both"/>
        <w:rPr>
          <w:rFonts w:ascii="Arial" w:hAnsi="Arial" w:cs="Arial"/>
          <w:b/>
          <w:bCs/>
          <w:sz w:val="20"/>
          <w:szCs w:val="20"/>
        </w:rPr>
      </w:pPr>
    </w:p>
    <w:p w14:paraId="76D7DE74" w14:textId="09288C74" w:rsidR="0000523A" w:rsidRPr="00A126A1" w:rsidRDefault="00A126A1" w:rsidP="009723AE">
      <w:pPr>
        <w:spacing w:line="240" w:lineRule="auto"/>
        <w:jc w:val="both"/>
        <w:rPr>
          <w:rFonts w:ascii="Arial" w:hAnsi="Arial" w:cs="Arial"/>
          <w:b/>
          <w:bCs/>
          <w:sz w:val="22"/>
          <w:szCs w:val="22"/>
        </w:rPr>
      </w:pPr>
      <w:r w:rsidRPr="00A126A1">
        <w:rPr>
          <w:rFonts w:ascii="Arial" w:hAnsi="Arial" w:cs="Arial"/>
          <w:b/>
          <w:bCs/>
          <w:sz w:val="22"/>
          <w:szCs w:val="22"/>
        </w:rPr>
        <w:t xml:space="preserve">REFERENCES </w:t>
      </w:r>
    </w:p>
    <w:p w14:paraId="5A19A759" w14:textId="0DC6C683" w:rsidR="00086965" w:rsidRPr="004F37A8" w:rsidRDefault="00086965" w:rsidP="00CF33D9">
      <w:pPr>
        <w:spacing w:line="240" w:lineRule="auto"/>
      </w:pPr>
      <w:r w:rsidRPr="00086965">
        <w:t xml:space="preserve">Albert, A. (2004). </w:t>
      </w:r>
      <w:r w:rsidRPr="00CF33D9">
        <w:rPr>
          <w:i/>
          <w:iCs/>
        </w:rPr>
        <w:t>Organic seed production in tomato</w:t>
      </w:r>
      <w:r w:rsidRPr="00086965">
        <w:t>. M. Sc. (Agri.) Thesis, Tamil Nadu Agricultural University, Coimbatore, India.</w:t>
      </w:r>
      <w:r w:rsidRPr="004F37A8">
        <w:t xml:space="preserve"> </w:t>
      </w:r>
    </w:p>
    <w:p w14:paraId="2E6903D8"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Anonymous. (2004). </w:t>
      </w:r>
      <w:r w:rsidRPr="00CF33D9">
        <w:rPr>
          <w:rFonts w:ascii="Arial" w:hAnsi="Arial" w:cs="Arial"/>
          <w:i/>
          <w:iCs/>
          <w:sz w:val="20"/>
          <w:szCs w:val="20"/>
        </w:rPr>
        <w:t>Annu. Crop Rep. (2003–2004)</w:t>
      </w:r>
      <w:r w:rsidRPr="00CF33D9">
        <w:rPr>
          <w:rFonts w:ascii="Arial" w:hAnsi="Arial" w:cs="Arial"/>
          <w:sz w:val="20"/>
          <w:szCs w:val="20"/>
        </w:rPr>
        <w:t>. India.</w:t>
      </w:r>
    </w:p>
    <w:p w14:paraId="0DC535FC"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Anonymous. (2014). </w:t>
      </w:r>
      <w:proofErr w:type="spellStart"/>
      <w:r w:rsidRPr="00CF33D9">
        <w:rPr>
          <w:rFonts w:ascii="Arial" w:hAnsi="Arial" w:cs="Arial"/>
          <w:i/>
          <w:iCs/>
          <w:sz w:val="20"/>
          <w:szCs w:val="20"/>
        </w:rPr>
        <w:t>Panchagavya</w:t>
      </w:r>
      <w:proofErr w:type="spellEnd"/>
      <w:r w:rsidRPr="00CF33D9">
        <w:rPr>
          <w:rFonts w:ascii="Arial" w:hAnsi="Arial" w:cs="Arial"/>
          <w:i/>
          <w:iCs/>
          <w:sz w:val="20"/>
          <w:szCs w:val="20"/>
        </w:rPr>
        <w:t xml:space="preserve"> and cow urine: as biopesticides</w:t>
      </w:r>
      <w:r w:rsidRPr="00CF33D9">
        <w:rPr>
          <w:rFonts w:ascii="Arial" w:hAnsi="Arial" w:cs="Arial"/>
          <w:sz w:val="20"/>
          <w:szCs w:val="20"/>
        </w:rPr>
        <w:t xml:space="preserve">. Retrieved from </w:t>
      </w:r>
      <w:hyperlink r:id="rId9" w:tgtFrame="_new" w:history="1">
        <w:r w:rsidRPr="00CF33D9">
          <w:rPr>
            <w:rStyle w:val="Hyperlink"/>
            <w:rFonts w:ascii="Arial" w:hAnsi="Arial" w:cs="Arial"/>
            <w:sz w:val="20"/>
            <w:szCs w:val="20"/>
          </w:rPr>
          <w:t>http://www.cowindia.org</w:t>
        </w:r>
      </w:hyperlink>
    </w:p>
    <w:p w14:paraId="61B4C715"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Anonymous. (2015). </w:t>
      </w:r>
      <w:r w:rsidRPr="00CF33D9">
        <w:rPr>
          <w:rFonts w:ascii="Arial" w:hAnsi="Arial" w:cs="Arial"/>
          <w:i/>
          <w:iCs/>
          <w:sz w:val="20"/>
          <w:szCs w:val="20"/>
        </w:rPr>
        <w:t>Karnataka State Seed and Organic Certification Agency (KSSOCA) – a profile</w:t>
      </w:r>
      <w:r w:rsidRPr="00CF33D9">
        <w:rPr>
          <w:rFonts w:ascii="Arial" w:hAnsi="Arial" w:cs="Arial"/>
          <w:sz w:val="20"/>
          <w:szCs w:val="20"/>
        </w:rPr>
        <w:t xml:space="preserve">. </w:t>
      </w:r>
      <w:r w:rsidRPr="00CF33D9">
        <w:rPr>
          <w:rFonts w:ascii="Arial" w:hAnsi="Arial" w:cs="Arial"/>
          <w:i/>
          <w:iCs/>
          <w:sz w:val="20"/>
          <w:szCs w:val="20"/>
        </w:rPr>
        <w:t>Seed &amp; Organic Certification Diary</w:t>
      </w:r>
      <w:r w:rsidRPr="00CF33D9">
        <w:rPr>
          <w:rFonts w:ascii="Arial" w:hAnsi="Arial" w:cs="Arial"/>
          <w:sz w:val="20"/>
          <w:szCs w:val="20"/>
        </w:rPr>
        <w:t>, 14–27.</w:t>
      </w:r>
    </w:p>
    <w:p w14:paraId="6F4655DB" w14:textId="3FB94098" w:rsidR="00CC5783" w:rsidRPr="00CF33D9" w:rsidRDefault="00D3704D" w:rsidP="00CF33D9">
      <w:pPr>
        <w:spacing w:line="240" w:lineRule="auto"/>
        <w:jc w:val="both"/>
        <w:rPr>
          <w:rFonts w:ascii="Arial" w:hAnsi="Arial" w:cs="Arial"/>
          <w:sz w:val="20"/>
          <w:szCs w:val="20"/>
        </w:rPr>
      </w:pPr>
      <w:r w:rsidRPr="00CF33D9">
        <w:rPr>
          <w:rFonts w:ascii="Arial" w:hAnsi="Arial" w:cs="Arial"/>
          <w:sz w:val="20"/>
          <w:szCs w:val="20"/>
        </w:rPr>
        <w:t xml:space="preserve">Bharat, L., Nayak, V., Sharma, P., &amp; </w:t>
      </w:r>
      <w:proofErr w:type="spellStart"/>
      <w:r w:rsidRPr="00CF33D9">
        <w:rPr>
          <w:rFonts w:ascii="Arial" w:hAnsi="Arial" w:cs="Arial"/>
          <w:sz w:val="20"/>
          <w:szCs w:val="20"/>
        </w:rPr>
        <w:t>Tedia</w:t>
      </w:r>
      <w:proofErr w:type="spellEnd"/>
      <w:r w:rsidRPr="00CF33D9">
        <w:rPr>
          <w:rFonts w:ascii="Arial" w:hAnsi="Arial" w:cs="Arial"/>
          <w:sz w:val="20"/>
          <w:szCs w:val="20"/>
        </w:rPr>
        <w:t xml:space="preserve">, K. (2014). Effect of combined application of FYM, fly ash and fertilizers on soil properties and paddy grown on degraded land. Current World Environment, 9(2), 531–535. </w:t>
      </w:r>
      <w:hyperlink r:id="rId10" w:history="1">
        <w:r w:rsidRPr="00CF33D9">
          <w:rPr>
            <w:rStyle w:val="Hyperlink"/>
            <w:rFonts w:ascii="Arial" w:hAnsi="Arial" w:cs="Arial"/>
            <w:sz w:val="20"/>
            <w:szCs w:val="20"/>
          </w:rPr>
          <w:t>https://doi.org/10.12944/CWE.9.2.38</w:t>
        </w:r>
      </w:hyperlink>
      <w:r w:rsidRPr="00CF33D9">
        <w:rPr>
          <w:rFonts w:ascii="Arial" w:hAnsi="Arial" w:cs="Arial"/>
          <w:sz w:val="20"/>
          <w:szCs w:val="20"/>
        </w:rPr>
        <w:t xml:space="preserve"> </w:t>
      </w:r>
    </w:p>
    <w:p w14:paraId="78589B9B" w14:textId="40A99B3D" w:rsidR="00CC5783" w:rsidRPr="00CF33D9" w:rsidRDefault="00581E22" w:rsidP="00CF33D9">
      <w:pPr>
        <w:spacing w:line="240" w:lineRule="auto"/>
        <w:jc w:val="both"/>
        <w:rPr>
          <w:rFonts w:ascii="Arial" w:hAnsi="Arial" w:cs="Arial"/>
          <w:sz w:val="20"/>
          <w:szCs w:val="20"/>
        </w:rPr>
      </w:pPr>
      <w:r w:rsidRPr="00CF33D9">
        <w:rPr>
          <w:rFonts w:ascii="Arial" w:hAnsi="Arial" w:cs="Arial"/>
          <w:sz w:val="20"/>
          <w:szCs w:val="20"/>
        </w:rPr>
        <w:t xml:space="preserve">Choudhary, V. K., &amp; Suresh Kumar, P. (2013). Maize production, economics and soil productivity under different organic </w:t>
      </w:r>
      <w:proofErr w:type="spellStart"/>
      <w:r w:rsidRPr="00CF33D9">
        <w:rPr>
          <w:rFonts w:ascii="Arial" w:hAnsi="Arial" w:cs="Arial"/>
          <w:sz w:val="20"/>
          <w:szCs w:val="20"/>
        </w:rPr>
        <w:t>ource</w:t>
      </w:r>
      <w:proofErr w:type="spellEnd"/>
      <w:r w:rsidRPr="00CF33D9">
        <w:rPr>
          <w:rFonts w:ascii="Arial" w:hAnsi="Arial" w:cs="Arial"/>
          <w:sz w:val="20"/>
          <w:szCs w:val="20"/>
        </w:rPr>
        <w:t xml:space="preserve"> of nutrients in eastern </w:t>
      </w:r>
      <w:proofErr w:type="spellStart"/>
      <w:r w:rsidRPr="00CF33D9">
        <w:rPr>
          <w:rFonts w:ascii="Arial" w:hAnsi="Arial" w:cs="Arial"/>
          <w:sz w:val="20"/>
          <w:szCs w:val="20"/>
        </w:rPr>
        <w:t>himalayan</w:t>
      </w:r>
      <w:proofErr w:type="spellEnd"/>
      <w:r w:rsidRPr="00CF33D9">
        <w:rPr>
          <w:rFonts w:ascii="Arial" w:hAnsi="Arial" w:cs="Arial"/>
          <w:sz w:val="20"/>
          <w:szCs w:val="20"/>
        </w:rPr>
        <w:t xml:space="preserve"> region, India. International Journal of Plant Production, 7(2), 167–186. </w:t>
      </w:r>
      <w:hyperlink r:id="rId11" w:history="1">
        <w:r w:rsidRPr="00CF33D9">
          <w:rPr>
            <w:rStyle w:val="Hyperlink"/>
            <w:rFonts w:ascii="Arial" w:hAnsi="Arial" w:cs="Arial"/>
            <w:sz w:val="20"/>
            <w:szCs w:val="20"/>
          </w:rPr>
          <w:t>https://doi.org/10.22069/ijpp.2012.981</w:t>
        </w:r>
      </w:hyperlink>
      <w:r w:rsidRPr="00CF33D9">
        <w:rPr>
          <w:rFonts w:ascii="Arial" w:hAnsi="Arial" w:cs="Arial"/>
          <w:sz w:val="20"/>
          <w:szCs w:val="20"/>
        </w:rPr>
        <w:t xml:space="preserve"> </w:t>
      </w:r>
    </w:p>
    <w:p w14:paraId="7A567C9F" w14:textId="593C0A3F" w:rsidR="00CC5783" w:rsidRPr="00CF33D9" w:rsidRDefault="00040DB9" w:rsidP="00CF33D9">
      <w:pPr>
        <w:spacing w:line="240" w:lineRule="auto"/>
        <w:jc w:val="both"/>
        <w:rPr>
          <w:rFonts w:ascii="Arial" w:hAnsi="Arial" w:cs="Arial"/>
          <w:sz w:val="20"/>
          <w:szCs w:val="20"/>
        </w:rPr>
      </w:pPr>
      <w:r w:rsidRPr="00CF33D9">
        <w:rPr>
          <w:rFonts w:ascii="Arial" w:hAnsi="Arial" w:cs="Arial"/>
          <w:sz w:val="20"/>
          <w:szCs w:val="20"/>
        </w:rPr>
        <w:t xml:space="preserve">Das, B. K., Choudhury, B. H., &amp; Das, K. N. (2013). Effect of integration of fly ash with fertilizers and FYM on nutrient availability, yield and nutrient uptake of rice in </w:t>
      </w:r>
      <w:proofErr w:type="spellStart"/>
      <w:r w:rsidRPr="00CF33D9">
        <w:rPr>
          <w:rFonts w:ascii="Arial" w:hAnsi="Arial" w:cs="Arial"/>
          <w:sz w:val="20"/>
          <w:szCs w:val="20"/>
        </w:rPr>
        <w:t>Inceptisols</w:t>
      </w:r>
      <w:proofErr w:type="spellEnd"/>
      <w:r w:rsidRPr="00CF33D9">
        <w:rPr>
          <w:rFonts w:ascii="Arial" w:hAnsi="Arial" w:cs="Arial"/>
          <w:sz w:val="20"/>
          <w:szCs w:val="20"/>
        </w:rPr>
        <w:t xml:space="preserve"> of Assam, India. International Journal of Advancements in Research and Technology, 2(11), 190–208. </w:t>
      </w:r>
      <w:hyperlink r:id="rId12" w:history="1">
        <w:r w:rsidRPr="00CF33D9">
          <w:rPr>
            <w:rStyle w:val="Hyperlink"/>
            <w:rFonts w:ascii="Arial" w:hAnsi="Arial" w:cs="Arial"/>
            <w:sz w:val="20"/>
            <w:szCs w:val="20"/>
          </w:rPr>
          <w:t>http://www.ijoart.org/currentIssue.html</w:t>
        </w:r>
      </w:hyperlink>
      <w:r w:rsidRPr="00CF33D9">
        <w:rPr>
          <w:rFonts w:ascii="Arial" w:hAnsi="Arial" w:cs="Arial"/>
          <w:sz w:val="20"/>
          <w:szCs w:val="20"/>
        </w:rPr>
        <w:t xml:space="preserve"> </w:t>
      </w:r>
      <w:r w:rsidR="00CC5783" w:rsidRPr="00CF33D9">
        <w:rPr>
          <w:rFonts w:ascii="Arial" w:hAnsi="Arial" w:cs="Arial"/>
          <w:sz w:val="20"/>
          <w:szCs w:val="20"/>
        </w:rPr>
        <w:t>.</w:t>
      </w:r>
    </w:p>
    <w:p w14:paraId="62F7CE94"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Dhaliwal, S. S., Manchanda, J. S., Walia, S. S., &amp; Dhaliwal, M. K. (2013). Differential response of manures in transformation of DTPA, zinc and iron in transplanted rice. </w:t>
      </w:r>
      <w:r w:rsidRPr="00CF33D9">
        <w:rPr>
          <w:rFonts w:ascii="Arial" w:hAnsi="Arial" w:cs="Arial"/>
          <w:i/>
          <w:iCs/>
          <w:sz w:val="20"/>
          <w:szCs w:val="20"/>
        </w:rPr>
        <w:t>International Journal of Science and Environment, 2</w:t>
      </w:r>
      <w:r w:rsidRPr="00CF33D9">
        <w:rPr>
          <w:rFonts w:ascii="Arial" w:hAnsi="Arial" w:cs="Arial"/>
          <w:sz w:val="20"/>
          <w:szCs w:val="20"/>
        </w:rPr>
        <w:t>(3), 300–312.</w:t>
      </w:r>
    </w:p>
    <w:p w14:paraId="57BCF67B" w14:textId="7D90DAB4" w:rsidR="00CC5783" w:rsidRPr="00CF33D9" w:rsidRDefault="000A52AA" w:rsidP="00CF33D9">
      <w:pPr>
        <w:spacing w:line="240" w:lineRule="auto"/>
        <w:jc w:val="both"/>
        <w:rPr>
          <w:rFonts w:ascii="Arial" w:hAnsi="Arial" w:cs="Arial"/>
          <w:sz w:val="20"/>
          <w:szCs w:val="20"/>
        </w:rPr>
      </w:pPr>
      <w:r w:rsidRPr="00CF33D9">
        <w:rPr>
          <w:rFonts w:ascii="Arial" w:hAnsi="Arial" w:cs="Arial"/>
          <w:sz w:val="20"/>
          <w:szCs w:val="20"/>
        </w:rPr>
        <w:t xml:space="preserve">Gong, F., Wu, X., &amp; Wang, W. (2013). Comparative proteomic identification of embryo proteins associated with hydropriming induced rapid-germination of maize seeds. Plant Omics, 6(5), 333–339. </w:t>
      </w:r>
      <w:hyperlink r:id="rId13" w:history="1">
        <w:r w:rsidRPr="00CF33D9">
          <w:rPr>
            <w:rStyle w:val="Hyperlink"/>
            <w:rFonts w:ascii="Arial" w:hAnsi="Arial" w:cs="Arial"/>
            <w:sz w:val="20"/>
            <w:szCs w:val="20"/>
          </w:rPr>
          <w:t>http://www.pomics.com/6-5-333-339-2013.pdf</w:t>
        </w:r>
      </w:hyperlink>
      <w:r w:rsidRPr="00CF33D9">
        <w:rPr>
          <w:rFonts w:ascii="Arial" w:hAnsi="Arial" w:cs="Arial"/>
          <w:sz w:val="20"/>
          <w:szCs w:val="20"/>
        </w:rPr>
        <w:t xml:space="preserve"> </w:t>
      </w:r>
    </w:p>
    <w:p w14:paraId="0748AA0C"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Hareesh, K. K. (2014). </w:t>
      </w:r>
      <w:r w:rsidRPr="00CF33D9">
        <w:rPr>
          <w:rFonts w:ascii="Arial" w:hAnsi="Arial" w:cs="Arial"/>
          <w:i/>
          <w:iCs/>
          <w:sz w:val="20"/>
          <w:szCs w:val="20"/>
        </w:rPr>
        <w:t xml:space="preserve">Studies on seed priming in </w:t>
      </w:r>
      <w:proofErr w:type="spellStart"/>
      <w:r w:rsidRPr="00CF33D9">
        <w:rPr>
          <w:rFonts w:ascii="Arial" w:hAnsi="Arial" w:cs="Arial"/>
          <w:i/>
          <w:iCs/>
          <w:sz w:val="20"/>
          <w:szCs w:val="20"/>
        </w:rPr>
        <w:t>pigeonpea</w:t>
      </w:r>
      <w:proofErr w:type="spellEnd"/>
      <w:r w:rsidRPr="00CF33D9">
        <w:rPr>
          <w:rFonts w:ascii="Arial" w:hAnsi="Arial" w:cs="Arial"/>
          <w:i/>
          <w:iCs/>
          <w:sz w:val="20"/>
          <w:szCs w:val="20"/>
        </w:rPr>
        <w:t xml:space="preserve"> and chickpea</w:t>
      </w:r>
      <w:r w:rsidRPr="00CF33D9">
        <w:rPr>
          <w:rFonts w:ascii="Arial" w:hAnsi="Arial" w:cs="Arial"/>
          <w:sz w:val="20"/>
          <w:szCs w:val="20"/>
        </w:rPr>
        <w:t xml:space="preserve"> (M.Sc. (Agri.) Thesis). University of Agricultural Sciences, Raichur, India.</w:t>
      </w:r>
    </w:p>
    <w:p w14:paraId="09B04E47" w14:textId="6CE2FD68" w:rsidR="00CC5783" w:rsidRPr="00CF33D9" w:rsidRDefault="00F8635D" w:rsidP="00CF33D9">
      <w:pPr>
        <w:spacing w:line="240" w:lineRule="auto"/>
        <w:jc w:val="both"/>
        <w:rPr>
          <w:rFonts w:ascii="Arial" w:hAnsi="Arial" w:cs="Arial"/>
          <w:sz w:val="20"/>
          <w:szCs w:val="20"/>
        </w:rPr>
      </w:pPr>
      <w:proofErr w:type="spellStart"/>
      <w:r w:rsidRPr="00CF33D9">
        <w:rPr>
          <w:rFonts w:ascii="Arial" w:hAnsi="Arial" w:cs="Arial"/>
          <w:sz w:val="20"/>
          <w:szCs w:val="20"/>
        </w:rPr>
        <w:t>Ikeura</w:t>
      </w:r>
      <w:proofErr w:type="spellEnd"/>
      <w:r w:rsidRPr="00CF33D9">
        <w:rPr>
          <w:rFonts w:ascii="Arial" w:hAnsi="Arial" w:cs="Arial"/>
          <w:sz w:val="20"/>
          <w:szCs w:val="20"/>
        </w:rPr>
        <w:t xml:space="preserve">, H., Kobayashi, F., &amp; Tamaki, M. (2014). Hydropriming treatment of rice seeds with microbubble water. Journal of Agricultural Science, 6(6), 189–195. </w:t>
      </w:r>
      <w:hyperlink r:id="rId14" w:history="1">
        <w:r w:rsidRPr="00CF33D9">
          <w:rPr>
            <w:rStyle w:val="Hyperlink"/>
            <w:rFonts w:ascii="Arial" w:hAnsi="Arial" w:cs="Arial"/>
            <w:sz w:val="20"/>
            <w:szCs w:val="20"/>
          </w:rPr>
          <w:t>https://doi.org/10.5539/jas.v6n6p189</w:t>
        </w:r>
      </w:hyperlink>
      <w:r w:rsidRPr="00CF33D9">
        <w:rPr>
          <w:rFonts w:ascii="Arial" w:hAnsi="Arial" w:cs="Arial"/>
          <w:sz w:val="20"/>
          <w:szCs w:val="20"/>
        </w:rPr>
        <w:t xml:space="preserve"> </w:t>
      </w:r>
    </w:p>
    <w:p w14:paraId="4BB7AAF2"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Jaga, P. K., &amp; Upadhyay, V. B. (2013). Effect of integrated nutrient management on wheat. </w:t>
      </w:r>
      <w:r w:rsidRPr="00CF33D9">
        <w:rPr>
          <w:rFonts w:ascii="Arial" w:hAnsi="Arial" w:cs="Arial"/>
          <w:i/>
          <w:iCs/>
          <w:sz w:val="20"/>
          <w:szCs w:val="20"/>
        </w:rPr>
        <w:t>Innovare Journal of Agricultural Sciences, 1</w:t>
      </w:r>
      <w:r w:rsidRPr="00CF33D9">
        <w:rPr>
          <w:rFonts w:ascii="Arial" w:hAnsi="Arial" w:cs="Arial"/>
          <w:sz w:val="20"/>
          <w:szCs w:val="20"/>
        </w:rPr>
        <w:t>(1), 1–3.</w:t>
      </w:r>
    </w:p>
    <w:p w14:paraId="6025E5BF" w14:textId="65B2F59F" w:rsidR="00CC5783" w:rsidRPr="00CF33D9" w:rsidRDefault="006B302A" w:rsidP="00CF33D9">
      <w:pPr>
        <w:spacing w:line="240" w:lineRule="auto"/>
        <w:jc w:val="both"/>
        <w:rPr>
          <w:rFonts w:ascii="Arial" w:hAnsi="Arial" w:cs="Arial"/>
          <w:sz w:val="20"/>
          <w:szCs w:val="20"/>
        </w:rPr>
      </w:pPr>
      <w:r w:rsidRPr="00CF33D9">
        <w:rPr>
          <w:rFonts w:ascii="Arial" w:hAnsi="Arial" w:cs="Arial"/>
          <w:sz w:val="20"/>
          <w:szCs w:val="20"/>
        </w:rPr>
        <w:lastRenderedPageBreak/>
        <w:t xml:space="preserve">Nawaz, J., Hussain, M., Jabbar, A., Nadeem, G. A., Sajid, M., </w:t>
      </w:r>
      <w:proofErr w:type="spellStart"/>
      <w:r w:rsidRPr="00CF33D9">
        <w:rPr>
          <w:rFonts w:ascii="Arial" w:hAnsi="Arial" w:cs="Arial"/>
          <w:sz w:val="20"/>
          <w:szCs w:val="20"/>
        </w:rPr>
        <w:t>Subtain</w:t>
      </w:r>
      <w:proofErr w:type="spellEnd"/>
      <w:r w:rsidRPr="00CF33D9">
        <w:rPr>
          <w:rFonts w:ascii="Arial" w:hAnsi="Arial" w:cs="Arial"/>
          <w:sz w:val="20"/>
          <w:szCs w:val="20"/>
        </w:rPr>
        <w:t xml:space="preserve">, M., &amp; Shabbir, I. (2013). Seed Priming A Technique. International Journal of Agriculture and Crop Sciences, 6(20), 1373–1381. </w:t>
      </w:r>
      <w:hyperlink r:id="rId15" w:history="1">
        <w:r w:rsidRPr="00CF33D9">
          <w:rPr>
            <w:rStyle w:val="Hyperlink"/>
            <w:rFonts w:ascii="Arial" w:hAnsi="Arial" w:cs="Arial"/>
            <w:sz w:val="20"/>
            <w:szCs w:val="20"/>
          </w:rPr>
          <w:t>https://www.researchgate.net/publication/305800000_Seed_Priming_A_Technique</w:t>
        </w:r>
      </w:hyperlink>
      <w:r w:rsidRPr="00CF33D9">
        <w:rPr>
          <w:rFonts w:ascii="Arial" w:hAnsi="Arial" w:cs="Arial"/>
          <w:sz w:val="20"/>
          <w:szCs w:val="20"/>
        </w:rPr>
        <w:t xml:space="preserve"> </w:t>
      </w:r>
      <w:r w:rsidR="00CC5783" w:rsidRPr="00CF33D9">
        <w:rPr>
          <w:rFonts w:ascii="Arial" w:hAnsi="Arial" w:cs="Arial"/>
          <w:sz w:val="20"/>
          <w:szCs w:val="20"/>
        </w:rPr>
        <w:t>.</w:t>
      </w:r>
    </w:p>
    <w:p w14:paraId="28EBB671" w14:textId="19877C5E" w:rsidR="00CC5783" w:rsidRPr="00CF33D9" w:rsidRDefault="00EE2EBE" w:rsidP="00CF33D9">
      <w:pPr>
        <w:spacing w:line="240" w:lineRule="auto"/>
        <w:jc w:val="both"/>
        <w:rPr>
          <w:rFonts w:ascii="Arial" w:hAnsi="Arial" w:cs="Arial"/>
          <w:sz w:val="20"/>
          <w:szCs w:val="20"/>
        </w:rPr>
      </w:pPr>
      <w:r w:rsidRPr="00CF33D9">
        <w:rPr>
          <w:rFonts w:ascii="Arial" w:hAnsi="Arial" w:cs="Arial"/>
          <w:sz w:val="20"/>
          <w:szCs w:val="20"/>
        </w:rPr>
        <w:t xml:space="preserve">Matsushima, K., &amp; Sakagami, J. (2013). Effects of Seed Hydropriming on Germination and Seedling </w:t>
      </w:r>
      <w:proofErr w:type="spellStart"/>
      <w:r w:rsidRPr="00CF33D9">
        <w:rPr>
          <w:rFonts w:ascii="Arial" w:hAnsi="Arial" w:cs="Arial"/>
          <w:sz w:val="20"/>
          <w:szCs w:val="20"/>
        </w:rPr>
        <w:t>Vigor</w:t>
      </w:r>
      <w:proofErr w:type="spellEnd"/>
      <w:r w:rsidRPr="00CF33D9">
        <w:rPr>
          <w:rFonts w:ascii="Arial" w:hAnsi="Arial" w:cs="Arial"/>
          <w:sz w:val="20"/>
          <w:szCs w:val="20"/>
        </w:rPr>
        <w:t xml:space="preserve"> during Emergence of Rice under Different Soil Moisture Conditions. American Journal of Plant Sciences. </w:t>
      </w:r>
      <w:hyperlink r:id="rId16" w:history="1">
        <w:r w:rsidRPr="00CF33D9">
          <w:rPr>
            <w:rStyle w:val="Hyperlink"/>
            <w:rFonts w:ascii="Arial" w:hAnsi="Arial" w:cs="Arial"/>
            <w:sz w:val="20"/>
            <w:szCs w:val="20"/>
          </w:rPr>
          <w:t>https://doi.org/10.4236/ajps.2013.48191</w:t>
        </w:r>
      </w:hyperlink>
      <w:r w:rsidRPr="00CF33D9">
        <w:rPr>
          <w:rFonts w:ascii="Arial" w:hAnsi="Arial" w:cs="Arial"/>
          <w:sz w:val="20"/>
          <w:szCs w:val="20"/>
        </w:rPr>
        <w:t xml:space="preserve"> </w:t>
      </w:r>
    </w:p>
    <w:p w14:paraId="75C2CFA9" w14:textId="64803286" w:rsidR="00CC5783" w:rsidRPr="00CF33D9" w:rsidRDefault="00275230" w:rsidP="00CF33D9">
      <w:pPr>
        <w:spacing w:line="240" w:lineRule="auto"/>
        <w:jc w:val="both"/>
        <w:rPr>
          <w:rFonts w:ascii="Arial" w:hAnsi="Arial" w:cs="Arial"/>
          <w:sz w:val="20"/>
          <w:szCs w:val="20"/>
        </w:rPr>
      </w:pPr>
      <w:proofErr w:type="spellStart"/>
      <w:r w:rsidRPr="00CF33D9">
        <w:rPr>
          <w:rFonts w:ascii="Arial" w:hAnsi="Arial" w:cs="Arial"/>
          <w:sz w:val="20"/>
          <w:szCs w:val="20"/>
        </w:rPr>
        <w:t>Alam</w:t>
      </w:r>
      <w:proofErr w:type="spellEnd"/>
      <w:r w:rsidRPr="00CF33D9">
        <w:rPr>
          <w:rFonts w:ascii="Arial" w:hAnsi="Arial" w:cs="Arial"/>
          <w:sz w:val="20"/>
          <w:szCs w:val="20"/>
        </w:rPr>
        <w:t xml:space="preserve">, M. K., Rahim, M. A., Rahman, M. H., &amp; </w:t>
      </w:r>
      <w:proofErr w:type="spellStart"/>
      <w:r w:rsidRPr="00CF33D9">
        <w:rPr>
          <w:rFonts w:ascii="Arial" w:hAnsi="Arial" w:cs="Arial"/>
          <w:sz w:val="20"/>
          <w:szCs w:val="20"/>
        </w:rPr>
        <w:t>Jahiruddin</w:t>
      </w:r>
      <w:proofErr w:type="spellEnd"/>
      <w:r w:rsidRPr="00CF33D9">
        <w:rPr>
          <w:rFonts w:ascii="Arial" w:hAnsi="Arial" w:cs="Arial"/>
          <w:sz w:val="20"/>
          <w:szCs w:val="20"/>
        </w:rPr>
        <w:t xml:space="preserve">, M. (2014). Effects of organic fertilizers on the seed germination and seedling vigour of tomato. In G. </w:t>
      </w:r>
      <w:proofErr w:type="spellStart"/>
      <w:r w:rsidRPr="00CF33D9">
        <w:rPr>
          <w:rFonts w:ascii="Arial" w:hAnsi="Arial" w:cs="Arial"/>
          <w:sz w:val="20"/>
          <w:szCs w:val="20"/>
        </w:rPr>
        <w:t>Rahmann</w:t>
      </w:r>
      <w:proofErr w:type="spellEnd"/>
      <w:r w:rsidRPr="00CF33D9">
        <w:rPr>
          <w:rFonts w:ascii="Arial" w:hAnsi="Arial" w:cs="Arial"/>
          <w:sz w:val="20"/>
          <w:szCs w:val="20"/>
        </w:rPr>
        <w:t xml:space="preserve"> &amp; U. Aksoy (Eds.), *Building Organic Bridges, </w:t>
      </w:r>
      <w:proofErr w:type="spellStart"/>
      <w:r w:rsidRPr="00CF33D9">
        <w:rPr>
          <w:rFonts w:ascii="Arial" w:hAnsi="Arial" w:cs="Arial"/>
          <w:sz w:val="20"/>
          <w:szCs w:val="20"/>
        </w:rPr>
        <w:t>Thuenen</w:t>
      </w:r>
      <w:proofErr w:type="spellEnd"/>
      <w:r w:rsidRPr="00CF33D9">
        <w:rPr>
          <w:rFonts w:ascii="Arial" w:hAnsi="Arial" w:cs="Arial"/>
          <w:sz w:val="20"/>
          <w:szCs w:val="20"/>
        </w:rPr>
        <w:t xml:space="preserve"> Report, no. 20* (pp. 49–52). Johann Heinrich von </w:t>
      </w:r>
      <w:proofErr w:type="spellStart"/>
      <w:r w:rsidRPr="00CF33D9">
        <w:rPr>
          <w:rFonts w:ascii="Arial" w:hAnsi="Arial" w:cs="Arial"/>
          <w:sz w:val="20"/>
          <w:szCs w:val="20"/>
        </w:rPr>
        <w:t>Thünen-Institut</w:t>
      </w:r>
      <w:proofErr w:type="spellEnd"/>
      <w:r w:rsidRPr="00CF33D9">
        <w:rPr>
          <w:rFonts w:ascii="Arial" w:hAnsi="Arial" w:cs="Arial"/>
          <w:sz w:val="20"/>
          <w:szCs w:val="20"/>
        </w:rPr>
        <w:t xml:space="preserve">. </w:t>
      </w:r>
      <w:hyperlink r:id="rId17" w:history="1">
        <w:r w:rsidRPr="00CF33D9">
          <w:rPr>
            <w:rStyle w:val="Hyperlink"/>
            <w:rFonts w:ascii="Arial" w:hAnsi="Arial" w:cs="Arial"/>
            <w:sz w:val="20"/>
            <w:szCs w:val="20"/>
          </w:rPr>
          <w:t>https://doi.org/10.3220/REP_20_1_2014</w:t>
        </w:r>
      </w:hyperlink>
      <w:r w:rsidRPr="00CF33D9">
        <w:rPr>
          <w:rFonts w:ascii="Arial" w:hAnsi="Arial" w:cs="Arial"/>
          <w:sz w:val="20"/>
          <w:szCs w:val="20"/>
        </w:rPr>
        <w:t xml:space="preserve"> </w:t>
      </w:r>
    </w:p>
    <w:p w14:paraId="4DA57297" w14:textId="1E344789" w:rsidR="00CC5783" w:rsidRPr="00CF33D9" w:rsidRDefault="001355AA" w:rsidP="00CF33D9">
      <w:pPr>
        <w:spacing w:line="240" w:lineRule="auto"/>
        <w:jc w:val="both"/>
        <w:rPr>
          <w:rFonts w:ascii="Arial" w:hAnsi="Arial" w:cs="Arial"/>
          <w:sz w:val="20"/>
          <w:szCs w:val="20"/>
        </w:rPr>
      </w:pPr>
      <w:r w:rsidRPr="00CF33D9">
        <w:rPr>
          <w:rFonts w:ascii="Arial" w:hAnsi="Arial" w:cs="Arial"/>
          <w:sz w:val="20"/>
          <w:szCs w:val="20"/>
        </w:rPr>
        <w:t xml:space="preserve">Mohanty, I., Senapati, M. R., Jena, D., &amp; </w:t>
      </w:r>
      <w:proofErr w:type="spellStart"/>
      <w:r w:rsidRPr="00CF33D9">
        <w:rPr>
          <w:rFonts w:ascii="Arial" w:hAnsi="Arial" w:cs="Arial"/>
          <w:sz w:val="20"/>
          <w:szCs w:val="20"/>
        </w:rPr>
        <w:t>Palai</w:t>
      </w:r>
      <w:proofErr w:type="spellEnd"/>
      <w:r w:rsidRPr="00CF33D9">
        <w:rPr>
          <w:rFonts w:ascii="Arial" w:hAnsi="Arial" w:cs="Arial"/>
          <w:sz w:val="20"/>
          <w:szCs w:val="20"/>
        </w:rPr>
        <w:t xml:space="preserve">, S. (2014). Diversified uses of cow urine. International Journal of Pharmacy and Pharmaceutical Sciences, 6(3), 20–22. </w:t>
      </w:r>
      <w:hyperlink r:id="rId18" w:history="1">
        <w:r w:rsidRPr="00CF33D9">
          <w:rPr>
            <w:rStyle w:val="Hyperlink"/>
            <w:rFonts w:ascii="Arial" w:hAnsi="Arial" w:cs="Arial"/>
            <w:sz w:val="20"/>
            <w:szCs w:val="20"/>
          </w:rPr>
          <w:t>https://journals.innovareacademics.in</w:t>
        </w:r>
      </w:hyperlink>
      <w:r w:rsidRPr="00CF33D9">
        <w:rPr>
          <w:rFonts w:ascii="Arial" w:hAnsi="Arial" w:cs="Arial"/>
          <w:sz w:val="20"/>
          <w:szCs w:val="20"/>
        </w:rPr>
        <w:t xml:space="preserve"> </w:t>
      </w:r>
    </w:p>
    <w:p w14:paraId="5F29EFC8"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Nagarajaiah, L. S. (2014). </w:t>
      </w:r>
      <w:r w:rsidRPr="00CF33D9">
        <w:rPr>
          <w:rFonts w:ascii="Arial" w:hAnsi="Arial" w:cs="Arial"/>
          <w:i/>
          <w:iCs/>
          <w:sz w:val="20"/>
          <w:szCs w:val="20"/>
        </w:rPr>
        <w:t>Studies on seed priming in paddy and sorghum</w:t>
      </w:r>
      <w:r w:rsidRPr="00CF33D9">
        <w:rPr>
          <w:rFonts w:ascii="Arial" w:hAnsi="Arial" w:cs="Arial"/>
          <w:sz w:val="20"/>
          <w:szCs w:val="20"/>
        </w:rPr>
        <w:t xml:space="preserve"> (M.Sc. (Agri.) Thesis). University of Agricultural Sciences, Raichur, India.</w:t>
      </w:r>
    </w:p>
    <w:p w14:paraId="66E0BF32"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Nethra, N. (2013). </w:t>
      </w:r>
      <w:r w:rsidRPr="00CF33D9">
        <w:rPr>
          <w:rFonts w:ascii="Arial" w:hAnsi="Arial" w:cs="Arial"/>
          <w:i/>
          <w:iCs/>
          <w:sz w:val="20"/>
          <w:szCs w:val="20"/>
        </w:rPr>
        <w:t>Electrophoresis – principles and uses</w:t>
      </w:r>
      <w:r w:rsidRPr="00CF33D9">
        <w:rPr>
          <w:rFonts w:ascii="Arial" w:hAnsi="Arial" w:cs="Arial"/>
          <w:sz w:val="20"/>
          <w:szCs w:val="20"/>
        </w:rPr>
        <w:t>. National Seed Project, GKVK Bangalore.</w:t>
      </w:r>
    </w:p>
    <w:p w14:paraId="5713BE73" w14:textId="672A6110" w:rsidR="00CC5783" w:rsidRPr="00CF33D9" w:rsidRDefault="001836C1" w:rsidP="00CF33D9">
      <w:pPr>
        <w:spacing w:line="240" w:lineRule="auto"/>
        <w:jc w:val="both"/>
        <w:rPr>
          <w:rFonts w:ascii="Arial" w:hAnsi="Arial" w:cs="Arial"/>
          <w:sz w:val="20"/>
          <w:szCs w:val="20"/>
        </w:rPr>
      </w:pPr>
      <w:proofErr w:type="spellStart"/>
      <w:r w:rsidRPr="00CF33D9">
        <w:rPr>
          <w:rFonts w:ascii="Arial" w:hAnsi="Arial" w:cs="Arial"/>
          <w:sz w:val="20"/>
          <w:szCs w:val="20"/>
        </w:rPr>
        <w:t>Shekarriz</w:t>
      </w:r>
      <w:proofErr w:type="spellEnd"/>
      <w:r w:rsidRPr="00CF33D9">
        <w:rPr>
          <w:rFonts w:ascii="Arial" w:hAnsi="Arial" w:cs="Arial"/>
          <w:sz w:val="20"/>
          <w:szCs w:val="20"/>
        </w:rPr>
        <w:t xml:space="preserve">, P., </w:t>
      </w:r>
      <w:proofErr w:type="spellStart"/>
      <w:r w:rsidRPr="00CF33D9">
        <w:rPr>
          <w:rFonts w:ascii="Arial" w:hAnsi="Arial" w:cs="Arial"/>
          <w:sz w:val="20"/>
          <w:szCs w:val="20"/>
        </w:rPr>
        <w:t>Kafi</w:t>
      </w:r>
      <w:proofErr w:type="spellEnd"/>
      <w:r w:rsidRPr="00CF33D9">
        <w:rPr>
          <w:rFonts w:ascii="Arial" w:hAnsi="Arial" w:cs="Arial"/>
          <w:sz w:val="20"/>
          <w:szCs w:val="20"/>
        </w:rPr>
        <w:t xml:space="preserve">, M., </w:t>
      </w:r>
      <w:proofErr w:type="spellStart"/>
      <w:r w:rsidRPr="00CF33D9">
        <w:rPr>
          <w:rFonts w:ascii="Arial" w:hAnsi="Arial" w:cs="Arial"/>
          <w:sz w:val="20"/>
          <w:szCs w:val="20"/>
        </w:rPr>
        <w:t>Dianati</w:t>
      </w:r>
      <w:proofErr w:type="spellEnd"/>
      <w:r w:rsidRPr="00CF33D9">
        <w:rPr>
          <w:rFonts w:ascii="Arial" w:hAnsi="Arial" w:cs="Arial"/>
          <w:sz w:val="20"/>
          <w:szCs w:val="20"/>
        </w:rPr>
        <w:t xml:space="preserve"> </w:t>
      </w:r>
      <w:proofErr w:type="spellStart"/>
      <w:r w:rsidRPr="00CF33D9">
        <w:rPr>
          <w:rFonts w:ascii="Arial" w:hAnsi="Arial" w:cs="Arial"/>
          <w:sz w:val="20"/>
          <w:szCs w:val="20"/>
        </w:rPr>
        <w:t>Deilamy</w:t>
      </w:r>
      <w:proofErr w:type="spellEnd"/>
      <w:r w:rsidRPr="00CF33D9">
        <w:rPr>
          <w:rFonts w:ascii="Arial" w:hAnsi="Arial" w:cs="Arial"/>
          <w:sz w:val="20"/>
          <w:szCs w:val="20"/>
        </w:rPr>
        <w:t xml:space="preserve">, S., &amp; </w:t>
      </w:r>
      <w:proofErr w:type="spellStart"/>
      <w:r w:rsidRPr="00CF33D9">
        <w:rPr>
          <w:rFonts w:ascii="Arial" w:hAnsi="Arial" w:cs="Arial"/>
          <w:sz w:val="20"/>
          <w:szCs w:val="20"/>
        </w:rPr>
        <w:t>Mirmasoumi</w:t>
      </w:r>
      <w:proofErr w:type="spellEnd"/>
      <w:r w:rsidRPr="00CF33D9">
        <w:rPr>
          <w:rFonts w:ascii="Arial" w:hAnsi="Arial" w:cs="Arial"/>
          <w:sz w:val="20"/>
          <w:szCs w:val="20"/>
        </w:rPr>
        <w:t xml:space="preserve">, M. (2014). Coconut Water and Peptone Improve Seed Germination and Protocorm Like Body Formation of Hybrid Phalaenopsis. *Agriculture Science Developments*, *3*(10), 317–322. </w:t>
      </w:r>
    </w:p>
    <w:p w14:paraId="2B7E2116" w14:textId="2AEA74AB" w:rsidR="00CC5783" w:rsidRPr="00CF33D9" w:rsidRDefault="001836C1" w:rsidP="00CF33D9">
      <w:pPr>
        <w:spacing w:line="240" w:lineRule="auto"/>
        <w:jc w:val="both"/>
        <w:rPr>
          <w:rFonts w:ascii="Arial" w:hAnsi="Arial" w:cs="Arial"/>
          <w:sz w:val="20"/>
          <w:szCs w:val="20"/>
        </w:rPr>
      </w:pPr>
      <w:r w:rsidRPr="00CF33D9">
        <w:rPr>
          <w:rFonts w:ascii="Arial" w:hAnsi="Arial" w:cs="Arial"/>
          <w:sz w:val="20"/>
          <w:szCs w:val="20"/>
          <w:lang w:val="nn-NO"/>
        </w:rPr>
        <w:t xml:space="preserve">Hamidi, R., Pirasteh-Anosheh, H., &amp; Izadi, M. (2013). Effect of Seed Halo-priming Compared with Hydro-priming on wheat Germination and Growth. International Journal of Agronomy and Plant Production, 4(7), 1611–1615. </w:t>
      </w:r>
      <w:hyperlink r:id="rId19" w:history="1">
        <w:r w:rsidRPr="00CF33D9">
          <w:rPr>
            <w:rStyle w:val="Hyperlink"/>
            <w:rFonts w:ascii="Arial" w:hAnsi="Arial" w:cs="Arial"/>
            <w:sz w:val="20"/>
            <w:szCs w:val="20"/>
            <w:lang w:val="nn-NO"/>
          </w:rPr>
          <w:t>https://www.cabidigitallibrary.org/doi/10.5555/20143090002</w:t>
        </w:r>
      </w:hyperlink>
      <w:r w:rsidRPr="00CF33D9">
        <w:rPr>
          <w:rFonts w:ascii="Arial" w:hAnsi="Arial" w:cs="Arial"/>
          <w:sz w:val="20"/>
          <w:szCs w:val="20"/>
          <w:lang w:val="nn-NO"/>
        </w:rPr>
        <w:t xml:space="preserve"> </w:t>
      </w:r>
      <w:r w:rsidR="00CC5783" w:rsidRPr="00CF33D9">
        <w:rPr>
          <w:rFonts w:ascii="Arial" w:hAnsi="Arial" w:cs="Arial"/>
          <w:sz w:val="20"/>
          <w:szCs w:val="20"/>
        </w:rPr>
        <w:t>.</w:t>
      </w:r>
    </w:p>
    <w:p w14:paraId="20C824A2" w14:textId="5C96C386" w:rsidR="00CC5783" w:rsidRPr="00CF33D9" w:rsidRDefault="00EB1BDA" w:rsidP="00CF33D9">
      <w:pPr>
        <w:spacing w:line="240" w:lineRule="auto"/>
        <w:jc w:val="both"/>
        <w:rPr>
          <w:rFonts w:ascii="Arial" w:hAnsi="Arial" w:cs="Arial"/>
          <w:sz w:val="20"/>
          <w:szCs w:val="20"/>
        </w:rPr>
      </w:pPr>
      <w:r w:rsidRPr="00CF33D9">
        <w:rPr>
          <w:rFonts w:ascii="Arial" w:hAnsi="Arial" w:cs="Arial"/>
          <w:sz w:val="20"/>
          <w:szCs w:val="20"/>
        </w:rPr>
        <w:t xml:space="preserve">Ravikumar, R., </w:t>
      </w:r>
      <w:proofErr w:type="spellStart"/>
      <w:r w:rsidRPr="00CF33D9">
        <w:rPr>
          <w:rFonts w:ascii="Arial" w:hAnsi="Arial" w:cs="Arial"/>
          <w:sz w:val="20"/>
          <w:szCs w:val="20"/>
        </w:rPr>
        <w:t>Palanichamy</w:t>
      </w:r>
      <w:proofErr w:type="spellEnd"/>
      <w:r w:rsidRPr="00CF33D9">
        <w:rPr>
          <w:rFonts w:ascii="Arial" w:hAnsi="Arial" w:cs="Arial"/>
          <w:sz w:val="20"/>
          <w:szCs w:val="20"/>
        </w:rPr>
        <w:t xml:space="preserve">, N. V., &amp; </w:t>
      </w:r>
      <w:proofErr w:type="spellStart"/>
      <w:r w:rsidRPr="00CF33D9">
        <w:rPr>
          <w:rFonts w:ascii="Arial" w:hAnsi="Arial" w:cs="Arial"/>
          <w:sz w:val="20"/>
          <w:szCs w:val="20"/>
        </w:rPr>
        <w:t>Kaarthik</w:t>
      </w:r>
      <w:proofErr w:type="spellEnd"/>
      <w:r w:rsidRPr="00CF33D9">
        <w:rPr>
          <w:rFonts w:ascii="Arial" w:hAnsi="Arial" w:cs="Arial"/>
          <w:sz w:val="20"/>
          <w:szCs w:val="20"/>
        </w:rPr>
        <w:t xml:space="preserve">, G. M. (2014). Usage of </w:t>
      </w:r>
      <w:proofErr w:type="spellStart"/>
      <w:r w:rsidRPr="00CF33D9">
        <w:rPr>
          <w:rFonts w:ascii="Arial" w:hAnsi="Arial" w:cs="Arial"/>
          <w:sz w:val="20"/>
          <w:szCs w:val="20"/>
        </w:rPr>
        <w:t>Fym</w:t>
      </w:r>
      <w:proofErr w:type="spellEnd"/>
      <w:r w:rsidRPr="00CF33D9">
        <w:rPr>
          <w:rFonts w:ascii="Arial" w:hAnsi="Arial" w:cs="Arial"/>
          <w:sz w:val="20"/>
          <w:szCs w:val="20"/>
        </w:rPr>
        <w:t xml:space="preserve"> and Its Impact on Rice Productivity: Empirical Evidence from Tamil Nadu, India. European Journal of Business and Management, 6(31), 195–199. </w:t>
      </w:r>
      <w:hyperlink r:id="rId20" w:history="1">
        <w:r w:rsidRPr="00CF33D9">
          <w:rPr>
            <w:rStyle w:val="Hyperlink"/>
            <w:rFonts w:ascii="Arial" w:hAnsi="Arial" w:cs="Arial"/>
            <w:sz w:val="20"/>
            <w:szCs w:val="20"/>
          </w:rPr>
          <w:t>https://www.iiste.org/Journals/index.php/EJBM/issue/view/1400</w:t>
        </w:r>
      </w:hyperlink>
      <w:r w:rsidRPr="00CF33D9">
        <w:rPr>
          <w:rFonts w:ascii="Arial" w:hAnsi="Arial" w:cs="Arial"/>
          <w:sz w:val="20"/>
          <w:szCs w:val="20"/>
        </w:rPr>
        <w:t xml:space="preserve"> </w:t>
      </w:r>
    </w:p>
    <w:p w14:paraId="393213F3" w14:textId="0865F201" w:rsidR="00CC5783" w:rsidRPr="00CF33D9" w:rsidRDefault="001B1A30" w:rsidP="00CF33D9">
      <w:pPr>
        <w:spacing w:line="240" w:lineRule="auto"/>
        <w:jc w:val="both"/>
        <w:rPr>
          <w:rFonts w:ascii="Arial" w:hAnsi="Arial" w:cs="Arial"/>
          <w:sz w:val="20"/>
          <w:szCs w:val="20"/>
        </w:rPr>
      </w:pPr>
      <w:r w:rsidRPr="00CF33D9">
        <w:rPr>
          <w:rFonts w:ascii="Arial" w:hAnsi="Arial" w:cs="Arial"/>
          <w:sz w:val="20"/>
          <w:szCs w:val="20"/>
        </w:rPr>
        <w:t xml:space="preserve">Singh, V., </w:t>
      </w:r>
      <w:proofErr w:type="spellStart"/>
      <w:r w:rsidRPr="00CF33D9">
        <w:rPr>
          <w:rFonts w:ascii="Arial" w:hAnsi="Arial" w:cs="Arial"/>
          <w:sz w:val="20"/>
          <w:szCs w:val="20"/>
        </w:rPr>
        <w:t>Gurupreet</w:t>
      </w:r>
      <w:proofErr w:type="spellEnd"/>
      <w:r w:rsidRPr="00CF33D9">
        <w:rPr>
          <w:rFonts w:ascii="Arial" w:hAnsi="Arial" w:cs="Arial"/>
          <w:sz w:val="20"/>
          <w:szCs w:val="20"/>
        </w:rPr>
        <w:t xml:space="preserve">, S., &amp; Verma, D. K. (2013). Organic foods: Benefits and market demand. Popular </w:t>
      </w:r>
      <w:proofErr w:type="spellStart"/>
      <w:r w:rsidRPr="00CF33D9">
        <w:rPr>
          <w:rFonts w:ascii="Arial" w:hAnsi="Arial" w:cs="Arial"/>
          <w:sz w:val="20"/>
          <w:szCs w:val="20"/>
        </w:rPr>
        <w:t>Kheti</w:t>
      </w:r>
      <w:proofErr w:type="spellEnd"/>
      <w:r w:rsidRPr="00CF33D9">
        <w:rPr>
          <w:rFonts w:ascii="Arial" w:hAnsi="Arial" w:cs="Arial"/>
          <w:sz w:val="20"/>
          <w:szCs w:val="20"/>
        </w:rPr>
        <w:t xml:space="preserve">, 1(4), 71–78. </w:t>
      </w:r>
      <w:hyperlink r:id="rId21" w:history="1">
        <w:r w:rsidRPr="00CF33D9">
          <w:rPr>
            <w:rStyle w:val="Hyperlink"/>
            <w:rFonts w:ascii="Arial" w:hAnsi="Arial" w:cs="Arial"/>
            <w:sz w:val="20"/>
            <w:szCs w:val="20"/>
          </w:rPr>
          <w:t>http://www.popularkheti.info/Archives-of-Contents</w:t>
        </w:r>
      </w:hyperlink>
      <w:r w:rsidRPr="00CF33D9">
        <w:rPr>
          <w:rFonts w:ascii="Arial" w:hAnsi="Arial" w:cs="Arial"/>
          <w:sz w:val="20"/>
          <w:szCs w:val="20"/>
        </w:rPr>
        <w:t xml:space="preserve"> </w:t>
      </w:r>
    </w:p>
    <w:p w14:paraId="5134147D" w14:textId="43535D00" w:rsidR="00CC5783" w:rsidRPr="00CF33D9" w:rsidRDefault="00315C7C" w:rsidP="00CF33D9">
      <w:pPr>
        <w:spacing w:line="240" w:lineRule="auto"/>
        <w:jc w:val="both"/>
        <w:rPr>
          <w:rFonts w:ascii="Arial" w:hAnsi="Arial" w:cs="Arial"/>
          <w:sz w:val="20"/>
          <w:szCs w:val="20"/>
        </w:rPr>
      </w:pPr>
      <w:proofErr w:type="spellStart"/>
      <w:r w:rsidRPr="00CF33D9">
        <w:rPr>
          <w:rFonts w:ascii="Arial" w:hAnsi="Arial" w:cs="Arial"/>
          <w:sz w:val="20"/>
          <w:szCs w:val="20"/>
        </w:rPr>
        <w:t>Sripathy</w:t>
      </w:r>
      <w:proofErr w:type="spellEnd"/>
      <w:r w:rsidRPr="00CF33D9">
        <w:rPr>
          <w:rFonts w:ascii="Arial" w:hAnsi="Arial" w:cs="Arial"/>
          <w:sz w:val="20"/>
          <w:szCs w:val="20"/>
        </w:rPr>
        <w:t xml:space="preserve">, K. V., </w:t>
      </w:r>
      <w:proofErr w:type="spellStart"/>
      <w:r w:rsidRPr="00CF33D9">
        <w:rPr>
          <w:rFonts w:ascii="Arial" w:hAnsi="Arial" w:cs="Arial"/>
          <w:sz w:val="20"/>
          <w:szCs w:val="20"/>
        </w:rPr>
        <w:t>Hosamani</w:t>
      </w:r>
      <w:proofErr w:type="spellEnd"/>
      <w:r w:rsidRPr="00CF33D9">
        <w:rPr>
          <w:rFonts w:ascii="Arial" w:hAnsi="Arial" w:cs="Arial"/>
          <w:sz w:val="20"/>
          <w:szCs w:val="20"/>
        </w:rPr>
        <w:t xml:space="preserve">, J., </w:t>
      </w:r>
      <w:proofErr w:type="spellStart"/>
      <w:r w:rsidRPr="00CF33D9">
        <w:rPr>
          <w:rFonts w:ascii="Arial" w:hAnsi="Arial" w:cs="Arial"/>
          <w:sz w:val="20"/>
          <w:szCs w:val="20"/>
        </w:rPr>
        <w:t>Bellundagi</w:t>
      </w:r>
      <w:proofErr w:type="spellEnd"/>
      <w:r w:rsidRPr="00CF33D9">
        <w:rPr>
          <w:rFonts w:ascii="Arial" w:hAnsi="Arial" w:cs="Arial"/>
          <w:sz w:val="20"/>
          <w:szCs w:val="20"/>
        </w:rPr>
        <w:t>, A., &amp; Prabhakar, I. (2012). Organic seed production. Environment &amp; Ecology, 30(1), 102–105.</w:t>
      </w:r>
    </w:p>
    <w:p w14:paraId="5602D6A0" w14:textId="78C4E95B" w:rsidR="00CC5783" w:rsidRPr="00CF33D9" w:rsidRDefault="004C1416" w:rsidP="00CF33D9">
      <w:pPr>
        <w:spacing w:line="240" w:lineRule="auto"/>
        <w:jc w:val="both"/>
        <w:rPr>
          <w:rFonts w:ascii="Arial" w:hAnsi="Arial" w:cs="Arial"/>
          <w:sz w:val="20"/>
          <w:szCs w:val="20"/>
        </w:rPr>
      </w:pPr>
      <w:r w:rsidRPr="00CF33D9">
        <w:rPr>
          <w:rFonts w:ascii="Arial" w:hAnsi="Arial" w:cs="Arial"/>
          <w:sz w:val="20"/>
          <w:szCs w:val="20"/>
        </w:rPr>
        <w:t xml:space="preserve">Svetlana, B., </w:t>
      </w:r>
      <w:proofErr w:type="spellStart"/>
      <w:r w:rsidRPr="00CF33D9">
        <w:rPr>
          <w:rFonts w:ascii="Arial" w:hAnsi="Arial" w:cs="Arial"/>
          <w:sz w:val="20"/>
          <w:szCs w:val="20"/>
        </w:rPr>
        <w:t>Tubic</w:t>
      </w:r>
      <w:proofErr w:type="spellEnd"/>
      <w:r w:rsidRPr="00CF33D9">
        <w:rPr>
          <w:rFonts w:ascii="Arial" w:hAnsi="Arial" w:cs="Arial"/>
          <w:sz w:val="20"/>
          <w:szCs w:val="20"/>
        </w:rPr>
        <w:t xml:space="preserve">, M., &amp; </w:t>
      </w:r>
      <w:proofErr w:type="spellStart"/>
      <w:r w:rsidRPr="00CF33D9">
        <w:rPr>
          <w:rFonts w:ascii="Arial" w:hAnsi="Arial" w:cs="Arial"/>
          <w:sz w:val="20"/>
          <w:szCs w:val="20"/>
        </w:rPr>
        <w:t>Tatic</w:t>
      </w:r>
      <w:proofErr w:type="spellEnd"/>
      <w:r w:rsidRPr="00CF33D9">
        <w:rPr>
          <w:rFonts w:ascii="Arial" w:hAnsi="Arial" w:cs="Arial"/>
          <w:sz w:val="20"/>
          <w:szCs w:val="20"/>
        </w:rPr>
        <w:t xml:space="preserve">. (2013). Seed ageing in field and vegetable crops. Journal of Field and Vegetable Crops, 30, 87–97. </w:t>
      </w:r>
      <w:hyperlink r:id="rId22" w:history="1">
        <w:r w:rsidRPr="00CF33D9">
          <w:rPr>
            <w:rStyle w:val="Hyperlink"/>
            <w:rFonts w:ascii="Arial" w:hAnsi="Arial" w:cs="Arial"/>
            <w:sz w:val="20"/>
            <w:szCs w:val="20"/>
          </w:rPr>
          <w:t>https://ifvcns.rs/ratarstvo-i-povrtarstvo/archive/</w:t>
        </w:r>
      </w:hyperlink>
      <w:r w:rsidRPr="00CF33D9">
        <w:rPr>
          <w:rFonts w:ascii="Arial" w:hAnsi="Arial" w:cs="Arial"/>
          <w:sz w:val="20"/>
          <w:szCs w:val="20"/>
        </w:rPr>
        <w:t xml:space="preserve"> </w:t>
      </w:r>
    </w:p>
    <w:p w14:paraId="45F0A273" w14:textId="77777777" w:rsidR="00CC5783" w:rsidRPr="00CF33D9" w:rsidRDefault="00CC5783" w:rsidP="00CF33D9">
      <w:pPr>
        <w:spacing w:line="240" w:lineRule="auto"/>
        <w:jc w:val="both"/>
        <w:rPr>
          <w:rFonts w:ascii="Arial" w:hAnsi="Arial" w:cs="Arial"/>
          <w:sz w:val="20"/>
          <w:szCs w:val="20"/>
        </w:rPr>
      </w:pPr>
      <w:proofErr w:type="spellStart"/>
      <w:r w:rsidRPr="00CF33D9">
        <w:rPr>
          <w:rFonts w:ascii="Arial" w:hAnsi="Arial" w:cs="Arial"/>
          <w:sz w:val="20"/>
          <w:szCs w:val="20"/>
        </w:rPr>
        <w:t>Tejeswara</w:t>
      </w:r>
      <w:proofErr w:type="spellEnd"/>
      <w:r w:rsidRPr="00CF33D9">
        <w:rPr>
          <w:rFonts w:ascii="Arial" w:hAnsi="Arial" w:cs="Arial"/>
          <w:sz w:val="20"/>
          <w:szCs w:val="20"/>
        </w:rPr>
        <w:t xml:space="preserve">, R. K., Upendra, R. A., &amp; </w:t>
      </w:r>
      <w:proofErr w:type="spellStart"/>
      <w:r w:rsidRPr="00CF33D9">
        <w:rPr>
          <w:rFonts w:ascii="Arial" w:hAnsi="Arial" w:cs="Arial"/>
          <w:sz w:val="20"/>
          <w:szCs w:val="20"/>
        </w:rPr>
        <w:t>Srinivasula</w:t>
      </w:r>
      <w:proofErr w:type="spellEnd"/>
      <w:r w:rsidRPr="00CF33D9">
        <w:rPr>
          <w:rFonts w:ascii="Arial" w:hAnsi="Arial" w:cs="Arial"/>
          <w:sz w:val="20"/>
          <w:szCs w:val="20"/>
        </w:rPr>
        <w:t xml:space="preserve"> Reddy. (2013). Residual effect of organic manures on growth, yield and economics of green gram. </w:t>
      </w:r>
      <w:r w:rsidRPr="00CF33D9">
        <w:rPr>
          <w:rFonts w:ascii="Arial" w:hAnsi="Arial" w:cs="Arial"/>
          <w:i/>
          <w:iCs/>
          <w:sz w:val="20"/>
          <w:szCs w:val="20"/>
        </w:rPr>
        <w:t>International Journal of Agricultural Sciences, 9</w:t>
      </w:r>
      <w:r w:rsidRPr="00CF33D9">
        <w:rPr>
          <w:rFonts w:ascii="Arial" w:hAnsi="Arial" w:cs="Arial"/>
          <w:sz w:val="20"/>
          <w:szCs w:val="20"/>
        </w:rPr>
        <w:t>(1), 275–279.</w:t>
      </w:r>
    </w:p>
    <w:p w14:paraId="3B94E5F4" w14:textId="4DF134C9" w:rsidR="00CC5783" w:rsidRPr="00CF33D9" w:rsidRDefault="004C1416" w:rsidP="00CF33D9">
      <w:pPr>
        <w:spacing w:line="240" w:lineRule="auto"/>
        <w:jc w:val="both"/>
        <w:rPr>
          <w:rFonts w:ascii="Arial" w:hAnsi="Arial" w:cs="Arial"/>
          <w:sz w:val="20"/>
          <w:szCs w:val="20"/>
        </w:rPr>
      </w:pPr>
      <w:proofErr w:type="spellStart"/>
      <w:r w:rsidRPr="00CF33D9">
        <w:rPr>
          <w:rFonts w:ascii="Arial" w:hAnsi="Arial" w:cs="Arial"/>
          <w:sz w:val="20"/>
          <w:szCs w:val="20"/>
        </w:rPr>
        <w:t>Tilahun</w:t>
      </w:r>
      <w:proofErr w:type="spellEnd"/>
      <w:r w:rsidRPr="00CF33D9">
        <w:rPr>
          <w:rFonts w:ascii="Arial" w:hAnsi="Arial" w:cs="Arial"/>
          <w:sz w:val="20"/>
          <w:szCs w:val="20"/>
        </w:rPr>
        <w:t xml:space="preserve">, T., </w:t>
      </w:r>
      <w:proofErr w:type="spellStart"/>
      <w:r w:rsidRPr="00CF33D9">
        <w:rPr>
          <w:rFonts w:ascii="Arial" w:hAnsi="Arial" w:cs="Arial"/>
          <w:sz w:val="20"/>
          <w:szCs w:val="20"/>
        </w:rPr>
        <w:t>Dechassa</w:t>
      </w:r>
      <w:proofErr w:type="spellEnd"/>
      <w:r w:rsidRPr="00CF33D9">
        <w:rPr>
          <w:rFonts w:ascii="Arial" w:hAnsi="Arial" w:cs="Arial"/>
          <w:sz w:val="20"/>
          <w:szCs w:val="20"/>
        </w:rPr>
        <w:t xml:space="preserve">, N., </w:t>
      </w:r>
      <w:proofErr w:type="spellStart"/>
      <w:r w:rsidRPr="00CF33D9">
        <w:rPr>
          <w:rFonts w:ascii="Arial" w:hAnsi="Arial" w:cs="Arial"/>
          <w:sz w:val="20"/>
          <w:szCs w:val="20"/>
        </w:rPr>
        <w:t>Bayu</w:t>
      </w:r>
      <w:proofErr w:type="spellEnd"/>
      <w:r w:rsidRPr="00CF33D9">
        <w:rPr>
          <w:rFonts w:ascii="Arial" w:hAnsi="Arial" w:cs="Arial"/>
          <w:sz w:val="20"/>
          <w:szCs w:val="20"/>
        </w:rPr>
        <w:t xml:space="preserve">, W., &amp; </w:t>
      </w:r>
      <w:proofErr w:type="spellStart"/>
      <w:r w:rsidRPr="00CF33D9">
        <w:rPr>
          <w:rFonts w:ascii="Arial" w:hAnsi="Arial" w:cs="Arial"/>
          <w:sz w:val="20"/>
          <w:szCs w:val="20"/>
        </w:rPr>
        <w:t>Gebeyehu</w:t>
      </w:r>
      <w:proofErr w:type="spellEnd"/>
      <w:r w:rsidRPr="00CF33D9">
        <w:rPr>
          <w:rFonts w:ascii="Arial" w:hAnsi="Arial" w:cs="Arial"/>
          <w:sz w:val="20"/>
          <w:szCs w:val="20"/>
        </w:rPr>
        <w:t xml:space="preserve">, S. (2013). Effects of farmyard manure and inorganic fertilizer application on soil </w:t>
      </w:r>
      <w:proofErr w:type="spellStart"/>
      <w:r w:rsidRPr="00CF33D9">
        <w:rPr>
          <w:rFonts w:ascii="Arial" w:hAnsi="Arial" w:cs="Arial"/>
          <w:sz w:val="20"/>
          <w:szCs w:val="20"/>
        </w:rPr>
        <w:t>physico</w:t>
      </w:r>
      <w:proofErr w:type="spellEnd"/>
      <w:r w:rsidRPr="00CF33D9">
        <w:rPr>
          <w:rFonts w:ascii="Arial" w:hAnsi="Arial" w:cs="Arial"/>
          <w:sz w:val="20"/>
          <w:szCs w:val="20"/>
        </w:rPr>
        <w:t xml:space="preserve">-chemical properties and nutrient balance in rain-fed lowland rice ecosystem. American Journal of Plant Sciences, 4(2), 309–316. </w:t>
      </w:r>
      <w:hyperlink r:id="rId23" w:history="1">
        <w:r w:rsidRPr="00CF33D9">
          <w:rPr>
            <w:rStyle w:val="Hyperlink"/>
            <w:rFonts w:ascii="Arial" w:hAnsi="Arial" w:cs="Arial"/>
            <w:sz w:val="20"/>
            <w:szCs w:val="20"/>
          </w:rPr>
          <w:t>https://doi.org/10.4236/ajps.2013.42041</w:t>
        </w:r>
      </w:hyperlink>
      <w:r w:rsidRPr="00CF33D9">
        <w:rPr>
          <w:rFonts w:ascii="Arial" w:hAnsi="Arial" w:cs="Arial"/>
          <w:sz w:val="20"/>
          <w:szCs w:val="20"/>
        </w:rPr>
        <w:t xml:space="preserve"> </w:t>
      </w:r>
    </w:p>
    <w:p w14:paraId="5A4682C1" w14:textId="77777777" w:rsidR="00CC5783" w:rsidRPr="00CF33D9" w:rsidRDefault="00CC5783" w:rsidP="00CF33D9">
      <w:pPr>
        <w:spacing w:line="240" w:lineRule="auto"/>
        <w:jc w:val="both"/>
        <w:rPr>
          <w:rFonts w:ascii="Arial" w:hAnsi="Arial" w:cs="Arial"/>
          <w:sz w:val="20"/>
          <w:szCs w:val="20"/>
        </w:rPr>
      </w:pPr>
      <w:r w:rsidRPr="00CF33D9">
        <w:rPr>
          <w:rFonts w:ascii="Arial" w:hAnsi="Arial" w:cs="Arial"/>
          <w:sz w:val="20"/>
          <w:szCs w:val="20"/>
        </w:rPr>
        <w:t xml:space="preserve">Vasudevan, S. N., Shakuntala, N. M., </w:t>
      </w:r>
      <w:proofErr w:type="spellStart"/>
      <w:r w:rsidRPr="00CF33D9">
        <w:rPr>
          <w:rFonts w:ascii="Arial" w:hAnsi="Arial" w:cs="Arial"/>
          <w:sz w:val="20"/>
          <w:szCs w:val="20"/>
        </w:rPr>
        <w:t>Doddagoudar</w:t>
      </w:r>
      <w:proofErr w:type="spellEnd"/>
      <w:r w:rsidRPr="00CF33D9">
        <w:rPr>
          <w:rFonts w:ascii="Arial" w:hAnsi="Arial" w:cs="Arial"/>
          <w:sz w:val="20"/>
          <w:szCs w:val="20"/>
        </w:rPr>
        <w:t xml:space="preserve">, S. R., Rakesh Mathad, &amp; Sangeetha Macha. (2013). Organic seed priming to improve seed yield and quality attributes in peanut. In </w:t>
      </w:r>
      <w:r w:rsidRPr="00CF33D9">
        <w:rPr>
          <w:rFonts w:ascii="Arial" w:hAnsi="Arial" w:cs="Arial"/>
          <w:i/>
          <w:iCs/>
          <w:sz w:val="20"/>
          <w:szCs w:val="20"/>
        </w:rPr>
        <w:t>XIII ISST National Seed Seminar on Innovations in Seed Research and Development</w:t>
      </w:r>
      <w:r w:rsidRPr="00CF33D9">
        <w:rPr>
          <w:rFonts w:ascii="Arial" w:hAnsi="Arial" w:cs="Arial"/>
          <w:sz w:val="20"/>
          <w:szCs w:val="20"/>
        </w:rPr>
        <w:t xml:space="preserve"> (p. 93). UAS Bengaluru.</w:t>
      </w:r>
    </w:p>
    <w:p w14:paraId="5E12FA08" w14:textId="0D08A02E" w:rsidR="00CC5783" w:rsidRPr="00CF33D9" w:rsidRDefault="00AE64A9" w:rsidP="00CF33D9">
      <w:pPr>
        <w:spacing w:line="240" w:lineRule="auto"/>
        <w:jc w:val="both"/>
        <w:rPr>
          <w:rFonts w:ascii="Arial" w:hAnsi="Arial" w:cs="Arial"/>
          <w:sz w:val="20"/>
          <w:szCs w:val="20"/>
        </w:rPr>
      </w:pPr>
      <w:r w:rsidRPr="00CF33D9">
        <w:rPr>
          <w:rFonts w:ascii="Arial" w:hAnsi="Arial" w:cs="Arial"/>
          <w:sz w:val="20"/>
          <w:szCs w:val="20"/>
        </w:rPr>
        <w:t xml:space="preserve">Vasudevan, S. N., </w:t>
      </w:r>
      <w:proofErr w:type="spellStart"/>
      <w:r w:rsidRPr="00CF33D9">
        <w:rPr>
          <w:rFonts w:ascii="Arial" w:hAnsi="Arial" w:cs="Arial"/>
          <w:sz w:val="20"/>
          <w:szCs w:val="20"/>
        </w:rPr>
        <w:t>Maruthi</w:t>
      </w:r>
      <w:proofErr w:type="spellEnd"/>
      <w:r w:rsidRPr="00CF33D9">
        <w:rPr>
          <w:rFonts w:ascii="Arial" w:hAnsi="Arial" w:cs="Arial"/>
          <w:sz w:val="20"/>
          <w:szCs w:val="20"/>
        </w:rPr>
        <w:t xml:space="preserve">, J. B., </w:t>
      </w:r>
      <w:proofErr w:type="spellStart"/>
      <w:r w:rsidRPr="00CF33D9">
        <w:rPr>
          <w:rFonts w:ascii="Arial" w:hAnsi="Arial" w:cs="Arial"/>
          <w:sz w:val="20"/>
          <w:szCs w:val="20"/>
        </w:rPr>
        <w:t>Doddagoudar</w:t>
      </w:r>
      <w:proofErr w:type="spellEnd"/>
      <w:r w:rsidRPr="00CF33D9">
        <w:rPr>
          <w:rFonts w:ascii="Arial" w:hAnsi="Arial" w:cs="Arial"/>
          <w:sz w:val="20"/>
          <w:szCs w:val="20"/>
        </w:rPr>
        <w:t xml:space="preserve">, S. R., Raghu, B. N., &amp; </w:t>
      </w:r>
      <w:proofErr w:type="spellStart"/>
      <w:r w:rsidRPr="00CF33D9">
        <w:rPr>
          <w:rFonts w:ascii="Arial" w:hAnsi="Arial" w:cs="Arial"/>
          <w:sz w:val="20"/>
          <w:szCs w:val="20"/>
        </w:rPr>
        <w:t>Hanumanthappa</w:t>
      </w:r>
      <w:proofErr w:type="spellEnd"/>
      <w:r w:rsidRPr="00CF33D9">
        <w:rPr>
          <w:rFonts w:ascii="Arial" w:hAnsi="Arial" w:cs="Arial"/>
          <w:sz w:val="20"/>
          <w:szCs w:val="20"/>
        </w:rPr>
        <w:t xml:space="preserve">, D. (2014). Correlation of different vigour tests with field emergence of paddy genotypes. The </w:t>
      </w:r>
      <w:proofErr w:type="spellStart"/>
      <w:r w:rsidRPr="00CF33D9">
        <w:rPr>
          <w:rFonts w:ascii="Arial" w:hAnsi="Arial" w:cs="Arial"/>
          <w:sz w:val="20"/>
          <w:szCs w:val="20"/>
        </w:rPr>
        <w:t>Ecoscan</w:t>
      </w:r>
      <w:proofErr w:type="spellEnd"/>
      <w:r w:rsidRPr="00CF33D9">
        <w:rPr>
          <w:rFonts w:ascii="Arial" w:hAnsi="Arial" w:cs="Arial"/>
          <w:sz w:val="20"/>
          <w:szCs w:val="20"/>
        </w:rPr>
        <w:t xml:space="preserve">, 6, 333–338. </w:t>
      </w:r>
      <w:hyperlink r:id="rId24" w:history="1">
        <w:r w:rsidRPr="00CF33D9">
          <w:rPr>
            <w:rStyle w:val="Hyperlink"/>
            <w:rFonts w:ascii="Arial" w:hAnsi="Arial" w:cs="Arial"/>
            <w:sz w:val="20"/>
            <w:szCs w:val="20"/>
          </w:rPr>
          <w:t>https://doi.org/10.9735/0973-9004.6.3-4.333-338</w:t>
        </w:r>
      </w:hyperlink>
      <w:r w:rsidRPr="00CF33D9">
        <w:rPr>
          <w:rFonts w:ascii="Arial" w:hAnsi="Arial" w:cs="Arial"/>
          <w:sz w:val="20"/>
          <w:szCs w:val="20"/>
        </w:rPr>
        <w:t xml:space="preserve"> </w:t>
      </w:r>
    </w:p>
    <w:p w14:paraId="190EEF88" w14:textId="24DBADAD" w:rsidR="00CC5783" w:rsidRPr="00CF33D9" w:rsidRDefault="00AE64A9" w:rsidP="00CF33D9">
      <w:pPr>
        <w:spacing w:line="240" w:lineRule="auto"/>
        <w:jc w:val="both"/>
        <w:rPr>
          <w:rFonts w:ascii="Arial" w:hAnsi="Arial" w:cs="Arial"/>
          <w:sz w:val="20"/>
          <w:szCs w:val="20"/>
        </w:rPr>
      </w:pPr>
      <w:r w:rsidRPr="00CF33D9">
        <w:rPr>
          <w:rFonts w:ascii="Arial" w:hAnsi="Arial" w:cs="Arial"/>
          <w:sz w:val="20"/>
          <w:szCs w:val="20"/>
        </w:rPr>
        <w:t xml:space="preserve">Vijayan, R., &amp; </w:t>
      </w:r>
      <w:proofErr w:type="spellStart"/>
      <w:r w:rsidRPr="00CF33D9">
        <w:rPr>
          <w:rFonts w:ascii="Arial" w:hAnsi="Arial" w:cs="Arial"/>
          <w:sz w:val="20"/>
          <w:szCs w:val="20"/>
        </w:rPr>
        <w:t>Krishnasamy</w:t>
      </w:r>
      <w:proofErr w:type="spellEnd"/>
      <w:r w:rsidRPr="00CF33D9">
        <w:rPr>
          <w:rFonts w:ascii="Arial" w:hAnsi="Arial" w:cs="Arial"/>
          <w:sz w:val="20"/>
          <w:szCs w:val="20"/>
        </w:rPr>
        <w:t xml:space="preserve">, V. (2014). Impact of organic techniques of seed crop management on seed yield and quality in rice cv. ADT 43. Scientific Research and Essays, 9(13), 611–618. </w:t>
      </w:r>
      <w:hyperlink r:id="rId25" w:history="1">
        <w:r w:rsidRPr="00CF33D9">
          <w:rPr>
            <w:rStyle w:val="Hyperlink"/>
            <w:rFonts w:ascii="Arial" w:hAnsi="Arial" w:cs="Arial"/>
            <w:sz w:val="20"/>
            <w:szCs w:val="20"/>
          </w:rPr>
          <w:t>https://doi.org/10.5897/SRE2013.5606</w:t>
        </w:r>
      </w:hyperlink>
      <w:r w:rsidRPr="00CF33D9">
        <w:rPr>
          <w:rFonts w:ascii="Arial" w:hAnsi="Arial" w:cs="Arial"/>
          <w:sz w:val="20"/>
          <w:szCs w:val="20"/>
        </w:rPr>
        <w:t xml:space="preserve"> </w:t>
      </w:r>
    </w:p>
    <w:p w14:paraId="6D07FA16" w14:textId="58B7D084" w:rsidR="00CC5783" w:rsidRPr="00CF33D9" w:rsidRDefault="00803197" w:rsidP="00CF33D9">
      <w:pPr>
        <w:spacing w:line="240" w:lineRule="auto"/>
        <w:jc w:val="both"/>
        <w:rPr>
          <w:rFonts w:ascii="Arial" w:hAnsi="Arial" w:cs="Arial"/>
          <w:sz w:val="20"/>
          <w:szCs w:val="20"/>
        </w:rPr>
      </w:pPr>
      <w:proofErr w:type="spellStart"/>
      <w:r w:rsidRPr="00CF33D9">
        <w:rPr>
          <w:rFonts w:ascii="Arial" w:hAnsi="Arial" w:cs="Arial"/>
          <w:sz w:val="20"/>
          <w:szCs w:val="20"/>
        </w:rPr>
        <w:lastRenderedPageBreak/>
        <w:t>Amanolahi-Baharvand</w:t>
      </w:r>
      <w:proofErr w:type="spellEnd"/>
      <w:r w:rsidRPr="00CF33D9">
        <w:rPr>
          <w:rFonts w:ascii="Arial" w:hAnsi="Arial" w:cs="Arial"/>
          <w:sz w:val="20"/>
          <w:szCs w:val="20"/>
        </w:rPr>
        <w:t xml:space="preserve">, Z., Zahedi, H., </w:t>
      </w:r>
      <w:proofErr w:type="spellStart"/>
      <w:r w:rsidRPr="00CF33D9">
        <w:rPr>
          <w:rFonts w:ascii="Arial" w:hAnsi="Arial" w:cs="Arial"/>
          <w:sz w:val="20"/>
          <w:szCs w:val="20"/>
        </w:rPr>
        <w:t>Sharghi</w:t>
      </w:r>
      <w:proofErr w:type="spellEnd"/>
      <w:r w:rsidRPr="00CF33D9">
        <w:rPr>
          <w:rFonts w:ascii="Arial" w:hAnsi="Arial" w:cs="Arial"/>
          <w:sz w:val="20"/>
          <w:szCs w:val="20"/>
        </w:rPr>
        <w:t xml:space="preserve">, Y., &amp; </w:t>
      </w:r>
      <w:proofErr w:type="spellStart"/>
      <w:r w:rsidRPr="00CF33D9">
        <w:rPr>
          <w:rFonts w:ascii="Arial" w:hAnsi="Arial" w:cs="Arial"/>
          <w:sz w:val="20"/>
          <w:szCs w:val="20"/>
        </w:rPr>
        <w:t>Seifolahi</w:t>
      </w:r>
      <w:proofErr w:type="spellEnd"/>
      <w:r w:rsidRPr="00CF33D9">
        <w:rPr>
          <w:rFonts w:ascii="Arial" w:hAnsi="Arial" w:cs="Arial"/>
          <w:sz w:val="20"/>
          <w:szCs w:val="20"/>
        </w:rPr>
        <w:t xml:space="preserve">-Nik, S. (2014). Comparative assessment of conventional and organic nutrient management on yield and yield components of three corn cultivars. International Journal of Biosciences, 4(12), 281–287. </w:t>
      </w:r>
      <w:hyperlink r:id="rId26" w:history="1">
        <w:r w:rsidRPr="00CF33D9">
          <w:rPr>
            <w:rStyle w:val="Hyperlink"/>
            <w:rFonts w:ascii="Arial" w:hAnsi="Arial" w:cs="Arial"/>
            <w:sz w:val="20"/>
            <w:szCs w:val="20"/>
          </w:rPr>
          <w:t>https://doi.org/10.12692/ijb/4.12.281-287</w:t>
        </w:r>
      </w:hyperlink>
      <w:r w:rsidRPr="00CF33D9">
        <w:rPr>
          <w:rFonts w:ascii="Arial" w:hAnsi="Arial" w:cs="Arial"/>
          <w:sz w:val="20"/>
          <w:szCs w:val="20"/>
        </w:rPr>
        <w:t xml:space="preserve"> </w:t>
      </w:r>
    </w:p>
    <w:p w14:paraId="5F968E15" w14:textId="77777777" w:rsidR="00D3089B" w:rsidRPr="00AA5515" w:rsidRDefault="00D3089B" w:rsidP="009723AE">
      <w:pPr>
        <w:spacing w:line="240" w:lineRule="auto"/>
        <w:rPr>
          <w:rFonts w:ascii="Arial" w:hAnsi="Arial" w:cs="Arial"/>
          <w:sz w:val="20"/>
          <w:szCs w:val="20"/>
        </w:rPr>
      </w:pPr>
    </w:p>
    <w:sectPr w:rsidR="00D3089B" w:rsidRPr="00AA551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6249" w14:textId="77777777" w:rsidR="0051462A" w:rsidRDefault="0051462A" w:rsidP="00CF0F94">
      <w:pPr>
        <w:spacing w:after="0" w:line="240" w:lineRule="auto"/>
      </w:pPr>
      <w:r>
        <w:separator/>
      </w:r>
    </w:p>
  </w:endnote>
  <w:endnote w:type="continuationSeparator" w:id="0">
    <w:p w14:paraId="1F317AF0" w14:textId="77777777" w:rsidR="0051462A" w:rsidRDefault="0051462A" w:rsidP="00CF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BB3D" w14:textId="77777777" w:rsidR="00A67FBE" w:rsidRDefault="00A6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AE8E" w14:textId="77777777" w:rsidR="00A67FBE" w:rsidRDefault="00A67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86D1" w14:textId="77777777" w:rsidR="00A67FBE" w:rsidRDefault="00A67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0546B" w14:textId="77777777" w:rsidR="0051462A" w:rsidRDefault="0051462A" w:rsidP="00CF0F94">
      <w:pPr>
        <w:spacing w:after="0" w:line="240" w:lineRule="auto"/>
      </w:pPr>
      <w:r>
        <w:separator/>
      </w:r>
    </w:p>
  </w:footnote>
  <w:footnote w:type="continuationSeparator" w:id="0">
    <w:p w14:paraId="28CEFDA6" w14:textId="77777777" w:rsidR="0051462A" w:rsidRDefault="0051462A" w:rsidP="00CF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6FD6" w14:textId="431768F0" w:rsidR="00A67FBE" w:rsidRDefault="00A67FBE">
    <w:pPr>
      <w:pStyle w:val="Header"/>
    </w:pPr>
    <w:r>
      <w:rPr>
        <w:noProof/>
      </w:rPr>
      <w:pict w14:anchorId="5BFE3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5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2B3A" w14:textId="2962CF0B" w:rsidR="00A67FBE" w:rsidRDefault="00A67FBE">
    <w:pPr>
      <w:pStyle w:val="Header"/>
    </w:pPr>
    <w:r>
      <w:rPr>
        <w:noProof/>
      </w:rPr>
      <w:pict w14:anchorId="13832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5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7684" w14:textId="3E244302" w:rsidR="00A67FBE" w:rsidRDefault="00A67FBE">
    <w:pPr>
      <w:pStyle w:val="Header"/>
    </w:pPr>
    <w:r>
      <w:rPr>
        <w:noProof/>
      </w:rPr>
      <w:pict w14:anchorId="7E27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05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3D7E"/>
    <w:multiLevelType w:val="hybridMultilevel"/>
    <w:tmpl w:val="2A2E92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410CAB"/>
    <w:multiLevelType w:val="hybridMultilevel"/>
    <w:tmpl w:val="4CE68E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9635B4"/>
    <w:multiLevelType w:val="hybridMultilevel"/>
    <w:tmpl w:val="09E031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4C1BE3"/>
    <w:multiLevelType w:val="hybridMultilevel"/>
    <w:tmpl w:val="4E00D5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89B"/>
    <w:rsid w:val="0000523A"/>
    <w:rsid w:val="00014336"/>
    <w:rsid w:val="00021B8A"/>
    <w:rsid w:val="00027999"/>
    <w:rsid w:val="00031320"/>
    <w:rsid w:val="00040DB9"/>
    <w:rsid w:val="00043865"/>
    <w:rsid w:val="00051EBC"/>
    <w:rsid w:val="00057741"/>
    <w:rsid w:val="00086965"/>
    <w:rsid w:val="0008788E"/>
    <w:rsid w:val="000A52AA"/>
    <w:rsid w:val="000F657F"/>
    <w:rsid w:val="001112A4"/>
    <w:rsid w:val="00117641"/>
    <w:rsid w:val="001355AA"/>
    <w:rsid w:val="001836C1"/>
    <w:rsid w:val="00183923"/>
    <w:rsid w:val="001B1A30"/>
    <w:rsid w:val="002441B4"/>
    <w:rsid w:val="00275230"/>
    <w:rsid w:val="002F5B07"/>
    <w:rsid w:val="00315C7C"/>
    <w:rsid w:val="00447D64"/>
    <w:rsid w:val="00453ED4"/>
    <w:rsid w:val="0045540F"/>
    <w:rsid w:val="004C1416"/>
    <w:rsid w:val="0051462A"/>
    <w:rsid w:val="005561D3"/>
    <w:rsid w:val="00581E22"/>
    <w:rsid w:val="0067532E"/>
    <w:rsid w:val="00680542"/>
    <w:rsid w:val="00690E65"/>
    <w:rsid w:val="006947B8"/>
    <w:rsid w:val="006A08B4"/>
    <w:rsid w:val="006B302A"/>
    <w:rsid w:val="007269F6"/>
    <w:rsid w:val="007A0EC5"/>
    <w:rsid w:val="007A4A38"/>
    <w:rsid w:val="00803197"/>
    <w:rsid w:val="008054DA"/>
    <w:rsid w:val="008908EA"/>
    <w:rsid w:val="00891501"/>
    <w:rsid w:val="008B4C18"/>
    <w:rsid w:val="008B5D4C"/>
    <w:rsid w:val="008C1A59"/>
    <w:rsid w:val="008D3A34"/>
    <w:rsid w:val="00914823"/>
    <w:rsid w:val="0092658E"/>
    <w:rsid w:val="009723AE"/>
    <w:rsid w:val="009A54FD"/>
    <w:rsid w:val="009A74A9"/>
    <w:rsid w:val="009F1C49"/>
    <w:rsid w:val="00A126A1"/>
    <w:rsid w:val="00A64D64"/>
    <w:rsid w:val="00A67FBE"/>
    <w:rsid w:val="00AA5515"/>
    <w:rsid w:val="00AD7ED8"/>
    <w:rsid w:val="00AE64A9"/>
    <w:rsid w:val="00B37088"/>
    <w:rsid w:val="00BF772B"/>
    <w:rsid w:val="00BF7A00"/>
    <w:rsid w:val="00C502B9"/>
    <w:rsid w:val="00CC5783"/>
    <w:rsid w:val="00CF0F94"/>
    <w:rsid w:val="00CF33D9"/>
    <w:rsid w:val="00D22B71"/>
    <w:rsid w:val="00D3089B"/>
    <w:rsid w:val="00D3704D"/>
    <w:rsid w:val="00DC0E75"/>
    <w:rsid w:val="00E620C7"/>
    <w:rsid w:val="00EB1BDA"/>
    <w:rsid w:val="00EE0C1F"/>
    <w:rsid w:val="00EE2EBE"/>
    <w:rsid w:val="00EE7F10"/>
    <w:rsid w:val="00EF6881"/>
    <w:rsid w:val="00EF6990"/>
    <w:rsid w:val="00F1014E"/>
    <w:rsid w:val="00F51423"/>
    <w:rsid w:val="00F8635D"/>
    <w:rsid w:val="00F9613B"/>
    <w:rsid w:val="00FA1144"/>
    <w:rsid w:val="00FE66B6"/>
    <w:rsid w:val="00FF244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84781B"/>
  <w15:chartTrackingRefBased/>
  <w15:docId w15:val="{70E95307-33CB-4DEE-A47E-3C02CFDE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0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8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8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8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8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8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8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8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8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89B"/>
    <w:rPr>
      <w:rFonts w:eastAsiaTheme="majorEastAsia" w:cstheme="majorBidi"/>
      <w:color w:val="272727" w:themeColor="text1" w:themeTint="D8"/>
    </w:rPr>
  </w:style>
  <w:style w:type="paragraph" w:styleId="Title">
    <w:name w:val="Title"/>
    <w:basedOn w:val="Normal"/>
    <w:next w:val="Normal"/>
    <w:link w:val="TitleChar"/>
    <w:uiPriority w:val="10"/>
    <w:qFormat/>
    <w:rsid w:val="00D30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89B"/>
    <w:pPr>
      <w:spacing w:before="160"/>
      <w:jc w:val="center"/>
    </w:pPr>
    <w:rPr>
      <w:i/>
      <w:iCs/>
      <w:color w:val="404040" w:themeColor="text1" w:themeTint="BF"/>
    </w:rPr>
  </w:style>
  <w:style w:type="character" w:customStyle="1" w:styleId="QuoteChar">
    <w:name w:val="Quote Char"/>
    <w:basedOn w:val="DefaultParagraphFont"/>
    <w:link w:val="Quote"/>
    <w:uiPriority w:val="29"/>
    <w:rsid w:val="00D3089B"/>
    <w:rPr>
      <w:i/>
      <w:iCs/>
      <w:color w:val="404040" w:themeColor="text1" w:themeTint="BF"/>
    </w:rPr>
  </w:style>
  <w:style w:type="paragraph" w:styleId="ListParagraph">
    <w:name w:val="List Paragraph"/>
    <w:basedOn w:val="Normal"/>
    <w:uiPriority w:val="34"/>
    <w:qFormat/>
    <w:rsid w:val="00D3089B"/>
    <w:pPr>
      <w:ind w:left="720"/>
      <w:contextualSpacing/>
    </w:pPr>
  </w:style>
  <w:style w:type="character" w:styleId="IntenseEmphasis">
    <w:name w:val="Intense Emphasis"/>
    <w:basedOn w:val="DefaultParagraphFont"/>
    <w:uiPriority w:val="21"/>
    <w:qFormat/>
    <w:rsid w:val="00D3089B"/>
    <w:rPr>
      <w:i/>
      <w:iCs/>
      <w:color w:val="2F5496" w:themeColor="accent1" w:themeShade="BF"/>
    </w:rPr>
  </w:style>
  <w:style w:type="paragraph" w:styleId="IntenseQuote">
    <w:name w:val="Intense Quote"/>
    <w:basedOn w:val="Normal"/>
    <w:next w:val="Normal"/>
    <w:link w:val="IntenseQuoteChar"/>
    <w:uiPriority w:val="30"/>
    <w:qFormat/>
    <w:rsid w:val="00D30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89B"/>
    <w:rPr>
      <w:i/>
      <w:iCs/>
      <w:color w:val="2F5496" w:themeColor="accent1" w:themeShade="BF"/>
    </w:rPr>
  </w:style>
  <w:style w:type="character" w:styleId="IntenseReference">
    <w:name w:val="Intense Reference"/>
    <w:basedOn w:val="DefaultParagraphFont"/>
    <w:uiPriority w:val="32"/>
    <w:qFormat/>
    <w:rsid w:val="00D3089B"/>
    <w:rPr>
      <w:b/>
      <w:bCs/>
      <w:smallCaps/>
      <w:color w:val="2F5496" w:themeColor="accent1" w:themeShade="BF"/>
      <w:spacing w:val="5"/>
    </w:rPr>
  </w:style>
  <w:style w:type="paragraph" w:styleId="Header">
    <w:name w:val="header"/>
    <w:basedOn w:val="Normal"/>
    <w:link w:val="HeaderChar"/>
    <w:uiPriority w:val="99"/>
    <w:unhideWhenUsed/>
    <w:rsid w:val="00CF0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94"/>
  </w:style>
  <w:style w:type="paragraph" w:styleId="Footer">
    <w:name w:val="footer"/>
    <w:basedOn w:val="Normal"/>
    <w:link w:val="FooterChar"/>
    <w:uiPriority w:val="99"/>
    <w:unhideWhenUsed/>
    <w:rsid w:val="00CF0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94"/>
  </w:style>
  <w:style w:type="character" w:styleId="Hyperlink">
    <w:name w:val="Hyperlink"/>
    <w:basedOn w:val="DefaultParagraphFont"/>
    <w:uiPriority w:val="99"/>
    <w:unhideWhenUsed/>
    <w:rsid w:val="00BF772B"/>
    <w:rPr>
      <w:color w:val="0563C1" w:themeColor="hyperlink"/>
      <w:u w:val="single"/>
    </w:rPr>
  </w:style>
  <w:style w:type="character" w:styleId="UnresolvedMention">
    <w:name w:val="Unresolved Mention"/>
    <w:basedOn w:val="DefaultParagraphFont"/>
    <w:uiPriority w:val="99"/>
    <w:semiHidden/>
    <w:unhideWhenUsed/>
    <w:rsid w:val="00BF772B"/>
    <w:rPr>
      <w:color w:val="605E5C"/>
      <w:shd w:val="clear" w:color="auto" w:fill="E1DFDD"/>
    </w:rPr>
  </w:style>
  <w:style w:type="paragraph" w:styleId="BodyText">
    <w:name w:val="Body Text"/>
    <w:basedOn w:val="Normal"/>
    <w:link w:val="BodyTextChar"/>
    <w:uiPriority w:val="1"/>
    <w:qFormat/>
    <w:rsid w:val="009F1C49"/>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BodyTextChar">
    <w:name w:val="Body Text Char"/>
    <w:basedOn w:val="DefaultParagraphFont"/>
    <w:link w:val="BodyText"/>
    <w:uiPriority w:val="1"/>
    <w:rsid w:val="009F1C49"/>
    <w:rPr>
      <w:rFonts w:ascii="Arial" w:eastAsia="Arial" w:hAnsi="Arial" w:cs="Arial"/>
      <w:kern w:val="0"/>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mics.com/6-5-333-339-2013.pdf" TargetMode="External"/><Relationship Id="rId18" Type="http://schemas.openxmlformats.org/officeDocument/2006/relationships/hyperlink" Target="https://journals.innovareacademics.in" TargetMode="External"/><Relationship Id="rId26" Type="http://schemas.openxmlformats.org/officeDocument/2006/relationships/hyperlink" Target="https://doi.org/10.12692/ijb/4.12.281-287" TargetMode="External"/><Relationship Id="rId3" Type="http://schemas.openxmlformats.org/officeDocument/2006/relationships/settings" Target="settings.xml"/><Relationship Id="rId21" Type="http://schemas.openxmlformats.org/officeDocument/2006/relationships/hyperlink" Target="http://www.popularkheti.info/Archives-of-Contents"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www.ijoart.org/currentIssue.html" TargetMode="External"/><Relationship Id="rId17" Type="http://schemas.openxmlformats.org/officeDocument/2006/relationships/hyperlink" Target="https://doi.org/10.3220/REP_20_1_2014" TargetMode="External"/><Relationship Id="rId25" Type="http://schemas.openxmlformats.org/officeDocument/2006/relationships/hyperlink" Target="https://doi.org/10.5897/SRE2013.560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4236/ajps.2013.48191" TargetMode="External"/><Relationship Id="rId20" Type="http://schemas.openxmlformats.org/officeDocument/2006/relationships/hyperlink" Target="https://www.iiste.org/Journals/index.php/EJBM/issue/view/140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69/ijpp.2012.981" TargetMode="External"/><Relationship Id="rId24" Type="http://schemas.openxmlformats.org/officeDocument/2006/relationships/hyperlink" Target="https://doi.org/10.9735/0973-9004.6.3-4.333-33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esearchgate.net/publication/305800000_Seed_Priming_A_Technique" TargetMode="External"/><Relationship Id="rId23" Type="http://schemas.openxmlformats.org/officeDocument/2006/relationships/hyperlink" Target="https://doi.org/10.4236/ajps.2013.42041" TargetMode="External"/><Relationship Id="rId28" Type="http://schemas.openxmlformats.org/officeDocument/2006/relationships/header" Target="header2.xml"/><Relationship Id="rId10" Type="http://schemas.openxmlformats.org/officeDocument/2006/relationships/hyperlink" Target="https://doi.org/10.12944/CWE.9.2.38" TargetMode="External"/><Relationship Id="rId19" Type="http://schemas.openxmlformats.org/officeDocument/2006/relationships/hyperlink" Target="https://www.cabidigitallibrary.org/doi/10.5555/2014309000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cowindia.org" TargetMode="External"/><Relationship Id="rId14" Type="http://schemas.openxmlformats.org/officeDocument/2006/relationships/hyperlink" Target="https://doi.org/10.5539/jas.v6n6p189" TargetMode="External"/><Relationship Id="rId22" Type="http://schemas.openxmlformats.org/officeDocument/2006/relationships/hyperlink" Target="https://ifvcns.rs/ratarstvo-i-povrtarstvo/archiv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uo\Desktop\phd%20thesis\Graphs%20for%20tabl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Sheet1!$B$2</c:f>
              <c:strCache>
                <c:ptCount val="1"/>
                <c:pt idx="0">
                  <c:v>Rate of Imbibition (%)</c:v>
                </c:pt>
              </c:strCache>
            </c:strRef>
          </c:tx>
          <c:spPr>
            <a:solidFill>
              <a:schemeClr val="accent1"/>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Sheet1!$B$3:$B$11</c:f>
              <c:numCache>
                <c:formatCode>General</c:formatCode>
                <c:ptCount val="9"/>
                <c:pt idx="0">
                  <c:v>8.5</c:v>
                </c:pt>
                <c:pt idx="1">
                  <c:v>32.5</c:v>
                </c:pt>
                <c:pt idx="2">
                  <c:v>18.2</c:v>
                </c:pt>
                <c:pt idx="3">
                  <c:v>17.5</c:v>
                </c:pt>
                <c:pt idx="4">
                  <c:v>18</c:v>
                </c:pt>
                <c:pt idx="5">
                  <c:v>24</c:v>
                </c:pt>
                <c:pt idx="6">
                  <c:v>26.5</c:v>
                </c:pt>
                <c:pt idx="7">
                  <c:v>20</c:v>
                </c:pt>
                <c:pt idx="8">
                  <c:v>28.5</c:v>
                </c:pt>
              </c:numCache>
            </c:numRef>
          </c:val>
          <c:extLst>
            <c:ext xmlns:c16="http://schemas.microsoft.com/office/drawing/2014/chart" uri="{C3380CC4-5D6E-409C-BE32-E72D297353CC}">
              <c16:uniqueId val="{00000000-666B-41B9-9AAB-24893B4DB3AA}"/>
            </c:ext>
          </c:extLst>
        </c:ser>
        <c:ser>
          <c:idx val="1"/>
          <c:order val="1"/>
          <c:tx>
            <c:strRef>
              <c:f>Sheet1!$C$2</c:f>
              <c:strCache>
                <c:ptCount val="1"/>
                <c:pt idx="0">
                  <c:v>Germination (%)</c:v>
                </c:pt>
              </c:strCache>
            </c:strRef>
          </c:tx>
          <c:spPr>
            <a:solidFill>
              <a:schemeClr val="accent2"/>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Sheet1!$C$3:$C$11</c:f>
              <c:numCache>
                <c:formatCode>General</c:formatCode>
                <c:ptCount val="9"/>
                <c:pt idx="0">
                  <c:v>78</c:v>
                </c:pt>
                <c:pt idx="1">
                  <c:v>97</c:v>
                </c:pt>
                <c:pt idx="2">
                  <c:v>89</c:v>
                </c:pt>
                <c:pt idx="3">
                  <c:v>87</c:v>
                </c:pt>
                <c:pt idx="4">
                  <c:v>88</c:v>
                </c:pt>
                <c:pt idx="5">
                  <c:v>93</c:v>
                </c:pt>
                <c:pt idx="6">
                  <c:v>94</c:v>
                </c:pt>
                <c:pt idx="7">
                  <c:v>91</c:v>
                </c:pt>
                <c:pt idx="8">
                  <c:v>95</c:v>
                </c:pt>
              </c:numCache>
            </c:numRef>
          </c:val>
          <c:extLst>
            <c:ext xmlns:c16="http://schemas.microsoft.com/office/drawing/2014/chart" uri="{C3380CC4-5D6E-409C-BE32-E72D297353CC}">
              <c16:uniqueId val="{00000001-666B-41B9-9AAB-24893B4DB3AA}"/>
            </c:ext>
          </c:extLst>
        </c:ser>
        <c:ser>
          <c:idx val="2"/>
          <c:order val="2"/>
          <c:tx>
            <c:strRef>
              <c:f>Sheet1!$D$2</c:f>
              <c:strCache>
                <c:ptCount val="1"/>
                <c:pt idx="0">
                  <c:v>Speed of Germination</c:v>
                </c:pt>
              </c:strCache>
            </c:strRef>
          </c:tx>
          <c:spPr>
            <a:solidFill>
              <a:schemeClr val="accent3"/>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Sheet1!$D$3:$D$11</c:f>
              <c:numCache>
                <c:formatCode>General</c:formatCode>
                <c:ptCount val="9"/>
                <c:pt idx="0">
                  <c:v>5.2</c:v>
                </c:pt>
                <c:pt idx="1">
                  <c:v>7.2</c:v>
                </c:pt>
                <c:pt idx="2">
                  <c:v>6</c:v>
                </c:pt>
                <c:pt idx="3">
                  <c:v>5.8</c:v>
                </c:pt>
                <c:pt idx="4">
                  <c:v>5.9</c:v>
                </c:pt>
                <c:pt idx="5">
                  <c:v>6.4</c:v>
                </c:pt>
                <c:pt idx="6">
                  <c:v>6.6</c:v>
                </c:pt>
                <c:pt idx="7">
                  <c:v>6.2</c:v>
                </c:pt>
                <c:pt idx="8">
                  <c:v>6.8</c:v>
                </c:pt>
              </c:numCache>
            </c:numRef>
          </c:val>
          <c:extLst>
            <c:ext xmlns:c16="http://schemas.microsoft.com/office/drawing/2014/chart" uri="{C3380CC4-5D6E-409C-BE32-E72D297353CC}">
              <c16:uniqueId val="{00000002-666B-41B9-9AAB-24893B4DB3AA}"/>
            </c:ext>
          </c:extLst>
        </c:ser>
        <c:ser>
          <c:idx val="3"/>
          <c:order val="3"/>
          <c:tx>
            <c:strRef>
              <c:f>Sheet1!$E$2</c:f>
              <c:strCache>
                <c:ptCount val="1"/>
                <c:pt idx="0">
                  <c:v>Root Length (cm)</c:v>
                </c:pt>
              </c:strCache>
            </c:strRef>
          </c:tx>
          <c:spPr>
            <a:solidFill>
              <a:schemeClr val="accent4"/>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Sheet1!$E$3:$E$11</c:f>
              <c:numCache>
                <c:formatCode>General</c:formatCode>
                <c:ptCount val="9"/>
                <c:pt idx="0">
                  <c:v>12.5</c:v>
                </c:pt>
                <c:pt idx="1">
                  <c:v>23.8</c:v>
                </c:pt>
                <c:pt idx="2">
                  <c:v>17</c:v>
                </c:pt>
                <c:pt idx="3">
                  <c:v>16.5</c:v>
                </c:pt>
                <c:pt idx="4">
                  <c:v>16.8</c:v>
                </c:pt>
                <c:pt idx="5">
                  <c:v>20.5</c:v>
                </c:pt>
                <c:pt idx="6">
                  <c:v>21.2</c:v>
                </c:pt>
                <c:pt idx="7">
                  <c:v>19</c:v>
                </c:pt>
                <c:pt idx="8">
                  <c:v>22</c:v>
                </c:pt>
              </c:numCache>
            </c:numRef>
          </c:val>
          <c:extLst>
            <c:ext xmlns:c16="http://schemas.microsoft.com/office/drawing/2014/chart" uri="{C3380CC4-5D6E-409C-BE32-E72D297353CC}">
              <c16:uniqueId val="{00000003-666B-41B9-9AAB-24893B4DB3AA}"/>
            </c:ext>
          </c:extLst>
        </c:ser>
        <c:ser>
          <c:idx val="4"/>
          <c:order val="4"/>
          <c:tx>
            <c:strRef>
              <c:f>Sheet1!$F$2</c:f>
              <c:strCache>
                <c:ptCount val="1"/>
                <c:pt idx="0">
                  <c:v>Shoot Length (cm)</c:v>
                </c:pt>
              </c:strCache>
            </c:strRef>
          </c:tx>
          <c:spPr>
            <a:solidFill>
              <a:schemeClr val="accent5"/>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Sheet1!$F$3:$F$11</c:f>
              <c:numCache>
                <c:formatCode>General</c:formatCode>
                <c:ptCount val="9"/>
                <c:pt idx="0">
                  <c:v>9.1999999999999993</c:v>
                </c:pt>
                <c:pt idx="1">
                  <c:v>15.2</c:v>
                </c:pt>
                <c:pt idx="2">
                  <c:v>12</c:v>
                </c:pt>
                <c:pt idx="3">
                  <c:v>11.5</c:v>
                </c:pt>
                <c:pt idx="4">
                  <c:v>11.7</c:v>
                </c:pt>
                <c:pt idx="5">
                  <c:v>13</c:v>
                </c:pt>
                <c:pt idx="6">
                  <c:v>13.5</c:v>
                </c:pt>
                <c:pt idx="7">
                  <c:v>12.2</c:v>
                </c:pt>
                <c:pt idx="8">
                  <c:v>14</c:v>
                </c:pt>
              </c:numCache>
            </c:numRef>
          </c:val>
          <c:extLst>
            <c:ext xmlns:c16="http://schemas.microsoft.com/office/drawing/2014/chart" uri="{C3380CC4-5D6E-409C-BE32-E72D297353CC}">
              <c16:uniqueId val="{00000004-666B-41B9-9AAB-24893B4DB3AA}"/>
            </c:ext>
          </c:extLst>
        </c:ser>
        <c:ser>
          <c:idx val="5"/>
          <c:order val="5"/>
          <c:tx>
            <c:strRef>
              <c:f>Sheet1!$G$2</c:f>
              <c:strCache>
                <c:ptCount val="1"/>
                <c:pt idx="0">
                  <c:v>Dry Matter (mg/10 seedlings)</c:v>
                </c:pt>
              </c:strCache>
            </c:strRef>
          </c:tx>
          <c:spPr>
            <a:solidFill>
              <a:schemeClr val="accent6"/>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Sheet1!$G$3:$G$11</c:f>
              <c:numCache>
                <c:formatCode>General</c:formatCode>
                <c:ptCount val="9"/>
                <c:pt idx="0">
                  <c:v>88.9</c:v>
                </c:pt>
                <c:pt idx="1">
                  <c:v>120.5</c:v>
                </c:pt>
                <c:pt idx="2">
                  <c:v>101.2</c:v>
                </c:pt>
                <c:pt idx="3">
                  <c:v>98.3</c:v>
                </c:pt>
                <c:pt idx="4">
                  <c:v>99.5</c:v>
                </c:pt>
                <c:pt idx="5">
                  <c:v>106.4</c:v>
                </c:pt>
                <c:pt idx="6">
                  <c:v>108.9</c:v>
                </c:pt>
                <c:pt idx="7">
                  <c:v>103</c:v>
                </c:pt>
                <c:pt idx="8">
                  <c:v>112.5</c:v>
                </c:pt>
              </c:numCache>
            </c:numRef>
          </c:val>
          <c:extLst>
            <c:ext xmlns:c16="http://schemas.microsoft.com/office/drawing/2014/chart" uri="{C3380CC4-5D6E-409C-BE32-E72D297353CC}">
              <c16:uniqueId val="{00000005-666B-41B9-9AAB-24893B4DB3AA}"/>
            </c:ext>
          </c:extLst>
        </c:ser>
        <c:ser>
          <c:idx val="6"/>
          <c:order val="6"/>
          <c:tx>
            <c:strRef>
              <c:f>Sheet1!$H$2</c:f>
              <c:strCache>
                <c:ptCount val="1"/>
                <c:pt idx="0">
                  <c:v>Vigour Index</c:v>
                </c:pt>
              </c:strCache>
            </c:strRef>
          </c:tx>
          <c:spPr>
            <a:solidFill>
              <a:schemeClr val="accent1">
                <a:lumMod val="60000"/>
              </a:schemeClr>
            </a:solidFill>
            <a:ln>
              <a:noFill/>
            </a:ln>
            <a:effectLst/>
          </c:spPr>
          <c:invertIfNegative val="0"/>
          <c:cat>
            <c:strRef>
              <c:f>Sheet1!$A$3:$A$11</c:f>
              <c:strCache>
                <c:ptCount val="9"/>
                <c:pt idx="0">
                  <c:v>T1</c:v>
                </c:pt>
                <c:pt idx="1">
                  <c:v>T2</c:v>
                </c:pt>
                <c:pt idx="2">
                  <c:v>T3</c:v>
                </c:pt>
                <c:pt idx="3">
                  <c:v>T4</c:v>
                </c:pt>
                <c:pt idx="4">
                  <c:v>T5</c:v>
                </c:pt>
                <c:pt idx="5">
                  <c:v>T6</c:v>
                </c:pt>
                <c:pt idx="6">
                  <c:v>T7</c:v>
                </c:pt>
                <c:pt idx="7">
                  <c:v>T8</c:v>
                </c:pt>
                <c:pt idx="8">
                  <c:v>T9</c:v>
                </c:pt>
              </c:strCache>
            </c:strRef>
          </c:cat>
          <c:val>
            <c:numRef>
              <c:f>Sheet1!$H$3:$H$11</c:f>
              <c:numCache>
                <c:formatCode>General</c:formatCode>
                <c:ptCount val="9"/>
                <c:pt idx="0">
                  <c:v>1267</c:v>
                </c:pt>
                <c:pt idx="1">
                  <c:v>1785</c:v>
                </c:pt>
                <c:pt idx="2">
                  <c:v>1410</c:v>
                </c:pt>
                <c:pt idx="3">
                  <c:v>1355</c:v>
                </c:pt>
                <c:pt idx="4">
                  <c:v>1380</c:v>
                </c:pt>
                <c:pt idx="5">
                  <c:v>1645</c:v>
                </c:pt>
                <c:pt idx="6">
                  <c:v>1650</c:v>
                </c:pt>
                <c:pt idx="7">
                  <c:v>1495</c:v>
                </c:pt>
                <c:pt idx="8">
                  <c:v>1698</c:v>
                </c:pt>
              </c:numCache>
            </c:numRef>
          </c:val>
          <c:extLst>
            <c:ext xmlns:c16="http://schemas.microsoft.com/office/drawing/2014/chart" uri="{C3380CC4-5D6E-409C-BE32-E72D297353CC}">
              <c16:uniqueId val="{00000006-666B-41B9-9AAB-24893B4DB3AA}"/>
            </c:ext>
          </c:extLst>
        </c:ser>
        <c:dLbls>
          <c:showLegendKey val="0"/>
          <c:showVal val="0"/>
          <c:showCatName val="0"/>
          <c:showSerName val="0"/>
          <c:showPercent val="0"/>
          <c:showBubbleSize val="0"/>
        </c:dLbls>
        <c:gapWidth val="219"/>
        <c:overlap val="100"/>
        <c:axId val="1431131935"/>
        <c:axId val="1431132415"/>
      </c:barChart>
      <c:catAx>
        <c:axId val="143113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132415"/>
        <c:crosses val="autoZero"/>
        <c:auto val="1"/>
        <c:lblAlgn val="ctr"/>
        <c:lblOffset val="100"/>
        <c:noMultiLvlLbl val="0"/>
      </c:catAx>
      <c:valAx>
        <c:axId val="14311324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13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Sheet1!$B$15</c:f>
              <c:strCache>
                <c:ptCount val="1"/>
                <c:pt idx="0">
                  <c:v>Rate of Imbibition (%)</c:v>
                </c:pt>
              </c:strCache>
            </c:strRef>
          </c:tx>
          <c:spPr>
            <a:solidFill>
              <a:schemeClr val="accent1"/>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Sheet1!$B$16:$B$24</c:f>
              <c:numCache>
                <c:formatCode>General</c:formatCode>
                <c:ptCount val="9"/>
                <c:pt idx="0">
                  <c:v>7.8</c:v>
                </c:pt>
                <c:pt idx="1">
                  <c:v>24.2</c:v>
                </c:pt>
                <c:pt idx="2">
                  <c:v>12.2</c:v>
                </c:pt>
                <c:pt idx="3">
                  <c:v>10.8</c:v>
                </c:pt>
                <c:pt idx="4">
                  <c:v>11.5</c:v>
                </c:pt>
                <c:pt idx="5">
                  <c:v>17.2</c:v>
                </c:pt>
                <c:pt idx="6">
                  <c:v>20.8</c:v>
                </c:pt>
                <c:pt idx="7">
                  <c:v>14.5</c:v>
                </c:pt>
                <c:pt idx="8">
                  <c:v>15.8</c:v>
                </c:pt>
              </c:numCache>
            </c:numRef>
          </c:val>
          <c:extLst>
            <c:ext xmlns:c16="http://schemas.microsoft.com/office/drawing/2014/chart" uri="{C3380CC4-5D6E-409C-BE32-E72D297353CC}">
              <c16:uniqueId val="{00000000-5CBA-481C-BE70-7EA40C25FF38}"/>
            </c:ext>
          </c:extLst>
        </c:ser>
        <c:ser>
          <c:idx val="1"/>
          <c:order val="1"/>
          <c:tx>
            <c:strRef>
              <c:f>Sheet1!$C$15</c:f>
              <c:strCache>
                <c:ptCount val="1"/>
                <c:pt idx="0">
                  <c:v>Germination (%)</c:v>
                </c:pt>
              </c:strCache>
            </c:strRef>
          </c:tx>
          <c:spPr>
            <a:solidFill>
              <a:schemeClr val="accent2"/>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Sheet1!$C$16:$C$24</c:f>
              <c:numCache>
                <c:formatCode>General</c:formatCode>
                <c:ptCount val="9"/>
                <c:pt idx="0">
                  <c:v>76</c:v>
                </c:pt>
                <c:pt idx="1">
                  <c:v>95</c:v>
                </c:pt>
                <c:pt idx="2">
                  <c:v>83</c:v>
                </c:pt>
                <c:pt idx="3">
                  <c:v>81</c:v>
                </c:pt>
                <c:pt idx="4">
                  <c:v>82</c:v>
                </c:pt>
                <c:pt idx="5">
                  <c:v>90</c:v>
                </c:pt>
                <c:pt idx="6">
                  <c:v>92</c:v>
                </c:pt>
                <c:pt idx="7">
                  <c:v>87</c:v>
                </c:pt>
                <c:pt idx="8">
                  <c:v>89</c:v>
                </c:pt>
              </c:numCache>
            </c:numRef>
          </c:val>
          <c:extLst>
            <c:ext xmlns:c16="http://schemas.microsoft.com/office/drawing/2014/chart" uri="{C3380CC4-5D6E-409C-BE32-E72D297353CC}">
              <c16:uniqueId val="{00000001-5CBA-481C-BE70-7EA40C25FF38}"/>
            </c:ext>
          </c:extLst>
        </c:ser>
        <c:ser>
          <c:idx val="2"/>
          <c:order val="2"/>
          <c:tx>
            <c:strRef>
              <c:f>Sheet1!$D$15</c:f>
              <c:strCache>
                <c:ptCount val="1"/>
                <c:pt idx="0">
                  <c:v>Speed of Germination</c:v>
                </c:pt>
              </c:strCache>
            </c:strRef>
          </c:tx>
          <c:spPr>
            <a:solidFill>
              <a:schemeClr val="accent3"/>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Sheet1!$D$16:$D$24</c:f>
              <c:numCache>
                <c:formatCode>General</c:formatCode>
                <c:ptCount val="9"/>
                <c:pt idx="0">
                  <c:v>5.0999999999999996</c:v>
                </c:pt>
                <c:pt idx="1">
                  <c:v>6.5</c:v>
                </c:pt>
                <c:pt idx="2">
                  <c:v>5.5</c:v>
                </c:pt>
                <c:pt idx="3">
                  <c:v>5.3</c:v>
                </c:pt>
                <c:pt idx="4">
                  <c:v>5.4</c:v>
                </c:pt>
                <c:pt idx="5">
                  <c:v>6.1</c:v>
                </c:pt>
                <c:pt idx="6">
                  <c:v>6.2</c:v>
                </c:pt>
                <c:pt idx="7">
                  <c:v>5.8</c:v>
                </c:pt>
                <c:pt idx="8">
                  <c:v>5.9</c:v>
                </c:pt>
              </c:numCache>
            </c:numRef>
          </c:val>
          <c:extLst>
            <c:ext xmlns:c16="http://schemas.microsoft.com/office/drawing/2014/chart" uri="{C3380CC4-5D6E-409C-BE32-E72D297353CC}">
              <c16:uniqueId val="{00000002-5CBA-481C-BE70-7EA40C25FF38}"/>
            </c:ext>
          </c:extLst>
        </c:ser>
        <c:ser>
          <c:idx val="3"/>
          <c:order val="3"/>
          <c:tx>
            <c:strRef>
              <c:f>Sheet1!$E$15</c:f>
              <c:strCache>
                <c:ptCount val="1"/>
                <c:pt idx="0">
                  <c:v>Root Length (cm)</c:v>
                </c:pt>
              </c:strCache>
            </c:strRef>
          </c:tx>
          <c:spPr>
            <a:solidFill>
              <a:schemeClr val="accent4"/>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Sheet1!$E$16:$E$24</c:f>
              <c:numCache>
                <c:formatCode>General</c:formatCode>
                <c:ptCount val="9"/>
                <c:pt idx="0">
                  <c:v>13.2</c:v>
                </c:pt>
                <c:pt idx="1">
                  <c:v>20.8</c:v>
                </c:pt>
                <c:pt idx="2">
                  <c:v>15.8</c:v>
                </c:pt>
                <c:pt idx="3">
                  <c:v>14.5</c:v>
                </c:pt>
                <c:pt idx="4">
                  <c:v>15.2</c:v>
                </c:pt>
                <c:pt idx="5">
                  <c:v>18.5</c:v>
                </c:pt>
                <c:pt idx="6">
                  <c:v>19.8</c:v>
                </c:pt>
                <c:pt idx="7">
                  <c:v>17.2</c:v>
                </c:pt>
                <c:pt idx="8">
                  <c:v>17.899999999999999</c:v>
                </c:pt>
              </c:numCache>
            </c:numRef>
          </c:val>
          <c:extLst>
            <c:ext xmlns:c16="http://schemas.microsoft.com/office/drawing/2014/chart" uri="{C3380CC4-5D6E-409C-BE32-E72D297353CC}">
              <c16:uniqueId val="{00000003-5CBA-481C-BE70-7EA40C25FF38}"/>
            </c:ext>
          </c:extLst>
        </c:ser>
        <c:ser>
          <c:idx val="4"/>
          <c:order val="4"/>
          <c:tx>
            <c:strRef>
              <c:f>Sheet1!$F$15</c:f>
              <c:strCache>
                <c:ptCount val="1"/>
                <c:pt idx="0">
                  <c:v>Shoot Length (cm)</c:v>
                </c:pt>
              </c:strCache>
            </c:strRef>
          </c:tx>
          <c:spPr>
            <a:solidFill>
              <a:schemeClr val="accent5"/>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Sheet1!$F$16:$F$24</c:f>
              <c:numCache>
                <c:formatCode>General</c:formatCode>
                <c:ptCount val="9"/>
                <c:pt idx="0">
                  <c:v>9</c:v>
                </c:pt>
                <c:pt idx="1">
                  <c:v>13.8</c:v>
                </c:pt>
                <c:pt idx="2">
                  <c:v>10.5</c:v>
                </c:pt>
                <c:pt idx="3">
                  <c:v>9.9</c:v>
                </c:pt>
                <c:pt idx="4">
                  <c:v>10.199999999999999</c:v>
                </c:pt>
                <c:pt idx="5">
                  <c:v>12.3</c:v>
                </c:pt>
                <c:pt idx="6">
                  <c:v>12.9</c:v>
                </c:pt>
                <c:pt idx="7">
                  <c:v>11.1</c:v>
                </c:pt>
                <c:pt idx="8">
                  <c:v>11.6</c:v>
                </c:pt>
              </c:numCache>
            </c:numRef>
          </c:val>
          <c:extLst>
            <c:ext xmlns:c16="http://schemas.microsoft.com/office/drawing/2014/chart" uri="{C3380CC4-5D6E-409C-BE32-E72D297353CC}">
              <c16:uniqueId val="{00000004-5CBA-481C-BE70-7EA40C25FF38}"/>
            </c:ext>
          </c:extLst>
        </c:ser>
        <c:ser>
          <c:idx val="5"/>
          <c:order val="5"/>
          <c:tx>
            <c:strRef>
              <c:f>Sheet1!$G$15</c:f>
              <c:strCache>
                <c:ptCount val="1"/>
                <c:pt idx="0">
                  <c:v>Dry Matter (mg/10 seedlings)</c:v>
                </c:pt>
              </c:strCache>
            </c:strRef>
          </c:tx>
          <c:spPr>
            <a:solidFill>
              <a:schemeClr val="accent6"/>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Sheet1!$G$16:$G$24</c:f>
              <c:numCache>
                <c:formatCode>General</c:formatCode>
                <c:ptCount val="9"/>
                <c:pt idx="0">
                  <c:v>90.8</c:v>
                </c:pt>
                <c:pt idx="1">
                  <c:v>115</c:v>
                </c:pt>
                <c:pt idx="2">
                  <c:v>102.4</c:v>
                </c:pt>
                <c:pt idx="3">
                  <c:v>98.8</c:v>
                </c:pt>
                <c:pt idx="4">
                  <c:v>100.5</c:v>
                </c:pt>
                <c:pt idx="5">
                  <c:v>106.5</c:v>
                </c:pt>
                <c:pt idx="6">
                  <c:v>108.4</c:v>
                </c:pt>
                <c:pt idx="7">
                  <c:v>103</c:v>
                </c:pt>
                <c:pt idx="8">
                  <c:v>100.9</c:v>
                </c:pt>
              </c:numCache>
            </c:numRef>
          </c:val>
          <c:extLst>
            <c:ext xmlns:c16="http://schemas.microsoft.com/office/drawing/2014/chart" uri="{C3380CC4-5D6E-409C-BE32-E72D297353CC}">
              <c16:uniqueId val="{00000005-5CBA-481C-BE70-7EA40C25FF38}"/>
            </c:ext>
          </c:extLst>
        </c:ser>
        <c:ser>
          <c:idx val="6"/>
          <c:order val="6"/>
          <c:tx>
            <c:strRef>
              <c:f>Sheet1!$H$15</c:f>
              <c:strCache>
                <c:ptCount val="1"/>
                <c:pt idx="0">
                  <c:v>Vigour Index</c:v>
                </c:pt>
              </c:strCache>
            </c:strRef>
          </c:tx>
          <c:spPr>
            <a:solidFill>
              <a:schemeClr val="accent1">
                <a:lumMod val="60000"/>
              </a:schemeClr>
            </a:solidFill>
            <a:ln>
              <a:noFill/>
            </a:ln>
            <a:effectLst/>
          </c:spPr>
          <c:invertIfNegative val="0"/>
          <c:cat>
            <c:strRef>
              <c:f>Sheet1!$A$16:$A$24</c:f>
              <c:strCache>
                <c:ptCount val="9"/>
                <c:pt idx="0">
                  <c:v>T1</c:v>
                </c:pt>
                <c:pt idx="1">
                  <c:v>T2</c:v>
                </c:pt>
                <c:pt idx="2">
                  <c:v>T3</c:v>
                </c:pt>
                <c:pt idx="3">
                  <c:v>T4</c:v>
                </c:pt>
                <c:pt idx="4">
                  <c:v>T5</c:v>
                </c:pt>
                <c:pt idx="5">
                  <c:v>T6</c:v>
                </c:pt>
                <c:pt idx="6">
                  <c:v>T7</c:v>
                </c:pt>
                <c:pt idx="7">
                  <c:v>T8</c:v>
                </c:pt>
                <c:pt idx="8">
                  <c:v>T9</c:v>
                </c:pt>
              </c:strCache>
            </c:strRef>
          </c:cat>
          <c:val>
            <c:numRef>
              <c:f>Sheet1!$H$16:$H$24</c:f>
              <c:numCache>
                <c:formatCode>General</c:formatCode>
                <c:ptCount val="9"/>
                <c:pt idx="0">
                  <c:v>1202</c:v>
                </c:pt>
                <c:pt idx="1">
                  <c:v>1624</c:v>
                </c:pt>
                <c:pt idx="2">
                  <c:v>1223</c:v>
                </c:pt>
                <c:pt idx="3">
                  <c:v>1034</c:v>
                </c:pt>
                <c:pt idx="4">
                  <c:v>1081</c:v>
                </c:pt>
                <c:pt idx="5">
                  <c:v>1503</c:v>
                </c:pt>
                <c:pt idx="6">
                  <c:v>1536</c:v>
                </c:pt>
                <c:pt idx="7">
                  <c:v>1431</c:v>
                </c:pt>
                <c:pt idx="8">
                  <c:v>1427</c:v>
                </c:pt>
              </c:numCache>
            </c:numRef>
          </c:val>
          <c:extLst>
            <c:ext xmlns:c16="http://schemas.microsoft.com/office/drawing/2014/chart" uri="{C3380CC4-5D6E-409C-BE32-E72D297353CC}">
              <c16:uniqueId val="{00000006-5CBA-481C-BE70-7EA40C25FF38}"/>
            </c:ext>
          </c:extLst>
        </c:ser>
        <c:dLbls>
          <c:showLegendKey val="0"/>
          <c:showVal val="0"/>
          <c:showCatName val="0"/>
          <c:showSerName val="0"/>
          <c:showPercent val="0"/>
          <c:showBubbleSize val="0"/>
        </c:dLbls>
        <c:gapWidth val="150"/>
        <c:overlap val="100"/>
        <c:axId val="1598815663"/>
        <c:axId val="1598815183"/>
      </c:barChart>
      <c:catAx>
        <c:axId val="159881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815183"/>
        <c:crosses val="autoZero"/>
        <c:auto val="1"/>
        <c:lblAlgn val="ctr"/>
        <c:lblOffset val="100"/>
        <c:noMultiLvlLbl val="0"/>
      </c:catAx>
      <c:valAx>
        <c:axId val="1598815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81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8</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jahnavi ommi</dc:creator>
  <cp:keywords/>
  <dc:description/>
  <cp:lastModifiedBy>SDI 1084</cp:lastModifiedBy>
  <cp:revision>47</cp:revision>
  <dcterms:created xsi:type="dcterms:W3CDTF">2025-10-17T10:45:00Z</dcterms:created>
  <dcterms:modified xsi:type="dcterms:W3CDTF">2025-12-05T08:05:00Z</dcterms:modified>
</cp:coreProperties>
</file>