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EC0A" w14:textId="77777777" w:rsidR="00AF7744" w:rsidRPr="00AF7744" w:rsidRDefault="00AF7744" w:rsidP="00AF7744">
      <w:pPr>
        <w:spacing w:after="0"/>
        <w:jc w:val="right"/>
        <w:rPr>
          <w:rFonts w:ascii="Arial" w:hAnsi="Arial" w:cs="Arial"/>
          <w:b/>
          <w:bCs/>
          <w:i/>
          <w:iCs/>
          <w:sz w:val="36"/>
          <w:szCs w:val="36"/>
          <w:u w:val="single"/>
          <w:lang w:val="en-US"/>
        </w:rPr>
      </w:pPr>
      <w:r w:rsidRPr="00AF7744">
        <w:rPr>
          <w:rFonts w:ascii="Arial" w:hAnsi="Arial" w:cs="Arial"/>
          <w:b/>
          <w:bCs/>
          <w:i/>
          <w:iCs/>
          <w:sz w:val="36"/>
          <w:szCs w:val="36"/>
          <w:u w:val="single"/>
          <w:lang w:val="en-US"/>
        </w:rPr>
        <w:t>Original Research Article</w:t>
      </w:r>
    </w:p>
    <w:p w14:paraId="1B7EEC03" w14:textId="16C419D2" w:rsidR="00287EF4" w:rsidRPr="000C2867" w:rsidRDefault="000C2867" w:rsidP="000C2867">
      <w:pPr>
        <w:spacing w:after="0"/>
        <w:jc w:val="right"/>
        <w:rPr>
          <w:rFonts w:ascii="Arial" w:hAnsi="Arial" w:cs="Arial"/>
          <w:b/>
          <w:bCs/>
          <w:sz w:val="36"/>
          <w:szCs w:val="36"/>
        </w:rPr>
      </w:pPr>
      <w:r w:rsidRPr="000C2867">
        <w:rPr>
          <w:rFonts w:ascii="Arial" w:hAnsi="Arial" w:cs="Arial"/>
          <w:b/>
          <w:bCs/>
          <w:sz w:val="36"/>
          <w:szCs w:val="36"/>
        </w:rPr>
        <w:t>Quantitative Genetic Analysis of Yield and Quality Attributes in Non-Basmati Rice Lines: Implications for Breeding</w:t>
      </w:r>
    </w:p>
    <w:p w14:paraId="5812BCAA" w14:textId="77777777" w:rsidR="00A04237" w:rsidRDefault="00A04237" w:rsidP="00C26DE1">
      <w:pPr>
        <w:spacing w:after="0"/>
        <w:rPr>
          <w:rFonts w:ascii="Arial" w:hAnsi="Arial" w:cs="Arial"/>
          <w:b/>
          <w:bCs/>
          <w:sz w:val="22"/>
          <w:szCs w:val="22"/>
          <w:lang w:val="en-US"/>
        </w:rPr>
      </w:pPr>
    </w:p>
    <w:p w14:paraId="682A23B2" w14:textId="3CBA7477" w:rsidR="00CF179F" w:rsidRPr="00C26DE1" w:rsidRDefault="003F2EC7" w:rsidP="00C26DE1">
      <w:pPr>
        <w:spacing w:after="0"/>
        <w:rPr>
          <w:rFonts w:ascii="Arial" w:hAnsi="Arial" w:cs="Arial"/>
          <w:i/>
          <w:iCs/>
          <w:sz w:val="16"/>
          <w:szCs w:val="16"/>
          <w:lang w:val="en-US"/>
        </w:rPr>
      </w:pPr>
      <w:r w:rsidRPr="003F2EC7">
        <w:rPr>
          <w:rFonts w:ascii="Arial" w:hAnsi="Arial" w:cs="Arial"/>
          <w:b/>
          <w:bCs/>
          <w:sz w:val="22"/>
          <w:szCs w:val="22"/>
          <w:lang w:val="en-US"/>
        </w:rPr>
        <w:t>ABSTRACT</w:t>
      </w:r>
    </w:p>
    <w:p w14:paraId="2D366E36" w14:textId="54708286" w:rsidR="00CF179F" w:rsidRDefault="00CF179F" w:rsidP="004D42A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sz w:val="20"/>
          <w:szCs w:val="20"/>
        </w:rPr>
      </w:pPr>
      <w:r w:rsidRPr="004D42A3">
        <w:rPr>
          <w:rFonts w:ascii="Arial" w:hAnsi="Arial" w:cs="Arial"/>
          <w:sz w:val="20"/>
          <w:szCs w:val="20"/>
        </w:rPr>
        <w:t xml:space="preserve">A study was conducted to assess genetic variability, heritability, and potential for genetic improvement among 30 non-basmati rice germplasm lines under field conditions at NEBCRC, GBPUA&amp;T, </w:t>
      </w:r>
      <w:proofErr w:type="spellStart"/>
      <w:r w:rsidRPr="004D42A3">
        <w:rPr>
          <w:rFonts w:ascii="Arial" w:hAnsi="Arial" w:cs="Arial"/>
          <w:sz w:val="20"/>
          <w:szCs w:val="20"/>
        </w:rPr>
        <w:t>Pantnagar</w:t>
      </w:r>
      <w:proofErr w:type="spellEnd"/>
      <w:r w:rsidRPr="004D42A3">
        <w:rPr>
          <w:rFonts w:ascii="Arial" w:hAnsi="Arial" w:cs="Arial"/>
          <w:sz w:val="20"/>
          <w:szCs w:val="20"/>
        </w:rPr>
        <w:t>. A set of important agronomic, yield-component and grain quality traits including days to 50% flowering, plant height, panicle length, number of tillers per plant, 1000-grain weight, grain and kernel dimensions, hulling and milling percentages, alkali spreading value, and grain yield per plant were recorded. Analysis of variance revealed highly significant differences among genotypes for all traits, indicating abundant genetic variability. The phenotypic coefficient of variation (PCV) consistently exceeded the genotypic coefficient of variation (GCV), implying environmental influence on trait expression. Broad-sense heritability estimates ranged from 48.76% to 95.30%, with highest values for alkali spreading value, panicle length, 1000-grain weight, tiller number, plant height, and days to flowering. Genetic advance (GA) varied from 0.08 to 17.05, and genetic advance as percent of mean (GAM) ranged from 3.70% to 25.77%, with highest GAM recorded for alkali spreading value, panicle length, tiller number, and 1000-grain weight. Traits combining high heritability and high GAM are likely under additive genetic control and may respond well to selection. These findings suggest that several agronomic and quality traits have considerable selection potential and can be exploited to improve yield and grain quality in non-basmati rice breeding programs.</w:t>
      </w:r>
    </w:p>
    <w:p w14:paraId="55516CF1" w14:textId="77777777" w:rsidR="004D42A3" w:rsidRPr="004D42A3" w:rsidRDefault="004D42A3" w:rsidP="00E24228">
      <w:pPr>
        <w:spacing w:after="0" w:line="240" w:lineRule="auto"/>
        <w:jc w:val="both"/>
        <w:rPr>
          <w:rFonts w:ascii="Arial" w:hAnsi="Arial" w:cs="Arial"/>
          <w:lang w:val="en-US"/>
        </w:rPr>
      </w:pPr>
    </w:p>
    <w:p w14:paraId="3129806D" w14:textId="69D70A73" w:rsidR="00CF179F" w:rsidRPr="004D42A3" w:rsidRDefault="00E24228">
      <w:pPr>
        <w:rPr>
          <w:rFonts w:ascii="Arial" w:hAnsi="Arial" w:cs="Arial"/>
          <w:b/>
          <w:bCs/>
          <w:i/>
          <w:iCs/>
          <w:sz w:val="20"/>
          <w:szCs w:val="20"/>
          <w:lang w:val="en-US"/>
        </w:rPr>
      </w:pPr>
      <w:r w:rsidRPr="004D42A3">
        <w:rPr>
          <w:rFonts w:ascii="Arial" w:hAnsi="Arial" w:cs="Arial"/>
          <w:i/>
          <w:iCs/>
          <w:sz w:val="20"/>
          <w:szCs w:val="20"/>
          <w:lang w:val="en-US"/>
        </w:rPr>
        <w:t>Keywords:</w:t>
      </w:r>
      <w:r w:rsidRPr="004D42A3">
        <w:rPr>
          <w:rFonts w:ascii="Arial" w:hAnsi="Arial" w:cs="Arial"/>
          <w:b/>
          <w:bCs/>
          <w:i/>
          <w:iCs/>
          <w:sz w:val="20"/>
          <w:szCs w:val="20"/>
          <w:lang w:val="en-US"/>
        </w:rPr>
        <w:t xml:space="preserve"> </w:t>
      </w:r>
      <w:r w:rsidRPr="004D42A3">
        <w:rPr>
          <w:rFonts w:ascii="Arial" w:hAnsi="Arial" w:cs="Arial"/>
          <w:i/>
          <w:iCs/>
          <w:sz w:val="20"/>
          <w:szCs w:val="20"/>
          <w:lang w:val="en-US"/>
        </w:rPr>
        <w:t>GCV, Genetic advance, Heritability, PCV, Rice</w:t>
      </w:r>
      <w:r w:rsidRPr="004D42A3">
        <w:rPr>
          <w:rFonts w:ascii="Arial" w:hAnsi="Arial" w:cs="Arial"/>
          <w:b/>
          <w:bCs/>
          <w:i/>
          <w:iCs/>
          <w:sz w:val="20"/>
          <w:szCs w:val="20"/>
          <w:lang w:val="en-US"/>
        </w:rPr>
        <w:t xml:space="preserve"> </w:t>
      </w:r>
    </w:p>
    <w:p w14:paraId="60165F3B" w14:textId="09896D52" w:rsidR="00A905D5" w:rsidRPr="004D42A3" w:rsidRDefault="004D42A3" w:rsidP="004D42A3">
      <w:pPr>
        <w:pStyle w:val="ListParagraph"/>
        <w:numPr>
          <w:ilvl w:val="0"/>
          <w:numId w:val="4"/>
        </w:numPr>
        <w:ind w:left="142" w:hanging="284"/>
        <w:rPr>
          <w:rFonts w:ascii="Times New Roman" w:hAnsi="Times New Roman" w:cs="Times New Roman"/>
          <w:b/>
          <w:bCs/>
          <w:lang w:val="en-US"/>
        </w:rPr>
      </w:pPr>
      <w:r w:rsidRPr="004D42A3">
        <w:rPr>
          <w:rFonts w:ascii="Arial" w:hAnsi="Arial" w:cs="Arial"/>
          <w:b/>
          <w:bCs/>
          <w:sz w:val="22"/>
          <w:szCs w:val="22"/>
          <w:lang w:val="en-US"/>
        </w:rPr>
        <w:t>INTRODUCTION</w:t>
      </w:r>
    </w:p>
    <w:p w14:paraId="58F86C48" w14:textId="204627FB" w:rsidR="00B20C99" w:rsidRPr="004D42A3" w:rsidRDefault="008F7123" w:rsidP="00B94D22">
      <w:pPr>
        <w:spacing w:line="240" w:lineRule="auto"/>
        <w:jc w:val="both"/>
        <w:rPr>
          <w:rFonts w:ascii="Arial" w:hAnsi="Arial" w:cs="Arial"/>
          <w:sz w:val="20"/>
          <w:szCs w:val="20"/>
        </w:rPr>
      </w:pPr>
      <w:r w:rsidRPr="004D42A3">
        <w:rPr>
          <w:rFonts w:ascii="Arial" w:hAnsi="Arial" w:cs="Arial"/>
          <w:sz w:val="20"/>
          <w:szCs w:val="20"/>
        </w:rPr>
        <w:t xml:space="preserve">Rice is far more than a simple </w:t>
      </w:r>
      <w:r w:rsidR="00594FF9" w:rsidRPr="004D42A3">
        <w:rPr>
          <w:rFonts w:ascii="Arial" w:hAnsi="Arial" w:cs="Arial"/>
          <w:sz w:val="20"/>
          <w:szCs w:val="20"/>
        </w:rPr>
        <w:t>cereal;</w:t>
      </w:r>
      <w:r w:rsidRPr="004D42A3">
        <w:rPr>
          <w:rFonts w:ascii="Arial" w:hAnsi="Arial" w:cs="Arial"/>
          <w:sz w:val="20"/>
          <w:szCs w:val="20"/>
        </w:rPr>
        <w:t xml:space="preserve"> it is the lifeline for over half of the world’s population. As the staple food for more than 3 to 3.5 billion people worldwide, rice provides roughly 20 percent of global dietary energy supply. </w:t>
      </w:r>
      <w:r w:rsidR="00594FF9" w:rsidRPr="004D42A3">
        <w:rPr>
          <w:rFonts w:ascii="Arial" w:hAnsi="Arial" w:cs="Arial"/>
          <w:sz w:val="20"/>
          <w:szCs w:val="20"/>
        </w:rPr>
        <w:t xml:space="preserve">The global rice production forecast for the year 2023-24 is 523.42 million metric tons. Globally, the top rice-producing country is India (150 million metric tons), followed by </w:t>
      </w:r>
      <w:r w:rsidR="00B20C99" w:rsidRPr="004D42A3">
        <w:rPr>
          <w:rFonts w:ascii="Arial" w:hAnsi="Arial" w:cs="Arial"/>
          <w:sz w:val="20"/>
          <w:szCs w:val="20"/>
        </w:rPr>
        <w:t>China</w:t>
      </w:r>
      <w:r w:rsidR="00594FF9" w:rsidRPr="004D42A3">
        <w:rPr>
          <w:rFonts w:ascii="Arial" w:hAnsi="Arial" w:cs="Arial"/>
          <w:sz w:val="20"/>
          <w:szCs w:val="20"/>
        </w:rPr>
        <w:t xml:space="preserve"> (145.28 million metric tons)</w:t>
      </w:r>
      <w:r w:rsidR="00B20C99" w:rsidRPr="004D42A3">
        <w:rPr>
          <w:rFonts w:ascii="Arial" w:hAnsi="Arial" w:cs="Arial"/>
          <w:sz w:val="20"/>
          <w:szCs w:val="20"/>
        </w:rPr>
        <w:t xml:space="preserve"> </w:t>
      </w:r>
      <w:r w:rsidR="00594FF9" w:rsidRPr="004D42A3">
        <w:rPr>
          <w:rFonts w:ascii="Arial" w:hAnsi="Arial" w:cs="Arial"/>
          <w:bCs/>
          <w:color w:val="000000"/>
          <w:sz w:val="20"/>
          <w:szCs w:val="20"/>
        </w:rPr>
        <w:t>(</w:t>
      </w:r>
      <w:r w:rsidR="00594FF9" w:rsidRPr="004D42A3">
        <w:rPr>
          <w:rFonts w:ascii="Arial" w:hAnsi="Arial" w:cs="Arial"/>
          <w:b/>
          <w:color w:val="000000"/>
          <w:sz w:val="20"/>
          <w:szCs w:val="20"/>
        </w:rPr>
        <w:t>USDA, 2024)</w:t>
      </w:r>
      <w:r w:rsidR="00594FF9" w:rsidRPr="004D42A3">
        <w:rPr>
          <w:rFonts w:ascii="Arial" w:hAnsi="Arial" w:cs="Arial"/>
          <w:sz w:val="20"/>
          <w:szCs w:val="20"/>
        </w:rPr>
        <w:t xml:space="preserve">. Together, India and China account for more than half of the rice produced globally. </w:t>
      </w:r>
      <w:r w:rsidRPr="004D42A3">
        <w:rPr>
          <w:rFonts w:ascii="Arial" w:hAnsi="Arial" w:cs="Arial"/>
          <w:sz w:val="20"/>
          <w:szCs w:val="20"/>
        </w:rPr>
        <w:t xml:space="preserve">In many Asian countries, it contributes 50–70 percent of daily calories and remains the primary source of carbohydrates, energy, and, to a limited extent, protein. As cultivation intensified during the Green Revolution, rice yields rose substantially, helping to feed rapidly expanding populations and improving food security in many developing countries. Given its wide </w:t>
      </w:r>
      <w:r w:rsidR="00594FF9" w:rsidRPr="004D42A3">
        <w:rPr>
          <w:rFonts w:ascii="Arial" w:hAnsi="Arial" w:cs="Arial"/>
          <w:sz w:val="20"/>
          <w:szCs w:val="20"/>
        </w:rPr>
        <w:t xml:space="preserve">coverage, </w:t>
      </w:r>
      <w:r w:rsidRPr="004D42A3">
        <w:rPr>
          <w:rFonts w:ascii="Arial" w:hAnsi="Arial" w:cs="Arial"/>
          <w:sz w:val="20"/>
          <w:szCs w:val="20"/>
        </w:rPr>
        <w:t>it is grown on all habitable continents except Antarctic</w:t>
      </w:r>
      <w:r w:rsidR="00594FF9" w:rsidRPr="004D42A3">
        <w:rPr>
          <w:rFonts w:ascii="Arial" w:hAnsi="Arial" w:cs="Arial"/>
          <w:sz w:val="20"/>
          <w:szCs w:val="20"/>
        </w:rPr>
        <w:t>a</w:t>
      </w:r>
      <w:r w:rsidRPr="004D42A3">
        <w:rPr>
          <w:rFonts w:ascii="Arial" w:hAnsi="Arial" w:cs="Arial"/>
          <w:sz w:val="20"/>
          <w:szCs w:val="20"/>
        </w:rPr>
        <w:t>.</w:t>
      </w:r>
    </w:p>
    <w:p w14:paraId="73A68F76" w14:textId="4D2D328D" w:rsidR="004510EB" w:rsidRPr="004D42A3" w:rsidRDefault="004510EB" w:rsidP="00DE57C8">
      <w:pPr>
        <w:spacing w:line="240" w:lineRule="auto"/>
        <w:ind w:firstLine="720"/>
        <w:jc w:val="both"/>
        <w:rPr>
          <w:rFonts w:ascii="Arial" w:hAnsi="Arial" w:cs="Arial"/>
          <w:sz w:val="20"/>
          <w:szCs w:val="20"/>
        </w:rPr>
      </w:pPr>
      <w:r w:rsidRPr="004D42A3">
        <w:rPr>
          <w:rFonts w:ascii="Arial" w:hAnsi="Arial" w:cs="Arial"/>
          <w:sz w:val="20"/>
          <w:szCs w:val="20"/>
        </w:rPr>
        <w:t xml:space="preserve">The germplasm collections in rice represent one of the richest reservoirs of genetic diversity which encompassing traditional landraces, modern cultivars, and wild relatives and provide a critical foundation for breeding and crop improvement </w:t>
      </w:r>
      <w:r w:rsidRPr="004D42A3">
        <w:rPr>
          <w:rFonts w:ascii="Arial" w:hAnsi="Arial" w:cs="Arial"/>
          <w:b/>
          <w:bCs/>
          <w:sz w:val="20"/>
          <w:szCs w:val="20"/>
        </w:rPr>
        <w:t xml:space="preserve">(Tang </w:t>
      </w:r>
      <w:r w:rsidRPr="004D42A3">
        <w:rPr>
          <w:rFonts w:ascii="Arial" w:hAnsi="Arial" w:cs="Arial"/>
          <w:b/>
          <w:bCs/>
          <w:i/>
          <w:iCs/>
          <w:sz w:val="20"/>
          <w:szCs w:val="20"/>
        </w:rPr>
        <w:t>et al</w:t>
      </w:r>
      <w:r w:rsidRPr="004D42A3">
        <w:rPr>
          <w:rFonts w:ascii="Arial" w:hAnsi="Arial" w:cs="Arial"/>
          <w:b/>
          <w:bCs/>
          <w:sz w:val="20"/>
          <w:szCs w:val="20"/>
        </w:rPr>
        <w:t>., 2021</w:t>
      </w:r>
      <w:r w:rsidR="004A2F06" w:rsidRPr="004D42A3">
        <w:rPr>
          <w:rFonts w:ascii="Arial" w:hAnsi="Arial" w:cs="Arial"/>
          <w:b/>
          <w:bCs/>
          <w:sz w:val="20"/>
          <w:szCs w:val="20"/>
        </w:rPr>
        <w:t xml:space="preserve">). </w:t>
      </w:r>
      <w:r w:rsidRPr="004D42A3">
        <w:rPr>
          <w:rFonts w:ascii="Arial" w:hAnsi="Arial" w:cs="Arial"/>
          <w:sz w:val="20"/>
          <w:szCs w:val="20"/>
        </w:rPr>
        <w:t xml:space="preserve">To harness this genetic potential, current landraces must be systematically evaluated and characterized for </w:t>
      </w:r>
      <w:proofErr w:type="spellStart"/>
      <w:r w:rsidRPr="004D42A3">
        <w:rPr>
          <w:rFonts w:ascii="Arial" w:hAnsi="Arial" w:cs="Arial"/>
          <w:sz w:val="20"/>
          <w:szCs w:val="20"/>
        </w:rPr>
        <w:t>agro</w:t>
      </w:r>
      <w:proofErr w:type="spellEnd"/>
      <w:r w:rsidR="00ED30D8" w:rsidRPr="004D42A3">
        <w:rPr>
          <w:rFonts w:ascii="Arial" w:hAnsi="Arial" w:cs="Arial"/>
          <w:sz w:val="20"/>
          <w:szCs w:val="20"/>
        </w:rPr>
        <w:t>-</w:t>
      </w:r>
      <w:r w:rsidRPr="004D42A3">
        <w:rPr>
          <w:rFonts w:ascii="Arial" w:hAnsi="Arial" w:cs="Arial"/>
          <w:sz w:val="20"/>
          <w:szCs w:val="20"/>
        </w:rPr>
        <w:t xml:space="preserve">morphological traits, a process known as phenotypic characterization. </w:t>
      </w:r>
      <w:r w:rsidR="00E245EE" w:rsidRPr="004D42A3">
        <w:rPr>
          <w:rFonts w:ascii="Arial" w:hAnsi="Arial" w:cs="Arial"/>
          <w:sz w:val="20"/>
          <w:szCs w:val="20"/>
        </w:rPr>
        <w:t xml:space="preserve">By measuring a broad set of morphological, physiological, and agronomic traits, researchers can identify outstanding genotypes for selection and breeding. </w:t>
      </w:r>
      <w:r w:rsidRPr="004D42A3">
        <w:rPr>
          <w:rFonts w:ascii="Arial" w:hAnsi="Arial" w:cs="Arial"/>
          <w:sz w:val="20"/>
          <w:szCs w:val="20"/>
        </w:rPr>
        <w:t xml:space="preserve">Quantitative genetic analyses using parameters such as the phenotypic coefficient of variation (PCV), genotypic coefficient of variation (GCV), </w:t>
      </w:r>
      <w:r w:rsidR="005F153D" w:rsidRPr="004D42A3">
        <w:rPr>
          <w:rFonts w:ascii="Arial" w:hAnsi="Arial" w:cs="Arial"/>
          <w:sz w:val="20"/>
          <w:szCs w:val="20"/>
        </w:rPr>
        <w:t xml:space="preserve">heritability, and genetic advance are essential in this context. PCV and GCV reflect the total versus the genetic portion of variability respectively, helping to reveal the underlying genetic diversity. High heritability indicates that much of the phenotypic variation is genetically controlled rather than environmentally driven, which increases the reliability of selection. However, heritability alone is not sufficient: only when high heritability is accompanied by substantial genetic advance can a meaningful improvement through selection be expected </w:t>
      </w:r>
      <w:r w:rsidRPr="004D42A3">
        <w:rPr>
          <w:rFonts w:ascii="Arial" w:hAnsi="Arial" w:cs="Arial"/>
          <w:b/>
          <w:bCs/>
          <w:sz w:val="20"/>
          <w:szCs w:val="20"/>
        </w:rPr>
        <w:t xml:space="preserve">(Shukla </w:t>
      </w:r>
      <w:r w:rsidRPr="004D42A3">
        <w:rPr>
          <w:rFonts w:ascii="Arial" w:hAnsi="Arial" w:cs="Arial"/>
          <w:b/>
          <w:bCs/>
          <w:i/>
          <w:iCs/>
          <w:sz w:val="20"/>
          <w:szCs w:val="20"/>
        </w:rPr>
        <w:t>et al</w:t>
      </w:r>
      <w:r w:rsidRPr="004D42A3">
        <w:rPr>
          <w:rFonts w:ascii="Arial" w:hAnsi="Arial" w:cs="Arial"/>
          <w:b/>
          <w:bCs/>
          <w:sz w:val="20"/>
          <w:szCs w:val="20"/>
        </w:rPr>
        <w:t xml:space="preserve">., 2004; Khan </w:t>
      </w:r>
      <w:r w:rsidRPr="004D42A3">
        <w:rPr>
          <w:rFonts w:ascii="Arial" w:hAnsi="Arial" w:cs="Arial"/>
          <w:b/>
          <w:bCs/>
          <w:i/>
          <w:iCs/>
          <w:sz w:val="20"/>
          <w:szCs w:val="20"/>
        </w:rPr>
        <w:t>et al</w:t>
      </w:r>
      <w:r w:rsidRPr="004D42A3">
        <w:rPr>
          <w:rFonts w:ascii="Arial" w:hAnsi="Arial" w:cs="Arial"/>
          <w:b/>
          <w:bCs/>
          <w:sz w:val="20"/>
          <w:szCs w:val="20"/>
        </w:rPr>
        <w:t>., 2008).</w:t>
      </w:r>
      <w:r w:rsidR="00B20C99" w:rsidRPr="004D42A3">
        <w:rPr>
          <w:rFonts w:ascii="Arial" w:hAnsi="Arial" w:cs="Arial"/>
          <w:sz w:val="20"/>
          <w:szCs w:val="20"/>
        </w:rPr>
        <w:t xml:space="preserve"> </w:t>
      </w:r>
    </w:p>
    <w:p w14:paraId="58210C6E" w14:textId="5C749158" w:rsidR="00A905D5" w:rsidRPr="004D42A3" w:rsidRDefault="004D42A3" w:rsidP="004D42A3">
      <w:pPr>
        <w:pStyle w:val="ListParagraph"/>
        <w:numPr>
          <w:ilvl w:val="0"/>
          <w:numId w:val="4"/>
        </w:numPr>
        <w:ind w:left="284" w:hanging="284"/>
        <w:rPr>
          <w:rFonts w:ascii="Arial" w:hAnsi="Arial" w:cs="Arial"/>
          <w:b/>
          <w:bCs/>
          <w:sz w:val="22"/>
          <w:szCs w:val="22"/>
          <w:lang w:val="en-US"/>
        </w:rPr>
      </w:pPr>
      <w:r w:rsidRPr="004D42A3">
        <w:rPr>
          <w:rFonts w:ascii="Arial" w:hAnsi="Arial" w:cs="Arial"/>
          <w:b/>
          <w:bCs/>
          <w:sz w:val="22"/>
          <w:szCs w:val="22"/>
          <w:lang w:val="en-US"/>
        </w:rPr>
        <w:t>MATERIAL AND METHODS</w:t>
      </w:r>
    </w:p>
    <w:p w14:paraId="075FC712" w14:textId="225262E7" w:rsidR="005F153D" w:rsidRPr="004D42A3" w:rsidRDefault="00D921AC" w:rsidP="00B94D22">
      <w:pPr>
        <w:spacing w:line="240" w:lineRule="auto"/>
        <w:jc w:val="both"/>
        <w:rPr>
          <w:rFonts w:ascii="Arial" w:hAnsi="Arial" w:cs="Arial"/>
          <w:sz w:val="20"/>
          <w:szCs w:val="20"/>
        </w:rPr>
      </w:pPr>
      <w:r w:rsidRPr="004D42A3">
        <w:rPr>
          <w:rFonts w:ascii="Arial" w:hAnsi="Arial" w:cs="Arial"/>
          <w:sz w:val="20"/>
          <w:szCs w:val="20"/>
        </w:rPr>
        <w:lastRenderedPageBreak/>
        <w:t xml:space="preserve">Thirty non-basmati germplasm lines from the Rice Breeding Block, NEBCRC, GBPUA&amp;T, </w:t>
      </w:r>
      <w:proofErr w:type="spellStart"/>
      <w:r w:rsidRPr="004D42A3">
        <w:rPr>
          <w:rFonts w:ascii="Arial" w:hAnsi="Arial" w:cs="Arial"/>
          <w:sz w:val="20"/>
          <w:szCs w:val="20"/>
        </w:rPr>
        <w:t>Pantnagar</w:t>
      </w:r>
      <w:proofErr w:type="spellEnd"/>
      <w:r w:rsidRPr="004D42A3">
        <w:rPr>
          <w:rFonts w:ascii="Arial" w:hAnsi="Arial" w:cs="Arial"/>
          <w:sz w:val="20"/>
          <w:szCs w:val="20"/>
        </w:rPr>
        <w:t xml:space="preserve"> were evaluated during the Kharif season. Twenty-day-old seedlings were raised in a well-prepared nursery and transplanted into the main field laid out in a Randomized Complete Block Design (RCBD) with three replications. For each genotype and each replication, a plot of 3 m² (three rows, each 6.0 m long) was used. Row-to-row spacing was maintained at 20 cm, and seedlings were transplanted singly (one plant per hill) at a hill-to-hill spacing of 15 cm ensuring uniform plant density and minimizing intra-genotypic competition. </w:t>
      </w:r>
      <w:r w:rsidR="002F7263" w:rsidRPr="004D42A3">
        <w:rPr>
          <w:rFonts w:ascii="Arial" w:hAnsi="Arial" w:cs="Arial"/>
          <w:sz w:val="20"/>
          <w:szCs w:val="20"/>
        </w:rPr>
        <w:t xml:space="preserve"> </w:t>
      </w:r>
    </w:p>
    <w:p w14:paraId="21BBCB93" w14:textId="28717FA0" w:rsidR="00A320ED" w:rsidRPr="004D42A3" w:rsidRDefault="00A320ED" w:rsidP="002C0FFA">
      <w:pPr>
        <w:spacing w:after="0" w:line="360" w:lineRule="auto"/>
        <w:jc w:val="both"/>
        <w:rPr>
          <w:rFonts w:ascii="Arial" w:hAnsi="Arial" w:cs="Arial"/>
          <w:b/>
          <w:bCs/>
        </w:rPr>
      </w:pPr>
      <w:r w:rsidRPr="004D42A3">
        <w:rPr>
          <w:rFonts w:ascii="Arial" w:hAnsi="Arial" w:cs="Arial"/>
          <w:b/>
          <w:bCs/>
          <w:sz w:val="20"/>
          <w:szCs w:val="20"/>
        </w:rPr>
        <w:t>Table 1: Description of non-basmati germplasm 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424"/>
        <w:gridCol w:w="4394"/>
        <w:gridCol w:w="1366"/>
      </w:tblGrid>
      <w:tr w:rsidR="00A320ED" w:rsidRPr="007E15FC" w14:paraId="4893EA44" w14:textId="77777777" w:rsidTr="002F7263">
        <w:tc>
          <w:tcPr>
            <w:tcW w:w="832" w:type="dxa"/>
          </w:tcPr>
          <w:p w14:paraId="3C7D96E0"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S. No.</w:t>
            </w:r>
          </w:p>
        </w:tc>
        <w:tc>
          <w:tcPr>
            <w:tcW w:w="2424" w:type="dxa"/>
          </w:tcPr>
          <w:p w14:paraId="3911EC5D"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Variety/Landrace</w:t>
            </w:r>
          </w:p>
        </w:tc>
        <w:tc>
          <w:tcPr>
            <w:tcW w:w="4394" w:type="dxa"/>
          </w:tcPr>
          <w:p w14:paraId="7FA56F38"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Parentage</w:t>
            </w:r>
          </w:p>
        </w:tc>
        <w:tc>
          <w:tcPr>
            <w:tcW w:w="1366" w:type="dxa"/>
          </w:tcPr>
          <w:p w14:paraId="08A8A378"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Year</w:t>
            </w:r>
          </w:p>
        </w:tc>
      </w:tr>
      <w:tr w:rsidR="00A320ED" w:rsidRPr="007E15FC" w14:paraId="621E3851" w14:textId="77777777" w:rsidTr="002F7263">
        <w:tc>
          <w:tcPr>
            <w:tcW w:w="832" w:type="dxa"/>
          </w:tcPr>
          <w:p w14:paraId="6D8F0AF7"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w:t>
            </w:r>
          </w:p>
        </w:tc>
        <w:tc>
          <w:tcPr>
            <w:tcW w:w="2424" w:type="dxa"/>
          </w:tcPr>
          <w:p w14:paraId="23A4A4E3"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VL Dhan 39</w:t>
            </w:r>
          </w:p>
        </w:tc>
        <w:tc>
          <w:tcPr>
            <w:tcW w:w="4394" w:type="dxa"/>
          </w:tcPr>
          <w:p w14:paraId="7E565561"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China-1039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IR-580-19-2-3-1</w:t>
            </w:r>
          </w:p>
        </w:tc>
        <w:tc>
          <w:tcPr>
            <w:tcW w:w="1366" w:type="dxa"/>
          </w:tcPr>
          <w:p w14:paraId="51165DE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1982</w:t>
            </w:r>
          </w:p>
        </w:tc>
      </w:tr>
      <w:tr w:rsidR="00A320ED" w:rsidRPr="007E15FC" w14:paraId="5BAAE37C" w14:textId="77777777" w:rsidTr="002F7263">
        <w:tc>
          <w:tcPr>
            <w:tcW w:w="832" w:type="dxa"/>
          </w:tcPr>
          <w:p w14:paraId="3C6378DB"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w:t>
            </w:r>
          </w:p>
        </w:tc>
        <w:tc>
          <w:tcPr>
            <w:tcW w:w="2424" w:type="dxa"/>
          </w:tcPr>
          <w:p w14:paraId="4F2045F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Sarjoo 52</w:t>
            </w:r>
          </w:p>
        </w:tc>
        <w:tc>
          <w:tcPr>
            <w:tcW w:w="4394" w:type="dxa"/>
          </w:tcPr>
          <w:p w14:paraId="24282D55"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TN 1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Kashi</w:t>
            </w:r>
          </w:p>
        </w:tc>
        <w:tc>
          <w:tcPr>
            <w:tcW w:w="1366" w:type="dxa"/>
          </w:tcPr>
          <w:p w14:paraId="345FD63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1980</w:t>
            </w:r>
          </w:p>
        </w:tc>
      </w:tr>
      <w:tr w:rsidR="00A320ED" w:rsidRPr="007E15FC" w14:paraId="6EFFBCB2" w14:textId="77777777" w:rsidTr="002F7263">
        <w:tc>
          <w:tcPr>
            <w:tcW w:w="832" w:type="dxa"/>
          </w:tcPr>
          <w:p w14:paraId="45E5F984"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3</w:t>
            </w:r>
          </w:p>
        </w:tc>
        <w:tc>
          <w:tcPr>
            <w:tcW w:w="2424" w:type="dxa"/>
          </w:tcPr>
          <w:p w14:paraId="22A22541"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Hansraj</w:t>
            </w:r>
          </w:p>
        </w:tc>
        <w:tc>
          <w:tcPr>
            <w:tcW w:w="4394" w:type="dxa"/>
          </w:tcPr>
          <w:p w14:paraId="417C0275"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Landraces</w:t>
            </w:r>
          </w:p>
        </w:tc>
        <w:tc>
          <w:tcPr>
            <w:tcW w:w="1366" w:type="dxa"/>
          </w:tcPr>
          <w:p w14:paraId="4D77262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      1930</w:t>
            </w:r>
          </w:p>
        </w:tc>
      </w:tr>
      <w:tr w:rsidR="00A320ED" w:rsidRPr="007E15FC" w14:paraId="58D2A112" w14:textId="77777777" w:rsidTr="002F7263">
        <w:tc>
          <w:tcPr>
            <w:tcW w:w="832" w:type="dxa"/>
          </w:tcPr>
          <w:p w14:paraId="63F6F5A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4</w:t>
            </w:r>
          </w:p>
        </w:tc>
        <w:tc>
          <w:tcPr>
            <w:tcW w:w="2424" w:type="dxa"/>
          </w:tcPr>
          <w:p w14:paraId="143A93E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WGL 480</w:t>
            </w:r>
          </w:p>
        </w:tc>
        <w:tc>
          <w:tcPr>
            <w:tcW w:w="4394" w:type="dxa"/>
          </w:tcPr>
          <w:p w14:paraId="26480FE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w:t>
            </w:r>
          </w:p>
        </w:tc>
        <w:tc>
          <w:tcPr>
            <w:tcW w:w="1366" w:type="dxa"/>
          </w:tcPr>
          <w:p w14:paraId="35960F3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619850A1" w14:textId="77777777" w:rsidTr="002F7263">
        <w:tc>
          <w:tcPr>
            <w:tcW w:w="832" w:type="dxa"/>
          </w:tcPr>
          <w:p w14:paraId="237A258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5</w:t>
            </w:r>
          </w:p>
        </w:tc>
        <w:tc>
          <w:tcPr>
            <w:tcW w:w="2424" w:type="dxa"/>
          </w:tcPr>
          <w:p w14:paraId="1FFF6F49"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Pant Dhan 12</w:t>
            </w:r>
          </w:p>
        </w:tc>
        <w:tc>
          <w:tcPr>
            <w:tcW w:w="4394" w:type="dxa"/>
          </w:tcPr>
          <w:p w14:paraId="255D0DED"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Govind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UPR 201-1-1</w:t>
            </w:r>
          </w:p>
        </w:tc>
        <w:tc>
          <w:tcPr>
            <w:tcW w:w="1366" w:type="dxa"/>
          </w:tcPr>
          <w:p w14:paraId="7DEBFEBB"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      1996</w:t>
            </w:r>
          </w:p>
        </w:tc>
      </w:tr>
      <w:tr w:rsidR="00A320ED" w:rsidRPr="007E15FC" w14:paraId="30A6AB2A" w14:textId="77777777" w:rsidTr="002F7263">
        <w:tc>
          <w:tcPr>
            <w:tcW w:w="832" w:type="dxa"/>
          </w:tcPr>
          <w:p w14:paraId="2B5A24B4"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6</w:t>
            </w:r>
          </w:p>
        </w:tc>
        <w:tc>
          <w:tcPr>
            <w:tcW w:w="2424" w:type="dxa"/>
          </w:tcPr>
          <w:p w14:paraId="3C3EDCAA"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Laldhan</w:t>
            </w:r>
            <w:proofErr w:type="spellEnd"/>
          </w:p>
        </w:tc>
        <w:tc>
          <w:tcPr>
            <w:tcW w:w="4394" w:type="dxa"/>
          </w:tcPr>
          <w:p w14:paraId="52A44657" w14:textId="77777777" w:rsidR="00A320ED" w:rsidRPr="004D42A3" w:rsidRDefault="00A320ED" w:rsidP="0004039B">
            <w:pPr>
              <w:spacing w:after="0" w:line="240" w:lineRule="auto"/>
              <w:rPr>
                <w:rFonts w:ascii="Arial" w:hAnsi="Arial" w:cs="Arial"/>
                <w:sz w:val="20"/>
                <w:szCs w:val="20"/>
              </w:rPr>
            </w:pPr>
            <w:r w:rsidRPr="004D42A3">
              <w:rPr>
                <w:rFonts w:ascii="Arial" w:eastAsia="Times New Roman" w:hAnsi="Arial" w:cs="Arial"/>
                <w:sz w:val="20"/>
                <w:szCs w:val="20"/>
              </w:rPr>
              <w:t>Selection from local material</w:t>
            </w:r>
          </w:p>
        </w:tc>
        <w:tc>
          <w:tcPr>
            <w:tcW w:w="1366" w:type="dxa"/>
          </w:tcPr>
          <w:p w14:paraId="032B569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76909548" w14:textId="77777777" w:rsidTr="002F7263">
        <w:tc>
          <w:tcPr>
            <w:tcW w:w="832" w:type="dxa"/>
          </w:tcPr>
          <w:p w14:paraId="050133D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7</w:t>
            </w:r>
          </w:p>
        </w:tc>
        <w:tc>
          <w:tcPr>
            <w:tcW w:w="2424" w:type="dxa"/>
          </w:tcPr>
          <w:p w14:paraId="1A2E97D3"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Dhansal</w:t>
            </w:r>
            <w:proofErr w:type="spellEnd"/>
          </w:p>
        </w:tc>
        <w:tc>
          <w:tcPr>
            <w:tcW w:w="4394" w:type="dxa"/>
          </w:tcPr>
          <w:p w14:paraId="08832F8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Landraces</w:t>
            </w:r>
          </w:p>
        </w:tc>
        <w:tc>
          <w:tcPr>
            <w:tcW w:w="1366" w:type="dxa"/>
          </w:tcPr>
          <w:p w14:paraId="2BC3188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431B6D65" w14:textId="77777777" w:rsidTr="002F7263">
        <w:tc>
          <w:tcPr>
            <w:tcW w:w="832" w:type="dxa"/>
          </w:tcPr>
          <w:p w14:paraId="23BBEBB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8</w:t>
            </w:r>
          </w:p>
        </w:tc>
        <w:tc>
          <w:tcPr>
            <w:tcW w:w="2424" w:type="dxa"/>
          </w:tcPr>
          <w:p w14:paraId="7B4F597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Mahamaya</w:t>
            </w:r>
          </w:p>
        </w:tc>
        <w:tc>
          <w:tcPr>
            <w:tcW w:w="4394" w:type="dxa"/>
          </w:tcPr>
          <w:p w14:paraId="2E275590"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Asha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Kranthi</w:t>
            </w:r>
          </w:p>
        </w:tc>
        <w:tc>
          <w:tcPr>
            <w:tcW w:w="1366" w:type="dxa"/>
          </w:tcPr>
          <w:p w14:paraId="360A4590"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1994</w:t>
            </w:r>
          </w:p>
        </w:tc>
      </w:tr>
      <w:tr w:rsidR="00A320ED" w:rsidRPr="007E15FC" w14:paraId="7C075F48" w14:textId="77777777" w:rsidTr="002F7263">
        <w:tc>
          <w:tcPr>
            <w:tcW w:w="832" w:type="dxa"/>
          </w:tcPr>
          <w:p w14:paraId="0E408B7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9</w:t>
            </w:r>
          </w:p>
        </w:tc>
        <w:tc>
          <w:tcPr>
            <w:tcW w:w="2424" w:type="dxa"/>
          </w:tcPr>
          <w:p w14:paraId="5D34256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Narendra-359</w:t>
            </w:r>
          </w:p>
        </w:tc>
        <w:tc>
          <w:tcPr>
            <w:tcW w:w="4394" w:type="dxa"/>
          </w:tcPr>
          <w:p w14:paraId="348BEF4F" w14:textId="5042CF3E"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BG90-2-4</w:t>
            </w:r>
            <w:r w:rsidR="002F7263" w:rsidRPr="004D42A3">
              <w:rPr>
                <w:rFonts w:ascii="Arial" w:hAnsi="Arial" w:cs="Arial"/>
                <w:sz w:val="20"/>
                <w:szCs w:val="20"/>
              </w:rPr>
              <w:t xml:space="preserve"> </w:t>
            </w:r>
            <w:r w:rsidR="002F7263" w:rsidRPr="004D42A3">
              <w:rPr>
                <w:rFonts w:ascii="Arial" w:eastAsia="Times New Roman" w:hAnsi="Arial" w:cs="Arial"/>
                <w:b/>
                <w:color w:val="000000"/>
                <w:sz w:val="20"/>
                <w:szCs w:val="20"/>
                <w:lang w:eastAsia="en-IN"/>
              </w:rPr>
              <w:t xml:space="preserve">× </w:t>
            </w:r>
            <w:r w:rsidRPr="004D42A3">
              <w:rPr>
                <w:rFonts w:ascii="Arial" w:hAnsi="Arial" w:cs="Arial"/>
                <w:sz w:val="20"/>
                <w:szCs w:val="20"/>
              </w:rPr>
              <w:t>OB677</w:t>
            </w:r>
          </w:p>
        </w:tc>
        <w:tc>
          <w:tcPr>
            <w:tcW w:w="1366" w:type="dxa"/>
          </w:tcPr>
          <w:p w14:paraId="77686C1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1993</w:t>
            </w:r>
          </w:p>
        </w:tc>
      </w:tr>
      <w:tr w:rsidR="00A320ED" w:rsidRPr="007E15FC" w14:paraId="1C2837F4" w14:textId="77777777" w:rsidTr="002F7263">
        <w:tc>
          <w:tcPr>
            <w:tcW w:w="832" w:type="dxa"/>
          </w:tcPr>
          <w:p w14:paraId="41DF3E8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10</w:t>
            </w:r>
          </w:p>
        </w:tc>
        <w:tc>
          <w:tcPr>
            <w:tcW w:w="2424" w:type="dxa"/>
          </w:tcPr>
          <w:p w14:paraId="2C6E6DC7"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 64</w:t>
            </w:r>
          </w:p>
        </w:tc>
        <w:tc>
          <w:tcPr>
            <w:tcW w:w="4394" w:type="dxa"/>
          </w:tcPr>
          <w:p w14:paraId="23762FA1"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IR 5657-33-2-1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IR 2061-465-1-5-3</w:t>
            </w:r>
          </w:p>
        </w:tc>
        <w:tc>
          <w:tcPr>
            <w:tcW w:w="1366" w:type="dxa"/>
          </w:tcPr>
          <w:p w14:paraId="080E002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1985</w:t>
            </w:r>
          </w:p>
        </w:tc>
      </w:tr>
      <w:tr w:rsidR="00A320ED" w:rsidRPr="007E15FC" w14:paraId="1E667A45" w14:textId="77777777" w:rsidTr="002F7263">
        <w:tc>
          <w:tcPr>
            <w:tcW w:w="832" w:type="dxa"/>
          </w:tcPr>
          <w:p w14:paraId="4DF73B12"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11</w:t>
            </w:r>
          </w:p>
        </w:tc>
        <w:tc>
          <w:tcPr>
            <w:tcW w:w="2424" w:type="dxa"/>
          </w:tcPr>
          <w:p w14:paraId="20A1FA8E"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Ratna</w:t>
            </w:r>
          </w:p>
        </w:tc>
        <w:tc>
          <w:tcPr>
            <w:tcW w:w="4394" w:type="dxa"/>
          </w:tcPr>
          <w:p w14:paraId="0115EB56"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IR 8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TKM-6</w:t>
            </w:r>
          </w:p>
        </w:tc>
        <w:tc>
          <w:tcPr>
            <w:tcW w:w="1366" w:type="dxa"/>
          </w:tcPr>
          <w:p w14:paraId="40F1FC3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1970</w:t>
            </w:r>
          </w:p>
        </w:tc>
      </w:tr>
      <w:tr w:rsidR="00A320ED" w:rsidRPr="007E15FC" w14:paraId="2DDF8C42" w14:textId="77777777" w:rsidTr="002F7263">
        <w:tc>
          <w:tcPr>
            <w:tcW w:w="832" w:type="dxa"/>
          </w:tcPr>
          <w:p w14:paraId="5C6D5A4B"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12</w:t>
            </w:r>
          </w:p>
        </w:tc>
        <w:tc>
          <w:tcPr>
            <w:tcW w:w="2424" w:type="dxa"/>
          </w:tcPr>
          <w:p w14:paraId="6A2DD60C"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VPR 2805</w:t>
            </w:r>
          </w:p>
        </w:tc>
        <w:tc>
          <w:tcPr>
            <w:tcW w:w="4394" w:type="dxa"/>
          </w:tcPr>
          <w:p w14:paraId="7B796C4A" w14:textId="77777777" w:rsidR="00A320ED" w:rsidRPr="004D42A3" w:rsidRDefault="00A320ED" w:rsidP="0004039B">
            <w:pPr>
              <w:spacing w:after="0" w:line="240" w:lineRule="auto"/>
              <w:rPr>
                <w:rFonts w:ascii="Arial" w:hAnsi="Arial" w:cs="Arial"/>
                <w:sz w:val="20"/>
                <w:szCs w:val="20"/>
                <w:highlight w:val="yellow"/>
              </w:rPr>
            </w:pPr>
            <w:r w:rsidRPr="004D42A3">
              <w:rPr>
                <w:rFonts w:ascii="Arial" w:hAnsi="Arial" w:cs="Arial"/>
                <w:sz w:val="20"/>
                <w:szCs w:val="20"/>
              </w:rPr>
              <w:t>--</w:t>
            </w:r>
          </w:p>
        </w:tc>
        <w:tc>
          <w:tcPr>
            <w:tcW w:w="1366" w:type="dxa"/>
          </w:tcPr>
          <w:p w14:paraId="7C3C3C3B" w14:textId="77777777" w:rsidR="00A320ED" w:rsidRPr="004D42A3" w:rsidRDefault="00A320ED" w:rsidP="0004039B">
            <w:pPr>
              <w:spacing w:after="0" w:line="240" w:lineRule="auto"/>
              <w:jc w:val="center"/>
              <w:rPr>
                <w:rFonts w:ascii="Arial" w:hAnsi="Arial" w:cs="Arial"/>
                <w:sz w:val="20"/>
                <w:szCs w:val="20"/>
                <w:highlight w:val="yellow"/>
              </w:rPr>
            </w:pPr>
            <w:r w:rsidRPr="004D42A3">
              <w:rPr>
                <w:rFonts w:ascii="Arial" w:hAnsi="Arial" w:cs="Arial"/>
                <w:sz w:val="20"/>
                <w:szCs w:val="20"/>
              </w:rPr>
              <w:t>--</w:t>
            </w:r>
          </w:p>
        </w:tc>
      </w:tr>
      <w:tr w:rsidR="00A320ED" w:rsidRPr="007E15FC" w14:paraId="53E8473F" w14:textId="77777777" w:rsidTr="002F7263">
        <w:tc>
          <w:tcPr>
            <w:tcW w:w="832" w:type="dxa"/>
          </w:tcPr>
          <w:p w14:paraId="74149E4F"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13</w:t>
            </w:r>
          </w:p>
        </w:tc>
        <w:tc>
          <w:tcPr>
            <w:tcW w:w="2424" w:type="dxa"/>
          </w:tcPr>
          <w:p w14:paraId="560A30D6"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HAU-GAN-XIANG</w:t>
            </w:r>
          </w:p>
        </w:tc>
        <w:tc>
          <w:tcPr>
            <w:tcW w:w="4394" w:type="dxa"/>
          </w:tcPr>
          <w:p w14:paraId="6000708F" w14:textId="77777777" w:rsidR="00A320ED" w:rsidRPr="004D42A3" w:rsidRDefault="00A320ED" w:rsidP="0004039B">
            <w:pPr>
              <w:spacing w:after="0" w:line="240" w:lineRule="auto"/>
              <w:rPr>
                <w:rFonts w:ascii="Arial" w:hAnsi="Arial" w:cs="Arial"/>
                <w:sz w:val="20"/>
                <w:szCs w:val="20"/>
                <w:highlight w:val="yellow"/>
              </w:rPr>
            </w:pPr>
            <w:r w:rsidRPr="004D42A3">
              <w:rPr>
                <w:rFonts w:ascii="Arial" w:hAnsi="Arial" w:cs="Arial"/>
                <w:sz w:val="20"/>
                <w:szCs w:val="20"/>
              </w:rPr>
              <w:t>--</w:t>
            </w:r>
          </w:p>
        </w:tc>
        <w:tc>
          <w:tcPr>
            <w:tcW w:w="1366" w:type="dxa"/>
          </w:tcPr>
          <w:p w14:paraId="0BEB1098" w14:textId="77777777" w:rsidR="00A320ED" w:rsidRPr="004D42A3" w:rsidRDefault="00A320ED" w:rsidP="0004039B">
            <w:pPr>
              <w:spacing w:after="0" w:line="240" w:lineRule="auto"/>
              <w:jc w:val="center"/>
              <w:rPr>
                <w:rFonts w:ascii="Arial" w:hAnsi="Arial" w:cs="Arial"/>
                <w:sz w:val="20"/>
                <w:szCs w:val="20"/>
                <w:highlight w:val="yellow"/>
              </w:rPr>
            </w:pPr>
            <w:r w:rsidRPr="004D42A3">
              <w:rPr>
                <w:rFonts w:ascii="Arial" w:hAnsi="Arial" w:cs="Arial"/>
                <w:sz w:val="20"/>
                <w:szCs w:val="20"/>
              </w:rPr>
              <w:t>--</w:t>
            </w:r>
          </w:p>
        </w:tc>
      </w:tr>
      <w:tr w:rsidR="00A320ED" w:rsidRPr="007E15FC" w14:paraId="16DFCE1A" w14:textId="77777777" w:rsidTr="002F7263">
        <w:tc>
          <w:tcPr>
            <w:tcW w:w="832" w:type="dxa"/>
          </w:tcPr>
          <w:p w14:paraId="1102264A"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14</w:t>
            </w:r>
          </w:p>
        </w:tc>
        <w:tc>
          <w:tcPr>
            <w:tcW w:w="2424" w:type="dxa"/>
          </w:tcPr>
          <w:p w14:paraId="1A8395AA"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Jaya</w:t>
            </w:r>
          </w:p>
        </w:tc>
        <w:tc>
          <w:tcPr>
            <w:tcW w:w="4394" w:type="dxa"/>
          </w:tcPr>
          <w:p w14:paraId="451157C0" w14:textId="1271EBCA"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T(N)-1 </w:t>
            </w:r>
            <w:r w:rsidRPr="004D42A3">
              <w:rPr>
                <w:rFonts w:ascii="Arial" w:eastAsia="Times New Roman" w:hAnsi="Arial" w:cs="Arial"/>
                <w:b/>
                <w:color w:val="000000"/>
                <w:sz w:val="20"/>
                <w:szCs w:val="20"/>
                <w:lang w:eastAsia="en-IN"/>
              </w:rPr>
              <w:t xml:space="preserve">× </w:t>
            </w:r>
            <w:r w:rsidRPr="004D42A3">
              <w:rPr>
                <w:rFonts w:ascii="Arial" w:hAnsi="Arial" w:cs="Arial"/>
                <w:sz w:val="20"/>
                <w:szCs w:val="20"/>
              </w:rPr>
              <w:t>T-141</w:t>
            </w:r>
          </w:p>
        </w:tc>
        <w:tc>
          <w:tcPr>
            <w:tcW w:w="1366" w:type="dxa"/>
          </w:tcPr>
          <w:p w14:paraId="4560350B"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1970</w:t>
            </w:r>
          </w:p>
        </w:tc>
      </w:tr>
      <w:tr w:rsidR="00A320ED" w:rsidRPr="007E15FC" w14:paraId="5246E590" w14:textId="77777777" w:rsidTr="002F7263">
        <w:tc>
          <w:tcPr>
            <w:tcW w:w="832" w:type="dxa"/>
          </w:tcPr>
          <w:p w14:paraId="22F26C87"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15</w:t>
            </w:r>
          </w:p>
        </w:tc>
        <w:tc>
          <w:tcPr>
            <w:tcW w:w="2424" w:type="dxa"/>
          </w:tcPr>
          <w:p w14:paraId="493A298B"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Purple</w:t>
            </w:r>
          </w:p>
        </w:tc>
        <w:tc>
          <w:tcPr>
            <w:tcW w:w="4394" w:type="dxa"/>
          </w:tcPr>
          <w:p w14:paraId="5758A3AB"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w:t>
            </w:r>
          </w:p>
        </w:tc>
        <w:tc>
          <w:tcPr>
            <w:tcW w:w="1366" w:type="dxa"/>
          </w:tcPr>
          <w:p w14:paraId="7E8BBFB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3CA5E611" w14:textId="77777777" w:rsidTr="002F7263">
        <w:tc>
          <w:tcPr>
            <w:tcW w:w="832" w:type="dxa"/>
          </w:tcPr>
          <w:p w14:paraId="04E19890"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16</w:t>
            </w:r>
          </w:p>
        </w:tc>
        <w:tc>
          <w:tcPr>
            <w:tcW w:w="2424" w:type="dxa"/>
          </w:tcPr>
          <w:p w14:paraId="5DA6783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Manhar</w:t>
            </w:r>
          </w:p>
        </w:tc>
        <w:tc>
          <w:tcPr>
            <w:tcW w:w="4394" w:type="dxa"/>
          </w:tcPr>
          <w:p w14:paraId="565EE71E" w14:textId="4890AD60" w:rsidR="00A320ED" w:rsidRPr="004D42A3" w:rsidRDefault="00A320ED" w:rsidP="0004039B">
            <w:pPr>
              <w:spacing w:after="0" w:line="240" w:lineRule="auto"/>
              <w:rPr>
                <w:rFonts w:ascii="Arial" w:hAnsi="Arial" w:cs="Arial"/>
                <w:i/>
                <w:iCs/>
                <w:sz w:val="20"/>
                <w:szCs w:val="20"/>
              </w:rPr>
            </w:pPr>
            <w:r w:rsidRPr="004D42A3">
              <w:rPr>
                <w:rStyle w:val="Emphasis"/>
                <w:rFonts w:ascii="Arial" w:hAnsi="Arial" w:cs="Arial"/>
                <w:i w:val="0"/>
                <w:iCs w:val="0"/>
                <w:sz w:val="20"/>
                <w:szCs w:val="20"/>
                <w:shd w:val="clear" w:color="auto" w:fill="FFFFFF"/>
              </w:rPr>
              <w:t xml:space="preserve">IR 24 </w:t>
            </w:r>
            <w:r w:rsidRPr="004D42A3">
              <w:rPr>
                <w:rFonts w:ascii="Arial" w:eastAsia="Times New Roman" w:hAnsi="Arial" w:cs="Arial"/>
                <w:b/>
                <w:color w:val="000000"/>
                <w:sz w:val="20"/>
                <w:szCs w:val="20"/>
                <w:lang w:eastAsia="en-IN"/>
              </w:rPr>
              <w:t xml:space="preserve">× </w:t>
            </w:r>
            <w:r w:rsidRPr="004D42A3">
              <w:rPr>
                <w:rStyle w:val="Emphasis"/>
                <w:rFonts w:ascii="Arial" w:hAnsi="Arial" w:cs="Arial"/>
                <w:i w:val="0"/>
                <w:iCs w:val="0"/>
                <w:sz w:val="20"/>
                <w:szCs w:val="20"/>
                <w:shd w:val="clear" w:color="auto" w:fill="FFFFFF"/>
              </w:rPr>
              <w:t>Cauvery 2</w:t>
            </w:r>
          </w:p>
        </w:tc>
        <w:tc>
          <w:tcPr>
            <w:tcW w:w="1366" w:type="dxa"/>
          </w:tcPr>
          <w:p w14:paraId="11D53D8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1985</w:t>
            </w:r>
          </w:p>
        </w:tc>
      </w:tr>
      <w:tr w:rsidR="00A320ED" w:rsidRPr="007E15FC" w14:paraId="1626E8E3" w14:textId="77777777" w:rsidTr="002F7263">
        <w:tc>
          <w:tcPr>
            <w:tcW w:w="832" w:type="dxa"/>
          </w:tcPr>
          <w:p w14:paraId="4377F05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17</w:t>
            </w:r>
          </w:p>
        </w:tc>
        <w:tc>
          <w:tcPr>
            <w:tcW w:w="2424" w:type="dxa"/>
          </w:tcPr>
          <w:p w14:paraId="6B4C3576"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Prasad</w:t>
            </w:r>
          </w:p>
        </w:tc>
        <w:tc>
          <w:tcPr>
            <w:tcW w:w="4394" w:type="dxa"/>
            <w:shd w:val="clear" w:color="auto" w:fill="FFFFFF"/>
          </w:tcPr>
          <w:p w14:paraId="65ABD35F" w14:textId="4DA8FF53" w:rsidR="00A320ED" w:rsidRPr="004D42A3" w:rsidRDefault="002F7263" w:rsidP="0004039B">
            <w:pPr>
              <w:spacing w:after="0" w:line="240" w:lineRule="auto"/>
              <w:rPr>
                <w:rStyle w:val="Emphasis"/>
                <w:rFonts w:ascii="Arial" w:hAnsi="Arial" w:cs="Arial"/>
                <w:i w:val="0"/>
                <w:iCs w:val="0"/>
                <w:color w:val="000000"/>
                <w:sz w:val="20"/>
                <w:szCs w:val="20"/>
                <w:shd w:val="clear" w:color="auto" w:fill="FFFFFF"/>
              </w:rPr>
            </w:pPr>
            <w:r w:rsidRPr="004D42A3">
              <w:rPr>
                <w:rFonts w:ascii="Arial" w:hAnsi="Arial" w:cs="Arial"/>
                <w:sz w:val="20"/>
                <w:szCs w:val="20"/>
              </w:rPr>
              <w:t xml:space="preserve">IR-747-B-26-3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IR-57948</w:t>
            </w:r>
          </w:p>
        </w:tc>
        <w:tc>
          <w:tcPr>
            <w:tcW w:w="1366" w:type="dxa"/>
          </w:tcPr>
          <w:p w14:paraId="0BD8C5BF"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1978</w:t>
            </w:r>
          </w:p>
        </w:tc>
      </w:tr>
      <w:tr w:rsidR="00A320ED" w:rsidRPr="007E15FC" w14:paraId="5EACB755" w14:textId="77777777" w:rsidTr="002F7263">
        <w:tc>
          <w:tcPr>
            <w:tcW w:w="832" w:type="dxa"/>
          </w:tcPr>
          <w:p w14:paraId="6DC0FE4A"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18</w:t>
            </w:r>
          </w:p>
        </w:tc>
        <w:tc>
          <w:tcPr>
            <w:tcW w:w="2424" w:type="dxa"/>
          </w:tcPr>
          <w:p w14:paraId="1FE8551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 29</w:t>
            </w:r>
          </w:p>
        </w:tc>
        <w:tc>
          <w:tcPr>
            <w:tcW w:w="4394" w:type="dxa"/>
          </w:tcPr>
          <w:p w14:paraId="2F145481"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39FA9ED9"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1974</w:t>
            </w:r>
          </w:p>
        </w:tc>
      </w:tr>
      <w:tr w:rsidR="00A320ED" w:rsidRPr="007E15FC" w14:paraId="6589D2E4" w14:textId="77777777" w:rsidTr="002F7263">
        <w:tc>
          <w:tcPr>
            <w:tcW w:w="832" w:type="dxa"/>
          </w:tcPr>
          <w:p w14:paraId="2302232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w:t>
            </w:r>
          </w:p>
        </w:tc>
        <w:tc>
          <w:tcPr>
            <w:tcW w:w="2424" w:type="dxa"/>
          </w:tcPr>
          <w:p w14:paraId="240C5362"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Sharbati</w:t>
            </w:r>
            <w:proofErr w:type="spellEnd"/>
          </w:p>
        </w:tc>
        <w:tc>
          <w:tcPr>
            <w:tcW w:w="4394" w:type="dxa"/>
          </w:tcPr>
          <w:p w14:paraId="07E7AEDF" w14:textId="2FBE15CF"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r w:rsidR="002F7263" w:rsidRPr="004D42A3">
              <w:rPr>
                <w:rStyle w:val="Emphasis"/>
                <w:rFonts w:ascii="Arial" w:hAnsi="Arial" w:cs="Arial"/>
                <w:i w:val="0"/>
                <w:iCs w:val="0"/>
                <w:sz w:val="20"/>
                <w:szCs w:val="20"/>
                <w:shd w:val="clear" w:color="auto" w:fill="FFFFFF"/>
              </w:rPr>
              <w:t xml:space="preserve"> </w:t>
            </w:r>
          </w:p>
        </w:tc>
        <w:tc>
          <w:tcPr>
            <w:tcW w:w="1366" w:type="dxa"/>
          </w:tcPr>
          <w:p w14:paraId="5E2C5370"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1990</w:t>
            </w:r>
          </w:p>
        </w:tc>
      </w:tr>
      <w:tr w:rsidR="00A320ED" w:rsidRPr="007E15FC" w14:paraId="05282A14" w14:textId="77777777" w:rsidTr="002F7263">
        <w:tc>
          <w:tcPr>
            <w:tcW w:w="832" w:type="dxa"/>
          </w:tcPr>
          <w:p w14:paraId="736C618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w:t>
            </w:r>
          </w:p>
        </w:tc>
        <w:tc>
          <w:tcPr>
            <w:tcW w:w="2424" w:type="dxa"/>
          </w:tcPr>
          <w:p w14:paraId="1FE72735"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UPR 2791</w:t>
            </w:r>
          </w:p>
        </w:tc>
        <w:tc>
          <w:tcPr>
            <w:tcW w:w="4394" w:type="dxa"/>
          </w:tcPr>
          <w:p w14:paraId="01D7CCBD"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4ED60FC7"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7F3B01E2" w14:textId="77777777" w:rsidTr="002F7263">
        <w:tc>
          <w:tcPr>
            <w:tcW w:w="832" w:type="dxa"/>
          </w:tcPr>
          <w:p w14:paraId="70E2F124"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21</w:t>
            </w:r>
          </w:p>
        </w:tc>
        <w:tc>
          <w:tcPr>
            <w:tcW w:w="2424" w:type="dxa"/>
          </w:tcPr>
          <w:p w14:paraId="4D49F4E7"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IRBB 21</w:t>
            </w:r>
          </w:p>
        </w:tc>
        <w:tc>
          <w:tcPr>
            <w:tcW w:w="4394" w:type="dxa"/>
          </w:tcPr>
          <w:p w14:paraId="29452174"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5C21295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1980</w:t>
            </w:r>
          </w:p>
        </w:tc>
      </w:tr>
      <w:tr w:rsidR="00A320ED" w:rsidRPr="007E15FC" w14:paraId="4BD3A88D" w14:textId="77777777" w:rsidTr="002F7263">
        <w:tc>
          <w:tcPr>
            <w:tcW w:w="832" w:type="dxa"/>
          </w:tcPr>
          <w:p w14:paraId="15C425C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22</w:t>
            </w:r>
          </w:p>
        </w:tc>
        <w:tc>
          <w:tcPr>
            <w:tcW w:w="2424" w:type="dxa"/>
          </w:tcPr>
          <w:p w14:paraId="20EAF620"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 72981</w:t>
            </w:r>
          </w:p>
        </w:tc>
        <w:tc>
          <w:tcPr>
            <w:tcW w:w="4394" w:type="dxa"/>
          </w:tcPr>
          <w:p w14:paraId="70F0FC7E"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681369E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2000</w:t>
            </w:r>
          </w:p>
        </w:tc>
      </w:tr>
      <w:tr w:rsidR="00A320ED" w:rsidRPr="007E15FC" w14:paraId="4BFBA03A" w14:textId="77777777" w:rsidTr="002F7263">
        <w:tc>
          <w:tcPr>
            <w:tcW w:w="832" w:type="dxa"/>
          </w:tcPr>
          <w:p w14:paraId="11F601F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23</w:t>
            </w:r>
          </w:p>
        </w:tc>
        <w:tc>
          <w:tcPr>
            <w:tcW w:w="2424" w:type="dxa"/>
          </w:tcPr>
          <w:p w14:paraId="25B5306D"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Improved </w:t>
            </w:r>
            <w:proofErr w:type="spellStart"/>
            <w:r w:rsidRPr="004D42A3">
              <w:rPr>
                <w:rFonts w:ascii="Arial" w:hAnsi="Arial" w:cs="Arial"/>
                <w:sz w:val="20"/>
                <w:szCs w:val="20"/>
              </w:rPr>
              <w:t>Indrasan</w:t>
            </w:r>
            <w:proofErr w:type="spellEnd"/>
          </w:p>
        </w:tc>
        <w:tc>
          <w:tcPr>
            <w:tcW w:w="4394" w:type="dxa"/>
          </w:tcPr>
          <w:p w14:paraId="330F9014"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771717D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2005</w:t>
            </w:r>
          </w:p>
        </w:tc>
      </w:tr>
      <w:tr w:rsidR="00A320ED" w:rsidRPr="007E15FC" w14:paraId="68E1384D" w14:textId="77777777" w:rsidTr="002F7263">
        <w:tc>
          <w:tcPr>
            <w:tcW w:w="832" w:type="dxa"/>
          </w:tcPr>
          <w:p w14:paraId="0F3E9F39"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24</w:t>
            </w:r>
          </w:p>
        </w:tc>
        <w:tc>
          <w:tcPr>
            <w:tcW w:w="2424" w:type="dxa"/>
          </w:tcPr>
          <w:p w14:paraId="706F127D"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VL Dhan 61</w:t>
            </w:r>
          </w:p>
        </w:tc>
        <w:tc>
          <w:tcPr>
            <w:tcW w:w="4394" w:type="dxa"/>
          </w:tcPr>
          <w:p w14:paraId="70253BDF"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i w:val="0"/>
                <w:iCs w:val="0"/>
                <w:sz w:val="20"/>
                <w:szCs w:val="20"/>
                <w:shd w:val="clear" w:color="auto" w:fill="FFFFFF"/>
              </w:rPr>
              <w:t xml:space="preserve">Jaya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Ta-poo-</w:t>
            </w:r>
            <w:proofErr w:type="spellStart"/>
            <w:r w:rsidRPr="004D42A3">
              <w:rPr>
                <w:rFonts w:ascii="Arial" w:eastAsia="Times New Roman" w:hAnsi="Arial" w:cs="Arial"/>
                <w:bCs/>
                <w:color w:val="000000"/>
                <w:sz w:val="20"/>
                <w:szCs w:val="20"/>
                <w:lang w:eastAsia="en-IN"/>
              </w:rPr>
              <w:t>cho</w:t>
            </w:r>
            <w:proofErr w:type="spellEnd"/>
            <w:r w:rsidRPr="004D42A3">
              <w:rPr>
                <w:rFonts w:ascii="Arial" w:eastAsia="Times New Roman" w:hAnsi="Arial" w:cs="Arial"/>
                <w:bCs/>
                <w:color w:val="000000"/>
                <w:sz w:val="20"/>
                <w:szCs w:val="20"/>
                <w:lang w:eastAsia="en-IN"/>
              </w:rPr>
              <w:t>-z</w:t>
            </w:r>
          </w:p>
        </w:tc>
        <w:tc>
          <w:tcPr>
            <w:tcW w:w="1366" w:type="dxa"/>
          </w:tcPr>
          <w:p w14:paraId="5F76BA9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1997</w:t>
            </w:r>
          </w:p>
        </w:tc>
      </w:tr>
      <w:tr w:rsidR="00A320ED" w:rsidRPr="007E15FC" w14:paraId="26854916" w14:textId="77777777" w:rsidTr="002F7263">
        <w:tc>
          <w:tcPr>
            <w:tcW w:w="832" w:type="dxa"/>
          </w:tcPr>
          <w:p w14:paraId="2339CF12"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25</w:t>
            </w:r>
          </w:p>
        </w:tc>
        <w:tc>
          <w:tcPr>
            <w:tcW w:w="2424" w:type="dxa"/>
          </w:tcPr>
          <w:p w14:paraId="7BC9AAFF"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Govind</w:t>
            </w:r>
          </w:p>
        </w:tc>
        <w:tc>
          <w:tcPr>
            <w:tcW w:w="4394" w:type="dxa"/>
          </w:tcPr>
          <w:p w14:paraId="02B1E117"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7D14EAE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1996</w:t>
            </w:r>
          </w:p>
        </w:tc>
      </w:tr>
      <w:tr w:rsidR="00A320ED" w:rsidRPr="007E15FC" w14:paraId="561A4D3F" w14:textId="77777777" w:rsidTr="002F7263">
        <w:tc>
          <w:tcPr>
            <w:tcW w:w="832" w:type="dxa"/>
          </w:tcPr>
          <w:p w14:paraId="6251AA6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26</w:t>
            </w:r>
          </w:p>
        </w:tc>
        <w:tc>
          <w:tcPr>
            <w:tcW w:w="2424" w:type="dxa"/>
          </w:tcPr>
          <w:p w14:paraId="72023FD3"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Bidhan Dhan 2</w:t>
            </w:r>
          </w:p>
        </w:tc>
        <w:tc>
          <w:tcPr>
            <w:tcW w:w="4394" w:type="dxa"/>
          </w:tcPr>
          <w:p w14:paraId="5B5773C4"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4501189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2012</w:t>
            </w:r>
          </w:p>
        </w:tc>
      </w:tr>
      <w:tr w:rsidR="00A320ED" w:rsidRPr="007E15FC" w14:paraId="35422BFC" w14:textId="77777777" w:rsidTr="002F7263">
        <w:tc>
          <w:tcPr>
            <w:tcW w:w="832" w:type="dxa"/>
          </w:tcPr>
          <w:p w14:paraId="4A1260A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27</w:t>
            </w:r>
          </w:p>
        </w:tc>
        <w:tc>
          <w:tcPr>
            <w:tcW w:w="2424" w:type="dxa"/>
          </w:tcPr>
          <w:p w14:paraId="3E129653"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Pusa 1509</w:t>
            </w:r>
          </w:p>
        </w:tc>
        <w:tc>
          <w:tcPr>
            <w:tcW w:w="4394" w:type="dxa"/>
          </w:tcPr>
          <w:p w14:paraId="6A1DB5B5" w14:textId="77777777" w:rsidR="00A320ED" w:rsidRPr="004D42A3" w:rsidRDefault="00A320ED" w:rsidP="0004039B">
            <w:pPr>
              <w:spacing w:after="0" w:line="240" w:lineRule="auto"/>
              <w:rPr>
                <w:rStyle w:val="Emphasis"/>
                <w:rFonts w:ascii="Arial" w:hAnsi="Arial" w:cs="Arial"/>
                <w:sz w:val="20"/>
                <w:szCs w:val="20"/>
                <w:shd w:val="clear" w:color="auto" w:fill="FFFFFF"/>
              </w:rPr>
            </w:pPr>
            <w:r w:rsidRPr="004D42A3">
              <w:rPr>
                <w:rStyle w:val="Emphasis"/>
                <w:rFonts w:ascii="Arial" w:hAnsi="Arial" w:cs="Arial"/>
                <w:i w:val="0"/>
                <w:iCs w:val="0"/>
                <w:sz w:val="20"/>
                <w:szCs w:val="20"/>
                <w:shd w:val="clear" w:color="auto" w:fill="FFFFFF"/>
              </w:rPr>
              <w:t>Pusa 1301</w:t>
            </w:r>
            <w:r w:rsidRPr="004D42A3">
              <w:rPr>
                <w:rStyle w:val="Emphasis"/>
                <w:rFonts w:ascii="Arial" w:hAnsi="Arial" w:cs="Arial"/>
                <w:sz w:val="20"/>
                <w:szCs w:val="20"/>
                <w:shd w:val="clear" w:color="auto" w:fill="FFFFFF"/>
              </w:rPr>
              <w:t xml:space="preserve"> </w:t>
            </w:r>
            <w:r w:rsidRPr="004D42A3">
              <w:rPr>
                <w:rFonts w:ascii="Arial" w:eastAsia="Times New Roman" w:hAnsi="Arial" w:cs="Arial"/>
                <w:color w:val="000000"/>
                <w:sz w:val="20"/>
                <w:szCs w:val="20"/>
                <w:lang w:eastAsia="en-IN"/>
              </w:rPr>
              <w:t>× Pusa Basmati 1121</w:t>
            </w:r>
          </w:p>
        </w:tc>
        <w:tc>
          <w:tcPr>
            <w:tcW w:w="1366" w:type="dxa"/>
          </w:tcPr>
          <w:p w14:paraId="10D0CC8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2013</w:t>
            </w:r>
          </w:p>
        </w:tc>
      </w:tr>
      <w:tr w:rsidR="00A320ED" w:rsidRPr="007E15FC" w14:paraId="61282601" w14:textId="77777777" w:rsidTr="002F7263">
        <w:tc>
          <w:tcPr>
            <w:tcW w:w="832" w:type="dxa"/>
          </w:tcPr>
          <w:p w14:paraId="469E221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28</w:t>
            </w:r>
          </w:p>
        </w:tc>
        <w:tc>
          <w:tcPr>
            <w:tcW w:w="2424" w:type="dxa"/>
          </w:tcPr>
          <w:p w14:paraId="3B8E810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Pant Dhan 4</w:t>
            </w:r>
          </w:p>
        </w:tc>
        <w:tc>
          <w:tcPr>
            <w:tcW w:w="4394" w:type="dxa"/>
          </w:tcPr>
          <w:p w14:paraId="64F8DDFB"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3A68CA5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1983</w:t>
            </w:r>
          </w:p>
        </w:tc>
      </w:tr>
      <w:tr w:rsidR="00A320ED" w:rsidRPr="007E15FC" w14:paraId="60603E25" w14:textId="77777777" w:rsidTr="002F7263">
        <w:tc>
          <w:tcPr>
            <w:tcW w:w="832" w:type="dxa"/>
          </w:tcPr>
          <w:p w14:paraId="5C46D47F"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29</w:t>
            </w:r>
          </w:p>
        </w:tc>
        <w:tc>
          <w:tcPr>
            <w:tcW w:w="2424" w:type="dxa"/>
          </w:tcPr>
          <w:p w14:paraId="2452E7B3"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Pant Dhan 23</w:t>
            </w:r>
          </w:p>
        </w:tc>
        <w:tc>
          <w:tcPr>
            <w:tcW w:w="4394" w:type="dxa"/>
          </w:tcPr>
          <w:p w14:paraId="1B8F9685"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6E8E33A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2015</w:t>
            </w:r>
          </w:p>
        </w:tc>
      </w:tr>
      <w:tr w:rsidR="00A320ED" w:rsidRPr="007E15FC" w14:paraId="291BD35F" w14:textId="77777777" w:rsidTr="002F7263">
        <w:tc>
          <w:tcPr>
            <w:tcW w:w="832" w:type="dxa"/>
          </w:tcPr>
          <w:p w14:paraId="673CFF5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30</w:t>
            </w:r>
          </w:p>
        </w:tc>
        <w:tc>
          <w:tcPr>
            <w:tcW w:w="2424" w:type="dxa"/>
          </w:tcPr>
          <w:p w14:paraId="2A1D582C"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Pant Dhan 26</w:t>
            </w:r>
          </w:p>
        </w:tc>
        <w:tc>
          <w:tcPr>
            <w:tcW w:w="4394" w:type="dxa"/>
          </w:tcPr>
          <w:p w14:paraId="42CC4B1A"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i w:val="0"/>
                <w:iCs w:val="0"/>
                <w:sz w:val="20"/>
                <w:szCs w:val="20"/>
                <w:shd w:val="clear" w:color="auto" w:fill="FFFFFF"/>
              </w:rPr>
              <w:t>UPR 3425-14-3-1</w:t>
            </w:r>
          </w:p>
        </w:tc>
        <w:tc>
          <w:tcPr>
            <w:tcW w:w="1366" w:type="dxa"/>
          </w:tcPr>
          <w:p w14:paraId="326A0A59"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2015</w:t>
            </w:r>
          </w:p>
        </w:tc>
      </w:tr>
    </w:tbl>
    <w:p w14:paraId="55B1E9C0" w14:textId="77777777" w:rsidR="004D42A3" w:rsidRDefault="004D42A3" w:rsidP="004D42A3">
      <w:pPr>
        <w:ind w:firstLine="720"/>
        <w:jc w:val="both"/>
        <w:rPr>
          <w:rFonts w:ascii="Times New Roman" w:hAnsi="Times New Roman" w:cs="Times New Roman"/>
        </w:rPr>
      </w:pPr>
    </w:p>
    <w:p w14:paraId="77589490" w14:textId="5EFAC705" w:rsidR="00854189" w:rsidRPr="004D42A3" w:rsidRDefault="00854189" w:rsidP="004D42A3">
      <w:pPr>
        <w:spacing w:line="240" w:lineRule="auto"/>
        <w:ind w:firstLine="720"/>
        <w:jc w:val="both"/>
        <w:rPr>
          <w:rFonts w:ascii="Arial" w:hAnsi="Arial" w:cs="Arial"/>
          <w:sz w:val="20"/>
          <w:szCs w:val="20"/>
        </w:rPr>
      </w:pPr>
      <w:r w:rsidRPr="004D42A3">
        <w:rPr>
          <w:rFonts w:ascii="Arial" w:hAnsi="Arial" w:cs="Arial"/>
          <w:sz w:val="20"/>
          <w:szCs w:val="20"/>
        </w:rPr>
        <w:t xml:space="preserve">Observations were recorded on a comprehensive set of </w:t>
      </w:r>
      <w:proofErr w:type="spellStart"/>
      <w:r w:rsidRPr="004D42A3">
        <w:rPr>
          <w:rFonts w:ascii="Arial" w:hAnsi="Arial" w:cs="Arial"/>
          <w:sz w:val="20"/>
          <w:szCs w:val="20"/>
        </w:rPr>
        <w:t>agro</w:t>
      </w:r>
      <w:proofErr w:type="spellEnd"/>
      <w:r w:rsidRPr="004D42A3">
        <w:rPr>
          <w:rFonts w:ascii="Arial" w:hAnsi="Arial" w:cs="Arial"/>
          <w:sz w:val="20"/>
          <w:szCs w:val="20"/>
        </w:rPr>
        <w:t>-morphological, and quality, descriptors to assess the performance and variability among the 30 rice germplasm lines. The traits evaluated included days to 50% flowering, plant height (cm), panicle length (cm), number of tillers per plant, 1000-grain weight (g), grain length (mm), grain breadth (mm), hulling percentage, milling percentage, kernel length (mm), kernel breadth (mm), kernel length/ breadth ratio, alkali spreading value, and grain yield per plant (g). For most traits, five plants were randomly selected and tagged in each plot, and their mean values were used for statistical analysis. Observations on days to 50% flowering were recorded on a plot basis. Following harvest, seeds from each genotype were manually dehulled to evaluate grain and kernel quality characteristics, including kernel length, kernel breadth, and the kernel length</w:t>
      </w:r>
      <w:r w:rsidR="00F53AF9" w:rsidRPr="004D42A3">
        <w:rPr>
          <w:rFonts w:ascii="Arial" w:hAnsi="Arial" w:cs="Arial"/>
          <w:sz w:val="20"/>
          <w:szCs w:val="20"/>
        </w:rPr>
        <w:t xml:space="preserve">/ </w:t>
      </w:r>
      <w:r w:rsidRPr="004D42A3">
        <w:rPr>
          <w:rFonts w:ascii="Arial" w:hAnsi="Arial" w:cs="Arial"/>
          <w:sz w:val="20"/>
          <w:szCs w:val="20"/>
        </w:rPr>
        <w:t>breadth ratio, which serve as important indicators of grain shape, appearance, and cooking quality. These measurements were taken using standard grain evaluation procedures to ensure precision and uniformity.</w:t>
      </w:r>
    </w:p>
    <w:p w14:paraId="1A652093" w14:textId="33239101" w:rsidR="00854189" w:rsidRPr="004D42A3" w:rsidRDefault="00854189" w:rsidP="004D42A3">
      <w:pPr>
        <w:spacing w:line="240" w:lineRule="auto"/>
        <w:ind w:firstLine="720"/>
        <w:jc w:val="both"/>
        <w:rPr>
          <w:rFonts w:ascii="Arial" w:hAnsi="Arial" w:cs="Arial"/>
          <w:sz w:val="20"/>
          <w:szCs w:val="20"/>
        </w:rPr>
      </w:pPr>
      <w:r w:rsidRPr="004D42A3">
        <w:rPr>
          <w:rFonts w:ascii="Arial" w:hAnsi="Arial" w:cs="Arial"/>
          <w:sz w:val="20"/>
          <w:szCs w:val="20"/>
        </w:rPr>
        <w:t xml:space="preserve">Analysis of variance (ANOVA) was performed following the procedures described by </w:t>
      </w:r>
      <w:r w:rsidRPr="004D42A3">
        <w:rPr>
          <w:rFonts w:ascii="Arial" w:hAnsi="Arial" w:cs="Arial"/>
          <w:b/>
          <w:bCs/>
          <w:sz w:val="20"/>
          <w:szCs w:val="20"/>
        </w:rPr>
        <w:t>Cochran and Cox (1957)</w:t>
      </w:r>
      <w:r w:rsidRPr="004D42A3">
        <w:rPr>
          <w:rFonts w:ascii="Arial" w:hAnsi="Arial" w:cs="Arial"/>
          <w:sz w:val="20"/>
          <w:szCs w:val="20"/>
        </w:rPr>
        <w:t xml:space="preserve"> to test the significance of differences among genotypes for all recorded traits. To assess the magnitude of genetic control over phenotypic expression, heritability in the broad sense was estimated and classified into low (&lt;30%), medium (30–60%), and high (&gt;60%) categories as proposed </w:t>
      </w:r>
      <w:r w:rsidRPr="004D42A3">
        <w:rPr>
          <w:rFonts w:ascii="Arial" w:hAnsi="Arial" w:cs="Arial"/>
          <w:sz w:val="20"/>
          <w:szCs w:val="20"/>
        </w:rPr>
        <w:lastRenderedPageBreak/>
        <w:t xml:space="preserve">by </w:t>
      </w:r>
      <w:r w:rsidRPr="004D42A3">
        <w:rPr>
          <w:rFonts w:ascii="Arial" w:hAnsi="Arial" w:cs="Arial"/>
          <w:b/>
          <w:bCs/>
          <w:sz w:val="20"/>
          <w:szCs w:val="20"/>
        </w:rPr>
        <w:t>Allard (1960)</w:t>
      </w:r>
      <w:r w:rsidRPr="004D42A3">
        <w:rPr>
          <w:rFonts w:ascii="Arial" w:hAnsi="Arial" w:cs="Arial"/>
          <w:sz w:val="20"/>
          <w:szCs w:val="20"/>
        </w:rPr>
        <w:t xml:space="preserve">. Genetic advance as a percentage of the mean under 5% selection intensity was calculated according to </w:t>
      </w:r>
      <w:r w:rsidRPr="004D42A3">
        <w:rPr>
          <w:rFonts w:ascii="Arial" w:hAnsi="Arial" w:cs="Arial"/>
          <w:b/>
          <w:bCs/>
          <w:sz w:val="20"/>
          <w:szCs w:val="20"/>
        </w:rPr>
        <w:t xml:space="preserve">Johnson </w:t>
      </w:r>
      <w:r w:rsidRPr="004D42A3">
        <w:rPr>
          <w:rFonts w:ascii="Arial" w:hAnsi="Arial" w:cs="Arial"/>
          <w:b/>
          <w:bCs/>
          <w:i/>
          <w:iCs/>
          <w:sz w:val="20"/>
          <w:szCs w:val="20"/>
        </w:rPr>
        <w:t>et al</w:t>
      </w:r>
      <w:r w:rsidRPr="004D42A3">
        <w:rPr>
          <w:rFonts w:ascii="Arial" w:hAnsi="Arial" w:cs="Arial"/>
          <w:b/>
          <w:bCs/>
          <w:sz w:val="20"/>
          <w:szCs w:val="20"/>
        </w:rPr>
        <w:t>. (1955)</w:t>
      </w:r>
      <w:r w:rsidRPr="004D42A3">
        <w:rPr>
          <w:rFonts w:ascii="Arial" w:hAnsi="Arial" w:cs="Arial"/>
          <w:sz w:val="20"/>
          <w:szCs w:val="20"/>
        </w:rPr>
        <w:t xml:space="preserve"> and grouped into low (0–10%), moderate (10–20%), and high (&gt;20%) classes. These parameters provided insight into the expected response to selection and the potential effectiveness of improving traits through breeding.</w:t>
      </w:r>
      <w:r w:rsidR="00F53AF9" w:rsidRPr="004D42A3">
        <w:rPr>
          <w:rFonts w:ascii="Arial" w:hAnsi="Arial" w:cs="Arial"/>
          <w:sz w:val="20"/>
          <w:szCs w:val="20"/>
        </w:rPr>
        <w:t xml:space="preserve"> </w:t>
      </w:r>
      <w:r w:rsidRPr="004D42A3">
        <w:rPr>
          <w:rFonts w:ascii="Arial" w:hAnsi="Arial" w:cs="Arial"/>
          <w:sz w:val="20"/>
          <w:szCs w:val="20"/>
        </w:rPr>
        <w:t xml:space="preserve">Phenotypic and genotypic coefficients of variation (PCV and GCV) were estimated following </w:t>
      </w:r>
      <w:r w:rsidRPr="004D42A3">
        <w:rPr>
          <w:rFonts w:ascii="Arial" w:hAnsi="Arial" w:cs="Arial"/>
          <w:b/>
          <w:bCs/>
          <w:sz w:val="20"/>
          <w:szCs w:val="20"/>
        </w:rPr>
        <w:t>Burton and De Vane (1953)</w:t>
      </w:r>
      <w:r w:rsidRPr="004D42A3">
        <w:rPr>
          <w:rFonts w:ascii="Arial" w:hAnsi="Arial" w:cs="Arial"/>
          <w:sz w:val="20"/>
          <w:szCs w:val="20"/>
        </w:rPr>
        <w:t xml:space="preserve"> and </w:t>
      </w:r>
      <w:r w:rsidRPr="004D42A3">
        <w:rPr>
          <w:rFonts w:ascii="Arial" w:hAnsi="Arial" w:cs="Arial"/>
          <w:b/>
          <w:bCs/>
          <w:sz w:val="20"/>
          <w:szCs w:val="20"/>
        </w:rPr>
        <w:t>Singh and Chaudhary (1977)</w:t>
      </w:r>
      <w:r w:rsidRPr="004D42A3">
        <w:rPr>
          <w:rFonts w:ascii="Arial" w:hAnsi="Arial" w:cs="Arial"/>
          <w:sz w:val="20"/>
          <w:szCs w:val="20"/>
        </w:rPr>
        <w:t xml:space="preserve">. Their magnitude was categorized into low (&lt;10%), moderate (10–20%), and high (&gt;20%) as per </w:t>
      </w:r>
      <w:proofErr w:type="spellStart"/>
      <w:r w:rsidRPr="004D42A3">
        <w:rPr>
          <w:rFonts w:ascii="Arial" w:hAnsi="Arial" w:cs="Arial"/>
          <w:b/>
          <w:bCs/>
          <w:sz w:val="20"/>
          <w:szCs w:val="20"/>
        </w:rPr>
        <w:t>Sivasubramanian</w:t>
      </w:r>
      <w:proofErr w:type="spellEnd"/>
      <w:r w:rsidRPr="004D42A3">
        <w:rPr>
          <w:rFonts w:ascii="Arial" w:hAnsi="Arial" w:cs="Arial"/>
          <w:b/>
          <w:bCs/>
          <w:sz w:val="20"/>
          <w:szCs w:val="20"/>
        </w:rPr>
        <w:t xml:space="preserve"> and </w:t>
      </w:r>
      <w:proofErr w:type="spellStart"/>
      <w:r w:rsidRPr="004D42A3">
        <w:rPr>
          <w:rFonts w:ascii="Arial" w:hAnsi="Arial" w:cs="Arial"/>
          <w:b/>
          <w:bCs/>
          <w:sz w:val="20"/>
          <w:szCs w:val="20"/>
        </w:rPr>
        <w:t>Madhavamenon</w:t>
      </w:r>
      <w:proofErr w:type="spellEnd"/>
      <w:r w:rsidRPr="004D42A3">
        <w:rPr>
          <w:rFonts w:ascii="Arial" w:hAnsi="Arial" w:cs="Arial"/>
          <w:b/>
          <w:bCs/>
          <w:sz w:val="20"/>
          <w:szCs w:val="20"/>
        </w:rPr>
        <w:t xml:space="preserve"> (1973)</w:t>
      </w:r>
      <w:r w:rsidRPr="004D42A3">
        <w:rPr>
          <w:rFonts w:ascii="Arial" w:hAnsi="Arial" w:cs="Arial"/>
          <w:sz w:val="20"/>
          <w:szCs w:val="20"/>
        </w:rPr>
        <w:t>. These measures helped quantify the relative contribution of genetic and environmental components to trait variability.</w:t>
      </w:r>
    </w:p>
    <w:p w14:paraId="3EBA1E7B" w14:textId="6E2CCA30" w:rsidR="00854189" w:rsidRPr="004D42A3" w:rsidRDefault="004D42A3" w:rsidP="004D42A3">
      <w:pPr>
        <w:pStyle w:val="ListParagraph"/>
        <w:numPr>
          <w:ilvl w:val="0"/>
          <w:numId w:val="4"/>
        </w:numPr>
        <w:ind w:left="284" w:hanging="284"/>
        <w:jc w:val="both"/>
        <w:rPr>
          <w:rFonts w:ascii="Arial" w:hAnsi="Arial" w:cs="Arial"/>
          <w:b/>
          <w:bCs/>
          <w:sz w:val="22"/>
          <w:szCs w:val="22"/>
          <w:lang w:val="en-US"/>
        </w:rPr>
      </w:pPr>
      <w:r w:rsidRPr="004D42A3">
        <w:rPr>
          <w:rFonts w:ascii="Arial" w:hAnsi="Arial" w:cs="Arial"/>
          <w:b/>
          <w:bCs/>
          <w:sz w:val="22"/>
          <w:szCs w:val="22"/>
          <w:lang w:val="en-US"/>
        </w:rPr>
        <w:t>RESULTS AND DISCUSSION</w:t>
      </w:r>
    </w:p>
    <w:p w14:paraId="3355524B" w14:textId="36749093" w:rsidR="004764E2" w:rsidRPr="004D42A3" w:rsidRDefault="004764E2" w:rsidP="00B94D22">
      <w:pPr>
        <w:spacing w:line="240" w:lineRule="auto"/>
        <w:jc w:val="both"/>
        <w:rPr>
          <w:rFonts w:ascii="Arial" w:hAnsi="Arial" w:cs="Arial"/>
          <w:sz w:val="20"/>
          <w:szCs w:val="20"/>
        </w:rPr>
      </w:pPr>
      <w:r w:rsidRPr="004D42A3">
        <w:rPr>
          <w:rFonts w:ascii="Arial" w:hAnsi="Arial" w:cs="Arial"/>
          <w:sz w:val="20"/>
          <w:szCs w:val="20"/>
          <w:lang w:val="en-US"/>
        </w:rPr>
        <w:t xml:space="preserve">Analysis of variance </w:t>
      </w:r>
      <w:r w:rsidR="005B7FE5" w:rsidRPr="004D42A3">
        <w:rPr>
          <w:rFonts w:ascii="Arial" w:hAnsi="Arial" w:cs="Arial"/>
          <w:b/>
          <w:bCs/>
          <w:sz w:val="20"/>
          <w:szCs w:val="20"/>
          <w:lang w:val="en-US"/>
        </w:rPr>
        <w:t xml:space="preserve">(Table </w:t>
      </w:r>
      <w:r w:rsidR="002C0FFA" w:rsidRPr="004D42A3">
        <w:rPr>
          <w:rFonts w:ascii="Arial" w:hAnsi="Arial" w:cs="Arial"/>
          <w:b/>
          <w:bCs/>
          <w:sz w:val="20"/>
          <w:szCs w:val="20"/>
          <w:lang w:val="en-US"/>
        </w:rPr>
        <w:t>2</w:t>
      </w:r>
      <w:r w:rsidR="005B7FE5" w:rsidRPr="004D42A3">
        <w:rPr>
          <w:rFonts w:ascii="Arial" w:hAnsi="Arial" w:cs="Arial"/>
          <w:b/>
          <w:bCs/>
          <w:sz w:val="20"/>
          <w:szCs w:val="20"/>
          <w:lang w:val="en-US"/>
        </w:rPr>
        <w:t>)</w:t>
      </w:r>
      <w:r w:rsidR="005B7FE5" w:rsidRPr="004D42A3">
        <w:rPr>
          <w:rFonts w:ascii="Arial" w:hAnsi="Arial" w:cs="Arial"/>
          <w:sz w:val="20"/>
          <w:szCs w:val="20"/>
          <w:lang w:val="en-US"/>
        </w:rPr>
        <w:t xml:space="preserve"> </w:t>
      </w:r>
      <w:r w:rsidRPr="004D42A3">
        <w:rPr>
          <w:rFonts w:ascii="Arial" w:hAnsi="Arial" w:cs="Arial"/>
          <w:sz w:val="20"/>
          <w:szCs w:val="20"/>
          <w:lang w:val="en-US"/>
        </w:rPr>
        <w:t xml:space="preserve">revealed highly significant differences among 30 non-basmati lines for all the traits studied </w:t>
      </w:r>
      <w:r w:rsidRPr="004D42A3">
        <w:rPr>
          <w:rFonts w:ascii="Arial" w:hAnsi="Arial" w:cs="Arial"/>
          <w:i/>
          <w:iCs/>
          <w:sz w:val="20"/>
          <w:szCs w:val="20"/>
          <w:lang w:val="en-US"/>
        </w:rPr>
        <w:t>viz.</w:t>
      </w:r>
      <w:r w:rsidRPr="004D42A3">
        <w:rPr>
          <w:rFonts w:ascii="Arial" w:hAnsi="Arial" w:cs="Arial"/>
          <w:sz w:val="20"/>
          <w:szCs w:val="20"/>
          <w:lang w:val="en-US"/>
        </w:rPr>
        <w:t>, days to 50% flowering, plant height (cm), panicle length (cm), number of tillers per plant, 1000 grain weight (g), grain length (mm), grain breath (mm), hulling</w:t>
      </w:r>
      <w:r w:rsidR="00FE3E66" w:rsidRPr="004D42A3">
        <w:rPr>
          <w:rFonts w:ascii="Arial" w:hAnsi="Arial" w:cs="Arial"/>
          <w:sz w:val="20"/>
          <w:szCs w:val="20"/>
          <w:lang w:val="en-US"/>
        </w:rPr>
        <w:t xml:space="preserve"> percentage</w:t>
      </w:r>
      <w:r w:rsidRPr="004D42A3">
        <w:rPr>
          <w:rFonts w:ascii="Arial" w:hAnsi="Arial" w:cs="Arial"/>
          <w:sz w:val="20"/>
          <w:szCs w:val="20"/>
          <w:lang w:val="en-US"/>
        </w:rPr>
        <w:t>, milling</w:t>
      </w:r>
      <w:r w:rsidR="00FE3E66" w:rsidRPr="004D42A3">
        <w:rPr>
          <w:rFonts w:ascii="Arial" w:hAnsi="Arial" w:cs="Arial"/>
          <w:sz w:val="20"/>
          <w:szCs w:val="20"/>
          <w:lang w:val="en-US"/>
        </w:rPr>
        <w:t xml:space="preserve"> percentage</w:t>
      </w:r>
      <w:r w:rsidRPr="004D42A3">
        <w:rPr>
          <w:rFonts w:ascii="Arial" w:hAnsi="Arial" w:cs="Arial"/>
          <w:sz w:val="20"/>
          <w:szCs w:val="20"/>
          <w:lang w:val="en-US"/>
        </w:rPr>
        <w:t xml:space="preserve">, kernel length (mm), kernel breath (mm), length/breath ratio, alkali spreading value and grain yield per plant (g) at both 5% and 1% level of significance indicating presence of good amount of variability. The characters that showed considerable variance have the potential to be exploited for crop improvement. </w:t>
      </w:r>
      <w:r w:rsidR="00571187" w:rsidRPr="004D42A3">
        <w:rPr>
          <w:rFonts w:ascii="Arial" w:hAnsi="Arial" w:cs="Arial"/>
          <w:sz w:val="20"/>
          <w:szCs w:val="20"/>
        </w:rPr>
        <w:t>The existence of such significant variation implies that the observed differences among the lines are unlikely to be due to random sampling error; rather, they reflect true genetic differences. As per the rationale commonly employed in crop-genetic research, when genotypes differ significantly, breeders can be confident that selection will be effective, because some genotypes are inherently superior to others under the given conditions.</w:t>
      </w:r>
    </w:p>
    <w:p w14:paraId="38070495" w14:textId="62D4D684" w:rsidR="005B7FE5" w:rsidRPr="004D42A3" w:rsidRDefault="005B7FE5" w:rsidP="005B7FE5">
      <w:pPr>
        <w:spacing w:line="240" w:lineRule="auto"/>
        <w:jc w:val="both"/>
        <w:rPr>
          <w:rFonts w:ascii="Arial" w:hAnsi="Arial" w:cs="Arial"/>
          <w:b/>
          <w:sz w:val="20"/>
          <w:szCs w:val="20"/>
          <w:lang w:val="en-IN"/>
        </w:rPr>
      </w:pPr>
      <w:r w:rsidRPr="004D42A3">
        <w:rPr>
          <w:rFonts w:ascii="Arial" w:hAnsi="Arial" w:cs="Arial"/>
          <w:b/>
          <w:sz w:val="20"/>
          <w:szCs w:val="20"/>
          <w:lang w:val="en-IN"/>
        </w:rPr>
        <w:t xml:space="preserve">Table </w:t>
      </w:r>
      <w:r w:rsidR="002C0FFA" w:rsidRPr="004D42A3">
        <w:rPr>
          <w:rFonts w:ascii="Arial" w:hAnsi="Arial" w:cs="Arial"/>
          <w:b/>
          <w:sz w:val="20"/>
          <w:szCs w:val="20"/>
          <w:lang w:val="en-IN"/>
        </w:rPr>
        <w:t>2</w:t>
      </w:r>
      <w:r w:rsidRPr="004D42A3">
        <w:rPr>
          <w:rFonts w:ascii="Arial" w:hAnsi="Arial" w:cs="Arial"/>
          <w:b/>
          <w:sz w:val="20"/>
          <w:szCs w:val="20"/>
          <w:lang w:val="en-IN"/>
        </w:rPr>
        <w:t>: Analysis of variance for yield and quality traits in non-basmati rice germplasm</w:t>
      </w:r>
    </w:p>
    <w:tbl>
      <w:tblPr>
        <w:tblStyle w:val="TableGrid"/>
        <w:tblW w:w="5000" w:type="pct"/>
        <w:tblLook w:val="04A0" w:firstRow="1" w:lastRow="0" w:firstColumn="1" w:lastColumn="0" w:noHBand="0" w:noVBand="1"/>
      </w:tblPr>
      <w:tblGrid>
        <w:gridCol w:w="539"/>
        <w:gridCol w:w="2275"/>
        <w:gridCol w:w="1294"/>
        <w:gridCol w:w="1172"/>
        <w:gridCol w:w="857"/>
        <w:gridCol w:w="1299"/>
        <w:gridCol w:w="1580"/>
      </w:tblGrid>
      <w:tr w:rsidR="004355CC" w:rsidRPr="004D42A3" w14:paraId="3C9393E2" w14:textId="77777777" w:rsidTr="004355CC">
        <w:trPr>
          <w:trHeight w:val="377"/>
        </w:trPr>
        <w:tc>
          <w:tcPr>
            <w:tcW w:w="283" w:type="pct"/>
            <w:vMerge w:val="restart"/>
          </w:tcPr>
          <w:p w14:paraId="7D3718F2"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S. No.</w:t>
            </w:r>
          </w:p>
        </w:tc>
        <w:tc>
          <w:tcPr>
            <w:tcW w:w="1288" w:type="pct"/>
            <w:vMerge w:val="restart"/>
          </w:tcPr>
          <w:p w14:paraId="45C4F70F"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Characters</w:t>
            </w:r>
          </w:p>
        </w:tc>
        <w:tc>
          <w:tcPr>
            <w:tcW w:w="1779" w:type="pct"/>
            <w:gridSpan w:val="3"/>
          </w:tcPr>
          <w:p w14:paraId="3046D557"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Mean Sum of Square</w:t>
            </w:r>
          </w:p>
        </w:tc>
        <w:tc>
          <w:tcPr>
            <w:tcW w:w="747" w:type="pct"/>
            <w:vMerge w:val="restart"/>
          </w:tcPr>
          <w:p w14:paraId="28732ABF"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CD (0.05)</w:t>
            </w:r>
          </w:p>
        </w:tc>
        <w:tc>
          <w:tcPr>
            <w:tcW w:w="903" w:type="pct"/>
            <w:vMerge w:val="restart"/>
          </w:tcPr>
          <w:p w14:paraId="653BA771"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CV (%)</w:t>
            </w:r>
          </w:p>
        </w:tc>
      </w:tr>
      <w:tr w:rsidR="004355CC" w:rsidRPr="004D42A3" w14:paraId="005EF2E6" w14:textId="77777777" w:rsidTr="004355CC">
        <w:trPr>
          <w:trHeight w:val="199"/>
        </w:trPr>
        <w:tc>
          <w:tcPr>
            <w:tcW w:w="283" w:type="pct"/>
            <w:vMerge/>
          </w:tcPr>
          <w:p w14:paraId="049D2C48" w14:textId="77777777" w:rsidR="004355CC" w:rsidRPr="004D42A3" w:rsidRDefault="004355CC" w:rsidP="003F0F78">
            <w:pPr>
              <w:rPr>
                <w:rFonts w:ascii="Arial" w:hAnsi="Arial" w:cs="Arial"/>
                <w:sz w:val="20"/>
                <w:szCs w:val="20"/>
              </w:rPr>
            </w:pPr>
          </w:p>
        </w:tc>
        <w:tc>
          <w:tcPr>
            <w:tcW w:w="1288" w:type="pct"/>
            <w:vMerge/>
          </w:tcPr>
          <w:p w14:paraId="1CB87E35" w14:textId="77777777" w:rsidR="004355CC" w:rsidRPr="004D42A3" w:rsidRDefault="004355CC" w:rsidP="003F0F78">
            <w:pPr>
              <w:rPr>
                <w:rFonts w:ascii="Arial" w:hAnsi="Arial" w:cs="Arial"/>
                <w:sz w:val="20"/>
                <w:szCs w:val="20"/>
              </w:rPr>
            </w:pPr>
          </w:p>
        </w:tc>
        <w:tc>
          <w:tcPr>
            <w:tcW w:w="662" w:type="pct"/>
          </w:tcPr>
          <w:p w14:paraId="6CCE65A2"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Replication</w:t>
            </w:r>
          </w:p>
        </w:tc>
        <w:tc>
          <w:tcPr>
            <w:tcW w:w="615" w:type="pct"/>
          </w:tcPr>
          <w:p w14:paraId="451DE266"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Treatment</w:t>
            </w:r>
          </w:p>
        </w:tc>
        <w:tc>
          <w:tcPr>
            <w:tcW w:w="502" w:type="pct"/>
          </w:tcPr>
          <w:p w14:paraId="26834849"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Error</w:t>
            </w:r>
          </w:p>
        </w:tc>
        <w:tc>
          <w:tcPr>
            <w:tcW w:w="747" w:type="pct"/>
            <w:vMerge/>
          </w:tcPr>
          <w:p w14:paraId="1578DB35" w14:textId="77777777" w:rsidR="004355CC" w:rsidRPr="004D42A3" w:rsidRDefault="004355CC" w:rsidP="003F0F78">
            <w:pPr>
              <w:rPr>
                <w:rFonts w:ascii="Arial" w:hAnsi="Arial" w:cs="Arial"/>
                <w:sz w:val="20"/>
                <w:szCs w:val="20"/>
              </w:rPr>
            </w:pPr>
          </w:p>
        </w:tc>
        <w:tc>
          <w:tcPr>
            <w:tcW w:w="903" w:type="pct"/>
            <w:vMerge/>
          </w:tcPr>
          <w:p w14:paraId="587E4D0E" w14:textId="77777777" w:rsidR="004355CC" w:rsidRPr="004D42A3" w:rsidRDefault="004355CC" w:rsidP="003F0F78">
            <w:pPr>
              <w:rPr>
                <w:rFonts w:ascii="Arial" w:hAnsi="Arial" w:cs="Arial"/>
                <w:sz w:val="20"/>
                <w:szCs w:val="20"/>
              </w:rPr>
            </w:pPr>
          </w:p>
        </w:tc>
      </w:tr>
      <w:tr w:rsidR="004355CC" w:rsidRPr="004D42A3" w14:paraId="26477CF4" w14:textId="77777777" w:rsidTr="004355CC">
        <w:trPr>
          <w:trHeight w:val="199"/>
        </w:trPr>
        <w:tc>
          <w:tcPr>
            <w:tcW w:w="283" w:type="pct"/>
            <w:vMerge/>
          </w:tcPr>
          <w:p w14:paraId="559908BE" w14:textId="77777777" w:rsidR="004355CC" w:rsidRPr="004D42A3" w:rsidRDefault="004355CC" w:rsidP="003F0F78">
            <w:pPr>
              <w:rPr>
                <w:rFonts w:ascii="Arial" w:hAnsi="Arial" w:cs="Arial"/>
                <w:sz w:val="20"/>
                <w:szCs w:val="20"/>
              </w:rPr>
            </w:pPr>
          </w:p>
        </w:tc>
        <w:tc>
          <w:tcPr>
            <w:tcW w:w="1288" w:type="pct"/>
            <w:vMerge/>
          </w:tcPr>
          <w:p w14:paraId="6AF13AC9" w14:textId="77777777" w:rsidR="004355CC" w:rsidRPr="004D42A3" w:rsidRDefault="004355CC" w:rsidP="003F0F78">
            <w:pPr>
              <w:rPr>
                <w:rFonts w:ascii="Arial" w:hAnsi="Arial" w:cs="Arial"/>
                <w:sz w:val="20"/>
                <w:szCs w:val="20"/>
              </w:rPr>
            </w:pPr>
          </w:p>
        </w:tc>
        <w:tc>
          <w:tcPr>
            <w:tcW w:w="662" w:type="pct"/>
          </w:tcPr>
          <w:p w14:paraId="43693079"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df =2</w:t>
            </w:r>
          </w:p>
        </w:tc>
        <w:tc>
          <w:tcPr>
            <w:tcW w:w="615" w:type="pct"/>
          </w:tcPr>
          <w:p w14:paraId="35756ABF"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df = 29</w:t>
            </w:r>
          </w:p>
        </w:tc>
        <w:tc>
          <w:tcPr>
            <w:tcW w:w="502" w:type="pct"/>
          </w:tcPr>
          <w:p w14:paraId="748D0497"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df = 58</w:t>
            </w:r>
          </w:p>
        </w:tc>
        <w:tc>
          <w:tcPr>
            <w:tcW w:w="747" w:type="pct"/>
            <w:vMerge/>
          </w:tcPr>
          <w:p w14:paraId="60F60193" w14:textId="77777777" w:rsidR="004355CC" w:rsidRPr="004D42A3" w:rsidRDefault="004355CC" w:rsidP="003F0F78">
            <w:pPr>
              <w:rPr>
                <w:rFonts w:ascii="Arial" w:hAnsi="Arial" w:cs="Arial"/>
                <w:sz w:val="20"/>
                <w:szCs w:val="20"/>
              </w:rPr>
            </w:pPr>
          </w:p>
        </w:tc>
        <w:tc>
          <w:tcPr>
            <w:tcW w:w="903" w:type="pct"/>
            <w:vMerge/>
          </w:tcPr>
          <w:p w14:paraId="58A753D2" w14:textId="77777777" w:rsidR="004355CC" w:rsidRPr="004D42A3" w:rsidRDefault="004355CC" w:rsidP="003F0F78">
            <w:pPr>
              <w:rPr>
                <w:rFonts w:ascii="Arial" w:hAnsi="Arial" w:cs="Arial"/>
                <w:sz w:val="20"/>
                <w:szCs w:val="20"/>
              </w:rPr>
            </w:pPr>
          </w:p>
        </w:tc>
      </w:tr>
      <w:tr w:rsidR="004355CC" w:rsidRPr="004D42A3" w14:paraId="51262DE7" w14:textId="77777777" w:rsidTr="004355CC">
        <w:trPr>
          <w:trHeight w:val="405"/>
        </w:trPr>
        <w:tc>
          <w:tcPr>
            <w:tcW w:w="283" w:type="pct"/>
          </w:tcPr>
          <w:p w14:paraId="1F91521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w:t>
            </w:r>
          </w:p>
        </w:tc>
        <w:tc>
          <w:tcPr>
            <w:tcW w:w="1288" w:type="pct"/>
          </w:tcPr>
          <w:p w14:paraId="25061D36"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Days to 50% flowering</w:t>
            </w:r>
          </w:p>
        </w:tc>
        <w:tc>
          <w:tcPr>
            <w:tcW w:w="662" w:type="pct"/>
          </w:tcPr>
          <w:p w14:paraId="769B5B9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5.78</w:t>
            </w:r>
          </w:p>
        </w:tc>
        <w:tc>
          <w:tcPr>
            <w:tcW w:w="615" w:type="pct"/>
          </w:tcPr>
          <w:p w14:paraId="4115617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25.374**</w:t>
            </w:r>
          </w:p>
        </w:tc>
        <w:tc>
          <w:tcPr>
            <w:tcW w:w="502" w:type="pct"/>
          </w:tcPr>
          <w:p w14:paraId="6C48A8E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6.22</w:t>
            </w:r>
          </w:p>
        </w:tc>
        <w:tc>
          <w:tcPr>
            <w:tcW w:w="747" w:type="pct"/>
          </w:tcPr>
          <w:p w14:paraId="3A85B41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3.92</w:t>
            </w:r>
          </w:p>
        </w:tc>
        <w:tc>
          <w:tcPr>
            <w:tcW w:w="903" w:type="pct"/>
          </w:tcPr>
          <w:p w14:paraId="43B3508E" w14:textId="6631BC24" w:rsidR="004355CC" w:rsidRPr="004D42A3" w:rsidRDefault="004355CC" w:rsidP="003F0F78">
            <w:pPr>
              <w:jc w:val="center"/>
              <w:rPr>
                <w:rFonts w:ascii="Arial" w:hAnsi="Arial" w:cs="Arial"/>
                <w:sz w:val="20"/>
                <w:szCs w:val="20"/>
              </w:rPr>
            </w:pPr>
            <w:r w:rsidRPr="004D42A3">
              <w:rPr>
                <w:rFonts w:ascii="Arial" w:hAnsi="Arial" w:cs="Arial"/>
                <w:sz w:val="20"/>
                <w:szCs w:val="20"/>
              </w:rPr>
              <w:t>2.40</w:t>
            </w:r>
          </w:p>
        </w:tc>
      </w:tr>
      <w:tr w:rsidR="004355CC" w:rsidRPr="004D42A3" w14:paraId="079B4570" w14:textId="77777777" w:rsidTr="004355CC">
        <w:trPr>
          <w:trHeight w:val="377"/>
        </w:trPr>
        <w:tc>
          <w:tcPr>
            <w:tcW w:w="283" w:type="pct"/>
          </w:tcPr>
          <w:p w14:paraId="40BBDA59"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2</w:t>
            </w:r>
          </w:p>
        </w:tc>
        <w:tc>
          <w:tcPr>
            <w:tcW w:w="1288" w:type="pct"/>
          </w:tcPr>
          <w:p w14:paraId="01B46399"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Plant Height (cm)</w:t>
            </w:r>
          </w:p>
        </w:tc>
        <w:tc>
          <w:tcPr>
            <w:tcW w:w="662" w:type="pct"/>
          </w:tcPr>
          <w:p w14:paraId="005DA134"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27.06</w:t>
            </w:r>
          </w:p>
        </w:tc>
        <w:tc>
          <w:tcPr>
            <w:tcW w:w="615" w:type="pct"/>
          </w:tcPr>
          <w:p w14:paraId="22FDF959"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31.547**</w:t>
            </w:r>
          </w:p>
        </w:tc>
        <w:tc>
          <w:tcPr>
            <w:tcW w:w="502" w:type="pct"/>
          </w:tcPr>
          <w:p w14:paraId="04539150"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7.39</w:t>
            </w:r>
          </w:p>
        </w:tc>
        <w:tc>
          <w:tcPr>
            <w:tcW w:w="747" w:type="pct"/>
          </w:tcPr>
          <w:p w14:paraId="14FA664F"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4.03</w:t>
            </w:r>
          </w:p>
        </w:tc>
        <w:tc>
          <w:tcPr>
            <w:tcW w:w="903" w:type="pct"/>
          </w:tcPr>
          <w:p w14:paraId="653399AC"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2.47</w:t>
            </w:r>
          </w:p>
        </w:tc>
      </w:tr>
      <w:tr w:rsidR="004355CC" w:rsidRPr="004D42A3" w14:paraId="26CBD50D" w14:textId="77777777" w:rsidTr="004355CC">
        <w:trPr>
          <w:trHeight w:val="350"/>
        </w:trPr>
        <w:tc>
          <w:tcPr>
            <w:tcW w:w="283" w:type="pct"/>
          </w:tcPr>
          <w:p w14:paraId="6AC38704"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w:t>
            </w:r>
          </w:p>
        </w:tc>
        <w:tc>
          <w:tcPr>
            <w:tcW w:w="1288" w:type="pct"/>
          </w:tcPr>
          <w:p w14:paraId="6A1FA088"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Panicle Length (cm)</w:t>
            </w:r>
          </w:p>
        </w:tc>
        <w:tc>
          <w:tcPr>
            <w:tcW w:w="662" w:type="pct"/>
          </w:tcPr>
          <w:p w14:paraId="5A5E79D1"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0.06</w:t>
            </w:r>
          </w:p>
        </w:tc>
        <w:tc>
          <w:tcPr>
            <w:tcW w:w="615" w:type="pct"/>
          </w:tcPr>
          <w:p w14:paraId="75741CCA"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48.795**</w:t>
            </w:r>
          </w:p>
        </w:tc>
        <w:tc>
          <w:tcPr>
            <w:tcW w:w="502" w:type="pct"/>
          </w:tcPr>
          <w:p w14:paraId="028177BC"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0.43</w:t>
            </w:r>
          </w:p>
        </w:tc>
        <w:tc>
          <w:tcPr>
            <w:tcW w:w="747" w:type="pct"/>
          </w:tcPr>
          <w:p w14:paraId="3BDB0EA3"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4.27</w:t>
            </w:r>
          </w:p>
        </w:tc>
        <w:tc>
          <w:tcPr>
            <w:tcW w:w="903" w:type="pct"/>
          </w:tcPr>
          <w:p w14:paraId="5DCD448E"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2.61</w:t>
            </w:r>
          </w:p>
        </w:tc>
      </w:tr>
      <w:tr w:rsidR="004355CC" w:rsidRPr="004D42A3" w14:paraId="4305505B" w14:textId="77777777" w:rsidTr="004355CC">
        <w:trPr>
          <w:trHeight w:val="377"/>
        </w:trPr>
        <w:tc>
          <w:tcPr>
            <w:tcW w:w="283" w:type="pct"/>
          </w:tcPr>
          <w:p w14:paraId="74B928EA"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w:t>
            </w:r>
          </w:p>
        </w:tc>
        <w:tc>
          <w:tcPr>
            <w:tcW w:w="1288" w:type="pct"/>
          </w:tcPr>
          <w:p w14:paraId="7E638700"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No. of Tillers per Plant</w:t>
            </w:r>
          </w:p>
        </w:tc>
        <w:tc>
          <w:tcPr>
            <w:tcW w:w="662" w:type="pct"/>
          </w:tcPr>
          <w:p w14:paraId="4B3EFDB7"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0.26</w:t>
            </w:r>
          </w:p>
        </w:tc>
        <w:tc>
          <w:tcPr>
            <w:tcW w:w="615" w:type="pct"/>
          </w:tcPr>
          <w:p w14:paraId="4A9832EA"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42.133**</w:t>
            </w:r>
          </w:p>
        </w:tc>
        <w:tc>
          <w:tcPr>
            <w:tcW w:w="502" w:type="pct"/>
          </w:tcPr>
          <w:p w14:paraId="4BE6284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0.11</w:t>
            </w:r>
          </w:p>
        </w:tc>
        <w:tc>
          <w:tcPr>
            <w:tcW w:w="747" w:type="pct"/>
          </w:tcPr>
          <w:p w14:paraId="57A31902"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4.42</w:t>
            </w:r>
          </w:p>
        </w:tc>
        <w:tc>
          <w:tcPr>
            <w:tcW w:w="903" w:type="pct"/>
          </w:tcPr>
          <w:p w14:paraId="270341F0"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2.70</w:t>
            </w:r>
          </w:p>
        </w:tc>
      </w:tr>
      <w:tr w:rsidR="004355CC" w:rsidRPr="004D42A3" w14:paraId="130946D6" w14:textId="77777777" w:rsidTr="004355CC">
        <w:trPr>
          <w:trHeight w:val="377"/>
        </w:trPr>
        <w:tc>
          <w:tcPr>
            <w:tcW w:w="283" w:type="pct"/>
          </w:tcPr>
          <w:p w14:paraId="3DE8876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5</w:t>
            </w:r>
          </w:p>
        </w:tc>
        <w:tc>
          <w:tcPr>
            <w:tcW w:w="1288" w:type="pct"/>
          </w:tcPr>
          <w:p w14:paraId="1CA04EAB"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1000 Grain Weight (g)</w:t>
            </w:r>
          </w:p>
        </w:tc>
        <w:tc>
          <w:tcPr>
            <w:tcW w:w="662" w:type="pct"/>
          </w:tcPr>
          <w:p w14:paraId="4CF6C971"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1.60</w:t>
            </w:r>
          </w:p>
        </w:tc>
        <w:tc>
          <w:tcPr>
            <w:tcW w:w="615" w:type="pct"/>
          </w:tcPr>
          <w:p w14:paraId="329ACD4B"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49.726**</w:t>
            </w:r>
          </w:p>
        </w:tc>
        <w:tc>
          <w:tcPr>
            <w:tcW w:w="502" w:type="pct"/>
          </w:tcPr>
          <w:p w14:paraId="77C27688"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0.31</w:t>
            </w:r>
          </w:p>
        </w:tc>
        <w:tc>
          <w:tcPr>
            <w:tcW w:w="747" w:type="pct"/>
          </w:tcPr>
          <w:p w14:paraId="7A4A39C3"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3.91</w:t>
            </w:r>
          </w:p>
        </w:tc>
        <w:tc>
          <w:tcPr>
            <w:tcW w:w="903" w:type="pct"/>
          </w:tcPr>
          <w:p w14:paraId="0C96DF82"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2.39</w:t>
            </w:r>
          </w:p>
        </w:tc>
      </w:tr>
      <w:tr w:rsidR="004355CC" w:rsidRPr="004D42A3" w14:paraId="15F859D2" w14:textId="77777777" w:rsidTr="004355CC">
        <w:trPr>
          <w:trHeight w:val="350"/>
        </w:trPr>
        <w:tc>
          <w:tcPr>
            <w:tcW w:w="283" w:type="pct"/>
          </w:tcPr>
          <w:p w14:paraId="65EF3397"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6</w:t>
            </w:r>
          </w:p>
        </w:tc>
        <w:tc>
          <w:tcPr>
            <w:tcW w:w="1288" w:type="pct"/>
          </w:tcPr>
          <w:p w14:paraId="249B1C5F"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Grain Length (mm)</w:t>
            </w:r>
          </w:p>
        </w:tc>
        <w:tc>
          <w:tcPr>
            <w:tcW w:w="662" w:type="pct"/>
          </w:tcPr>
          <w:p w14:paraId="6D9C2D4B"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0.06</w:t>
            </w:r>
          </w:p>
        </w:tc>
        <w:tc>
          <w:tcPr>
            <w:tcW w:w="615" w:type="pct"/>
          </w:tcPr>
          <w:p w14:paraId="1B828CB6"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7.587**</w:t>
            </w:r>
          </w:p>
        </w:tc>
        <w:tc>
          <w:tcPr>
            <w:tcW w:w="502" w:type="pct"/>
          </w:tcPr>
          <w:p w14:paraId="7A5CDC55"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0.04</w:t>
            </w:r>
          </w:p>
        </w:tc>
        <w:tc>
          <w:tcPr>
            <w:tcW w:w="747" w:type="pct"/>
          </w:tcPr>
          <w:p w14:paraId="577DAE40"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4.67</w:t>
            </w:r>
          </w:p>
        </w:tc>
        <w:tc>
          <w:tcPr>
            <w:tcW w:w="903" w:type="pct"/>
          </w:tcPr>
          <w:p w14:paraId="0B92B361"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2.86</w:t>
            </w:r>
          </w:p>
        </w:tc>
      </w:tr>
      <w:tr w:rsidR="004355CC" w:rsidRPr="004D42A3" w14:paraId="7EFB90DF" w14:textId="77777777" w:rsidTr="004355CC">
        <w:trPr>
          <w:trHeight w:val="377"/>
        </w:trPr>
        <w:tc>
          <w:tcPr>
            <w:tcW w:w="283" w:type="pct"/>
          </w:tcPr>
          <w:p w14:paraId="739A8F00"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7</w:t>
            </w:r>
          </w:p>
        </w:tc>
        <w:tc>
          <w:tcPr>
            <w:tcW w:w="1288" w:type="pct"/>
          </w:tcPr>
          <w:p w14:paraId="0B6CD84E"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Grain Breadth (mm)</w:t>
            </w:r>
          </w:p>
        </w:tc>
        <w:tc>
          <w:tcPr>
            <w:tcW w:w="662" w:type="pct"/>
          </w:tcPr>
          <w:p w14:paraId="69B2F1FD"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0.01</w:t>
            </w:r>
          </w:p>
        </w:tc>
        <w:tc>
          <w:tcPr>
            <w:tcW w:w="615" w:type="pct"/>
          </w:tcPr>
          <w:p w14:paraId="10FA65F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7.117**</w:t>
            </w:r>
          </w:p>
        </w:tc>
        <w:tc>
          <w:tcPr>
            <w:tcW w:w="502" w:type="pct"/>
          </w:tcPr>
          <w:p w14:paraId="712622D2"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0.01</w:t>
            </w:r>
          </w:p>
        </w:tc>
        <w:tc>
          <w:tcPr>
            <w:tcW w:w="747" w:type="pct"/>
          </w:tcPr>
          <w:p w14:paraId="5F12C2A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4.68</w:t>
            </w:r>
          </w:p>
        </w:tc>
        <w:tc>
          <w:tcPr>
            <w:tcW w:w="903" w:type="pct"/>
          </w:tcPr>
          <w:p w14:paraId="6DC378BB"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2.86</w:t>
            </w:r>
          </w:p>
        </w:tc>
      </w:tr>
      <w:tr w:rsidR="004355CC" w:rsidRPr="004D42A3" w14:paraId="3BA35EC7" w14:textId="77777777" w:rsidTr="004355CC">
        <w:trPr>
          <w:trHeight w:val="377"/>
        </w:trPr>
        <w:tc>
          <w:tcPr>
            <w:tcW w:w="283" w:type="pct"/>
          </w:tcPr>
          <w:p w14:paraId="31C383EE" w14:textId="0577CAA5" w:rsidR="004355CC" w:rsidRPr="004D42A3" w:rsidRDefault="004355CC" w:rsidP="003F0F78">
            <w:pPr>
              <w:jc w:val="center"/>
              <w:rPr>
                <w:rFonts w:ascii="Arial" w:hAnsi="Arial" w:cs="Arial"/>
                <w:sz w:val="20"/>
                <w:szCs w:val="20"/>
              </w:rPr>
            </w:pPr>
            <w:r w:rsidRPr="004D42A3">
              <w:rPr>
                <w:rFonts w:ascii="Arial" w:hAnsi="Arial" w:cs="Arial"/>
                <w:sz w:val="20"/>
                <w:szCs w:val="20"/>
              </w:rPr>
              <w:t>8</w:t>
            </w:r>
          </w:p>
        </w:tc>
        <w:tc>
          <w:tcPr>
            <w:tcW w:w="1288" w:type="pct"/>
          </w:tcPr>
          <w:p w14:paraId="34A909D8" w14:textId="22129379" w:rsidR="004355CC" w:rsidRPr="004D42A3" w:rsidRDefault="004355CC" w:rsidP="003F0F78">
            <w:pPr>
              <w:jc w:val="center"/>
              <w:rPr>
                <w:rFonts w:ascii="Arial" w:hAnsi="Arial" w:cs="Arial"/>
                <w:b/>
                <w:bCs/>
                <w:sz w:val="20"/>
                <w:szCs w:val="20"/>
                <w:lang w:val="en-IN"/>
              </w:rPr>
            </w:pPr>
            <w:r w:rsidRPr="004D42A3">
              <w:rPr>
                <w:rFonts w:ascii="Arial" w:hAnsi="Arial" w:cs="Arial"/>
                <w:b/>
                <w:bCs/>
                <w:sz w:val="20"/>
                <w:szCs w:val="20"/>
                <w:lang w:val="en-IN"/>
              </w:rPr>
              <w:t>Hulling percentage</w:t>
            </w:r>
          </w:p>
        </w:tc>
        <w:tc>
          <w:tcPr>
            <w:tcW w:w="662" w:type="pct"/>
          </w:tcPr>
          <w:p w14:paraId="53EB68C7" w14:textId="6D98635E" w:rsidR="004355CC" w:rsidRPr="004D42A3" w:rsidRDefault="00B25498" w:rsidP="003F0F7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2.43</w:t>
            </w:r>
          </w:p>
        </w:tc>
        <w:tc>
          <w:tcPr>
            <w:tcW w:w="615" w:type="pct"/>
          </w:tcPr>
          <w:p w14:paraId="091F74CF" w14:textId="4C1CB523" w:rsidR="004355CC" w:rsidRPr="004D42A3" w:rsidRDefault="00B25498" w:rsidP="003F0F7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17.821**</w:t>
            </w:r>
          </w:p>
        </w:tc>
        <w:tc>
          <w:tcPr>
            <w:tcW w:w="502" w:type="pct"/>
          </w:tcPr>
          <w:p w14:paraId="16D0ECDD" w14:textId="66DBE681" w:rsidR="004355CC" w:rsidRPr="004D42A3" w:rsidRDefault="00B25498" w:rsidP="003F0F78">
            <w:pPr>
              <w:jc w:val="center"/>
              <w:rPr>
                <w:rFonts w:ascii="Arial" w:hAnsi="Arial" w:cs="Arial"/>
                <w:sz w:val="20"/>
                <w:szCs w:val="20"/>
              </w:rPr>
            </w:pPr>
            <w:r w:rsidRPr="004D42A3">
              <w:rPr>
                <w:rFonts w:ascii="Arial" w:hAnsi="Arial" w:cs="Arial"/>
                <w:sz w:val="20"/>
                <w:szCs w:val="20"/>
              </w:rPr>
              <w:t>1.97</w:t>
            </w:r>
          </w:p>
        </w:tc>
        <w:tc>
          <w:tcPr>
            <w:tcW w:w="747" w:type="pct"/>
          </w:tcPr>
          <w:p w14:paraId="681B8E95" w14:textId="274DA1FA" w:rsidR="004355CC" w:rsidRPr="004D42A3" w:rsidRDefault="00B25498" w:rsidP="003F0F78">
            <w:pPr>
              <w:jc w:val="center"/>
              <w:rPr>
                <w:rFonts w:ascii="Arial" w:hAnsi="Arial" w:cs="Arial"/>
                <w:sz w:val="20"/>
                <w:szCs w:val="20"/>
              </w:rPr>
            </w:pPr>
            <w:r w:rsidRPr="004D42A3">
              <w:rPr>
                <w:rFonts w:ascii="Arial" w:hAnsi="Arial" w:cs="Arial"/>
                <w:sz w:val="20"/>
                <w:szCs w:val="20"/>
              </w:rPr>
              <w:t>3.02</w:t>
            </w:r>
          </w:p>
        </w:tc>
        <w:tc>
          <w:tcPr>
            <w:tcW w:w="903" w:type="pct"/>
          </w:tcPr>
          <w:p w14:paraId="0439E218" w14:textId="687B76D4" w:rsidR="004355CC" w:rsidRPr="004D42A3" w:rsidRDefault="00B25498" w:rsidP="003F0F7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1.85</w:t>
            </w:r>
          </w:p>
        </w:tc>
      </w:tr>
      <w:tr w:rsidR="004355CC" w:rsidRPr="004D42A3" w14:paraId="64024658" w14:textId="77777777" w:rsidTr="004355CC">
        <w:trPr>
          <w:trHeight w:val="377"/>
        </w:trPr>
        <w:tc>
          <w:tcPr>
            <w:tcW w:w="283" w:type="pct"/>
          </w:tcPr>
          <w:p w14:paraId="7D12438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9</w:t>
            </w:r>
          </w:p>
        </w:tc>
        <w:tc>
          <w:tcPr>
            <w:tcW w:w="1288" w:type="pct"/>
          </w:tcPr>
          <w:p w14:paraId="40B497C3" w14:textId="05F63F76"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 xml:space="preserve">Milling </w:t>
            </w:r>
            <w:r w:rsidR="00B25498" w:rsidRPr="004D42A3">
              <w:rPr>
                <w:rFonts w:ascii="Arial" w:hAnsi="Arial" w:cs="Arial"/>
                <w:b/>
                <w:bCs/>
                <w:sz w:val="20"/>
                <w:szCs w:val="20"/>
                <w:lang w:val="en-IN"/>
              </w:rPr>
              <w:t>percentage</w:t>
            </w:r>
          </w:p>
        </w:tc>
        <w:tc>
          <w:tcPr>
            <w:tcW w:w="662" w:type="pct"/>
          </w:tcPr>
          <w:p w14:paraId="6B2EDCE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8.25</w:t>
            </w:r>
          </w:p>
        </w:tc>
        <w:tc>
          <w:tcPr>
            <w:tcW w:w="615" w:type="pct"/>
          </w:tcPr>
          <w:p w14:paraId="7FDD1AD9"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22.018**</w:t>
            </w:r>
          </w:p>
        </w:tc>
        <w:tc>
          <w:tcPr>
            <w:tcW w:w="502" w:type="pct"/>
          </w:tcPr>
          <w:p w14:paraId="605BF92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3.24</w:t>
            </w:r>
          </w:p>
        </w:tc>
        <w:tc>
          <w:tcPr>
            <w:tcW w:w="747" w:type="pct"/>
          </w:tcPr>
          <w:p w14:paraId="43716265"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4.18</w:t>
            </w:r>
          </w:p>
        </w:tc>
        <w:tc>
          <w:tcPr>
            <w:tcW w:w="903" w:type="pct"/>
          </w:tcPr>
          <w:p w14:paraId="6FD89CBF"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2.56</w:t>
            </w:r>
          </w:p>
        </w:tc>
      </w:tr>
      <w:tr w:rsidR="004355CC" w:rsidRPr="004D42A3" w14:paraId="7C042DDE" w14:textId="77777777" w:rsidTr="004355CC">
        <w:trPr>
          <w:trHeight w:val="350"/>
        </w:trPr>
        <w:tc>
          <w:tcPr>
            <w:tcW w:w="283" w:type="pct"/>
          </w:tcPr>
          <w:p w14:paraId="46517AA8"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10</w:t>
            </w:r>
          </w:p>
        </w:tc>
        <w:tc>
          <w:tcPr>
            <w:tcW w:w="1288" w:type="pct"/>
          </w:tcPr>
          <w:p w14:paraId="3EDB4CF5"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Kernel length (mm)</w:t>
            </w:r>
          </w:p>
        </w:tc>
        <w:tc>
          <w:tcPr>
            <w:tcW w:w="662" w:type="pct"/>
          </w:tcPr>
          <w:p w14:paraId="7E24293E"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0.04</w:t>
            </w:r>
          </w:p>
        </w:tc>
        <w:tc>
          <w:tcPr>
            <w:tcW w:w="615" w:type="pct"/>
          </w:tcPr>
          <w:p w14:paraId="4C4F3259"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7.247**</w:t>
            </w:r>
          </w:p>
        </w:tc>
        <w:tc>
          <w:tcPr>
            <w:tcW w:w="502" w:type="pct"/>
          </w:tcPr>
          <w:p w14:paraId="154B5FD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0.03</w:t>
            </w:r>
          </w:p>
        </w:tc>
        <w:tc>
          <w:tcPr>
            <w:tcW w:w="747" w:type="pct"/>
          </w:tcPr>
          <w:p w14:paraId="07A991D5"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4.11</w:t>
            </w:r>
          </w:p>
        </w:tc>
        <w:tc>
          <w:tcPr>
            <w:tcW w:w="903" w:type="pct"/>
          </w:tcPr>
          <w:p w14:paraId="0F4C451D"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2.52</w:t>
            </w:r>
          </w:p>
        </w:tc>
      </w:tr>
      <w:tr w:rsidR="004355CC" w:rsidRPr="004D42A3" w14:paraId="402D942E" w14:textId="77777777" w:rsidTr="004355CC">
        <w:trPr>
          <w:trHeight w:val="377"/>
        </w:trPr>
        <w:tc>
          <w:tcPr>
            <w:tcW w:w="283" w:type="pct"/>
          </w:tcPr>
          <w:p w14:paraId="476090AA"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11</w:t>
            </w:r>
          </w:p>
        </w:tc>
        <w:tc>
          <w:tcPr>
            <w:tcW w:w="1288" w:type="pct"/>
          </w:tcPr>
          <w:p w14:paraId="5E9A9CB4"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Kernel Breadth (mm)</w:t>
            </w:r>
          </w:p>
        </w:tc>
        <w:tc>
          <w:tcPr>
            <w:tcW w:w="662" w:type="pct"/>
          </w:tcPr>
          <w:p w14:paraId="6C7A8226"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0.01</w:t>
            </w:r>
          </w:p>
        </w:tc>
        <w:tc>
          <w:tcPr>
            <w:tcW w:w="615" w:type="pct"/>
          </w:tcPr>
          <w:p w14:paraId="32DFE710"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3.876**</w:t>
            </w:r>
          </w:p>
        </w:tc>
        <w:tc>
          <w:tcPr>
            <w:tcW w:w="502" w:type="pct"/>
          </w:tcPr>
          <w:p w14:paraId="52B02302"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0.01</w:t>
            </w:r>
          </w:p>
        </w:tc>
        <w:tc>
          <w:tcPr>
            <w:tcW w:w="747" w:type="pct"/>
          </w:tcPr>
          <w:p w14:paraId="4A3BE788"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4.29</w:t>
            </w:r>
          </w:p>
        </w:tc>
        <w:tc>
          <w:tcPr>
            <w:tcW w:w="903" w:type="pct"/>
          </w:tcPr>
          <w:p w14:paraId="772E242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2.62</w:t>
            </w:r>
          </w:p>
        </w:tc>
      </w:tr>
      <w:tr w:rsidR="00B25498" w:rsidRPr="004D42A3" w14:paraId="2412A585" w14:textId="77777777" w:rsidTr="004355CC">
        <w:trPr>
          <w:trHeight w:val="377"/>
        </w:trPr>
        <w:tc>
          <w:tcPr>
            <w:tcW w:w="283" w:type="pct"/>
          </w:tcPr>
          <w:p w14:paraId="01E72914" w14:textId="1B832CC3" w:rsidR="00B25498" w:rsidRPr="004D42A3" w:rsidRDefault="00B25498" w:rsidP="00B25498">
            <w:pPr>
              <w:jc w:val="center"/>
              <w:rPr>
                <w:rFonts w:ascii="Arial" w:hAnsi="Arial" w:cs="Arial"/>
                <w:sz w:val="20"/>
                <w:szCs w:val="20"/>
              </w:rPr>
            </w:pPr>
            <w:r w:rsidRPr="004D42A3">
              <w:rPr>
                <w:rFonts w:ascii="Arial" w:hAnsi="Arial" w:cs="Arial"/>
                <w:sz w:val="20"/>
                <w:szCs w:val="20"/>
              </w:rPr>
              <w:t>12</w:t>
            </w:r>
          </w:p>
        </w:tc>
        <w:tc>
          <w:tcPr>
            <w:tcW w:w="1288" w:type="pct"/>
          </w:tcPr>
          <w:p w14:paraId="1C1F865C" w14:textId="03B4CC25" w:rsidR="00B25498" w:rsidRPr="004D42A3" w:rsidRDefault="00B25498" w:rsidP="00B25498">
            <w:pPr>
              <w:jc w:val="center"/>
              <w:rPr>
                <w:rFonts w:ascii="Arial" w:hAnsi="Arial" w:cs="Arial"/>
                <w:b/>
                <w:bCs/>
                <w:sz w:val="20"/>
                <w:szCs w:val="20"/>
                <w:lang w:val="en-IN"/>
              </w:rPr>
            </w:pPr>
            <w:r w:rsidRPr="004D42A3">
              <w:rPr>
                <w:rFonts w:ascii="Arial" w:hAnsi="Arial" w:cs="Arial"/>
                <w:b/>
                <w:bCs/>
                <w:sz w:val="20"/>
                <w:szCs w:val="20"/>
                <w:lang w:val="en-IN"/>
              </w:rPr>
              <w:t>Length/ Breadth ratio</w:t>
            </w:r>
          </w:p>
        </w:tc>
        <w:tc>
          <w:tcPr>
            <w:tcW w:w="662" w:type="pct"/>
          </w:tcPr>
          <w:p w14:paraId="007243B5" w14:textId="52DDA5A8" w:rsidR="00B25498" w:rsidRPr="004D42A3" w:rsidRDefault="00B25498" w:rsidP="00B2549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0.01</w:t>
            </w:r>
          </w:p>
        </w:tc>
        <w:tc>
          <w:tcPr>
            <w:tcW w:w="615" w:type="pct"/>
          </w:tcPr>
          <w:p w14:paraId="3A9C176C" w14:textId="1C28F46D" w:rsidR="00B25498" w:rsidRPr="004D42A3" w:rsidRDefault="00B25498" w:rsidP="00B2549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5.645**</w:t>
            </w:r>
          </w:p>
        </w:tc>
        <w:tc>
          <w:tcPr>
            <w:tcW w:w="502" w:type="pct"/>
          </w:tcPr>
          <w:p w14:paraId="113B6B92" w14:textId="6A35BDA1" w:rsidR="00B25498" w:rsidRPr="004D42A3" w:rsidRDefault="00B25498" w:rsidP="00B25498">
            <w:pPr>
              <w:jc w:val="center"/>
              <w:rPr>
                <w:rFonts w:ascii="Arial" w:hAnsi="Arial" w:cs="Arial"/>
                <w:sz w:val="20"/>
                <w:szCs w:val="20"/>
              </w:rPr>
            </w:pPr>
            <w:r w:rsidRPr="004D42A3">
              <w:rPr>
                <w:rFonts w:ascii="Arial" w:hAnsi="Arial" w:cs="Arial"/>
                <w:sz w:val="20"/>
                <w:szCs w:val="20"/>
              </w:rPr>
              <w:t>0.01</w:t>
            </w:r>
          </w:p>
        </w:tc>
        <w:tc>
          <w:tcPr>
            <w:tcW w:w="747" w:type="pct"/>
          </w:tcPr>
          <w:p w14:paraId="2F9A7D1B" w14:textId="2AB8C6FF" w:rsidR="00B25498" w:rsidRPr="004D42A3" w:rsidRDefault="00B25498" w:rsidP="00B25498">
            <w:pPr>
              <w:jc w:val="center"/>
              <w:rPr>
                <w:rFonts w:ascii="Arial" w:hAnsi="Arial" w:cs="Arial"/>
                <w:sz w:val="20"/>
                <w:szCs w:val="20"/>
              </w:rPr>
            </w:pPr>
            <w:r w:rsidRPr="004D42A3">
              <w:rPr>
                <w:rFonts w:ascii="Arial" w:hAnsi="Arial" w:cs="Arial"/>
                <w:sz w:val="20"/>
                <w:szCs w:val="20"/>
              </w:rPr>
              <w:t>4.26</w:t>
            </w:r>
          </w:p>
        </w:tc>
        <w:tc>
          <w:tcPr>
            <w:tcW w:w="903" w:type="pct"/>
          </w:tcPr>
          <w:p w14:paraId="54BE5012" w14:textId="0DB6E1A2" w:rsidR="00B25498" w:rsidRPr="004D42A3" w:rsidRDefault="00B25498" w:rsidP="00B25498">
            <w:pPr>
              <w:jc w:val="center"/>
              <w:rPr>
                <w:rFonts w:ascii="Arial" w:eastAsia="Times New Roman" w:hAnsi="Arial" w:cs="Arial"/>
                <w:kern w:val="0"/>
                <w:sz w:val="20"/>
                <w:szCs w:val="20"/>
                <w:lang w:eastAsia="en-GB"/>
                <w14:ligatures w14:val="none"/>
              </w:rPr>
            </w:pPr>
            <w:r w:rsidRPr="004D42A3">
              <w:rPr>
                <w:rFonts w:ascii="Arial" w:hAnsi="Arial" w:cs="Arial"/>
                <w:sz w:val="20"/>
                <w:szCs w:val="20"/>
              </w:rPr>
              <w:t>2.61</w:t>
            </w:r>
          </w:p>
        </w:tc>
      </w:tr>
      <w:tr w:rsidR="004355CC" w:rsidRPr="004D42A3" w14:paraId="1D1C8CB6" w14:textId="77777777" w:rsidTr="004355CC">
        <w:trPr>
          <w:trHeight w:val="377"/>
        </w:trPr>
        <w:tc>
          <w:tcPr>
            <w:tcW w:w="283" w:type="pct"/>
          </w:tcPr>
          <w:p w14:paraId="6C34AC9B"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13</w:t>
            </w:r>
          </w:p>
        </w:tc>
        <w:tc>
          <w:tcPr>
            <w:tcW w:w="1288" w:type="pct"/>
          </w:tcPr>
          <w:p w14:paraId="3BCEB5E9"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Alkali Spreading Value</w:t>
            </w:r>
          </w:p>
        </w:tc>
        <w:tc>
          <w:tcPr>
            <w:tcW w:w="662" w:type="pct"/>
          </w:tcPr>
          <w:p w14:paraId="04259260"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0.01</w:t>
            </w:r>
          </w:p>
        </w:tc>
        <w:tc>
          <w:tcPr>
            <w:tcW w:w="615" w:type="pct"/>
          </w:tcPr>
          <w:p w14:paraId="306D217A"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61.179**</w:t>
            </w:r>
          </w:p>
        </w:tc>
        <w:tc>
          <w:tcPr>
            <w:tcW w:w="502" w:type="pct"/>
          </w:tcPr>
          <w:p w14:paraId="65AA0C6D"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0.02</w:t>
            </w:r>
          </w:p>
        </w:tc>
        <w:tc>
          <w:tcPr>
            <w:tcW w:w="747" w:type="pct"/>
          </w:tcPr>
          <w:p w14:paraId="47AB99E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4.68</w:t>
            </w:r>
          </w:p>
        </w:tc>
        <w:tc>
          <w:tcPr>
            <w:tcW w:w="903" w:type="pct"/>
          </w:tcPr>
          <w:p w14:paraId="1D3BE067"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2.86</w:t>
            </w:r>
          </w:p>
        </w:tc>
      </w:tr>
      <w:tr w:rsidR="004355CC" w:rsidRPr="004D42A3" w14:paraId="0629865E" w14:textId="77777777" w:rsidTr="004355CC">
        <w:trPr>
          <w:trHeight w:val="350"/>
        </w:trPr>
        <w:tc>
          <w:tcPr>
            <w:tcW w:w="283" w:type="pct"/>
          </w:tcPr>
          <w:p w14:paraId="6B4EEBEB"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14</w:t>
            </w:r>
          </w:p>
        </w:tc>
        <w:tc>
          <w:tcPr>
            <w:tcW w:w="1288" w:type="pct"/>
          </w:tcPr>
          <w:p w14:paraId="4DBD935A"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Grain Yield Per Plant (g)</w:t>
            </w:r>
          </w:p>
        </w:tc>
        <w:tc>
          <w:tcPr>
            <w:tcW w:w="662" w:type="pct"/>
          </w:tcPr>
          <w:p w14:paraId="7CCABCA2"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0.05</w:t>
            </w:r>
          </w:p>
        </w:tc>
        <w:tc>
          <w:tcPr>
            <w:tcW w:w="615" w:type="pct"/>
          </w:tcPr>
          <w:p w14:paraId="08B383FF"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12.263**</w:t>
            </w:r>
          </w:p>
        </w:tc>
        <w:tc>
          <w:tcPr>
            <w:tcW w:w="502" w:type="pct"/>
          </w:tcPr>
          <w:p w14:paraId="69DB8BE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0.38</w:t>
            </w:r>
          </w:p>
        </w:tc>
        <w:tc>
          <w:tcPr>
            <w:tcW w:w="747" w:type="pct"/>
          </w:tcPr>
          <w:p w14:paraId="2692F49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4.01</w:t>
            </w:r>
          </w:p>
        </w:tc>
        <w:tc>
          <w:tcPr>
            <w:tcW w:w="903" w:type="pct"/>
          </w:tcPr>
          <w:p w14:paraId="6EBDE5E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2.45</w:t>
            </w:r>
          </w:p>
        </w:tc>
      </w:tr>
    </w:tbl>
    <w:p w14:paraId="29D2208A" w14:textId="176AC568" w:rsidR="004355CC" w:rsidRPr="006F11E0" w:rsidRDefault="005B7FE5" w:rsidP="004764E2">
      <w:pPr>
        <w:ind w:firstLine="720"/>
        <w:jc w:val="both"/>
        <w:rPr>
          <w:rFonts w:ascii="Arial" w:hAnsi="Arial" w:cs="Arial"/>
          <w:i/>
          <w:iCs/>
          <w:sz w:val="20"/>
          <w:szCs w:val="20"/>
        </w:rPr>
      </w:pPr>
      <w:r w:rsidRPr="006F11E0">
        <w:rPr>
          <w:rFonts w:ascii="Arial" w:hAnsi="Arial" w:cs="Arial"/>
          <w:i/>
          <w:iCs/>
          <w:sz w:val="20"/>
          <w:szCs w:val="20"/>
          <w:lang w:val="en-IN"/>
        </w:rPr>
        <w:t xml:space="preserve">* Significant at 5% level, **Significant at 1% level  </w:t>
      </w:r>
    </w:p>
    <w:p w14:paraId="254C5878" w14:textId="2C8D26D7" w:rsidR="00E9583C" w:rsidRPr="006F11E0" w:rsidRDefault="006F11E0" w:rsidP="006F11E0">
      <w:pPr>
        <w:spacing w:line="240" w:lineRule="auto"/>
        <w:jc w:val="both"/>
        <w:rPr>
          <w:rFonts w:ascii="Arial" w:hAnsi="Arial" w:cs="Arial"/>
          <w:b/>
          <w:bCs/>
          <w:sz w:val="20"/>
          <w:szCs w:val="20"/>
        </w:rPr>
      </w:pPr>
      <w:r w:rsidRPr="006F11E0">
        <w:rPr>
          <w:rFonts w:ascii="Arial" w:hAnsi="Arial" w:cs="Arial"/>
          <w:b/>
          <w:bCs/>
          <w:sz w:val="22"/>
          <w:szCs w:val="22"/>
        </w:rPr>
        <w:t xml:space="preserve">3.1 </w:t>
      </w:r>
      <w:r w:rsidR="00C01495" w:rsidRPr="006F11E0">
        <w:rPr>
          <w:rFonts w:ascii="Arial" w:hAnsi="Arial" w:cs="Arial"/>
          <w:b/>
          <w:bCs/>
          <w:sz w:val="22"/>
          <w:szCs w:val="22"/>
        </w:rPr>
        <w:t>Genotypic and Phenotypic coefficient of variation (%)</w:t>
      </w:r>
      <w:r>
        <w:rPr>
          <w:rFonts w:ascii="Arial" w:hAnsi="Arial" w:cs="Arial"/>
          <w:b/>
          <w:bCs/>
          <w:sz w:val="22"/>
          <w:szCs w:val="22"/>
        </w:rPr>
        <w:t>:</w:t>
      </w:r>
      <w:r w:rsidR="00C01495">
        <w:rPr>
          <w:rFonts w:ascii="Times New Roman" w:hAnsi="Times New Roman" w:cs="Times New Roman"/>
        </w:rPr>
        <w:t xml:space="preserve"> </w:t>
      </w:r>
      <w:r w:rsidR="00E9583C" w:rsidRPr="006F11E0">
        <w:rPr>
          <w:rFonts w:ascii="Arial" w:hAnsi="Arial" w:cs="Arial"/>
          <w:sz w:val="20"/>
          <w:szCs w:val="20"/>
        </w:rPr>
        <w:t xml:space="preserve">In presenting GCV, PCV, heritability (broad-sense), genetic advance (GA) and genetic advance as percent of mean (GAM) side-by-side </w:t>
      </w:r>
      <w:r w:rsidR="00E9583C" w:rsidRPr="006F11E0">
        <w:rPr>
          <w:rFonts w:ascii="Arial" w:hAnsi="Arial" w:cs="Arial"/>
          <w:b/>
          <w:bCs/>
          <w:sz w:val="20"/>
          <w:szCs w:val="20"/>
        </w:rPr>
        <w:t xml:space="preserve">(Table </w:t>
      </w:r>
      <w:r w:rsidR="002C0FFA" w:rsidRPr="006F11E0">
        <w:rPr>
          <w:rFonts w:ascii="Arial" w:hAnsi="Arial" w:cs="Arial"/>
          <w:b/>
          <w:bCs/>
          <w:sz w:val="20"/>
          <w:szCs w:val="20"/>
        </w:rPr>
        <w:t>3</w:t>
      </w:r>
      <w:r w:rsidR="00E9583C" w:rsidRPr="006F11E0">
        <w:rPr>
          <w:rFonts w:ascii="Arial" w:hAnsi="Arial" w:cs="Arial"/>
          <w:b/>
          <w:bCs/>
          <w:sz w:val="20"/>
          <w:szCs w:val="20"/>
        </w:rPr>
        <w:t xml:space="preserve"> and Figures 1)</w:t>
      </w:r>
      <w:r w:rsidR="00E9583C" w:rsidRPr="006F11E0">
        <w:rPr>
          <w:rFonts w:ascii="Arial" w:hAnsi="Arial" w:cs="Arial"/>
          <w:sz w:val="20"/>
          <w:szCs w:val="20"/>
        </w:rPr>
        <w:t>, which showcased the m</w:t>
      </w:r>
      <w:proofErr w:type="spellStart"/>
      <w:r w:rsidR="00DC3550" w:rsidRPr="006F11E0">
        <w:rPr>
          <w:rFonts w:ascii="Arial" w:hAnsi="Arial" w:cs="Arial"/>
          <w:sz w:val="20"/>
          <w:szCs w:val="20"/>
          <w:lang w:val="en-IN"/>
        </w:rPr>
        <w:t>aximum</w:t>
      </w:r>
      <w:proofErr w:type="spellEnd"/>
      <w:r w:rsidR="00DC3550" w:rsidRPr="006F11E0">
        <w:rPr>
          <w:rFonts w:ascii="Arial" w:hAnsi="Arial" w:cs="Arial"/>
          <w:sz w:val="20"/>
          <w:szCs w:val="20"/>
          <w:lang w:val="en-IN"/>
        </w:rPr>
        <w:t xml:space="preserve"> genotypic and phenotypic coefficient of variation was observed for alkali spreading value (12.81, 13.12) followed by panicle length (10.44, 10.75), number of tillers per plant (10.02, 10.38) and 1000 grain weight (9.63, 9.92). Moderate GCV and PCV was observed in plant height (7.87, 8.24), days to 50% flowering (6.83, 7.24), milling </w:t>
      </w:r>
      <w:r w:rsidR="00DC3550" w:rsidRPr="006F11E0">
        <w:rPr>
          <w:rFonts w:ascii="Arial" w:hAnsi="Arial" w:cs="Arial"/>
          <w:sz w:val="20"/>
          <w:szCs w:val="20"/>
          <w:lang w:val="en-IN"/>
        </w:rPr>
        <w:lastRenderedPageBreak/>
        <w:t xml:space="preserve">percentage (6.76, 5.86), and grain yield per plant (4.76, 5.34) and minimum GCV and PCV was observed for kernel breadth (2.57, 3.68) and length/ breadth ratio (3.22, 4.15). </w:t>
      </w:r>
      <w:r w:rsidR="00FE3E66" w:rsidRPr="006F11E0">
        <w:rPr>
          <w:rFonts w:ascii="Arial" w:hAnsi="Arial" w:cs="Arial"/>
          <w:sz w:val="20"/>
          <w:szCs w:val="20"/>
          <w:lang w:val="en-IN"/>
        </w:rPr>
        <w:t xml:space="preserve">Similar findings are reported by </w:t>
      </w:r>
      <w:r w:rsidR="00FE3E66" w:rsidRPr="006F11E0">
        <w:rPr>
          <w:rFonts w:ascii="Arial" w:hAnsi="Arial" w:cs="Arial"/>
          <w:b/>
          <w:bCs/>
          <w:iCs/>
          <w:sz w:val="20"/>
          <w:szCs w:val="20"/>
          <w:lang w:val="en-IN"/>
        </w:rPr>
        <w:t xml:space="preserve">Amod </w:t>
      </w:r>
      <w:r w:rsidR="00FE3E66" w:rsidRPr="006F11E0">
        <w:rPr>
          <w:rFonts w:ascii="Arial" w:hAnsi="Arial" w:cs="Arial"/>
          <w:b/>
          <w:bCs/>
          <w:i/>
          <w:iCs/>
          <w:sz w:val="20"/>
          <w:szCs w:val="20"/>
          <w:lang w:val="en-IN"/>
        </w:rPr>
        <w:t>et al</w:t>
      </w:r>
      <w:r w:rsidR="00FE3E66" w:rsidRPr="006F11E0">
        <w:rPr>
          <w:rFonts w:ascii="Arial" w:hAnsi="Arial" w:cs="Arial"/>
          <w:b/>
          <w:bCs/>
          <w:iCs/>
          <w:sz w:val="20"/>
          <w:szCs w:val="20"/>
          <w:lang w:val="en-IN"/>
        </w:rPr>
        <w:t>. (2020)</w:t>
      </w:r>
      <w:r w:rsidR="00FE3E66" w:rsidRPr="006F11E0">
        <w:rPr>
          <w:rFonts w:ascii="Arial" w:hAnsi="Arial" w:cs="Arial"/>
          <w:iCs/>
          <w:sz w:val="20"/>
          <w:szCs w:val="20"/>
          <w:lang w:val="en-IN"/>
        </w:rPr>
        <w:t xml:space="preserve"> for hulling %, </w:t>
      </w:r>
      <w:r w:rsidR="00FE3E66" w:rsidRPr="006F11E0">
        <w:rPr>
          <w:rFonts w:ascii="Arial" w:hAnsi="Arial" w:cs="Arial"/>
          <w:b/>
          <w:bCs/>
          <w:iCs/>
          <w:sz w:val="20"/>
          <w:szCs w:val="20"/>
          <w:lang w:val="en-IN"/>
        </w:rPr>
        <w:t xml:space="preserve">Krishna </w:t>
      </w:r>
      <w:r w:rsidR="00FE3E66" w:rsidRPr="006F11E0">
        <w:rPr>
          <w:rFonts w:ascii="Arial" w:hAnsi="Arial" w:cs="Arial"/>
          <w:b/>
          <w:bCs/>
          <w:i/>
          <w:iCs/>
          <w:sz w:val="20"/>
          <w:szCs w:val="20"/>
          <w:lang w:val="en-IN"/>
        </w:rPr>
        <w:t>et al</w:t>
      </w:r>
      <w:r w:rsidR="00FE3E66" w:rsidRPr="006F11E0">
        <w:rPr>
          <w:rFonts w:ascii="Arial" w:hAnsi="Arial" w:cs="Arial"/>
          <w:b/>
          <w:bCs/>
          <w:iCs/>
          <w:sz w:val="20"/>
          <w:szCs w:val="20"/>
          <w:lang w:val="en-IN"/>
        </w:rPr>
        <w:t>. (2020)</w:t>
      </w:r>
      <w:r w:rsidR="008C34E6" w:rsidRPr="006F11E0">
        <w:rPr>
          <w:rFonts w:ascii="Arial" w:hAnsi="Arial" w:cs="Arial"/>
          <w:b/>
          <w:bCs/>
          <w:iCs/>
          <w:sz w:val="20"/>
          <w:szCs w:val="20"/>
          <w:lang w:val="en-IN"/>
        </w:rPr>
        <w:t>,</w:t>
      </w:r>
      <w:r w:rsidR="008C34E6" w:rsidRPr="006F11E0">
        <w:rPr>
          <w:rFonts w:ascii="Arial" w:hAnsi="Arial" w:cs="Arial"/>
          <w:b/>
          <w:bCs/>
          <w:sz w:val="20"/>
          <w:szCs w:val="20"/>
        </w:rPr>
        <w:t xml:space="preserve"> Mahesh </w:t>
      </w:r>
      <w:r w:rsidR="008C34E6" w:rsidRPr="006F11E0">
        <w:rPr>
          <w:rFonts w:ascii="Arial" w:hAnsi="Arial" w:cs="Arial"/>
          <w:b/>
          <w:bCs/>
          <w:i/>
          <w:iCs/>
          <w:sz w:val="20"/>
          <w:szCs w:val="20"/>
        </w:rPr>
        <w:t>et al</w:t>
      </w:r>
      <w:r w:rsidR="008C34E6" w:rsidRPr="006F11E0">
        <w:rPr>
          <w:rFonts w:ascii="Arial" w:hAnsi="Arial" w:cs="Arial"/>
          <w:b/>
          <w:bCs/>
          <w:sz w:val="20"/>
          <w:szCs w:val="20"/>
        </w:rPr>
        <w:t xml:space="preserve">. (2022) and Nandedkar </w:t>
      </w:r>
      <w:r w:rsidR="008C34E6" w:rsidRPr="006F11E0">
        <w:rPr>
          <w:rFonts w:ascii="Arial" w:hAnsi="Arial" w:cs="Arial"/>
          <w:b/>
          <w:bCs/>
          <w:i/>
          <w:iCs/>
          <w:sz w:val="20"/>
          <w:szCs w:val="20"/>
        </w:rPr>
        <w:t>et al</w:t>
      </w:r>
      <w:r w:rsidR="008C34E6" w:rsidRPr="006F11E0">
        <w:rPr>
          <w:rFonts w:ascii="Arial" w:hAnsi="Arial" w:cs="Arial"/>
          <w:b/>
          <w:bCs/>
          <w:sz w:val="20"/>
          <w:szCs w:val="20"/>
        </w:rPr>
        <w:t xml:space="preserve">. (2022) </w:t>
      </w:r>
      <w:r w:rsidR="00FE3E66" w:rsidRPr="006F11E0">
        <w:rPr>
          <w:rFonts w:ascii="Arial" w:hAnsi="Arial" w:cs="Arial"/>
          <w:iCs/>
          <w:sz w:val="20"/>
          <w:szCs w:val="20"/>
          <w:lang w:val="en-IN"/>
        </w:rPr>
        <w:t xml:space="preserve">for grain yield per plant, </w:t>
      </w:r>
      <w:r w:rsidR="00FE3E66" w:rsidRPr="006F11E0">
        <w:rPr>
          <w:rFonts w:ascii="Arial" w:hAnsi="Arial" w:cs="Arial"/>
          <w:b/>
          <w:bCs/>
          <w:sz w:val="20"/>
          <w:szCs w:val="20"/>
          <w:lang w:val="en-IN"/>
        </w:rPr>
        <w:t xml:space="preserve">Dey </w:t>
      </w:r>
      <w:r w:rsidR="00FE3E66" w:rsidRPr="006F11E0">
        <w:rPr>
          <w:rFonts w:ascii="Arial" w:hAnsi="Arial" w:cs="Arial"/>
          <w:b/>
          <w:bCs/>
          <w:i/>
          <w:sz w:val="20"/>
          <w:szCs w:val="20"/>
          <w:lang w:val="en-IN"/>
        </w:rPr>
        <w:t>et al</w:t>
      </w:r>
      <w:r w:rsidR="00FE3E66" w:rsidRPr="006F11E0">
        <w:rPr>
          <w:rFonts w:ascii="Arial" w:hAnsi="Arial" w:cs="Arial"/>
          <w:b/>
          <w:bCs/>
          <w:sz w:val="20"/>
          <w:szCs w:val="20"/>
          <w:lang w:val="en-IN"/>
        </w:rPr>
        <w:t xml:space="preserve">. (2019) </w:t>
      </w:r>
      <w:r w:rsidR="00FE3E66" w:rsidRPr="006F11E0">
        <w:rPr>
          <w:rFonts w:ascii="Arial" w:hAnsi="Arial" w:cs="Arial"/>
          <w:sz w:val="20"/>
          <w:szCs w:val="20"/>
          <w:lang w:val="en-IN"/>
        </w:rPr>
        <w:t xml:space="preserve">for number of tillers per plant, </w:t>
      </w:r>
      <w:r w:rsidR="00FE3E66" w:rsidRPr="006F11E0">
        <w:rPr>
          <w:rFonts w:ascii="Arial" w:hAnsi="Arial" w:cs="Arial"/>
          <w:b/>
          <w:bCs/>
          <w:iCs/>
          <w:sz w:val="20"/>
          <w:szCs w:val="20"/>
          <w:lang w:val="en-IN"/>
        </w:rPr>
        <w:t xml:space="preserve">Allam </w:t>
      </w:r>
      <w:r w:rsidR="00FE3E66" w:rsidRPr="006F11E0">
        <w:rPr>
          <w:rFonts w:ascii="Arial" w:hAnsi="Arial" w:cs="Arial"/>
          <w:b/>
          <w:bCs/>
          <w:i/>
          <w:iCs/>
          <w:sz w:val="20"/>
          <w:szCs w:val="20"/>
          <w:lang w:val="en-IN"/>
        </w:rPr>
        <w:t>et al</w:t>
      </w:r>
      <w:r w:rsidR="00FE3E66" w:rsidRPr="006F11E0">
        <w:rPr>
          <w:rFonts w:ascii="Arial" w:hAnsi="Arial" w:cs="Arial"/>
          <w:b/>
          <w:bCs/>
          <w:iCs/>
          <w:sz w:val="20"/>
          <w:szCs w:val="20"/>
          <w:lang w:val="en-IN"/>
        </w:rPr>
        <w:t>. (2015)</w:t>
      </w:r>
      <w:r w:rsidR="00FE3E66" w:rsidRPr="006F11E0">
        <w:rPr>
          <w:rFonts w:ascii="Arial" w:hAnsi="Arial" w:cs="Arial"/>
          <w:iCs/>
          <w:sz w:val="20"/>
          <w:szCs w:val="20"/>
          <w:lang w:val="en-IN"/>
        </w:rPr>
        <w:t xml:space="preserve"> for alkali spreading value. </w:t>
      </w:r>
    </w:p>
    <w:p w14:paraId="5A6E10FB" w14:textId="33535CED" w:rsidR="002C0FFA" w:rsidRPr="006F11E0" w:rsidRDefault="002C0FFA" w:rsidP="002C0FFA">
      <w:pPr>
        <w:rPr>
          <w:rFonts w:ascii="Arial" w:hAnsi="Arial" w:cs="Arial"/>
          <w:b/>
          <w:sz w:val="20"/>
          <w:szCs w:val="20"/>
          <w:lang w:val="en-IN"/>
        </w:rPr>
      </w:pPr>
      <w:r w:rsidRPr="006F11E0">
        <w:rPr>
          <w:rFonts w:ascii="Arial" w:hAnsi="Arial" w:cs="Arial"/>
          <w:b/>
          <w:sz w:val="20"/>
          <w:szCs w:val="20"/>
          <w:lang w:val="en-IN"/>
        </w:rPr>
        <w:t>Table 3: Genetic variability parameters yield and its’ attributing traits</w:t>
      </w:r>
    </w:p>
    <w:tbl>
      <w:tblPr>
        <w:tblW w:w="5000" w:type="pct"/>
        <w:jc w:val="center"/>
        <w:tblLook w:val="04A0" w:firstRow="1" w:lastRow="0" w:firstColumn="1" w:lastColumn="0" w:noHBand="0" w:noVBand="1"/>
      </w:tblPr>
      <w:tblGrid>
        <w:gridCol w:w="2491"/>
        <w:gridCol w:w="797"/>
        <w:gridCol w:w="797"/>
        <w:gridCol w:w="691"/>
        <w:gridCol w:w="691"/>
        <w:gridCol w:w="691"/>
        <w:gridCol w:w="848"/>
        <w:gridCol w:w="1006"/>
        <w:gridCol w:w="1004"/>
      </w:tblGrid>
      <w:tr w:rsidR="002C0FFA" w:rsidRPr="006F11E0" w14:paraId="2ECF7070" w14:textId="77777777" w:rsidTr="003F0F78">
        <w:trPr>
          <w:trHeight w:val="20"/>
          <w:jc w:val="center"/>
        </w:trPr>
        <w:tc>
          <w:tcPr>
            <w:tcW w:w="1382" w:type="pct"/>
            <w:vMerge w:val="restart"/>
            <w:tcBorders>
              <w:top w:val="single" w:sz="4" w:space="0" w:color="auto"/>
              <w:left w:val="single" w:sz="4" w:space="0" w:color="auto"/>
              <w:bottom w:val="single" w:sz="4" w:space="0" w:color="auto"/>
              <w:right w:val="single" w:sz="4" w:space="0" w:color="auto"/>
            </w:tcBorders>
            <w:vAlign w:val="center"/>
            <w:hideMark/>
          </w:tcPr>
          <w:p w14:paraId="23D101FE"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Characters</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24462685"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Mean</w:t>
            </w:r>
          </w:p>
        </w:tc>
        <w:tc>
          <w:tcPr>
            <w:tcW w:w="825" w:type="pct"/>
            <w:gridSpan w:val="2"/>
            <w:tcBorders>
              <w:top w:val="single" w:sz="4" w:space="0" w:color="auto"/>
              <w:left w:val="nil"/>
              <w:bottom w:val="single" w:sz="4" w:space="0" w:color="auto"/>
              <w:right w:val="single" w:sz="4" w:space="0" w:color="auto"/>
            </w:tcBorders>
            <w:noWrap/>
            <w:vAlign w:val="bottom"/>
            <w:hideMark/>
          </w:tcPr>
          <w:p w14:paraId="32408D77" w14:textId="77777777" w:rsidR="002C0FFA" w:rsidRPr="006F11E0" w:rsidRDefault="002C0FFA" w:rsidP="003F0F78">
            <w:pPr>
              <w:jc w:val="center"/>
              <w:rPr>
                <w:rFonts w:ascii="Arial" w:hAnsi="Arial" w:cs="Arial"/>
                <w:b/>
                <w:sz w:val="18"/>
                <w:szCs w:val="18"/>
                <w:lang w:val="en-IN"/>
              </w:rPr>
            </w:pPr>
            <w:r w:rsidRPr="006F11E0">
              <w:rPr>
                <w:rFonts w:ascii="Arial" w:hAnsi="Arial" w:cs="Arial"/>
                <w:b/>
                <w:sz w:val="18"/>
                <w:szCs w:val="18"/>
                <w:lang w:val="en-IN"/>
              </w:rPr>
              <w:t>RANGE</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717FDD34"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GCV</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5155FEF6"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PCV</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6B2312EF"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h² (Broad Sense)</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14:paraId="3B9A466C"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Genetic Advance</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14:paraId="288C70C8"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Genetic Advance as % of Mean</w:t>
            </w:r>
          </w:p>
        </w:tc>
      </w:tr>
      <w:tr w:rsidR="002C0FFA" w:rsidRPr="006F11E0" w14:paraId="53F5FD56" w14:textId="77777777" w:rsidTr="003F0F78">
        <w:trPr>
          <w:trHeight w:val="181"/>
          <w:jc w:val="center"/>
        </w:trPr>
        <w:tc>
          <w:tcPr>
            <w:tcW w:w="1382" w:type="pct"/>
            <w:vMerge/>
            <w:tcBorders>
              <w:top w:val="single" w:sz="4" w:space="0" w:color="auto"/>
              <w:left w:val="single" w:sz="4" w:space="0" w:color="auto"/>
              <w:bottom w:val="single" w:sz="4" w:space="0" w:color="auto"/>
              <w:right w:val="single" w:sz="4" w:space="0" w:color="auto"/>
            </w:tcBorders>
            <w:vAlign w:val="center"/>
            <w:hideMark/>
          </w:tcPr>
          <w:p w14:paraId="671952F9" w14:textId="77777777" w:rsidR="002C0FFA" w:rsidRPr="006F11E0" w:rsidRDefault="002C0FFA" w:rsidP="003F0F78">
            <w:pPr>
              <w:rPr>
                <w:rFonts w:ascii="Arial" w:hAnsi="Arial" w:cs="Arial"/>
                <w:b/>
                <w:bCs/>
                <w:sz w:val="18"/>
                <w:szCs w:val="18"/>
                <w:lang w:val="en-IN"/>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519115F0" w14:textId="77777777" w:rsidR="002C0FFA" w:rsidRPr="006F11E0" w:rsidRDefault="002C0FFA" w:rsidP="003F0F78">
            <w:pPr>
              <w:rPr>
                <w:rFonts w:ascii="Arial" w:hAnsi="Arial" w:cs="Arial"/>
                <w:b/>
                <w:bCs/>
                <w:sz w:val="18"/>
                <w:szCs w:val="18"/>
                <w:lang w:val="en-IN"/>
              </w:rPr>
            </w:pPr>
          </w:p>
        </w:tc>
        <w:tc>
          <w:tcPr>
            <w:tcW w:w="442" w:type="pct"/>
            <w:tcBorders>
              <w:top w:val="nil"/>
              <w:left w:val="nil"/>
              <w:bottom w:val="single" w:sz="4" w:space="0" w:color="auto"/>
              <w:right w:val="single" w:sz="4" w:space="0" w:color="auto"/>
            </w:tcBorders>
            <w:vAlign w:val="center"/>
            <w:hideMark/>
          </w:tcPr>
          <w:p w14:paraId="46037F37"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MAX</w:t>
            </w:r>
          </w:p>
        </w:tc>
        <w:tc>
          <w:tcPr>
            <w:tcW w:w="383" w:type="pct"/>
            <w:tcBorders>
              <w:top w:val="nil"/>
              <w:left w:val="nil"/>
              <w:bottom w:val="single" w:sz="4" w:space="0" w:color="auto"/>
              <w:right w:val="single" w:sz="4" w:space="0" w:color="auto"/>
            </w:tcBorders>
            <w:vAlign w:val="center"/>
            <w:hideMark/>
          </w:tcPr>
          <w:p w14:paraId="0F343175"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MIN</w:t>
            </w: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605A0C20" w14:textId="77777777" w:rsidR="002C0FFA" w:rsidRPr="006F11E0" w:rsidRDefault="002C0FFA" w:rsidP="003F0F78">
            <w:pPr>
              <w:rPr>
                <w:rFonts w:ascii="Arial" w:hAnsi="Arial" w:cs="Arial"/>
                <w:b/>
                <w:bCs/>
                <w:sz w:val="18"/>
                <w:szCs w:val="18"/>
                <w:lang w:val="en-IN"/>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7990116C" w14:textId="77777777" w:rsidR="002C0FFA" w:rsidRPr="006F11E0" w:rsidRDefault="002C0FFA" w:rsidP="003F0F78">
            <w:pPr>
              <w:rPr>
                <w:rFonts w:ascii="Arial" w:hAnsi="Arial" w:cs="Arial"/>
                <w:b/>
                <w:bCs/>
                <w:sz w:val="18"/>
                <w:szCs w:val="18"/>
                <w:lang w:val="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6F9485C" w14:textId="77777777" w:rsidR="002C0FFA" w:rsidRPr="006F11E0" w:rsidRDefault="002C0FFA" w:rsidP="003F0F78">
            <w:pPr>
              <w:rPr>
                <w:rFonts w:ascii="Arial" w:hAnsi="Arial" w:cs="Arial"/>
                <w:b/>
                <w:bCs/>
                <w:sz w:val="18"/>
                <w:szCs w:val="18"/>
                <w:lang w:val="en-IN"/>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4459A918" w14:textId="77777777" w:rsidR="002C0FFA" w:rsidRPr="006F11E0" w:rsidRDefault="002C0FFA" w:rsidP="003F0F78">
            <w:pPr>
              <w:rPr>
                <w:rFonts w:ascii="Arial" w:hAnsi="Arial" w:cs="Arial"/>
                <w:b/>
                <w:bCs/>
                <w:sz w:val="18"/>
                <w:szCs w:val="18"/>
                <w:lang w:val="en-IN"/>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3EB8D5FC" w14:textId="77777777" w:rsidR="002C0FFA" w:rsidRPr="006F11E0" w:rsidRDefault="002C0FFA" w:rsidP="003F0F78">
            <w:pPr>
              <w:rPr>
                <w:rFonts w:ascii="Arial" w:hAnsi="Arial" w:cs="Arial"/>
                <w:b/>
                <w:bCs/>
                <w:sz w:val="18"/>
                <w:szCs w:val="18"/>
                <w:lang w:val="en-IN"/>
              </w:rPr>
            </w:pPr>
          </w:p>
        </w:tc>
      </w:tr>
      <w:tr w:rsidR="002C0FFA" w:rsidRPr="006F11E0" w14:paraId="77F9BC5A"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F04AF73"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Days to 50% flowering</w:t>
            </w:r>
          </w:p>
        </w:tc>
        <w:tc>
          <w:tcPr>
            <w:tcW w:w="442" w:type="pct"/>
            <w:tcBorders>
              <w:top w:val="nil"/>
              <w:left w:val="nil"/>
              <w:bottom w:val="single" w:sz="4" w:space="0" w:color="auto"/>
              <w:right w:val="single" w:sz="4" w:space="0" w:color="auto"/>
            </w:tcBorders>
            <w:vAlign w:val="center"/>
            <w:hideMark/>
          </w:tcPr>
          <w:p w14:paraId="11CB952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104.03</w:t>
            </w:r>
          </w:p>
        </w:tc>
        <w:tc>
          <w:tcPr>
            <w:tcW w:w="442" w:type="pct"/>
            <w:tcBorders>
              <w:top w:val="nil"/>
              <w:left w:val="nil"/>
              <w:bottom w:val="single" w:sz="4" w:space="0" w:color="auto"/>
              <w:right w:val="single" w:sz="4" w:space="0" w:color="auto"/>
            </w:tcBorders>
            <w:noWrap/>
            <w:vAlign w:val="bottom"/>
            <w:hideMark/>
          </w:tcPr>
          <w:p w14:paraId="4A2528B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125</w:t>
            </w:r>
          </w:p>
        </w:tc>
        <w:tc>
          <w:tcPr>
            <w:tcW w:w="383" w:type="pct"/>
            <w:tcBorders>
              <w:top w:val="nil"/>
              <w:left w:val="nil"/>
              <w:bottom w:val="single" w:sz="4" w:space="0" w:color="auto"/>
              <w:right w:val="single" w:sz="4" w:space="0" w:color="auto"/>
            </w:tcBorders>
            <w:noWrap/>
            <w:vAlign w:val="bottom"/>
            <w:hideMark/>
          </w:tcPr>
          <w:p w14:paraId="0E970B5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95</w:t>
            </w:r>
          </w:p>
        </w:tc>
        <w:tc>
          <w:tcPr>
            <w:tcW w:w="383" w:type="pct"/>
            <w:tcBorders>
              <w:top w:val="nil"/>
              <w:left w:val="nil"/>
              <w:bottom w:val="single" w:sz="4" w:space="0" w:color="auto"/>
              <w:right w:val="single" w:sz="4" w:space="0" w:color="auto"/>
            </w:tcBorders>
            <w:vAlign w:val="bottom"/>
            <w:hideMark/>
          </w:tcPr>
          <w:p w14:paraId="539B81F7"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6.83</w:t>
            </w:r>
          </w:p>
        </w:tc>
        <w:tc>
          <w:tcPr>
            <w:tcW w:w="383" w:type="pct"/>
            <w:tcBorders>
              <w:top w:val="nil"/>
              <w:left w:val="nil"/>
              <w:bottom w:val="single" w:sz="4" w:space="0" w:color="auto"/>
              <w:right w:val="single" w:sz="4" w:space="0" w:color="auto"/>
            </w:tcBorders>
            <w:vAlign w:val="bottom"/>
            <w:hideMark/>
          </w:tcPr>
          <w:p w14:paraId="0FD5CDC1"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7.24</w:t>
            </w:r>
          </w:p>
        </w:tc>
        <w:tc>
          <w:tcPr>
            <w:tcW w:w="470" w:type="pct"/>
            <w:tcBorders>
              <w:top w:val="nil"/>
              <w:left w:val="nil"/>
              <w:bottom w:val="single" w:sz="4" w:space="0" w:color="auto"/>
              <w:right w:val="single" w:sz="4" w:space="0" w:color="auto"/>
            </w:tcBorders>
            <w:vAlign w:val="bottom"/>
            <w:hideMark/>
          </w:tcPr>
          <w:p w14:paraId="1843239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89.07</w:t>
            </w:r>
          </w:p>
        </w:tc>
        <w:tc>
          <w:tcPr>
            <w:tcW w:w="558" w:type="pct"/>
            <w:tcBorders>
              <w:top w:val="nil"/>
              <w:left w:val="nil"/>
              <w:bottom w:val="single" w:sz="4" w:space="0" w:color="auto"/>
              <w:right w:val="single" w:sz="4" w:space="0" w:color="auto"/>
            </w:tcBorders>
            <w:vAlign w:val="bottom"/>
            <w:hideMark/>
          </w:tcPr>
          <w:p w14:paraId="62B9B78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13.82</w:t>
            </w:r>
          </w:p>
        </w:tc>
        <w:tc>
          <w:tcPr>
            <w:tcW w:w="558" w:type="pct"/>
            <w:tcBorders>
              <w:top w:val="nil"/>
              <w:left w:val="nil"/>
              <w:bottom w:val="single" w:sz="4" w:space="0" w:color="auto"/>
              <w:right w:val="single" w:sz="4" w:space="0" w:color="auto"/>
            </w:tcBorders>
            <w:hideMark/>
          </w:tcPr>
          <w:p w14:paraId="09C2245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13.29</w:t>
            </w:r>
          </w:p>
        </w:tc>
      </w:tr>
      <w:tr w:rsidR="002C0FFA" w:rsidRPr="006F11E0" w14:paraId="6A297E54"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42BBCE38"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Plant Height (cm)</w:t>
            </w:r>
          </w:p>
        </w:tc>
        <w:tc>
          <w:tcPr>
            <w:tcW w:w="442" w:type="pct"/>
            <w:tcBorders>
              <w:top w:val="nil"/>
              <w:left w:val="nil"/>
              <w:bottom w:val="single" w:sz="4" w:space="0" w:color="auto"/>
              <w:right w:val="single" w:sz="4" w:space="0" w:color="auto"/>
            </w:tcBorders>
            <w:vAlign w:val="center"/>
            <w:hideMark/>
          </w:tcPr>
          <w:p w14:paraId="39E3083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110.24</w:t>
            </w:r>
          </w:p>
        </w:tc>
        <w:tc>
          <w:tcPr>
            <w:tcW w:w="442" w:type="pct"/>
            <w:tcBorders>
              <w:top w:val="nil"/>
              <w:left w:val="nil"/>
              <w:bottom w:val="single" w:sz="4" w:space="0" w:color="auto"/>
              <w:right w:val="single" w:sz="4" w:space="0" w:color="auto"/>
            </w:tcBorders>
            <w:noWrap/>
            <w:vAlign w:val="bottom"/>
            <w:hideMark/>
          </w:tcPr>
          <w:p w14:paraId="55BE3570"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131.52</w:t>
            </w:r>
          </w:p>
        </w:tc>
        <w:tc>
          <w:tcPr>
            <w:tcW w:w="383" w:type="pct"/>
            <w:tcBorders>
              <w:top w:val="nil"/>
              <w:left w:val="nil"/>
              <w:bottom w:val="single" w:sz="4" w:space="0" w:color="auto"/>
              <w:right w:val="single" w:sz="4" w:space="0" w:color="auto"/>
            </w:tcBorders>
            <w:noWrap/>
            <w:vAlign w:val="bottom"/>
            <w:hideMark/>
          </w:tcPr>
          <w:p w14:paraId="7D14EA4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85.38</w:t>
            </w:r>
          </w:p>
        </w:tc>
        <w:tc>
          <w:tcPr>
            <w:tcW w:w="383" w:type="pct"/>
            <w:tcBorders>
              <w:top w:val="nil"/>
              <w:left w:val="nil"/>
              <w:bottom w:val="single" w:sz="4" w:space="0" w:color="auto"/>
              <w:right w:val="single" w:sz="4" w:space="0" w:color="auto"/>
            </w:tcBorders>
            <w:vAlign w:val="bottom"/>
            <w:hideMark/>
          </w:tcPr>
          <w:p w14:paraId="266C3814"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7.87</w:t>
            </w:r>
          </w:p>
        </w:tc>
        <w:tc>
          <w:tcPr>
            <w:tcW w:w="383" w:type="pct"/>
            <w:tcBorders>
              <w:top w:val="nil"/>
              <w:left w:val="nil"/>
              <w:bottom w:val="single" w:sz="4" w:space="0" w:color="auto"/>
              <w:right w:val="single" w:sz="4" w:space="0" w:color="auto"/>
            </w:tcBorders>
            <w:vAlign w:val="bottom"/>
            <w:hideMark/>
          </w:tcPr>
          <w:p w14:paraId="20B01708"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8.24</w:t>
            </w:r>
          </w:p>
        </w:tc>
        <w:tc>
          <w:tcPr>
            <w:tcW w:w="470" w:type="pct"/>
            <w:tcBorders>
              <w:top w:val="nil"/>
              <w:left w:val="nil"/>
              <w:bottom w:val="single" w:sz="4" w:space="0" w:color="auto"/>
              <w:right w:val="single" w:sz="4" w:space="0" w:color="auto"/>
            </w:tcBorders>
            <w:vAlign w:val="bottom"/>
            <w:hideMark/>
          </w:tcPr>
          <w:p w14:paraId="1E70577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91.06</w:t>
            </w:r>
          </w:p>
        </w:tc>
        <w:tc>
          <w:tcPr>
            <w:tcW w:w="558" w:type="pct"/>
            <w:tcBorders>
              <w:top w:val="nil"/>
              <w:left w:val="nil"/>
              <w:bottom w:val="single" w:sz="4" w:space="0" w:color="auto"/>
              <w:right w:val="single" w:sz="4" w:space="0" w:color="auto"/>
            </w:tcBorders>
            <w:vAlign w:val="bottom"/>
            <w:hideMark/>
          </w:tcPr>
          <w:p w14:paraId="56D9181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17.05</w:t>
            </w:r>
          </w:p>
        </w:tc>
        <w:tc>
          <w:tcPr>
            <w:tcW w:w="558" w:type="pct"/>
            <w:tcBorders>
              <w:top w:val="nil"/>
              <w:left w:val="nil"/>
              <w:bottom w:val="single" w:sz="4" w:space="0" w:color="auto"/>
              <w:right w:val="single" w:sz="4" w:space="0" w:color="auto"/>
            </w:tcBorders>
            <w:hideMark/>
          </w:tcPr>
          <w:p w14:paraId="617F4290"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15.46</w:t>
            </w:r>
          </w:p>
        </w:tc>
      </w:tr>
      <w:tr w:rsidR="002C0FFA" w:rsidRPr="006F11E0" w14:paraId="444F41DA"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54E04B8F"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Panicle Length (cm)</w:t>
            </w:r>
          </w:p>
        </w:tc>
        <w:tc>
          <w:tcPr>
            <w:tcW w:w="442" w:type="pct"/>
            <w:tcBorders>
              <w:top w:val="nil"/>
              <w:left w:val="nil"/>
              <w:bottom w:val="single" w:sz="4" w:space="0" w:color="auto"/>
              <w:right w:val="single" w:sz="4" w:space="0" w:color="auto"/>
            </w:tcBorders>
            <w:vAlign w:val="center"/>
            <w:hideMark/>
          </w:tcPr>
          <w:p w14:paraId="3BBF8E2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25.13</w:t>
            </w:r>
          </w:p>
        </w:tc>
        <w:tc>
          <w:tcPr>
            <w:tcW w:w="442" w:type="pct"/>
            <w:tcBorders>
              <w:top w:val="nil"/>
              <w:left w:val="nil"/>
              <w:bottom w:val="single" w:sz="4" w:space="0" w:color="auto"/>
              <w:right w:val="single" w:sz="4" w:space="0" w:color="auto"/>
            </w:tcBorders>
            <w:noWrap/>
            <w:vAlign w:val="bottom"/>
            <w:hideMark/>
          </w:tcPr>
          <w:p w14:paraId="3EBC786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30.12</w:t>
            </w:r>
          </w:p>
        </w:tc>
        <w:tc>
          <w:tcPr>
            <w:tcW w:w="383" w:type="pct"/>
            <w:tcBorders>
              <w:top w:val="nil"/>
              <w:left w:val="nil"/>
              <w:bottom w:val="single" w:sz="4" w:space="0" w:color="auto"/>
              <w:right w:val="single" w:sz="4" w:space="0" w:color="auto"/>
            </w:tcBorders>
            <w:noWrap/>
            <w:vAlign w:val="bottom"/>
            <w:hideMark/>
          </w:tcPr>
          <w:p w14:paraId="5F630CC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20.15</w:t>
            </w:r>
          </w:p>
        </w:tc>
        <w:tc>
          <w:tcPr>
            <w:tcW w:w="383" w:type="pct"/>
            <w:tcBorders>
              <w:top w:val="nil"/>
              <w:left w:val="nil"/>
              <w:bottom w:val="single" w:sz="4" w:space="0" w:color="auto"/>
              <w:right w:val="single" w:sz="4" w:space="0" w:color="auto"/>
            </w:tcBorders>
            <w:vAlign w:val="bottom"/>
            <w:hideMark/>
          </w:tcPr>
          <w:p w14:paraId="75ED616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10.44</w:t>
            </w:r>
          </w:p>
        </w:tc>
        <w:tc>
          <w:tcPr>
            <w:tcW w:w="383" w:type="pct"/>
            <w:tcBorders>
              <w:top w:val="nil"/>
              <w:left w:val="nil"/>
              <w:bottom w:val="single" w:sz="4" w:space="0" w:color="auto"/>
              <w:right w:val="single" w:sz="4" w:space="0" w:color="auto"/>
            </w:tcBorders>
            <w:vAlign w:val="bottom"/>
            <w:hideMark/>
          </w:tcPr>
          <w:p w14:paraId="2EBF11C6"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10.75</w:t>
            </w:r>
          </w:p>
        </w:tc>
        <w:tc>
          <w:tcPr>
            <w:tcW w:w="470" w:type="pct"/>
            <w:tcBorders>
              <w:top w:val="nil"/>
              <w:left w:val="nil"/>
              <w:bottom w:val="single" w:sz="4" w:space="0" w:color="auto"/>
              <w:right w:val="single" w:sz="4" w:space="0" w:color="auto"/>
            </w:tcBorders>
            <w:vAlign w:val="bottom"/>
            <w:hideMark/>
          </w:tcPr>
          <w:p w14:paraId="7319B2E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94.25</w:t>
            </w:r>
          </w:p>
        </w:tc>
        <w:tc>
          <w:tcPr>
            <w:tcW w:w="558" w:type="pct"/>
            <w:tcBorders>
              <w:top w:val="nil"/>
              <w:left w:val="nil"/>
              <w:bottom w:val="single" w:sz="4" w:space="0" w:color="auto"/>
              <w:right w:val="single" w:sz="4" w:space="0" w:color="auto"/>
            </w:tcBorders>
            <w:vAlign w:val="bottom"/>
            <w:hideMark/>
          </w:tcPr>
          <w:p w14:paraId="3BF1C0F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5.25</w:t>
            </w:r>
          </w:p>
        </w:tc>
        <w:tc>
          <w:tcPr>
            <w:tcW w:w="558" w:type="pct"/>
            <w:tcBorders>
              <w:top w:val="nil"/>
              <w:left w:val="nil"/>
              <w:bottom w:val="single" w:sz="4" w:space="0" w:color="auto"/>
              <w:right w:val="single" w:sz="4" w:space="0" w:color="auto"/>
            </w:tcBorders>
            <w:hideMark/>
          </w:tcPr>
          <w:p w14:paraId="44852E55"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20.88</w:t>
            </w:r>
          </w:p>
        </w:tc>
      </w:tr>
      <w:tr w:rsidR="002C0FFA" w:rsidRPr="006F11E0" w14:paraId="0827007E"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2F9E3345"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No. of Tillers per Plant</w:t>
            </w:r>
          </w:p>
        </w:tc>
        <w:tc>
          <w:tcPr>
            <w:tcW w:w="442" w:type="pct"/>
            <w:tcBorders>
              <w:top w:val="nil"/>
              <w:left w:val="nil"/>
              <w:bottom w:val="single" w:sz="4" w:space="0" w:color="auto"/>
              <w:right w:val="single" w:sz="4" w:space="0" w:color="auto"/>
            </w:tcBorders>
            <w:vAlign w:val="center"/>
            <w:hideMark/>
          </w:tcPr>
          <w:p w14:paraId="6321A73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12.29</w:t>
            </w:r>
          </w:p>
        </w:tc>
        <w:tc>
          <w:tcPr>
            <w:tcW w:w="442" w:type="pct"/>
            <w:tcBorders>
              <w:top w:val="nil"/>
              <w:left w:val="nil"/>
              <w:bottom w:val="single" w:sz="4" w:space="0" w:color="auto"/>
              <w:right w:val="single" w:sz="4" w:space="0" w:color="auto"/>
            </w:tcBorders>
            <w:noWrap/>
            <w:vAlign w:val="bottom"/>
            <w:hideMark/>
          </w:tcPr>
          <w:p w14:paraId="1D180DC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15.21</w:t>
            </w:r>
          </w:p>
        </w:tc>
        <w:tc>
          <w:tcPr>
            <w:tcW w:w="383" w:type="pct"/>
            <w:tcBorders>
              <w:top w:val="nil"/>
              <w:left w:val="nil"/>
              <w:bottom w:val="single" w:sz="4" w:space="0" w:color="auto"/>
              <w:right w:val="single" w:sz="4" w:space="0" w:color="auto"/>
            </w:tcBorders>
            <w:noWrap/>
            <w:vAlign w:val="bottom"/>
            <w:hideMark/>
          </w:tcPr>
          <w:p w14:paraId="3ED5FC6A"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9.85</w:t>
            </w:r>
          </w:p>
        </w:tc>
        <w:tc>
          <w:tcPr>
            <w:tcW w:w="383" w:type="pct"/>
            <w:tcBorders>
              <w:top w:val="nil"/>
              <w:left w:val="nil"/>
              <w:bottom w:val="single" w:sz="4" w:space="0" w:color="auto"/>
              <w:right w:val="single" w:sz="4" w:space="0" w:color="auto"/>
            </w:tcBorders>
            <w:vAlign w:val="bottom"/>
            <w:hideMark/>
          </w:tcPr>
          <w:p w14:paraId="324135E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10.02</w:t>
            </w:r>
          </w:p>
        </w:tc>
        <w:tc>
          <w:tcPr>
            <w:tcW w:w="383" w:type="pct"/>
            <w:tcBorders>
              <w:top w:val="nil"/>
              <w:left w:val="nil"/>
              <w:bottom w:val="single" w:sz="4" w:space="0" w:color="auto"/>
              <w:right w:val="single" w:sz="4" w:space="0" w:color="auto"/>
            </w:tcBorders>
            <w:vAlign w:val="bottom"/>
            <w:hideMark/>
          </w:tcPr>
          <w:p w14:paraId="0ABE2FD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10.38</w:t>
            </w:r>
          </w:p>
        </w:tc>
        <w:tc>
          <w:tcPr>
            <w:tcW w:w="470" w:type="pct"/>
            <w:tcBorders>
              <w:top w:val="nil"/>
              <w:left w:val="nil"/>
              <w:bottom w:val="single" w:sz="4" w:space="0" w:color="auto"/>
              <w:right w:val="single" w:sz="4" w:space="0" w:color="auto"/>
            </w:tcBorders>
            <w:vAlign w:val="bottom"/>
            <w:hideMark/>
          </w:tcPr>
          <w:p w14:paraId="3D3D4EA6"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93.21</w:t>
            </w:r>
          </w:p>
        </w:tc>
        <w:tc>
          <w:tcPr>
            <w:tcW w:w="558" w:type="pct"/>
            <w:tcBorders>
              <w:top w:val="nil"/>
              <w:left w:val="nil"/>
              <w:bottom w:val="single" w:sz="4" w:space="0" w:color="auto"/>
              <w:right w:val="single" w:sz="4" w:space="0" w:color="auto"/>
            </w:tcBorders>
            <w:vAlign w:val="bottom"/>
            <w:hideMark/>
          </w:tcPr>
          <w:p w14:paraId="73FF1B7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2.45</w:t>
            </w:r>
          </w:p>
        </w:tc>
        <w:tc>
          <w:tcPr>
            <w:tcW w:w="558" w:type="pct"/>
            <w:tcBorders>
              <w:top w:val="nil"/>
              <w:left w:val="nil"/>
              <w:bottom w:val="single" w:sz="4" w:space="0" w:color="auto"/>
              <w:right w:val="single" w:sz="4" w:space="0" w:color="auto"/>
            </w:tcBorders>
            <w:hideMark/>
          </w:tcPr>
          <w:p w14:paraId="1CCD399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19.93</w:t>
            </w:r>
          </w:p>
        </w:tc>
      </w:tr>
      <w:tr w:rsidR="002C0FFA" w:rsidRPr="006F11E0" w14:paraId="7E4EC6F9"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5B4AA2CF"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1000 Grain Weight (g)</w:t>
            </w:r>
          </w:p>
        </w:tc>
        <w:tc>
          <w:tcPr>
            <w:tcW w:w="442" w:type="pct"/>
            <w:tcBorders>
              <w:top w:val="nil"/>
              <w:left w:val="nil"/>
              <w:bottom w:val="single" w:sz="4" w:space="0" w:color="auto"/>
              <w:right w:val="single" w:sz="4" w:space="0" w:color="auto"/>
            </w:tcBorders>
            <w:vAlign w:val="center"/>
            <w:hideMark/>
          </w:tcPr>
          <w:p w14:paraId="5954D28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23.21</w:t>
            </w:r>
          </w:p>
        </w:tc>
        <w:tc>
          <w:tcPr>
            <w:tcW w:w="442" w:type="pct"/>
            <w:tcBorders>
              <w:top w:val="nil"/>
              <w:left w:val="nil"/>
              <w:bottom w:val="single" w:sz="4" w:space="0" w:color="auto"/>
              <w:right w:val="single" w:sz="4" w:space="0" w:color="auto"/>
            </w:tcBorders>
            <w:noWrap/>
            <w:vAlign w:val="bottom"/>
            <w:hideMark/>
          </w:tcPr>
          <w:p w14:paraId="261CDA5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27.54</w:t>
            </w:r>
          </w:p>
        </w:tc>
        <w:tc>
          <w:tcPr>
            <w:tcW w:w="383" w:type="pct"/>
            <w:tcBorders>
              <w:top w:val="nil"/>
              <w:left w:val="nil"/>
              <w:bottom w:val="single" w:sz="4" w:space="0" w:color="auto"/>
              <w:right w:val="single" w:sz="4" w:space="0" w:color="auto"/>
            </w:tcBorders>
            <w:noWrap/>
            <w:vAlign w:val="bottom"/>
            <w:hideMark/>
          </w:tcPr>
          <w:p w14:paraId="3BF0DA8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19.65</w:t>
            </w:r>
          </w:p>
        </w:tc>
        <w:tc>
          <w:tcPr>
            <w:tcW w:w="383" w:type="pct"/>
            <w:tcBorders>
              <w:top w:val="nil"/>
              <w:left w:val="nil"/>
              <w:bottom w:val="single" w:sz="4" w:space="0" w:color="auto"/>
              <w:right w:val="single" w:sz="4" w:space="0" w:color="auto"/>
            </w:tcBorders>
            <w:vAlign w:val="bottom"/>
            <w:hideMark/>
          </w:tcPr>
          <w:p w14:paraId="21FD2DB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9.63</w:t>
            </w:r>
          </w:p>
        </w:tc>
        <w:tc>
          <w:tcPr>
            <w:tcW w:w="383" w:type="pct"/>
            <w:tcBorders>
              <w:top w:val="nil"/>
              <w:left w:val="nil"/>
              <w:bottom w:val="single" w:sz="4" w:space="0" w:color="auto"/>
              <w:right w:val="single" w:sz="4" w:space="0" w:color="auto"/>
            </w:tcBorders>
            <w:vAlign w:val="bottom"/>
            <w:hideMark/>
          </w:tcPr>
          <w:p w14:paraId="08D06F5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9.92</w:t>
            </w:r>
          </w:p>
        </w:tc>
        <w:tc>
          <w:tcPr>
            <w:tcW w:w="470" w:type="pct"/>
            <w:tcBorders>
              <w:top w:val="nil"/>
              <w:left w:val="nil"/>
              <w:bottom w:val="single" w:sz="4" w:space="0" w:color="auto"/>
              <w:right w:val="single" w:sz="4" w:space="0" w:color="auto"/>
            </w:tcBorders>
            <w:vAlign w:val="bottom"/>
            <w:hideMark/>
          </w:tcPr>
          <w:p w14:paraId="3F4B7774"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94.19</w:t>
            </w:r>
          </w:p>
        </w:tc>
        <w:tc>
          <w:tcPr>
            <w:tcW w:w="558" w:type="pct"/>
            <w:tcBorders>
              <w:top w:val="nil"/>
              <w:left w:val="nil"/>
              <w:bottom w:val="single" w:sz="4" w:space="0" w:color="auto"/>
              <w:right w:val="single" w:sz="4" w:space="0" w:color="auto"/>
            </w:tcBorders>
            <w:vAlign w:val="bottom"/>
            <w:hideMark/>
          </w:tcPr>
          <w:p w14:paraId="4D326EB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4.47</w:t>
            </w:r>
          </w:p>
        </w:tc>
        <w:tc>
          <w:tcPr>
            <w:tcW w:w="558" w:type="pct"/>
            <w:tcBorders>
              <w:top w:val="nil"/>
              <w:left w:val="nil"/>
              <w:bottom w:val="single" w:sz="4" w:space="0" w:color="auto"/>
              <w:right w:val="single" w:sz="4" w:space="0" w:color="auto"/>
            </w:tcBorders>
            <w:hideMark/>
          </w:tcPr>
          <w:p w14:paraId="22CF1B15"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19.25</w:t>
            </w:r>
          </w:p>
        </w:tc>
      </w:tr>
      <w:tr w:rsidR="002C0FFA" w:rsidRPr="006F11E0" w14:paraId="0591F6F3"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2F343033"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Grain Length (mm)</w:t>
            </w:r>
          </w:p>
        </w:tc>
        <w:tc>
          <w:tcPr>
            <w:tcW w:w="442" w:type="pct"/>
            <w:tcBorders>
              <w:top w:val="nil"/>
              <w:left w:val="nil"/>
              <w:bottom w:val="single" w:sz="4" w:space="0" w:color="auto"/>
              <w:right w:val="single" w:sz="4" w:space="0" w:color="auto"/>
            </w:tcBorders>
            <w:vAlign w:val="center"/>
            <w:hideMark/>
          </w:tcPr>
          <w:p w14:paraId="0029E42E"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6.58</w:t>
            </w:r>
          </w:p>
        </w:tc>
        <w:tc>
          <w:tcPr>
            <w:tcW w:w="442" w:type="pct"/>
            <w:tcBorders>
              <w:top w:val="nil"/>
              <w:left w:val="nil"/>
              <w:bottom w:val="single" w:sz="4" w:space="0" w:color="auto"/>
              <w:right w:val="single" w:sz="4" w:space="0" w:color="auto"/>
            </w:tcBorders>
            <w:noWrap/>
            <w:vAlign w:val="bottom"/>
            <w:hideMark/>
          </w:tcPr>
          <w:p w14:paraId="62236F6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7.01</w:t>
            </w:r>
          </w:p>
        </w:tc>
        <w:tc>
          <w:tcPr>
            <w:tcW w:w="383" w:type="pct"/>
            <w:tcBorders>
              <w:top w:val="nil"/>
              <w:left w:val="nil"/>
              <w:bottom w:val="single" w:sz="4" w:space="0" w:color="auto"/>
              <w:right w:val="single" w:sz="4" w:space="0" w:color="auto"/>
            </w:tcBorders>
            <w:noWrap/>
            <w:vAlign w:val="bottom"/>
            <w:hideMark/>
          </w:tcPr>
          <w:p w14:paraId="0475D98E"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6.12</w:t>
            </w:r>
          </w:p>
        </w:tc>
        <w:tc>
          <w:tcPr>
            <w:tcW w:w="383" w:type="pct"/>
            <w:tcBorders>
              <w:top w:val="nil"/>
              <w:left w:val="nil"/>
              <w:bottom w:val="single" w:sz="4" w:space="0" w:color="auto"/>
              <w:right w:val="single" w:sz="4" w:space="0" w:color="auto"/>
            </w:tcBorders>
            <w:vAlign w:val="bottom"/>
            <w:hideMark/>
          </w:tcPr>
          <w:p w14:paraId="3827C63F"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4.25</w:t>
            </w:r>
          </w:p>
        </w:tc>
        <w:tc>
          <w:tcPr>
            <w:tcW w:w="383" w:type="pct"/>
            <w:tcBorders>
              <w:top w:val="nil"/>
              <w:left w:val="nil"/>
              <w:bottom w:val="single" w:sz="4" w:space="0" w:color="auto"/>
              <w:right w:val="single" w:sz="4" w:space="0" w:color="auto"/>
            </w:tcBorders>
            <w:vAlign w:val="bottom"/>
            <w:hideMark/>
          </w:tcPr>
          <w:p w14:paraId="68ED386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5.03</w:t>
            </w:r>
          </w:p>
        </w:tc>
        <w:tc>
          <w:tcPr>
            <w:tcW w:w="470" w:type="pct"/>
            <w:tcBorders>
              <w:top w:val="nil"/>
              <w:left w:val="nil"/>
              <w:bottom w:val="single" w:sz="4" w:space="0" w:color="auto"/>
              <w:right w:val="single" w:sz="4" w:space="0" w:color="auto"/>
            </w:tcBorders>
            <w:vAlign w:val="bottom"/>
            <w:hideMark/>
          </w:tcPr>
          <w:p w14:paraId="6F9A89C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68.96</w:t>
            </w:r>
          </w:p>
        </w:tc>
        <w:tc>
          <w:tcPr>
            <w:tcW w:w="558" w:type="pct"/>
            <w:tcBorders>
              <w:top w:val="nil"/>
              <w:left w:val="nil"/>
              <w:bottom w:val="single" w:sz="4" w:space="0" w:color="auto"/>
              <w:right w:val="single" w:sz="4" w:space="0" w:color="auto"/>
            </w:tcBorders>
            <w:vAlign w:val="bottom"/>
            <w:hideMark/>
          </w:tcPr>
          <w:p w14:paraId="16A3C15A"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0.48</w:t>
            </w:r>
          </w:p>
        </w:tc>
        <w:tc>
          <w:tcPr>
            <w:tcW w:w="558" w:type="pct"/>
            <w:tcBorders>
              <w:top w:val="nil"/>
              <w:left w:val="nil"/>
              <w:bottom w:val="single" w:sz="4" w:space="0" w:color="auto"/>
              <w:right w:val="single" w:sz="4" w:space="0" w:color="auto"/>
            </w:tcBorders>
            <w:hideMark/>
          </w:tcPr>
          <w:p w14:paraId="233D6680"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7.26</w:t>
            </w:r>
          </w:p>
        </w:tc>
      </w:tr>
      <w:tr w:rsidR="002C0FFA" w:rsidRPr="006F11E0" w14:paraId="17751C1B"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4BBB6F77"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Grain Breadth (mm)</w:t>
            </w:r>
          </w:p>
        </w:tc>
        <w:tc>
          <w:tcPr>
            <w:tcW w:w="442" w:type="pct"/>
            <w:tcBorders>
              <w:top w:val="nil"/>
              <w:left w:val="nil"/>
              <w:bottom w:val="single" w:sz="4" w:space="0" w:color="auto"/>
              <w:right w:val="single" w:sz="4" w:space="0" w:color="auto"/>
            </w:tcBorders>
            <w:vAlign w:val="center"/>
            <w:hideMark/>
          </w:tcPr>
          <w:p w14:paraId="70B001FE"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2.18</w:t>
            </w:r>
          </w:p>
        </w:tc>
        <w:tc>
          <w:tcPr>
            <w:tcW w:w="442" w:type="pct"/>
            <w:tcBorders>
              <w:top w:val="nil"/>
              <w:left w:val="nil"/>
              <w:bottom w:val="single" w:sz="4" w:space="0" w:color="auto"/>
              <w:right w:val="single" w:sz="4" w:space="0" w:color="auto"/>
            </w:tcBorders>
            <w:noWrap/>
            <w:vAlign w:val="bottom"/>
            <w:hideMark/>
          </w:tcPr>
          <w:p w14:paraId="2B495E5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2.54</w:t>
            </w:r>
          </w:p>
        </w:tc>
        <w:tc>
          <w:tcPr>
            <w:tcW w:w="383" w:type="pct"/>
            <w:tcBorders>
              <w:top w:val="nil"/>
              <w:left w:val="nil"/>
              <w:bottom w:val="single" w:sz="4" w:space="0" w:color="auto"/>
              <w:right w:val="single" w:sz="4" w:space="0" w:color="auto"/>
            </w:tcBorders>
            <w:noWrap/>
            <w:vAlign w:val="bottom"/>
            <w:hideMark/>
          </w:tcPr>
          <w:p w14:paraId="38B50D31"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2.09</w:t>
            </w:r>
          </w:p>
        </w:tc>
        <w:tc>
          <w:tcPr>
            <w:tcW w:w="383" w:type="pct"/>
            <w:tcBorders>
              <w:top w:val="nil"/>
              <w:left w:val="nil"/>
              <w:bottom w:val="single" w:sz="4" w:space="0" w:color="auto"/>
              <w:right w:val="single" w:sz="4" w:space="0" w:color="auto"/>
            </w:tcBorders>
            <w:vAlign w:val="bottom"/>
            <w:hideMark/>
          </w:tcPr>
          <w:p w14:paraId="14C7E59F"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4.14</w:t>
            </w:r>
          </w:p>
        </w:tc>
        <w:tc>
          <w:tcPr>
            <w:tcW w:w="383" w:type="pct"/>
            <w:tcBorders>
              <w:top w:val="nil"/>
              <w:left w:val="nil"/>
              <w:bottom w:val="single" w:sz="4" w:space="0" w:color="auto"/>
              <w:right w:val="single" w:sz="4" w:space="0" w:color="auto"/>
            </w:tcBorders>
            <w:vAlign w:val="bottom"/>
            <w:hideMark/>
          </w:tcPr>
          <w:p w14:paraId="53C0CFE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4.75</w:t>
            </w:r>
          </w:p>
        </w:tc>
        <w:tc>
          <w:tcPr>
            <w:tcW w:w="470" w:type="pct"/>
            <w:tcBorders>
              <w:top w:val="nil"/>
              <w:left w:val="nil"/>
              <w:bottom w:val="single" w:sz="4" w:space="0" w:color="auto"/>
              <w:right w:val="single" w:sz="4" w:space="0" w:color="auto"/>
            </w:tcBorders>
            <w:vAlign w:val="bottom"/>
            <w:hideMark/>
          </w:tcPr>
          <w:p w14:paraId="26F524F8"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67.68</w:t>
            </w:r>
          </w:p>
        </w:tc>
        <w:tc>
          <w:tcPr>
            <w:tcW w:w="558" w:type="pct"/>
            <w:tcBorders>
              <w:top w:val="nil"/>
              <w:left w:val="nil"/>
              <w:bottom w:val="single" w:sz="4" w:space="0" w:color="auto"/>
              <w:right w:val="single" w:sz="4" w:space="0" w:color="auto"/>
            </w:tcBorders>
            <w:vAlign w:val="bottom"/>
            <w:hideMark/>
          </w:tcPr>
          <w:p w14:paraId="2597F33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0.15</w:t>
            </w:r>
          </w:p>
        </w:tc>
        <w:tc>
          <w:tcPr>
            <w:tcW w:w="558" w:type="pct"/>
            <w:tcBorders>
              <w:top w:val="nil"/>
              <w:left w:val="nil"/>
              <w:bottom w:val="single" w:sz="4" w:space="0" w:color="auto"/>
              <w:right w:val="single" w:sz="4" w:space="0" w:color="auto"/>
            </w:tcBorders>
            <w:hideMark/>
          </w:tcPr>
          <w:p w14:paraId="515A7CD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7.01</w:t>
            </w:r>
          </w:p>
        </w:tc>
      </w:tr>
      <w:tr w:rsidR="002C0FFA" w:rsidRPr="006F11E0" w14:paraId="7B9E0D58"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02C3E7EB"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Hulling (%)</w:t>
            </w:r>
          </w:p>
        </w:tc>
        <w:tc>
          <w:tcPr>
            <w:tcW w:w="442" w:type="pct"/>
            <w:tcBorders>
              <w:top w:val="nil"/>
              <w:left w:val="nil"/>
              <w:bottom w:val="single" w:sz="4" w:space="0" w:color="auto"/>
              <w:right w:val="single" w:sz="4" w:space="0" w:color="auto"/>
            </w:tcBorders>
            <w:vAlign w:val="center"/>
            <w:hideMark/>
          </w:tcPr>
          <w:p w14:paraId="30A4C70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75.95</w:t>
            </w:r>
          </w:p>
        </w:tc>
        <w:tc>
          <w:tcPr>
            <w:tcW w:w="442" w:type="pct"/>
            <w:tcBorders>
              <w:top w:val="nil"/>
              <w:left w:val="nil"/>
              <w:bottom w:val="single" w:sz="4" w:space="0" w:color="auto"/>
              <w:right w:val="single" w:sz="4" w:space="0" w:color="auto"/>
            </w:tcBorders>
            <w:noWrap/>
            <w:vAlign w:val="bottom"/>
            <w:hideMark/>
          </w:tcPr>
          <w:p w14:paraId="3C73911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81.13</w:t>
            </w:r>
          </w:p>
        </w:tc>
        <w:tc>
          <w:tcPr>
            <w:tcW w:w="383" w:type="pct"/>
            <w:tcBorders>
              <w:top w:val="nil"/>
              <w:left w:val="nil"/>
              <w:bottom w:val="single" w:sz="4" w:space="0" w:color="auto"/>
              <w:right w:val="single" w:sz="4" w:space="0" w:color="auto"/>
            </w:tcBorders>
            <w:noWrap/>
            <w:vAlign w:val="bottom"/>
            <w:hideMark/>
          </w:tcPr>
          <w:p w14:paraId="3892D9E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70.12</w:t>
            </w:r>
          </w:p>
        </w:tc>
        <w:tc>
          <w:tcPr>
            <w:tcW w:w="383" w:type="pct"/>
            <w:tcBorders>
              <w:top w:val="nil"/>
              <w:left w:val="nil"/>
              <w:bottom w:val="single" w:sz="4" w:space="0" w:color="auto"/>
              <w:right w:val="single" w:sz="4" w:space="0" w:color="auto"/>
            </w:tcBorders>
            <w:vAlign w:val="bottom"/>
            <w:hideMark/>
          </w:tcPr>
          <w:p w14:paraId="74BE60F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4.38</w:t>
            </w:r>
          </w:p>
        </w:tc>
        <w:tc>
          <w:tcPr>
            <w:tcW w:w="383" w:type="pct"/>
            <w:tcBorders>
              <w:top w:val="nil"/>
              <w:left w:val="nil"/>
              <w:bottom w:val="single" w:sz="4" w:space="0" w:color="auto"/>
              <w:right w:val="single" w:sz="4" w:space="0" w:color="auto"/>
            </w:tcBorders>
            <w:vAlign w:val="bottom"/>
            <w:hideMark/>
          </w:tcPr>
          <w:p w14:paraId="469B9D3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7.23</w:t>
            </w:r>
          </w:p>
        </w:tc>
        <w:tc>
          <w:tcPr>
            <w:tcW w:w="470" w:type="pct"/>
            <w:tcBorders>
              <w:top w:val="nil"/>
              <w:left w:val="nil"/>
              <w:bottom w:val="single" w:sz="4" w:space="0" w:color="auto"/>
              <w:right w:val="single" w:sz="4" w:space="0" w:color="auto"/>
            </w:tcBorders>
            <w:vAlign w:val="bottom"/>
            <w:hideMark/>
          </w:tcPr>
          <w:p w14:paraId="5AEBB9A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84.88</w:t>
            </w:r>
          </w:p>
        </w:tc>
        <w:tc>
          <w:tcPr>
            <w:tcW w:w="558" w:type="pct"/>
            <w:tcBorders>
              <w:top w:val="nil"/>
              <w:left w:val="nil"/>
              <w:bottom w:val="single" w:sz="4" w:space="0" w:color="auto"/>
              <w:right w:val="single" w:sz="4" w:space="0" w:color="auto"/>
            </w:tcBorders>
            <w:vAlign w:val="bottom"/>
            <w:hideMark/>
          </w:tcPr>
          <w:p w14:paraId="203EE22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6.31</w:t>
            </w:r>
          </w:p>
        </w:tc>
        <w:tc>
          <w:tcPr>
            <w:tcW w:w="558" w:type="pct"/>
            <w:tcBorders>
              <w:top w:val="nil"/>
              <w:left w:val="nil"/>
              <w:bottom w:val="single" w:sz="4" w:space="0" w:color="auto"/>
              <w:right w:val="single" w:sz="4" w:space="0" w:color="auto"/>
            </w:tcBorders>
            <w:hideMark/>
          </w:tcPr>
          <w:p w14:paraId="27762CB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8.31</w:t>
            </w:r>
          </w:p>
        </w:tc>
      </w:tr>
      <w:tr w:rsidR="002C0FFA" w:rsidRPr="006F11E0" w14:paraId="72BB3F6B"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7972D0E4"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Milling (%)</w:t>
            </w:r>
          </w:p>
        </w:tc>
        <w:tc>
          <w:tcPr>
            <w:tcW w:w="442" w:type="pct"/>
            <w:tcBorders>
              <w:top w:val="nil"/>
              <w:left w:val="nil"/>
              <w:bottom w:val="single" w:sz="4" w:space="0" w:color="auto"/>
              <w:right w:val="single" w:sz="4" w:space="0" w:color="auto"/>
            </w:tcBorders>
            <w:vAlign w:val="center"/>
            <w:hideMark/>
          </w:tcPr>
          <w:p w14:paraId="44C4B8A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70.45</w:t>
            </w:r>
          </w:p>
        </w:tc>
        <w:tc>
          <w:tcPr>
            <w:tcW w:w="442" w:type="pct"/>
            <w:tcBorders>
              <w:top w:val="nil"/>
              <w:left w:val="nil"/>
              <w:bottom w:val="single" w:sz="4" w:space="0" w:color="auto"/>
              <w:right w:val="single" w:sz="4" w:space="0" w:color="auto"/>
            </w:tcBorders>
            <w:noWrap/>
            <w:vAlign w:val="bottom"/>
            <w:hideMark/>
          </w:tcPr>
          <w:p w14:paraId="49EBF7C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78.48</w:t>
            </w:r>
          </w:p>
        </w:tc>
        <w:tc>
          <w:tcPr>
            <w:tcW w:w="383" w:type="pct"/>
            <w:tcBorders>
              <w:top w:val="nil"/>
              <w:left w:val="nil"/>
              <w:bottom w:val="single" w:sz="4" w:space="0" w:color="auto"/>
              <w:right w:val="single" w:sz="4" w:space="0" w:color="auto"/>
            </w:tcBorders>
            <w:noWrap/>
            <w:vAlign w:val="bottom"/>
            <w:hideMark/>
          </w:tcPr>
          <w:p w14:paraId="7C8DF185"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64.12</w:t>
            </w:r>
          </w:p>
        </w:tc>
        <w:tc>
          <w:tcPr>
            <w:tcW w:w="383" w:type="pct"/>
            <w:tcBorders>
              <w:top w:val="nil"/>
              <w:left w:val="nil"/>
              <w:bottom w:val="single" w:sz="4" w:space="0" w:color="auto"/>
              <w:right w:val="single" w:sz="4" w:space="0" w:color="auto"/>
            </w:tcBorders>
            <w:vAlign w:val="bottom"/>
            <w:hideMark/>
          </w:tcPr>
          <w:p w14:paraId="6C778628"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6.76</w:t>
            </w:r>
          </w:p>
        </w:tc>
        <w:tc>
          <w:tcPr>
            <w:tcW w:w="383" w:type="pct"/>
            <w:tcBorders>
              <w:top w:val="nil"/>
              <w:left w:val="nil"/>
              <w:bottom w:val="single" w:sz="4" w:space="0" w:color="auto"/>
              <w:right w:val="single" w:sz="4" w:space="0" w:color="auto"/>
            </w:tcBorders>
            <w:vAlign w:val="bottom"/>
            <w:hideMark/>
          </w:tcPr>
          <w:p w14:paraId="40629CB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5.86</w:t>
            </w:r>
          </w:p>
        </w:tc>
        <w:tc>
          <w:tcPr>
            <w:tcW w:w="470" w:type="pct"/>
            <w:tcBorders>
              <w:top w:val="nil"/>
              <w:left w:val="nil"/>
              <w:bottom w:val="single" w:sz="4" w:space="0" w:color="auto"/>
              <w:right w:val="single" w:sz="4" w:space="0" w:color="auto"/>
            </w:tcBorders>
            <w:vAlign w:val="bottom"/>
            <w:hideMark/>
          </w:tcPr>
          <w:p w14:paraId="222255B9"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87.51</w:t>
            </w:r>
          </w:p>
        </w:tc>
        <w:tc>
          <w:tcPr>
            <w:tcW w:w="558" w:type="pct"/>
            <w:tcBorders>
              <w:top w:val="nil"/>
              <w:left w:val="nil"/>
              <w:bottom w:val="single" w:sz="4" w:space="0" w:color="auto"/>
              <w:right w:val="single" w:sz="4" w:space="0" w:color="auto"/>
            </w:tcBorders>
            <w:vAlign w:val="bottom"/>
            <w:hideMark/>
          </w:tcPr>
          <w:p w14:paraId="1A3F53C1"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9.18</w:t>
            </w:r>
          </w:p>
        </w:tc>
        <w:tc>
          <w:tcPr>
            <w:tcW w:w="558" w:type="pct"/>
            <w:tcBorders>
              <w:top w:val="nil"/>
              <w:left w:val="nil"/>
              <w:bottom w:val="single" w:sz="4" w:space="0" w:color="auto"/>
              <w:right w:val="single" w:sz="4" w:space="0" w:color="auto"/>
            </w:tcBorders>
            <w:hideMark/>
          </w:tcPr>
          <w:p w14:paraId="0A7CD9C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13.03</w:t>
            </w:r>
          </w:p>
        </w:tc>
      </w:tr>
      <w:tr w:rsidR="002C0FFA" w:rsidRPr="006F11E0" w14:paraId="2EC38332"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47CD872"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Kernel length (mm)</w:t>
            </w:r>
          </w:p>
        </w:tc>
        <w:tc>
          <w:tcPr>
            <w:tcW w:w="442" w:type="pct"/>
            <w:tcBorders>
              <w:top w:val="nil"/>
              <w:left w:val="nil"/>
              <w:bottom w:val="single" w:sz="4" w:space="0" w:color="auto"/>
              <w:right w:val="single" w:sz="4" w:space="0" w:color="auto"/>
            </w:tcBorders>
            <w:vAlign w:val="center"/>
            <w:hideMark/>
          </w:tcPr>
          <w:p w14:paraId="14884889"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6.48</w:t>
            </w:r>
          </w:p>
        </w:tc>
        <w:tc>
          <w:tcPr>
            <w:tcW w:w="442" w:type="pct"/>
            <w:tcBorders>
              <w:top w:val="nil"/>
              <w:left w:val="nil"/>
              <w:bottom w:val="single" w:sz="4" w:space="0" w:color="auto"/>
              <w:right w:val="single" w:sz="4" w:space="0" w:color="auto"/>
            </w:tcBorders>
            <w:noWrap/>
            <w:vAlign w:val="bottom"/>
            <w:hideMark/>
          </w:tcPr>
          <w:p w14:paraId="4B536F4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7.00</w:t>
            </w:r>
          </w:p>
        </w:tc>
        <w:tc>
          <w:tcPr>
            <w:tcW w:w="383" w:type="pct"/>
            <w:tcBorders>
              <w:top w:val="nil"/>
              <w:left w:val="nil"/>
              <w:bottom w:val="single" w:sz="4" w:space="0" w:color="auto"/>
              <w:right w:val="single" w:sz="4" w:space="0" w:color="auto"/>
            </w:tcBorders>
            <w:noWrap/>
            <w:vAlign w:val="bottom"/>
            <w:hideMark/>
          </w:tcPr>
          <w:p w14:paraId="5AE204B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6.12</w:t>
            </w:r>
          </w:p>
        </w:tc>
        <w:tc>
          <w:tcPr>
            <w:tcW w:w="383" w:type="pct"/>
            <w:tcBorders>
              <w:top w:val="nil"/>
              <w:left w:val="nil"/>
              <w:bottom w:val="single" w:sz="4" w:space="0" w:color="auto"/>
              <w:right w:val="single" w:sz="4" w:space="0" w:color="auto"/>
            </w:tcBorders>
            <w:vAlign w:val="bottom"/>
            <w:hideMark/>
          </w:tcPr>
          <w:p w14:paraId="2BDC94B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3.63</w:t>
            </w:r>
          </w:p>
        </w:tc>
        <w:tc>
          <w:tcPr>
            <w:tcW w:w="383" w:type="pct"/>
            <w:tcBorders>
              <w:top w:val="nil"/>
              <w:left w:val="nil"/>
              <w:bottom w:val="single" w:sz="4" w:space="0" w:color="auto"/>
              <w:right w:val="single" w:sz="4" w:space="0" w:color="auto"/>
            </w:tcBorders>
            <w:vAlign w:val="bottom"/>
            <w:hideMark/>
          </w:tcPr>
          <w:p w14:paraId="4842D47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4.42</w:t>
            </w:r>
          </w:p>
        </w:tc>
        <w:tc>
          <w:tcPr>
            <w:tcW w:w="470" w:type="pct"/>
            <w:tcBorders>
              <w:top w:val="nil"/>
              <w:left w:val="nil"/>
              <w:bottom w:val="single" w:sz="4" w:space="0" w:color="auto"/>
              <w:right w:val="single" w:sz="4" w:space="0" w:color="auto"/>
            </w:tcBorders>
            <w:vAlign w:val="bottom"/>
            <w:hideMark/>
          </w:tcPr>
          <w:p w14:paraId="46DE208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67.52</w:t>
            </w:r>
          </w:p>
        </w:tc>
        <w:tc>
          <w:tcPr>
            <w:tcW w:w="558" w:type="pct"/>
            <w:tcBorders>
              <w:top w:val="nil"/>
              <w:left w:val="nil"/>
              <w:bottom w:val="single" w:sz="4" w:space="0" w:color="auto"/>
              <w:right w:val="single" w:sz="4" w:space="0" w:color="auto"/>
            </w:tcBorders>
            <w:vAlign w:val="bottom"/>
            <w:hideMark/>
          </w:tcPr>
          <w:p w14:paraId="52932E4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0.40</w:t>
            </w:r>
          </w:p>
        </w:tc>
        <w:tc>
          <w:tcPr>
            <w:tcW w:w="558" w:type="pct"/>
            <w:tcBorders>
              <w:top w:val="nil"/>
              <w:left w:val="nil"/>
              <w:bottom w:val="single" w:sz="4" w:space="0" w:color="auto"/>
              <w:right w:val="single" w:sz="4" w:space="0" w:color="auto"/>
            </w:tcBorders>
            <w:hideMark/>
          </w:tcPr>
          <w:p w14:paraId="7362C24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6.15</w:t>
            </w:r>
          </w:p>
        </w:tc>
      </w:tr>
      <w:tr w:rsidR="002C0FFA" w:rsidRPr="006F11E0" w14:paraId="2438A907"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D8CDC93"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Kernel Breadth (mm)</w:t>
            </w:r>
          </w:p>
        </w:tc>
        <w:tc>
          <w:tcPr>
            <w:tcW w:w="442" w:type="pct"/>
            <w:tcBorders>
              <w:top w:val="nil"/>
              <w:left w:val="nil"/>
              <w:bottom w:val="single" w:sz="4" w:space="0" w:color="auto"/>
              <w:right w:val="single" w:sz="4" w:space="0" w:color="auto"/>
            </w:tcBorders>
            <w:vAlign w:val="center"/>
            <w:hideMark/>
          </w:tcPr>
          <w:p w14:paraId="3FF6AAD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2.07</w:t>
            </w:r>
          </w:p>
        </w:tc>
        <w:tc>
          <w:tcPr>
            <w:tcW w:w="442" w:type="pct"/>
            <w:tcBorders>
              <w:top w:val="nil"/>
              <w:left w:val="nil"/>
              <w:bottom w:val="single" w:sz="4" w:space="0" w:color="auto"/>
              <w:right w:val="single" w:sz="4" w:space="0" w:color="auto"/>
            </w:tcBorders>
            <w:noWrap/>
            <w:vAlign w:val="bottom"/>
            <w:hideMark/>
          </w:tcPr>
          <w:p w14:paraId="7505308E"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2.2</w:t>
            </w:r>
          </w:p>
        </w:tc>
        <w:tc>
          <w:tcPr>
            <w:tcW w:w="383" w:type="pct"/>
            <w:tcBorders>
              <w:top w:val="nil"/>
              <w:left w:val="nil"/>
              <w:bottom w:val="single" w:sz="4" w:space="0" w:color="auto"/>
              <w:right w:val="single" w:sz="4" w:space="0" w:color="auto"/>
            </w:tcBorders>
            <w:noWrap/>
            <w:vAlign w:val="bottom"/>
            <w:hideMark/>
          </w:tcPr>
          <w:p w14:paraId="63249CB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2.00</w:t>
            </w:r>
          </w:p>
        </w:tc>
        <w:tc>
          <w:tcPr>
            <w:tcW w:w="383" w:type="pct"/>
            <w:tcBorders>
              <w:top w:val="nil"/>
              <w:left w:val="nil"/>
              <w:bottom w:val="single" w:sz="4" w:space="0" w:color="auto"/>
              <w:right w:val="single" w:sz="4" w:space="0" w:color="auto"/>
            </w:tcBorders>
            <w:vAlign w:val="bottom"/>
            <w:hideMark/>
          </w:tcPr>
          <w:p w14:paraId="0E9DE0E5"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2.57</w:t>
            </w:r>
          </w:p>
        </w:tc>
        <w:tc>
          <w:tcPr>
            <w:tcW w:w="383" w:type="pct"/>
            <w:tcBorders>
              <w:top w:val="nil"/>
              <w:left w:val="nil"/>
              <w:bottom w:val="single" w:sz="4" w:space="0" w:color="auto"/>
              <w:right w:val="single" w:sz="4" w:space="0" w:color="auto"/>
            </w:tcBorders>
            <w:vAlign w:val="bottom"/>
            <w:hideMark/>
          </w:tcPr>
          <w:p w14:paraId="59C969B0"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3.68</w:t>
            </w:r>
          </w:p>
        </w:tc>
        <w:tc>
          <w:tcPr>
            <w:tcW w:w="470" w:type="pct"/>
            <w:tcBorders>
              <w:top w:val="nil"/>
              <w:left w:val="nil"/>
              <w:bottom w:val="single" w:sz="4" w:space="0" w:color="auto"/>
              <w:right w:val="single" w:sz="4" w:space="0" w:color="auto"/>
            </w:tcBorders>
            <w:vAlign w:val="bottom"/>
            <w:hideMark/>
          </w:tcPr>
          <w:p w14:paraId="1EE85D21"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48.76</w:t>
            </w:r>
          </w:p>
        </w:tc>
        <w:tc>
          <w:tcPr>
            <w:tcW w:w="558" w:type="pct"/>
            <w:tcBorders>
              <w:top w:val="nil"/>
              <w:left w:val="nil"/>
              <w:bottom w:val="single" w:sz="4" w:space="0" w:color="auto"/>
              <w:right w:val="single" w:sz="4" w:space="0" w:color="auto"/>
            </w:tcBorders>
            <w:vAlign w:val="bottom"/>
            <w:hideMark/>
          </w:tcPr>
          <w:p w14:paraId="53498CC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0.08</w:t>
            </w:r>
          </w:p>
        </w:tc>
        <w:tc>
          <w:tcPr>
            <w:tcW w:w="558" w:type="pct"/>
            <w:tcBorders>
              <w:top w:val="nil"/>
              <w:left w:val="nil"/>
              <w:bottom w:val="single" w:sz="4" w:space="0" w:color="auto"/>
              <w:right w:val="single" w:sz="4" w:space="0" w:color="auto"/>
            </w:tcBorders>
            <w:hideMark/>
          </w:tcPr>
          <w:p w14:paraId="47ABC88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3.70</w:t>
            </w:r>
          </w:p>
        </w:tc>
      </w:tr>
      <w:tr w:rsidR="002C0FFA" w:rsidRPr="006F11E0" w14:paraId="333C26E8"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vAlign w:val="bottom"/>
            <w:hideMark/>
          </w:tcPr>
          <w:p w14:paraId="2CB93E0C"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Length/Breadth ratio</w:t>
            </w:r>
          </w:p>
        </w:tc>
        <w:tc>
          <w:tcPr>
            <w:tcW w:w="442" w:type="pct"/>
            <w:tcBorders>
              <w:top w:val="nil"/>
              <w:left w:val="nil"/>
              <w:bottom w:val="single" w:sz="4" w:space="0" w:color="auto"/>
              <w:right w:val="single" w:sz="4" w:space="0" w:color="auto"/>
            </w:tcBorders>
            <w:vAlign w:val="center"/>
            <w:hideMark/>
          </w:tcPr>
          <w:p w14:paraId="598E174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3.14</w:t>
            </w:r>
          </w:p>
        </w:tc>
        <w:tc>
          <w:tcPr>
            <w:tcW w:w="442" w:type="pct"/>
            <w:tcBorders>
              <w:top w:val="nil"/>
              <w:left w:val="nil"/>
              <w:bottom w:val="single" w:sz="4" w:space="0" w:color="auto"/>
              <w:right w:val="single" w:sz="4" w:space="0" w:color="auto"/>
            </w:tcBorders>
            <w:noWrap/>
            <w:vAlign w:val="bottom"/>
            <w:hideMark/>
          </w:tcPr>
          <w:p w14:paraId="3B20764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3.28</w:t>
            </w:r>
          </w:p>
        </w:tc>
        <w:tc>
          <w:tcPr>
            <w:tcW w:w="383" w:type="pct"/>
            <w:tcBorders>
              <w:top w:val="nil"/>
              <w:left w:val="nil"/>
              <w:bottom w:val="single" w:sz="4" w:space="0" w:color="auto"/>
              <w:right w:val="single" w:sz="4" w:space="0" w:color="auto"/>
            </w:tcBorders>
            <w:noWrap/>
            <w:vAlign w:val="bottom"/>
            <w:hideMark/>
          </w:tcPr>
          <w:p w14:paraId="6766806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3.00</w:t>
            </w:r>
          </w:p>
        </w:tc>
        <w:tc>
          <w:tcPr>
            <w:tcW w:w="383" w:type="pct"/>
            <w:tcBorders>
              <w:top w:val="nil"/>
              <w:left w:val="nil"/>
              <w:bottom w:val="single" w:sz="4" w:space="0" w:color="auto"/>
              <w:right w:val="single" w:sz="4" w:space="0" w:color="auto"/>
            </w:tcBorders>
            <w:vAlign w:val="bottom"/>
            <w:hideMark/>
          </w:tcPr>
          <w:p w14:paraId="62598806"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3.22</w:t>
            </w:r>
          </w:p>
        </w:tc>
        <w:tc>
          <w:tcPr>
            <w:tcW w:w="383" w:type="pct"/>
            <w:tcBorders>
              <w:top w:val="nil"/>
              <w:left w:val="nil"/>
              <w:bottom w:val="single" w:sz="4" w:space="0" w:color="auto"/>
              <w:right w:val="single" w:sz="4" w:space="0" w:color="auto"/>
            </w:tcBorders>
            <w:vAlign w:val="bottom"/>
            <w:hideMark/>
          </w:tcPr>
          <w:p w14:paraId="1FC4316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4.15</w:t>
            </w:r>
          </w:p>
        </w:tc>
        <w:tc>
          <w:tcPr>
            <w:tcW w:w="470" w:type="pct"/>
            <w:tcBorders>
              <w:top w:val="nil"/>
              <w:left w:val="nil"/>
              <w:bottom w:val="single" w:sz="4" w:space="0" w:color="auto"/>
              <w:right w:val="single" w:sz="4" w:space="0" w:color="auto"/>
            </w:tcBorders>
            <w:vAlign w:val="bottom"/>
            <w:hideMark/>
          </w:tcPr>
          <w:p w14:paraId="44A7695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59.90</w:t>
            </w:r>
          </w:p>
        </w:tc>
        <w:tc>
          <w:tcPr>
            <w:tcW w:w="558" w:type="pct"/>
            <w:tcBorders>
              <w:top w:val="nil"/>
              <w:left w:val="nil"/>
              <w:bottom w:val="single" w:sz="4" w:space="0" w:color="auto"/>
              <w:right w:val="single" w:sz="4" w:space="0" w:color="auto"/>
            </w:tcBorders>
            <w:vAlign w:val="bottom"/>
            <w:hideMark/>
          </w:tcPr>
          <w:p w14:paraId="65805E21"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0.16</w:t>
            </w:r>
          </w:p>
        </w:tc>
        <w:tc>
          <w:tcPr>
            <w:tcW w:w="558" w:type="pct"/>
            <w:tcBorders>
              <w:top w:val="nil"/>
              <w:left w:val="nil"/>
              <w:bottom w:val="single" w:sz="4" w:space="0" w:color="auto"/>
              <w:right w:val="single" w:sz="4" w:space="0" w:color="auto"/>
            </w:tcBorders>
            <w:hideMark/>
          </w:tcPr>
          <w:p w14:paraId="08A8150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5.13</w:t>
            </w:r>
          </w:p>
        </w:tc>
      </w:tr>
      <w:tr w:rsidR="002C0FFA" w:rsidRPr="006F11E0" w14:paraId="53C70E2E"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25AD58F1"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Alkali Spreading Value</w:t>
            </w:r>
          </w:p>
        </w:tc>
        <w:tc>
          <w:tcPr>
            <w:tcW w:w="442" w:type="pct"/>
            <w:tcBorders>
              <w:top w:val="nil"/>
              <w:left w:val="nil"/>
              <w:bottom w:val="single" w:sz="4" w:space="0" w:color="auto"/>
              <w:right w:val="single" w:sz="4" w:space="0" w:color="auto"/>
            </w:tcBorders>
            <w:vAlign w:val="center"/>
            <w:hideMark/>
          </w:tcPr>
          <w:p w14:paraId="0639D40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5.29</w:t>
            </w:r>
          </w:p>
        </w:tc>
        <w:tc>
          <w:tcPr>
            <w:tcW w:w="442" w:type="pct"/>
            <w:tcBorders>
              <w:top w:val="nil"/>
              <w:left w:val="nil"/>
              <w:bottom w:val="single" w:sz="4" w:space="0" w:color="auto"/>
              <w:right w:val="single" w:sz="4" w:space="0" w:color="auto"/>
            </w:tcBorders>
            <w:noWrap/>
            <w:vAlign w:val="bottom"/>
            <w:hideMark/>
          </w:tcPr>
          <w:p w14:paraId="7388703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6.12</w:t>
            </w:r>
          </w:p>
        </w:tc>
        <w:tc>
          <w:tcPr>
            <w:tcW w:w="383" w:type="pct"/>
            <w:tcBorders>
              <w:top w:val="nil"/>
              <w:left w:val="nil"/>
              <w:bottom w:val="single" w:sz="4" w:space="0" w:color="auto"/>
              <w:right w:val="single" w:sz="4" w:space="0" w:color="auto"/>
            </w:tcBorders>
            <w:noWrap/>
            <w:vAlign w:val="bottom"/>
            <w:hideMark/>
          </w:tcPr>
          <w:p w14:paraId="54455C4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4.00</w:t>
            </w:r>
          </w:p>
        </w:tc>
        <w:tc>
          <w:tcPr>
            <w:tcW w:w="383" w:type="pct"/>
            <w:tcBorders>
              <w:top w:val="nil"/>
              <w:left w:val="nil"/>
              <w:bottom w:val="single" w:sz="4" w:space="0" w:color="auto"/>
              <w:right w:val="single" w:sz="4" w:space="0" w:color="auto"/>
            </w:tcBorders>
            <w:vAlign w:val="bottom"/>
            <w:hideMark/>
          </w:tcPr>
          <w:p w14:paraId="03F2AE8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12.81</w:t>
            </w:r>
          </w:p>
        </w:tc>
        <w:tc>
          <w:tcPr>
            <w:tcW w:w="383" w:type="pct"/>
            <w:tcBorders>
              <w:top w:val="nil"/>
              <w:left w:val="nil"/>
              <w:bottom w:val="single" w:sz="4" w:space="0" w:color="auto"/>
              <w:right w:val="single" w:sz="4" w:space="0" w:color="auto"/>
            </w:tcBorders>
            <w:vAlign w:val="bottom"/>
            <w:hideMark/>
          </w:tcPr>
          <w:p w14:paraId="101EE9A9"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13.12</w:t>
            </w:r>
          </w:p>
        </w:tc>
        <w:tc>
          <w:tcPr>
            <w:tcW w:w="470" w:type="pct"/>
            <w:tcBorders>
              <w:top w:val="nil"/>
              <w:left w:val="nil"/>
              <w:bottom w:val="single" w:sz="4" w:space="0" w:color="auto"/>
              <w:right w:val="single" w:sz="4" w:space="0" w:color="auto"/>
            </w:tcBorders>
            <w:vAlign w:val="bottom"/>
            <w:hideMark/>
          </w:tcPr>
          <w:p w14:paraId="0CF69FB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95.30</w:t>
            </w:r>
          </w:p>
        </w:tc>
        <w:tc>
          <w:tcPr>
            <w:tcW w:w="558" w:type="pct"/>
            <w:tcBorders>
              <w:top w:val="nil"/>
              <w:left w:val="nil"/>
              <w:bottom w:val="single" w:sz="4" w:space="0" w:color="auto"/>
              <w:right w:val="single" w:sz="4" w:space="0" w:color="auto"/>
            </w:tcBorders>
            <w:vAlign w:val="bottom"/>
            <w:hideMark/>
          </w:tcPr>
          <w:p w14:paraId="6C5AB0A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1.36</w:t>
            </w:r>
          </w:p>
        </w:tc>
        <w:tc>
          <w:tcPr>
            <w:tcW w:w="558" w:type="pct"/>
            <w:tcBorders>
              <w:top w:val="nil"/>
              <w:left w:val="nil"/>
              <w:bottom w:val="single" w:sz="4" w:space="0" w:color="auto"/>
              <w:right w:val="single" w:sz="4" w:space="0" w:color="auto"/>
            </w:tcBorders>
            <w:hideMark/>
          </w:tcPr>
          <w:p w14:paraId="6E371FA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25.77</w:t>
            </w:r>
          </w:p>
        </w:tc>
      </w:tr>
      <w:tr w:rsidR="002C0FFA" w:rsidRPr="006F11E0" w14:paraId="7A2366C1"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677EEED"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Grain Yield Per Plant (g)</w:t>
            </w:r>
          </w:p>
        </w:tc>
        <w:tc>
          <w:tcPr>
            <w:tcW w:w="442" w:type="pct"/>
            <w:tcBorders>
              <w:top w:val="nil"/>
              <w:left w:val="nil"/>
              <w:bottom w:val="single" w:sz="4" w:space="0" w:color="auto"/>
              <w:right w:val="single" w:sz="4" w:space="0" w:color="auto"/>
            </w:tcBorders>
            <w:vAlign w:val="center"/>
            <w:hideMark/>
          </w:tcPr>
          <w:p w14:paraId="1215C960"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25.06</w:t>
            </w:r>
          </w:p>
        </w:tc>
        <w:tc>
          <w:tcPr>
            <w:tcW w:w="442" w:type="pct"/>
            <w:tcBorders>
              <w:top w:val="nil"/>
              <w:left w:val="nil"/>
              <w:bottom w:val="single" w:sz="4" w:space="0" w:color="auto"/>
              <w:right w:val="single" w:sz="4" w:space="0" w:color="auto"/>
            </w:tcBorders>
            <w:noWrap/>
            <w:vAlign w:val="bottom"/>
            <w:hideMark/>
          </w:tcPr>
          <w:p w14:paraId="68DB221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27.14</w:t>
            </w:r>
          </w:p>
        </w:tc>
        <w:tc>
          <w:tcPr>
            <w:tcW w:w="383" w:type="pct"/>
            <w:tcBorders>
              <w:top w:val="nil"/>
              <w:left w:val="nil"/>
              <w:bottom w:val="single" w:sz="4" w:space="0" w:color="auto"/>
              <w:right w:val="single" w:sz="4" w:space="0" w:color="auto"/>
            </w:tcBorders>
            <w:noWrap/>
            <w:vAlign w:val="bottom"/>
            <w:hideMark/>
          </w:tcPr>
          <w:p w14:paraId="39B7D1B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23.12</w:t>
            </w:r>
          </w:p>
        </w:tc>
        <w:tc>
          <w:tcPr>
            <w:tcW w:w="383" w:type="pct"/>
            <w:tcBorders>
              <w:top w:val="nil"/>
              <w:left w:val="nil"/>
              <w:bottom w:val="single" w:sz="4" w:space="0" w:color="auto"/>
              <w:right w:val="single" w:sz="4" w:space="0" w:color="auto"/>
            </w:tcBorders>
            <w:vAlign w:val="bottom"/>
            <w:hideMark/>
          </w:tcPr>
          <w:p w14:paraId="5BF5B2B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4.76</w:t>
            </w:r>
          </w:p>
        </w:tc>
        <w:tc>
          <w:tcPr>
            <w:tcW w:w="383" w:type="pct"/>
            <w:tcBorders>
              <w:top w:val="nil"/>
              <w:left w:val="nil"/>
              <w:bottom w:val="single" w:sz="4" w:space="0" w:color="auto"/>
              <w:right w:val="single" w:sz="4" w:space="0" w:color="auto"/>
            </w:tcBorders>
            <w:vAlign w:val="bottom"/>
            <w:hideMark/>
          </w:tcPr>
          <w:p w14:paraId="7BD5469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5.34</w:t>
            </w:r>
          </w:p>
        </w:tc>
        <w:tc>
          <w:tcPr>
            <w:tcW w:w="470" w:type="pct"/>
            <w:tcBorders>
              <w:top w:val="nil"/>
              <w:left w:val="nil"/>
              <w:bottom w:val="single" w:sz="4" w:space="0" w:color="auto"/>
              <w:right w:val="single" w:sz="4" w:space="0" w:color="auto"/>
            </w:tcBorders>
            <w:vAlign w:val="bottom"/>
            <w:hideMark/>
          </w:tcPr>
          <w:p w14:paraId="4002906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79.52</w:t>
            </w:r>
          </w:p>
        </w:tc>
        <w:tc>
          <w:tcPr>
            <w:tcW w:w="558" w:type="pct"/>
            <w:tcBorders>
              <w:top w:val="nil"/>
              <w:left w:val="nil"/>
              <w:bottom w:val="single" w:sz="4" w:space="0" w:color="auto"/>
              <w:right w:val="single" w:sz="4" w:space="0" w:color="auto"/>
            </w:tcBorders>
            <w:vAlign w:val="bottom"/>
            <w:hideMark/>
          </w:tcPr>
          <w:p w14:paraId="3D69E4F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2.19</w:t>
            </w:r>
          </w:p>
        </w:tc>
        <w:tc>
          <w:tcPr>
            <w:tcW w:w="558" w:type="pct"/>
            <w:tcBorders>
              <w:top w:val="nil"/>
              <w:left w:val="nil"/>
              <w:bottom w:val="single" w:sz="4" w:space="0" w:color="auto"/>
              <w:right w:val="single" w:sz="4" w:space="0" w:color="auto"/>
            </w:tcBorders>
            <w:hideMark/>
          </w:tcPr>
          <w:p w14:paraId="228241C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8.75</w:t>
            </w:r>
          </w:p>
        </w:tc>
      </w:tr>
    </w:tbl>
    <w:p w14:paraId="62424800" w14:textId="77777777" w:rsidR="002C0FFA" w:rsidRDefault="002C0FFA" w:rsidP="00ED2D41">
      <w:pPr>
        <w:spacing w:after="0"/>
        <w:ind w:firstLine="720"/>
        <w:jc w:val="both"/>
        <w:rPr>
          <w:rFonts w:ascii="Times New Roman" w:hAnsi="Times New Roman" w:cs="Times New Roman"/>
          <w:lang w:val="en-US"/>
        </w:rPr>
      </w:pPr>
    </w:p>
    <w:p w14:paraId="1D33FA71" w14:textId="7C1293DF" w:rsidR="002C0FFA" w:rsidRPr="006F11E0" w:rsidRDefault="002C0FFA" w:rsidP="006F11E0">
      <w:pPr>
        <w:spacing w:line="240" w:lineRule="auto"/>
        <w:ind w:firstLine="720"/>
        <w:jc w:val="both"/>
        <w:rPr>
          <w:rFonts w:ascii="Arial" w:hAnsi="Arial" w:cs="Arial"/>
          <w:sz w:val="20"/>
          <w:szCs w:val="20"/>
        </w:rPr>
      </w:pPr>
      <w:r w:rsidRPr="006F11E0">
        <w:rPr>
          <w:rFonts w:ascii="Arial" w:hAnsi="Arial" w:cs="Arial"/>
          <w:sz w:val="20"/>
          <w:szCs w:val="20"/>
        </w:rPr>
        <w:t>In the study, the pattern of PCV is greater than GCV presumably varying in magnitude across traits, suggests that while the germplasm carries genetic variability, environmental variation plays a non-</w:t>
      </w:r>
    </w:p>
    <w:p w14:paraId="1CC87CE8" w14:textId="7FA5F84F" w:rsidR="002C0FFA" w:rsidRDefault="002C0FFA" w:rsidP="002C0FFA">
      <w:pPr>
        <w:jc w:val="both"/>
        <w:rPr>
          <w:rFonts w:ascii="Times New Roman" w:hAnsi="Times New Roman" w:cs="Times New Roman"/>
        </w:rPr>
      </w:pPr>
      <w:r w:rsidRPr="00DA52C9">
        <w:rPr>
          <w:noProof/>
          <w:lang w:val="en-US" w:bidi="hi-IN"/>
        </w:rPr>
        <w:drawing>
          <wp:inline distT="0" distB="0" distL="0" distR="0" wp14:anchorId="62DA0378" wp14:editId="0F69FB8A">
            <wp:extent cx="5581650" cy="2114550"/>
            <wp:effectExtent l="0" t="0" r="0" b="0"/>
            <wp:docPr id="428477205" name="Chart 1">
              <a:extLst xmlns:a="http://schemas.openxmlformats.org/drawingml/2006/main">
                <a:ext uri="{FF2B5EF4-FFF2-40B4-BE49-F238E27FC236}">
                  <a16:creationId xmlns:a16="http://schemas.microsoft.com/office/drawing/2014/main" id="{CB30F384-FF21-6675-651B-303650608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EFCC7A" w14:textId="4E2BFD62" w:rsidR="002C0FFA" w:rsidRPr="006F11E0" w:rsidRDefault="002C0FFA" w:rsidP="002C0FFA">
      <w:pPr>
        <w:rPr>
          <w:rFonts w:ascii="Arial" w:hAnsi="Arial" w:cs="Arial"/>
          <w:sz w:val="20"/>
          <w:szCs w:val="20"/>
          <w:lang w:val="en-IN"/>
        </w:rPr>
      </w:pPr>
      <w:r w:rsidRPr="006F11E0">
        <w:rPr>
          <w:rFonts w:ascii="Arial" w:hAnsi="Arial" w:cs="Arial"/>
          <w:b/>
          <w:sz w:val="20"/>
          <w:szCs w:val="20"/>
          <w:lang w:val="en-IN"/>
        </w:rPr>
        <w:t>Figure 1:</w:t>
      </w:r>
      <w:r w:rsidRPr="006F11E0">
        <w:rPr>
          <w:rFonts w:ascii="Arial" w:hAnsi="Arial" w:cs="Arial"/>
          <w:sz w:val="20"/>
          <w:szCs w:val="20"/>
          <w:lang w:val="en-IN"/>
        </w:rPr>
        <w:t xml:space="preserve"> </w:t>
      </w:r>
      <w:r w:rsidRPr="006F11E0">
        <w:rPr>
          <w:rFonts w:ascii="Arial" w:hAnsi="Arial" w:cs="Arial"/>
          <w:b/>
          <w:bCs/>
          <w:sz w:val="20"/>
          <w:szCs w:val="20"/>
          <w:lang w:val="en-IN"/>
        </w:rPr>
        <w:t>Graphical representation of genotypic and phenotypic coefficient of variation</w:t>
      </w:r>
    </w:p>
    <w:p w14:paraId="626E4FB7" w14:textId="3989D244" w:rsidR="002C0FFA" w:rsidRPr="006F11E0" w:rsidRDefault="006F11E0" w:rsidP="006F11E0">
      <w:pPr>
        <w:spacing w:line="240" w:lineRule="auto"/>
        <w:jc w:val="both"/>
        <w:rPr>
          <w:rFonts w:ascii="Arial" w:hAnsi="Arial" w:cs="Arial"/>
          <w:sz w:val="20"/>
          <w:szCs w:val="20"/>
        </w:rPr>
      </w:pPr>
      <w:r w:rsidRPr="006F11E0">
        <w:rPr>
          <w:rFonts w:ascii="Arial" w:hAnsi="Arial" w:cs="Arial"/>
          <w:sz w:val="20"/>
          <w:szCs w:val="20"/>
        </w:rPr>
        <w:lastRenderedPageBreak/>
        <w:t xml:space="preserve">negligible role in determining phenotypic expression. For traits where, </w:t>
      </w:r>
      <w:r w:rsidR="002C0FFA" w:rsidRPr="006F11E0">
        <w:rPr>
          <w:rFonts w:ascii="Arial" w:hAnsi="Arial" w:cs="Arial"/>
          <w:sz w:val="20"/>
          <w:szCs w:val="20"/>
        </w:rPr>
        <w:t xml:space="preserve">the difference between PCV and GCV is small, environmental influence may be modest, and such traits might show high heritability and good response to selection. Conversely, for traits where PCV considerably exceeds GCV, environmental effects likely mask or inflate phenotypic variability, which could complicate selection unless the experiments are repeated over multiple environments or the environmental variance is controlled. </w:t>
      </w:r>
    </w:p>
    <w:p w14:paraId="765EAC54" w14:textId="08BBD2CB" w:rsidR="00DC3550" w:rsidRPr="006F11E0" w:rsidRDefault="006F11E0" w:rsidP="006F11E0">
      <w:pPr>
        <w:spacing w:line="240" w:lineRule="auto"/>
        <w:jc w:val="both"/>
        <w:rPr>
          <w:rFonts w:ascii="Arial" w:hAnsi="Arial" w:cs="Arial"/>
          <w:sz w:val="20"/>
          <w:szCs w:val="20"/>
        </w:rPr>
      </w:pPr>
      <w:r w:rsidRPr="006F11E0">
        <w:rPr>
          <w:rFonts w:ascii="Arial" w:hAnsi="Arial" w:cs="Arial"/>
          <w:b/>
          <w:bCs/>
          <w:sz w:val="22"/>
          <w:szCs w:val="22"/>
        </w:rPr>
        <w:t xml:space="preserve">3.2 </w:t>
      </w:r>
      <w:r w:rsidR="00C01495" w:rsidRPr="006F11E0">
        <w:rPr>
          <w:rFonts w:ascii="Arial" w:hAnsi="Arial" w:cs="Arial"/>
          <w:b/>
          <w:bCs/>
          <w:sz w:val="22"/>
          <w:szCs w:val="22"/>
          <w:lang w:val="en-IN"/>
        </w:rPr>
        <w:t>Heritability (bs):</w:t>
      </w:r>
      <w:r w:rsidR="00C01495">
        <w:rPr>
          <w:rFonts w:ascii="Times New Roman" w:hAnsi="Times New Roman" w:cs="Times New Roman"/>
          <w:lang w:val="en-IN"/>
        </w:rPr>
        <w:t xml:space="preserve"> </w:t>
      </w:r>
      <w:r w:rsidR="00DC3550" w:rsidRPr="006F11E0">
        <w:rPr>
          <w:rFonts w:ascii="Arial" w:hAnsi="Arial" w:cs="Arial"/>
          <w:sz w:val="20"/>
          <w:szCs w:val="20"/>
          <w:lang w:val="en-IN"/>
        </w:rPr>
        <w:t xml:space="preserve">Higher estimates for all the character assessed were found in the broad sense heritability results; the heritability values ranged from 48.76 to 95.30 %.  </w:t>
      </w:r>
      <w:r w:rsidR="00DC3550" w:rsidRPr="006F11E0">
        <w:rPr>
          <w:rFonts w:ascii="Arial" w:hAnsi="Arial" w:cs="Arial"/>
          <w:b/>
          <w:bCs/>
          <w:sz w:val="20"/>
          <w:szCs w:val="20"/>
          <w:lang w:val="en-IN"/>
        </w:rPr>
        <w:t>Figure 2</w:t>
      </w:r>
      <w:r w:rsidR="00DC3550" w:rsidRPr="006F11E0">
        <w:rPr>
          <w:rFonts w:ascii="Arial" w:hAnsi="Arial" w:cs="Arial"/>
          <w:sz w:val="20"/>
          <w:szCs w:val="20"/>
          <w:lang w:val="en-IN"/>
        </w:rPr>
        <w:t xml:space="preserve"> showcased a graphical representation of genetic advance in % of mean and heritability h</w:t>
      </w:r>
      <w:r w:rsidR="00DC3550" w:rsidRPr="006F11E0">
        <w:rPr>
          <w:rFonts w:ascii="Arial" w:hAnsi="Arial" w:cs="Arial"/>
          <w:sz w:val="20"/>
          <w:szCs w:val="20"/>
          <w:vertAlign w:val="superscript"/>
          <w:lang w:val="en-IN"/>
        </w:rPr>
        <w:t>2</w:t>
      </w:r>
      <w:r w:rsidR="00DC3550" w:rsidRPr="006F11E0">
        <w:rPr>
          <w:rFonts w:ascii="Arial" w:hAnsi="Arial" w:cs="Arial"/>
          <w:sz w:val="20"/>
          <w:szCs w:val="20"/>
          <w:lang w:val="en-IN"/>
        </w:rPr>
        <w:t xml:space="preserve"> (broad sense). High heritability was noted for alkali spreading value (95.30 %), panicle length (94.25 %), 1000 grain weight (94.19 %), number of tillers per plant (93.21%), plant height (91.06 %), days to 50 % flowering (89.07%), milling (87.51%), hulling (84.88%), and grain yield per plant (79.52 %). Lowest heritability was noted for kernel breadth (48.76%) and length: breadth ratio (59.90%).</w:t>
      </w:r>
      <w:r w:rsidR="00E9583C" w:rsidRPr="006F11E0">
        <w:rPr>
          <w:rFonts w:ascii="Arial" w:eastAsia="Times New Roman" w:hAnsi="Arial" w:cs="Arial"/>
          <w:kern w:val="0"/>
          <w:sz w:val="20"/>
          <w:szCs w:val="20"/>
          <w:lang w:eastAsia="en-GB"/>
          <w14:ligatures w14:val="none"/>
        </w:rPr>
        <w:t xml:space="preserve"> </w:t>
      </w:r>
      <w:r w:rsidR="00E9583C" w:rsidRPr="006F11E0">
        <w:rPr>
          <w:rFonts w:ascii="Arial" w:hAnsi="Arial" w:cs="Arial"/>
          <w:sz w:val="20"/>
          <w:szCs w:val="20"/>
        </w:rPr>
        <w:t>These heritability estimates imply that for most of the traits particularly those with values above ~80–90% a large proportion of the observed phenotypic variance is attributable to genetic variance rather than environmental variance. High heritability for yield- and quality-related traits such as 1000-grain weight, panicle length, tiller number, and alkali spreading value indicates that these traits are under strong genetic control and are therefore likely to respond effectively to selection. On the other hand, lower heritability for kernel breadth and length/ breadth ratio suggests that these traits are more influenced by environmental effects or non-additive genetic factors (dominance, epistasis), making selection based purely on phenotypic performance less reliable for such traits. This is consistent with observations from similar studies where lower heritability traits often require controlled multi-environment trials or progeny testing to accurately assess genetic potential.</w:t>
      </w:r>
    </w:p>
    <w:p w14:paraId="69BABD62" w14:textId="3C003750" w:rsidR="002C0FFA" w:rsidRDefault="002C0FFA" w:rsidP="00C01495">
      <w:pPr>
        <w:jc w:val="both"/>
        <w:rPr>
          <w:rFonts w:ascii="Times New Roman" w:hAnsi="Times New Roman" w:cs="Times New Roman"/>
        </w:rPr>
      </w:pPr>
      <w:r w:rsidRPr="00DA52C9">
        <w:rPr>
          <w:noProof/>
          <w:lang w:val="en-US" w:bidi="hi-IN"/>
        </w:rPr>
        <w:drawing>
          <wp:inline distT="0" distB="0" distL="0" distR="0" wp14:anchorId="6F56C250" wp14:editId="1491A50D">
            <wp:extent cx="5731510" cy="2802473"/>
            <wp:effectExtent l="0" t="0" r="2540" b="17145"/>
            <wp:docPr id="1757997567" name="Chart 1">
              <a:extLst xmlns:a="http://schemas.openxmlformats.org/drawingml/2006/main">
                <a:ext uri="{FF2B5EF4-FFF2-40B4-BE49-F238E27FC236}">
                  <a16:creationId xmlns:a16="http://schemas.microsoft.com/office/drawing/2014/main" id="{B45ECDEB-1BFE-B680-E7C1-7CB1EA191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0DBBFD" w14:textId="0AE0307A" w:rsidR="002C0FFA" w:rsidRPr="006F11E0" w:rsidRDefault="002C0FFA" w:rsidP="002C0FFA">
      <w:pPr>
        <w:rPr>
          <w:rFonts w:ascii="Arial" w:hAnsi="Arial" w:cs="Arial"/>
          <w:sz w:val="20"/>
          <w:szCs w:val="20"/>
          <w:lang w:val="en-IN"/>
        </w:rPr>
      </w:pPr>
      <w:r w:rsidRPr="006F11E0">
        <w:rPr>
          <w:rFonts w:ascii="Arial" w:hAnsi="Arial" w:cs="Arial"/>
          <w:b/>
          <w:sz w:val="20"/>
          <w:szCs w:val="20"/>
          <w:lang w:val="en-IN"/>
        </w:rPr>
        <w:t>Figure 2:</w:t>
      </w:r>
      <w:r w:rsidRPr="006F11E0">
        <w:rPr>
          <w:rFonts w:ascii="Arial" w:hAnsi="Arial" w:cs="Arial"/>
          <w:sz w:val="20"/>
          <w:szCs w:val="20"/>
          <w:lang w:val="en-IN"/>
        </w:rPr>
        <w:t xml:space="preserve"> </w:t>
      </w:r>
      <w:r w:rsidRPr="006F11E0">
        <w:rPr>
          <w:rFonts w:ascii="Arial" w:hAnsi="Arial" w:cs="Arial"/>
          <w:b/>
          <w:bCs/>
          <w:sz w:val="20"/>
          <w:szCs w:val="20"/>
          <w:lang w:val="en-IN"/>
        </w:rPr>
        <w:t>Graphical representation of heritability, h</w:t>
      </w:r>
      <w:r w:rsidRPr="006F11E0">
        <w:rPr>
          <w:rFonts w:ascii="Arial" w:hAnsi="Arial" w:cs="Arial"/>
          <w:b/>
          <w:bCs/>
          <w:sz w:val="20"/>
          <w:szCs w:val="20"/>
          <w:vertAlign w:val="superscript"/>
          <w:lang w:val="en-IN"/>
        </w:rPr>
        <w:t>2</w:t>
      </w:r>
      <w:r w:rsidRPr="006F11E0">
        <w:rPr>
          <w:rFonts w:ascii="Arial" w:hAnsi="Arial" w:cs="Arial"/>
          <w:b/>
          <w:bCs/>
          <w:sz w:val="20"/>
          <w:szCs w:val="20"/>
          <w:lang w:val="en-IN"/>
        </w:rPr>
        <w:t xml:space="preserve"> (broad sense) and genetic advance in % of mean</w:t>
      </w:r>
    </w:p>
    <w:p w14:paraId="318E518A" w14:textId="72359A18" w:rsidR="00C01495" w:rsidRPr="006F11E0" w:rsidRDefault="006F11E0" w:rsidP="006F11E0">
      <w:pPr>
        <w:spacing w:line="240" w:lineRule="auto"/>
        <w:jc w:val="both"/>
        <w:rPr>
          <w:rFonts w:ascii="Arial" w:hAnsi="Arial" w:cs="Arial"/>
          <w:sz w:val="20"/>
          <w:szCs w:val="20"/>
        </w:rPr>
      </w:pPr>
      <w:r w:rsidRPr="006F11E0">
        <w:rPr>
          <w:rFonts w:ascii="Arial" w:hAnsi="Arial" w:cs="Arial"/>
          <w:b/>
          <w:bCs/>
          <w:sz w:val="22"/>
          <w:szCs w:val="22"/>
        </w:rPr>
        <w:t xml:space="preserve">3.3 </w:t>
      </w:r>
      <w:r w:rsidR="00C01495" w:rsidRPr="006F11E0">
        <w:rPr>
          <w:rFonts w:ascii="Arial" w:hAnsi="Arial" w:cs="Arial"/>
          <w:b/>
          <w:bCs/>
          <w:sz w:val="22"/>
          <w:szCs w:val="22"/>
        </w:rPr>
        <w:t>Genetic Advance and Genetic Advance as % of mean</w:t>
      </w:r>
      <w:r w:rsidRPr="006F11E0">
        <w:rPr>
          <w:rFonts w:ascii="Arial" w:hAnsi="Arial" w:cs="Arial"/>
          <w:b/>
          <w:bCs/>
          <w:sz w:val="22"/>
          <w:szCs w:val="22"/>
        </w:rPr>
        <w:t>:</w:t>
      </w:r>
      <w:r w:rsidR="00C01495" w:rsidRPr="00C01495">
        <w:rPr>
          <w:rFonts w:ascii="Times New Roman" w:hAnsi="Times New Roman" w:cs="Times New Roman"/>
        </w:rPr>
        <w:t xml:space="preserve"> </w:t>
      </w:r>
      <w:r w:rsidR="00C01495" w:rsidRPr="006F11E0">
        <w:rPr>
          <w:rFonts w:ascii="Arial" w:hAnsi="Arial" w:cs="Arial"/>
          <w:sz w:val="20"/>
          <w:szCs w:val="20"/>
        </w:rPr>
        <w:t xml:space="preserve">The estimates of genetic advance (GA) in the present study varied widely across traits, ranging from as low as 0.08 to as high as 17.05. The maximum GA was recorded for plant height (17.05), followed by days to 50% flowering (13.82), milling percentage (9.18), hulling percentage (6.31), panicle length (5.25), 1000-grain weight (4.47), number of tillers per plant (2.45), grain yield per plant (2.19), and alkali spreading value (1.36). In contrast, the lowest GA values were observed for kernel breadth (0.08), grain breadth (0.15), length/ breadth ratio (0.16), kernel length (0.40), and grain length (0.48). When expressed as genetic advance as percent of mean (GAM), the values similarly ranged from 3.70 to 25.77. The highest GAM was found for alkali spreading value (25.77%), followed by panicle length (20.88%), number of tillers per plant (19.93%), 1000-grain weight (19.25%), plant height (15.46%), days to 50% flowering (13.29%), milling percentage (13.03%), grain yield per plant (8.75%), and hulling percentage (8.31%). Lower GAM values </w:t>
      </w:r>
      <w:r w:rsidR="00C01495" w:rsidRPr="006F11E0">
        <w:rPr>
          <w:rFonts w:ascii="Arial" w:hAnsi="Arial" w:cs="Arial"/>
          <w:sz w:val="20"/>
          <w:szCs w:val="20"/>
        </w:rPr>
        <w:lastRenderedPageBreak/>
        <w:t>occurred for kernel breadth (3.70%), length/ breadth ratio (5.13%), kernel length (6.15%), grain breadth (7.01%), and grain length (7.26%).</w:t>
      </w:r>
    </w:p>
    <w:p w14:paraId="2F0245D6" w14:textId="11EB29FC" w:rsidR="00571187" w:rsidRPr="006F11E0" w:rsidRDefault="00C01495" w:rsidP="006F11E0">
      <w:pPr>
        <w:spacing w:line="240" w:lineRule="auto"/>
        <w:ind w:firstLine="720"/>
        <w:jc w:val="both"/>
        <w:rPr>
          <w:rFonts w:ascii="Arial" w:hAnsi="Arial" w:cs="Arial"/>
          <w:sz w:val="20"/>
          <w:szCs w:val="20"/>
          <w:lang w:val="en-IN"/>
        </w:rPr>
      </w:pPr>
      <w:r w:rsidRPr="006F11E0">
        <w:rPr>
          <w:rFonts w:ascii="Arial" w:hAnsi="Arial" w:cs="Arial"/>
          <w:sz w:val="20"/>
          <w:szCs w:val="20"/>
        </w:rPr>
        <w:t>The concurrence of high heritability estimates with high GAM for characters such as alkali spreading value, panicle length, number of tillers per plant, 1000-grain weight, plant height, days to 50% flowering, milling percentage, grain yield per plant, and hulling percentage suggests that these traits are largely governed by additive gene action a genetic architecture favourable for selection. In such cases, selection based on phenotypic performance is likely to be effective, and breeding progress can be achieved in early generations. Conversely, traits that exhibited low GA and low or moderate GAM such as kernel breadth, grain breadth, kernel/ grain length, and length/ breadth ratio even if their heritability may be moderate to high, indicate limited genetic gain under selection. This pattern could reflect a greater influence of non-additive gene effects (dominance or epistasis), or environmental modulation, thereby making phenotypic selection for these traits less efficient. Therefore, in the context of the population of non-basmati lines evaluated, the traits with high heritability and high genetic advance (or GAM) are considered most promising for direct selection and genetic improvement, while those with low GA and GAM may require alternative breeding strategies such as hybridization or multi-environment evaluation to achieve progress.</w:t>
      </w:r>
      <w:r w:rsidR="00571187" w:rsidRPr="006F11E0">
        <w:rPr>
          <w:rFonts w:ascii="Arial" w:hAnsi="Arial" w:cs="Arial"/>
          <w:sz w:val="20"/>
          <w:szCs w:val="20"/>
          <w:lang w:val="en-IN"/>
        </w:rPr>
        <w:t xml:space="preserve">The results obtained are on par with those reported by </w:t>
      </w:r>
      <w:r w:rsidR="00571187" w:rsidRPr="006F11E0">
        <w:rPr>
          <w:rFonts w:ascii="Arial" w:hAnsi="Arial" w:cs="Arial"/>
          <w:b/>
          <w:bCs/>
          <w:sz w:val="20"/>
          <w:szCs w:val="20"/>
        </w:rPr>
        <w:t xml:space="preserve">Soundharya </w:t>
      </w:r>
      <w:r w:rsidR="00571187" w:rsidRPr="006F11E0">
        <w:rPr>
          <w:rFonts w:ascii="Arial" w:hAnsi="Arial" w:cs="Arial"/>
          <w:b/>
          <w:bCs/>
          <w:i/>
          <w:iCs/>
          <w:sz w:val="20"/>
          <w:szCs w:val="20"/>
        </w:rPr>
        <w:t>et al.</w:t>
      </w:r>
      <w:r w:rsidR="00571187" w:rsidRPr="006F11E0">
        <w:rPr>
          <w:rFonts w:ascii="Arial" w:hAnsi="Arial" w:cs="Arial"/>
          <w:b/>
          <w:bCs/>
          <w:sz w:val="20"/>
          <w:szCs w:val="20"/>
        </w:rPr>
        <w:t xml:space="preserve"> (2024) </w:t>
      </w:r>
      <w:r w:rsidR="00571187" w:rsidRPr="006F11E0">
        <w:rPr>
          <w:rFonts w:ascii="Arial" w:hAnsi="Arial" w:cs="Arial"/>
          <w:sz w:val="20"/>
          <w:szCs w:val="20"/>
        </w:rPr>
        <w:t>for</w:t>
      </w:r>
      <w:r w:rsidR="00571187" w:rsidRPr="006F11E0">
        <w:rPr>
          <w:rFonts w:ascii="Arial" w:hAnsi="Arial" w:cs="Arial"/>
          <w:b/>
          <w:bCs/>
          <w:sz w:val="20"/>
          <w:szCs w:val="20"/>
        </w:rPr>
        <w:t xml:space="preserve"> </w:t>
      </w:r>
      <w:r w:rsidR="00571187" w:rsidRPr="006F11E0">
        <w:rPr>
          <w:rFonts w:ascii="Arial" w:hAnsi="Arial" w:cs="Arial"/>
          <w:sz w:val="20"/>
          <w:szCs w:val="20"/>
        </w:rPr>
        <w:t>grain yield per plant</w:t>
      </w:r>
      <w:r w:rsidR="00571187" w:rsidRPr="006F11E0">
        <w:rPr>
          <w:rFonts w:ascii="Arial" w:hAnsi="Arial" w:cs="Arial"/>
          <w:b/>
          <w:bCs/>
          <w:sz w:val="20"/>
          <w:szCs w:val="20"/>
        </w:rPr>
        <w:t xml:space="preserve">, Jadhav </w:t>
      </w:r>
      <w:r w:rsidR="00571187" w:rsidRPr="006F11E0">
        <w:rPr>
          <w:rFonts w:ascii="Arial" w:hAnsi="Arial" w:cs="Arial"/>
          <w:b/>
          <w:bCs/>
          <w:i/>
          <w:sz w:val="20"/>
          <w:szCs w:val="20"/>
        </w:rPr>
        <w:t>et al</w:t>
      </w:r>
      <w:r w:rsidR="00571187" w:rsidRPr="006F11E0">
        <w:rPr>
          <w:rFonts w:ascii="Arial" w:hAnsi="Arial" w:cs="Arial"/>
          <w:b/>
          <w:bCs/>
          <w:sz w:val="20"/>
          <w:szCs w:val="20"/>
        </w:rPr>
        <w:t>. (2020)</w:t>
      </w:r>
      <w:r w:rsidR="00571187" w:rsidRPr="006F11E0">
        <w:rPr>
          <w:rFonts w:ascii="Arial" w:hAnsi="Arial" w:cs="Arial"/>
          <w:sz w:val="20"/>
          <w:szCs w:val="20"/>
        </w:rPr>
        <w:t xml:space="preserve"> for plant height, days to 50% flowering, </w:t>
      </w:r>
      <w:r w:rsidR="00571187" w:rsidRPr="006F11E0">
        <w:rPr>
          <w:rFonts w:ascii="Arial" w:hAnsi="Arial" w:cs="Arial"/>
          <w:b/>
          <w:bCs/>
          <w:sz w:val="20"/>
          <w:szCs w:val="20"/>
          <w:lang w:val="en-IN"/>
        </w:rPr>
        <w:t xml:space="preserve">Ahamed </w:t>
      </w:r>
      <w:r w:rsidR="00571187" w:rsidRPr="006F11E0">
        <w:rPr>
          <w:rFonts w:ascii="Arial" w:hAnsi="Arial" w:cs="Arial"/>
          <w:b/>
          <w:bCs/>
          <w:i/>
          <w:sz w:val="20"/>
          <w:szCs w:val="20"/>
          <w:lang w:val="en-IN"/>
        </w:rPr>
        <w:t>et al</w:t>
      </w:r>
      <w:r w:rsidR="00571187" w:rsidRPr="006F11E0">
        <w:rPr>
          <w:rFonts w:ascii="Arial" w:hAnsi="Arial" w:cs="Arial"/>
          <w:b/>
          <w:bCs/>
          <w:sz w:val="20"/>
          <w:szCs w:val="20"/>
          <w:lang w:val="en-IN"/>
        </w:rPr>
        <w:t>. (2021)</w:t>
      </w:r>
      <w:r w:rsidR="00571187" w:rsidRPr="006F11E0">
        <w:rPr>
          <w:rFonts w:ascii="Arial" w:hAnsi="Arial" w:cs="Arial"/>
          <w:sz w:val="20"/>
          <w:szCs w:val="20"/>
          <w:lang w:val="en-IN"/>
        </w:rPr>
        <w:t xml:space="preserve"> for plant height, </w:t>
      </w:r>
      <w:bookmarkStart w:id="0" w:name="_Hlk214911163"/>
      <w:r w:rsidR="00571187" w:rsidRPr="006F11E0">
        <w:rPr>
          <w:rFonts w:ascii="Arial" w:hAnsi="Arial" w:cs="Arial"/>
          <w:b/>
          <w:bCs/>
          <w:sz w:val="20"/>
          <w:szCs w:val="20"/>
        </w:rPr>
        <w:t xml:space="preserve">Shirisha </w:t>
      </w:r>
      <w:r w:rsidR="00571187" w:rsidRPr="006F11E0">
        <w:rPr>
          <w:rFonts w:ascii="Arial" w:hAnsi="Arial" w:cs="Arial"/>
          <w:b/>
          <w:bCs/>
          <w:i/>
          <w:iCs/>
          <w:sz w:val="20"/>
          <w:szCs w:val="20"/>
        </w:rPr>
        <w:t>et al.</w:t>
      </w:r>
      <w:r w:rsidR="00571187" w:rsidRPr="006F11E0">
        <w:rPr>
          <w:rFonts w:ascii="Arial" w:hAnsi="Arial" w:cs="Arial"/>
          <w:b/>
          <w:bCs/>
          <w:sz w:val="20"/>
          <w:szCs w:val="20"/>
        </w:rPr>
        <w:t xml:space="preserve"> (2025)</w:t>
      </w:r>
      <w:r w:rsidR="00571187" w:rsidRPr="006F11E0">
        <w:rPr>
          <w:rFonts w:ascii="Arial" w:hAnsi="Arial" w:cs="Arial"/>
          <w:sz w:val="20"/>
          <w:szCs w:val="20"/>
        </w:rPr>
        <w:t xml:space="preserve"> </w:t>
      </w:r>
      <w:bookmarkEnd w:id="0"/>
      <w:r w:rsidR="00571187" w:rsidRPr="006F11E0">
        <w:rPr>
          <w:rFonts w:ascii="Arial" w:hAnsi="Arial" w:cs="Arial"/>
          <w:sz w:val="20"/>
          <w:szCs w:val="20"/>
        </w:rPr>
        <w:t xml:space="preserve">and </w:t>
      </w:r>
      <w:r w:rsidR="00571187" w:rsidRPr="006F11E0">
        <w:rPr>
          <w:rFonts w:ascii="Arial" w:hAnsi="Arial" w:cs="Arial"/>
          <w:b/>
          <w:bCs/>
          <w:iCs/>
          <w:sz w:val="20"/>
          <w:szCs w:val="20"/>
          <w:lang w:val="en-IN"/>
        </w:rPr>
        <w:t xml:space="preserve">Krishna </w:t>
      </w:r>
      <w:r w:rsidR="00571187" w:rsidRPr="006F11E0">
        <w:rPr>
          <w:rFonts w:ascii="Arial" w:hAnsi="Arial" w:cs="Arial"/>
          <w:b/>
          <w:bCs/>
          <w:i/>
          <w:iCs/>
          <w:sz w:val="20"/>
          <w:szCs w:val="20"/>
          <w:lang w:val="en-IN"/>
        </w:rPr>
        <w:t>et al</w:t>
      </w:r>
      <w:r w:rsidR="00571187" w:rsidRPr="006F11E0">
        <w:rPr>
          <w:rFonts w:ascii="Arial" w:hAnsi="Arial" w:cs="Arial"/>
          <w:b/>
          <w:bCs/>
          <w:iCs/>
          <w:sz w:val="20"/>
          <w:szCs w:val="20"/>
          <w:lang w:val="en-IN"/>
        </w:rPr>
        <w:t>. (2020)</w:t>
      </w:r>
      <w:r w:rsidR="00571187" w:rsidRPr="006F11E0">
        <w:rPr>
          <w:rFonts w:ascii="Arial" w:hAnsi="Arial" w:cs="Arial"/>
          <w:iCs/>
          <w:sz w:val="20"/>
          <w:szCs w:val="20"/>
          <w:lang w:val="en-IN"/>
        </w:rPr>
        <w:t xml:space="preserve"> for 1000 grain weight and kernel traits, </w:t>
      </w:r>
      <w:r w:rsidR="00571187" w:rsidRPr="006F11E0">
        <w:rPr>
          <w:rFonts w:ascii="Arial" w:hAnsi="Arial" w:cs="Arial"/>
          <w:b/>
          <w:bCs/>
          <w:sz w:val="20"/>
          <w:szCs w:val="20"/>
          <w:lang w:val="en-IN"/>
        </w:rPr>
        <w:t xml:space="preserve">Ashfaq </w:t>
      </w:r>
      <w:r w:rsidR="00571187" w:rsidRPr="006F11E0">
        <w:rPr>
          <w:rFonts w:ascii="Arial" w:hAnsi="Arial" w:cs="Arial"/>
          <w:b/>
          <w:bCs/>
          <w:i/>
          <w:sz w:val="20"/>
          <w:szCs w:val="20"/>
          <w:lang w:val="en-IN"/>
        </w:rPr>
        <w:t>et al</w:t>
      </w:r>
      <w:r w:rsidR="00571187" w:rsidRPr="006F11E0">
        <w:rPr>
          <w:rFonts w:ascii="Arial" w:hAnsi="Arial" w:cs="Arial"/>
          <w:b/>
          <w:bCs/>
          <w:sz w:val="20"/>
          <w:szCs w:val="20"/>
          <w:lang w:val="en-IN"/>
        </w:rPr>
        <w:t>. (2012)</w:t>
      </w:r>
      <w:r w:rsidR="00571187" w:rsidRPr="006F11E0">
        <w:rPr>
          <w:rFonts w:ascii="Arial" w:hAnsi="Arial" w:cs="Arial"/>
          <w:sz w:val="20"/>
          <w:szCs w:val="20"/>
          <w:lang w:val="en-IN"/>
        </w:rPr>
        <w:t xml:space="preserve"> for number of tillers per plant.</w:t>
      </w:r>
    </w:p>
    <w:p w14:paraId="71690B1A" w14:textId="28434444" w:rsidR="00CF179F" w:rsidRPr="006F11E0" w:rsidRDefault="006F11E0" w:rsidP="00B94D22">
      <w:pPr>
        <w:pStyle w:val="ListParagraph"/>
        <w:numPr>
          <w:ilvl w:val="0"/>
          <w:numId w:val="4"/>
        </w:numPr>
        <w:ind w:left="284" w:hanging="284"/>
        <w:jc w:val="both"/>
        <w:rPr>
          <w:rFonts w:ascii="Arial" w:hAnsi="Arial" w:cs="Arial"/>
          <w:b/>
          <w:bCs/>
          <w:sz w:val="22"/>
          <w:szCs w:val="22"/>
          <w:lang w:val="en-IN"/>
        </w:rPr>
      </w:pPr>
      <w:r w:rsidRPr="006F11E0">
        <w:rPr>
          <w:rFonts w:ascii="Arial" w:hAnsi="Arial" w:cs="Arial"/>
          <w:b/>
          <w:bCs/>
          <w:sz w:val="22"/>
          <w:szCs w:val="22"/>
          <w:lang w:val="en-IN"/>
        </w:rPr>
        <w:t>CONCLUSION</w:t>
      </w:r>
      <w:r w:rsidR="00CF179F" w:rsidRPr="006F11E0">
        <w:rPr>
          <w:rFonts w:ascii="Arial" w:hAnsi="Arial" w:cs="Arial"/>
          <w:b/>
          <w:bCs/>
          <w:sz w:val="22"/>
          <w:szCs w:val="22"/>
          <w:lang w:val="en-IN"/>
        </w:rPr>
        <w:t xml:space="preserve"> </w:t>
      </w:r>
    </w:p>
    <w:p w14:paraId="2CB391D9" w14:textId="3F1A52B1" w:rsidR="004764E2" w:rsidRPr="006F11E0" w:rsidRDefault="00CF179F" w:rsidP="00B94D22">
      <w:pPr>
        <w:spacing w:line="240" w:lineRule="auto"/>
        <w:jc w:val="both"/>
        <w:rPr>
          <w:rFonts w:ascii="Arial" w:hAnsi="Arial" w:cs="Arial"/>
          <w:sz w:val="20"/>
          <w:szCs w:val="20"/>
          <w:lang w:val="en-US"/>
        </w:rPr>
      </w:pPr>
      <w:r w:rsidRPr="006F11E0">
        <w:rPr>
          <w:rFonts w:ascii="Arial" w:hAnsi="Arial" w:cs="Arial"/>
          <w:sz w:val="20"/>
          <w:szCs w:val="20"/>
        </w:rPr>
        <w:t>The evaluation of 30 non-basmati rice germplasm lines revealed substantial genetic variability across a suite of agronomic, yield-related and grain quality traits. Highly significant differences among genotypes for all measured traits confirm the existence of a broad genetic base, essential for breeding and improvement efforts. Although PCV consistently exceeded GCV indicating environmental influence on trait expression many traits nevertheless exhibited high broad-sense heritability (notably alkali spreading value, panicle length, 1000-grain weight, tiller number, plant height, and days to flowering), suggesting that observed variation is largely genetically determined. When combined with high genetic advance as percent of mean, these traits appear most promising for selection in breeding programs, reflecting additive gene action and predictable response to selection. In contrast, traits with low to moderate genetic advance such as kernel breadth, grain breadth, kernel/grain length and length/ breadth ratio seem less amenable to reliable improvement via simple phenotypic selection. Thus, prioritizing high heritability–high genetic-advance traits will maximize the success of varietal improvement, while other traits may require more advanced breeding strategies or multi-environment evaluation.</w:t>
      </w:r>
    </w:p>
    <w:p w14:paraId="6AA0E2B2" w14:textId="77777777" w:rsidR="00A04237" w:rsidRDefault="00A04237" w:rsidP="00FB6F6C">
      <w:pPr>
        <w:jc w:val="both"/>
        <w:rPr>
          <w:rFonts w:ascii="Arial" w:hAnsi="Arial" w:cs="Arial"/>
          <w:b/>
          <w:bCs/>
          <w:sz w:val="22"/>
          <w:szCs w:val="22"/>
        </w:rPr>
      </w:pPr>
    </w:p>
    <w:p w14:paraId="058B1FF7" w14:textId="61DCB1E1" w:rsidR="00FB6F6C" w:rsidRPr="00FB6F6C" w:rsidRDefault="007779FD" w:rsidP="00FB6F6C">
      <w:pPr>
        <w:jc w:val="both"/>
        <w:rPr>
          <w:rFonts w:ascii="Arial" w:hAnsi="Arial" w:cs="Arial"/>
          <w:b/>
          <w:bCs/>
          <w:sz w:val="22"/>
          <w:szCs w:val="22"/>
        </w:rPr>
      </w:pPr>
      <w:bookmarkStart w:id="1" w:name="_GoBack"/>
      <w:bookmarkEnd w:id="1"/>
      <w:r w:rsidRPr="00FB6F6C">
        <w:rPr>
          <w:rFonts w:ascii="Arial" w:hAnsi="Arial" w:cs="Arial"/>
          <w:b/>
          <w:bCs/>
          <w:sz w:val="22"/>
          <w:szCs w:val="22"/>
        </w:rPr>
        <w:t>ETHICAL ISSUES</w:t>
      </w:r>
    </w:p>
    <w:p w14:paraId="2734DC7D" w14:textId="76ED3805" w:rsidR="00FB6F6C" w:rsidRDefault="00FB6F6C" w:rsidP="00FB6F6C">
      <w:pPr>
        <w:jc w:val="both"/>
        <w:rPr>
          <w:rFonts w:ascii="Arial" w:hAnsi="Arial" w:cs="Arial"/>
        </w:rPr>
      </w:pPr>
      <w:r w:rsidRPr="00FB6F6C">
        <w:rPr>
          <w:rFonts w:ascii="Arial" w:hAnsi="Arial" w:cs="Arial"/>
          <w:sz w:val="20"/>
          <w:szCs w:val="20"/>
        </w:rPr>
        <w:t>None</w:t>
      </w:r>
      <w:r w:rsidRPr="00FB6F6C">
        <w:rPr>
          <w:rFonts w:ascii="Arial" w:hAnsi="Arial" w:cs="Arial"/>
        </w:rPr>
        <w:t xml:space="preserve"> </w:t>
      </w:r>
    </w:p>
    <w:p w14:paraId="27ED7FA6" w14:textId="06B9F691" w:rsidR="00F6013E" w:rsidRPr="006D44C2" w:rsidRDefault="006D44C2" w:rsidP="00FB6F6C">
      <w:pPr>
        <w:jc w:val="both"/>
        <w:rPr>
          <w:rFonts w:ascii="Arial" w:hAnsi="Arial" w:cs="Arial"/>
          <w:b/>
          <w:bCs/>
          <w:sz w:val="22"/>
          <w:szCs w:val="22"/>
        </w:rPr>
      </w:pPr>
      <w:r w:rsidRPr="006D44C2">
        <w:rPr>
          <w:rFonts w:ascii="Arial" w:hAnsi="Arial" w:cs="Arial"/>
          <w:b/>
          <w:bCs/>
          <w:sz w:val="22"/>
          <w:szCs w:val="22"/>
        </w:rPr>
        <w:t>REFERENCE</w:t>
      </w:r>
      <w:r w:rsidR="00DE57C8">
        <w:rPr>
          <w:rFonts w:ascii="Arial" w:hAnsi="Arial" w:cs="Arial"/>
          <w:b/>
          <w:bCs/>
          <w:sz w:val="22"/>
          <w:szCs w:val="22"/>
        </w:rPr>
        <w:t>S</w:t>
      </w:r>
    </w:p>
    <w:p w14:paraId="094EA880" w14:textId="7D036E7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Ahamed, M. S., Chowdhury, M. R., Mas-</w:t>
      </w:r>
      <w:proofErr w:type="spellStart"/>
      <w:r w:rsidRPr="00DF1C48">
        <w:rPr>
          <w:rFonts w:ascii="Arial" w:hAnsi="Arial" w:cs="Arial"/>
          <w:color w:val="000000" w:themeColor="text1"/>
          <w:sz w:val="20"/>
          <w:szCs w:val="20"/>
        </w:rPr>
        <w:t>ud</w:t>
      </w:r>
      <w:proofErr w:type="spellEnd"/>
      <w:r w:rsidRPr="00DF1C48">
        <w:rPr>
          <w:rFonts w:ascii="Arial" w:hAnsi="Arial" w:cs="Arial"/>
          <w:color w:val="000000" w:themeColor="text1"/>
          <w:sz w:val="20"/>
          <w:szCs w:val="20"/>
        </w:rPr>
        <w:t xml:space="preserve">, M. A., Ahmed, S., Hossain, M. S., &amp; Matin, M. N. (2021). Analysis of genetic variability, heritability and correlation among Bangladeshi local rice cultivars (Oryza sativa L.). Pakistan Journal of Agricultural Research, 34(2), 356-361. </w:t>
      </w:r>
      <w:hyperlink r:id="rId10" w:history="1">
        <w:r w:rsidRPr="006A23FA">
          <w:rPr>
            <w:rStyle w:val="Hyperlink"/>
            <w:rFonts w:ascii="Arial" w:hAnsi="Arial" w:cs="Arial"/>
            <w:sz w:val="20"/>
            <w:szCs w:val="20"/>
          </w:rPr>
          <w:t>https://doi.org/10.17582/journal.pjar/2021/34.2.356.361</w:t>
        </w:r>
      </w:hyperlink>
    </w:p>
    <w:p w14:paraId="3D5AA15A" w14:textId="5EC6CDE9" w:rsidR="00DF1C48" w:rsidRDefault="00DF1C48" w:rsidP="00DF1C48">
      <w:pPr>
        <w:pStyle w:val="ListParagraph"/>
        <w:numPr>
          <w:ilvl w:val="0"/>
          <w:numId w:val="5"/>
        </w:numPr>
        <w:spacing w:before="240" w:after="0" w:line="340" w:lineRule="atLeast"/>
        <w:jc w:val="both"/>
        <w:rPr>
          <w:rFonts w:ascii="Arial" w:hAnsi="Arial" w:cs="Arial"/>
          <w:color w:val="000000" w:themeColor="text1"/>
          <w:sz w:val="20"/>
          <w:szCs w:val="20"/>
        </w:rPr>
      </w:pPr>
      <w:r w:rsidRPr="00DF1C48">
        <w:rPr>
          <w:rFonts w:ascii="Arial" w:hAnsi="Arial" w:cs="Arial"/>
          <w:color w:val="000000" w:themeColor="text1"/>
          <w:sz w:val="20"/>
          <w:szCs w:val="20"/>
        </w:rPr>
        <w:t xml:space="preserve">Allam, C. R., Jaiswal, H. K., Qamar, A., </w:t>
      </w:r>
      <w:proofErr w:type="spellStart"/>
      <w:r w:rsidRPr="00DF1C48">
        <w:rPr>
          <w:rFonts w:ascii="Arial" w:hAnsi="Arial" w:cs="Arial"/>
          <w:color w:val="000000" w:themeColor="text1"/>
          <w:sz w:val="20"/>
          <w:szCs w:val="20"/>
        </w:rPr>
        <w:t>Venkateshwarlu</w:t>
      </w:r>
      <w:proofErr w:type="spellEnd"/>
      <w:r w:rsidRPr="00DF1C48">
        <w:rPr>
          <w:rFonts w:ascii="Arial" w:hAnsi="Arial" w:cs="Arial"/>
          <w:color w:val="000000" w:themeColor="text1"/>
          <w:sz w:val="20"/>
          <w:szCs w:val="20"/>
        </w:rPr>
        <w:t xml:space="preserve">, Ch., &amp; Reddy, Y. S. (2015). Variability, heritability and genetic advance studies in some indigenous genotypes of basmati rice (Oryza sativa L.). Electronic Journal of Plant Breeding, 6(2), 506-511. </w:t>
      </w:r>
      <w:hyperlink r:id="rId11" w:history="1">
        <w:r w:rsidRPr="006A23FA">
          <w:rPr>
            <w:rStyle w:val="Hyperlink"/>
            <w:rFonts w:ascii="Arial" w:hAnsi="Arial" w:cs="Arial"/>
            <w:sz w:val="20"/>
            <w:szCs w:val="20"/>
          </w:rPr>
          <w:t>https://www.cabidigitallibrary.org/doi/10.1079/ejpb.2015.06.001</w:t>
        </w:r>
      </w:hyperlink>
    </w:p>
    <w:p w14:paraId="1D7F2CF4" w14:textId="2517A2C9"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Allard, R. W. (1960). Principles of plant breeding. John Wiley and Sons. </w:t>
      </w:r>
      <w:hyperlink r:id="rId12" w:history="1">
        <w:r w:rsidRPr="006A23FA">
          <w:rPr>
            <w:rStyle w:val="Hyperlink"/>
            <w:rFonts w:ascii="Arial" w:hAnsi="Arial" w:cs="Arial"/>
            <w:sz w:val="20"/>
            <w:szCs w:val="20"/>
          </w:rPr>
          <w:t>https://www.abebooks.com/servlet/BookDetailsPL?bi=30860000000&amp;searchurl=isbn%3D9780471023104%26sortby%3D17</w:t>
        </w:r>
      </w:hyperlink>
    </w:p>
    <w:p w14:paraId="7140B5F4" w14:textId="251F8D0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Amod, K., Kumar, S., Singh, S., Prasad, J., Jeena, A. S., &amp; Upreti, M. C. (2020). Studies on genetic parameters for quality traits and yield components in basmati rice (Oryza sativa L.). </w:t>
      </w:r>
      <w:r w:rsidRPr="00DF1C48">
        <w:rPr>
          <w:rFonts w:ascii="Arial" w:hAnsi="Arial" w:cs="Arial"/>
          <w:color w:val="000000" w:themeColor="text1"/>
          <w:sz w:val="20"/>
          <w:szCs w:val="20"/>
        </w:rPr>
        <w:lastRenderedPageBreak/>
        <w:t xml:space="preserve">International Journal of Current Microbiology and Applied Sciences, 9(6), 1525-1532. </w:t>
      </w:r>
      <w:hyperlink r:id="rId13" w:history="1">
        <w:r w:rsidRPr="006A23FA">
          <w:rPr>
            <w:rStyle w:val="Hyperlink"/>
            <w:rFonts w:ascii="Arial" w:hAnsi="Arial" w:cs="Arial"/>
            <w:sz w:val="20"/>
            <w:szCs w:val="20"/>
          </w:rPr>
          <w:t>https://doi.org/10.20546/ijcmas.2020.906.188</w:t>
        </w:r>
      </w:hyperlink>
    </w:p>
    <w:p w14:paraId="16E1DECB" w14:textId="4CC6AB87"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Ashfaq, M., Khan, A. S., Khan, S. H. U., &amp; Ahmad, R. (2012). Association of various morphological traits with yield and genetic divergence in rice (Oryza sativa L.). International Journal of Agriculture and Biology, 14, 55-62. </w:t>
      </w:r>
      <w:hyperlink r:id="rId14" w:history="1">
        <w:r w:rsidRPr="006A23FA">
          <w:rPr>
            <w:rStyle w:val="Hyperlink"/>
            <w:rFonts w:ascii="Arial" w:hAnsi="Arial" w:cs="Arial"/>
            <w:sz w:val="20"/>
            <w:szCs w:val="20"/>
          </w:rPr>
          <w:t>http://www.fspublishers.org/published_papers/11_245_MFA_2012_14_1_55_62.pdf</w:t>
        </w:r>
      </w:hyperlink>
    </w:p>
    <w:p w14:paraId="2A9AD798" w14:textId="34AD9A47" w:rsidR="00DF1C48" w:rsidRDefault="00DF1C48" w:rsidP="00DF1C48">
      <w:pPr>
        <w:pStyle w:val="ListParagraph"/>
        <w:numPr>
          <w:ilvl w:val="0"/>
          <w:numId w:val="5"/>
        </w:numPr>
        <w:spacing w:before="240" w:after="0" w:line="340" w:lineRule="atLeast"/>
        <w:jc w:val="both"/>
        <w:rPr>
          <w:rFonts w:ascii="Arial" w:hAnsi="Arial" w:cs="Arial"/>
          <w:color w:val="000000" w:themeColor="text1"/>
          <w:sz w:val="20"/>
          <w:szCs w:val="20"/>
        </w:rPr>
      </w:pPr>
      <w:r w:rsidRPr="00DF1C48">
        <w:rPr>
          <w:rFonts w:ascii="Arial" w:hAnsi="Arial" w:cs="Arial"/>
          <w:color w:val="000000" w:themeColor="text1"/>
          <w:sz w:val="20"/>
          <w:szCs w:val="20"/>
        </w:rPr>
        <w:t xml:space="preserve">Burton, G. W., &amp; Devane, E. H. (1953). Estimating heritability in tall fescue (Festuca arundinacea) from replicated clonal material. Agronomy Journal, 45(10), 478-481. </w:t>
      </w:r>
      <w:hyperlink r:id="rId15" w:history="1">
        <w:r w:rsidRPr="006A23FA">
          <w:rPr>
            <w:rStyle w:val="Hyperlink"/>
            <w:rFonts w:ascii="Arial" w:hAnsi="Arial" w:cs="Arial"/>
            <w:sz w:val="20"/>
            <w:szCs w:val="20"/>
          </w:rPr>
          <w:t>https://doi.org/10.2134/agronj1953.00021962004500100005x</w:t>
        </w:r>
      </w:hyperlink>
    </w:p>
    <w:p w14:paraId="3857A89B" w14:textId="77777777"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Cochran, W. G., &amp; Cox, G. M. (1957). Experimental Designs. John Wiley.</w:t>
      </w:r>
    </w:p>
    <w:p w14:paraId="24D4E9C6" w14:textId="2F2D7A4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Dey, P., Sahu, S., &amp; Kar, R. K. (2019). Estimation of Phenotypic Coefficients of Variation (PCV), Genotypic Coefficients of Variation (GCV), Heritability and Genetic Gain for Yield and its Components in Rice Landraces of Odisha. International Journal of Agriculture, Environment and Biotechnology, 12(3), 181-185. </w:t>
      </w:r>
      <w:hyperlink r:id="rId16" w:history="1">
        <w:r w:rsidRPr="006A23FA">
          <w:rPr>
            <w:rStyle w:val="Hyperlink"/>
            <w:rFonts w:ascii="Arial" w:hAnsi="Arial" w:cs="Arial"/>
            <w:sz w:val="20"/>
            <w:szCs w:val="20"/>
          </w:rPr>
          <w:t>https://doi.org/10.30954/0974-1712.08.2019.1</w:t>
        </w:r>
      </w:hyperlink>
    </w:p>
    <w:p w14:paraId="4C85B600" w14:textId="12F89266" w:rsidR="00DF1C48" w:rsidRPr="00DF1C48" w:rsidRDefault="00DF1C48" w:rsidP="00DF1C48">
      <w:pPr>
        <w:pStyle w:val="ListParagraph"/>
        <w:numPr>
          <w:ilvl w:val="0"/>
          <w:numId w:val="5"/>
        </w:numPr>
        <w:spacing w:before="240" w:after="0" w:line="240" w:lineRule="auto"/>
        <w:jc w:val="both"/>
        <w:rPr>
          <w:rFonts w:ascii="Arial" w:eastAsia="Times New Roman" w:hAnsi="Arial" w:cs="Arial"/>
          <w:color w:val="000000" w:themeColor="text1"/>
          <w:sz w:val="20"/>
          <w:szCs w:val="20"/>
        </w:rPr>
      </w:pPr>
      <w:r w:rsidRPr="00DF1C48">
        <w:rPr>
          <w:rFonts w:ascii="Arial" w:hAnsi="Arial" w:cs="Arial"/>
          <w:color w:val="000000" w:themeColor="text1"/>
          <w:sz w:val="20"/>
          <w:szCs w:val="20"/>
        </w:rPr>
        <w:t xml:space="preserve">Jadhav, S. P., </w:t>
      </w:r>
      <w:proofErr w:type="spellStart"/>
      <w:r w:rsidRPr="00DF1C48">
        <w:rPr>
          <w:rFonts w:ascii="Arial" w:hAnsi="Arial" w:cs="Arial"/>
          <w:color w:val="000000" w:themeColor="text1"/>
          <w:sz w:val="20"/>
          <w:szCs w:val="20"/>
        </w:rPr>
        <w:t>Kunkerkar</w:t>
      </w:r>
      <w:proofErr w:type="spellEnd"/>
      <w:r w:rsidRPr="00DF1C48">
        <w:rPr>
          <w:rFonts w:ascii="Arial" w:hAnsi="Arial" w:cs="Arial"/>
          <w:color w:val="000000" w:themeColor="text1"/>
          <w:sz w:val="20"/>
          <w:szCs w:val="20"/>
        </w:rPr>
        <w:t xml:space="preserve">, R. L., Thorat, B. S., </w:t>
      </w:r>
      <w:proofErr w:type="spellStart"/>
      <w:r w:rsidRPr="00DF1C48">
        <w:rPr>
          <w:rFonts w:ascii="Arial" w:hAnsi="Arial" w:cs="Arial"/>
          <w:color w:val="000000" w:themeColor="text1"/>
          <w:sz w:val="20"/>
          <w:szCs w:val="20"/>
        </w:rPr>
        <w:t>Gawai</w:t>
      </w:r>
      <w:proofErr w:type="spellEnd"/>
      <w:r w:rsidRPr="00DF1C48">
        <w:rPr>
          <w:rFonts w:ascii="Arial" w:hAnsi="Arial" w:cs="Arial"/>
          <w:color w:val="000000" w:themeColor="text1"/>
          <w:sz w:val="20"/>
          <w:szCs w:val="20"/>
        </w:rPr>
        <w:t xml:space="preserve">, M. P., &amp; </w:t>
      </w:r>
      <w:proofErr w:type="spellStart"/>
      <w:r w:rsidRPr="00DF1C48">
        <w:rPr>
          <w:rFonts w:ascii="Arial" w:hAnsi="Arial" w:cs="Arial"/>
          <w:color w:val="000000" w:themeColor="text1"/>
          <w:sz w:val="20"/>
          <w:szCs w:val="20"/>
        </w:rPr>
        <w:t>Keluskar</w:t>
      </w:r>
      <w:proofErr w:type="spellEnd"/>
      <w:r w:rsidRPr="00DF1C48">
        <w:rPr>
          <w:rFonts w:ascii="Arial" w:hAnsi="Arial" w:cs="Arial"/>
          <w:color w:val="000000" w:themeColor="text1"/>
          <w:sz w:val="20"/>
          <w:szCs w:val="20"/>
        </w:rPr>
        <w:t xml:space="preserve">, M. H. (2020). Variability and genetic parameters studies in rice (Oryza sativa L.). Journal of Pharmacognosy and Phytochemistry, 9(1), 1375-1377. </w:t>
      </w:r>
      <w:hyperlink r:id="rId17" w:history="1">
        <w:r w:rsidRPr="006A23FA">
          <w:rPr>
            <w:rStyle w:val="Hyperlink"/>
            <w:rFonts w:ascii="Arial" w:hAnsi="Arial" w:cs="Arial"/>
            <w:sz w:val="20"/>
            <w:szCs w:val="20"/>
          </w:rPr>
          <w:t>https://doi.org/10.22271/phyto.2020.v9.i1w.10652</w:t>
        </w:r>
      </w:hyperlink>
    </w:p>
    <w:p w14:paraId="145AD060" w14:textId="63C59F1D" w:rsidR="00DF1C48" w:rsidRPr="00DF1C48" w:rsidRDefault="00DF1C48" w:rsidP="00DF1C48">
      <w:pPr>
        <w:pStyle w:val="ListParagraph"/>
        <w:numPr>
          <w:ilvl w:val="0"/>
          <w:numId w:val="5"/>
        </w:numPr>
        <w:spacing w:before="240" w:after="0" w:line="240" w:lineRule="auto"/>
        <w:jc w:val="both"/>
        <w:rPr>
          <w:rFonts w:ascii="Arial" w:eastAsia="Times New Roman" w:hAnsi="Arial" w:cs="Arial"/>
          <w:color w:val="000000" w:themeColor="text1"/>
          <w:sz w:val="20"/>
          <w:szCs w:val="20"/>
        </w:rPr>
      </w:pPr>
      <w:r w:rsidRPr="00DF1C48">
        <w:rPr>
          <w:rFonts w:ascii="Arial" w:hAnsi="Arial" w:cs="Arial"/>
          <w:color w:val="000000" w:themeColor="text1"/>
          <w:sz w:val="20"/>
          <w:szCs w:val="20"/>
        </w:rPr>
        <w:t xml:space="preserve">Johnson, H. W., Robinson, H. F., &amp; Comstock, R. E. (1955). Estimates of Genetic and Environmental Variability in Soybeans. Agronomy Journal, 47(7), 314-318. </w:t>
      </w:r>
      <w:hyperlink r:id="rId18" w:history="1">
        <w:r w:rsidRPr="006A23FA">
          <w:rPr>
            <w:rStyle w:val="Hyperlink"/>
            <w:rFonts w:ascii="Arial" w:hAnsi="Arial" w:cs="Arial"/>
            <w:sz w:val="20"/>
            <w:szCs w:val="20"/>
          </w:rPr>
          <w:t>https://doi.org/10.2134/agronj1955.00021962004700070009x</w:t>
        </w:r>
      </w:hyperlink>
    </w:p>
    <w:p w14:paraId="7399199D" w14:textId="43C6504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Krishna, L., Chandra Mohan, Y., Surender Raju, C. H., &amp; </w:t>
      </w:r>
      <w:proofErr w:type="spellStart"/>
      <w:r w:rsidRPr="00DF1C48">
        <w:rPr>
          <w:rFonts w:ascii="Arial" w:hAnsi="Arial" w:cs="Arial"/>
          <w:color w:val="000000" w:themeColor="text1"/>
          <w:sz w:val="20"/>
          <w:szCs w:val="20"/>
        </w:rPr>
        <w:t>Bhadru</w:t>
      </w:r>
      <w:proofErr w:type="spellEnd"/>
      <w:r w:rsidRPr="00DF1C48">
        <w:rPr>
          <w:rFonts w:ascii="Arial" w:hAnsi="Arial" w:cs="Arial"/>
          <w:color w:val="000000" w:themeColor="text1"/>
          <w:sz w:val="20"/>
          <w:szCs w:val="20"/>
        </w:rPr>
        <w:t xml:space="preserve">, D. (2020). Studies on Genetic Variability of Grain Yield and Quality in F2 and F3 Generations of Aromatic Rice (Oryza sativa L.). Current Journal of Applied Science and Technology, 39(10), 86-91. </w:t>
      </w:r>
      <w:hyperlink r:id="rId19" w:history="1">
        <w:r w:rsidRPr="006A23FA">
          <w:rPr>
            <w:rStyle w:val="Hyperlink"/>
            <w:rFonts w:ascii="Arial" w:hAnsi="Arial" w:cs="Arial"/>
            <w:sz w:val="20"/>
            <w:szCs w:val="20"/>
          </w:rPr>
          <w:t>https://doi.org/10.9734/cjast/2020/v39i1030631</w:t>
        </w:r>
      </w:hyperlink>
    </w:p>
    <w:p w14:paraId="62ED991E" w14:textId="0BD7858E"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Khan, H., Rahman, H., Ahmad, H., Ali, H., </w:t>
      </w:r>
      <w:proofErr w:type="spellStart"/>
      <w:r w:rsidRPr="00DF1C48">
        <w:rPr>
          <w:rFonts w:ascii="Arial" w:hAnsi="Arial" w:cs="Arial"/>
          <w:color w:val="000000" w:themeColor="text1"/>
          <w:sz w:val="20"/>
          <w:szCs w:val="20"/>
        </w:rPr>
        <w:t>Inamullah</w:t>
      </w:r>
      <w:proofErr w:type="spellEnd"/>
      <w:r w:rsidRPr="00DF1C48">
        <w:rPr>
          <w:rFonts w:ascii="Arial" w:hAnsi="Arial" w:cs="Arial"/>
          <w:color w:val="000000" w:themeColor="text1"/>
          <w:sz w:val="20"/>
          <w:szCs w:val="20"/>
        </w:rPr>
        <w:t xml:space="preserve">, &amp; </w:t>
      </w:r>
      <w:proofErr w:type="spellStart"/>
      <w:r w:rsidRPr="00DF1C48">
        <w:rPr>
          <w:rFonts w:ascii="Arial" w:hAnsi="Arial" w:cs="Arial"/>
          <w:color w:val="000000" w:themeColor="text1"/>
          <w:sz w:val="20"/>
          <w:szCs w:val="20"/>
        </w:rPr>
        <w:t>Alam</w:t>
      </w:r>
      <w:proofErr w:type="spellEnd"/>
      <w:r w:rsidRPr="00DF1C48">
        <w:rPr>
          <w:rFonts w:ascii="Arial" w:hAnsi="Arial" w:cs="Arial"/>
          <w:color w:val="000000" w:themeColor="text1"/>
          <w:sz w:val="20"/>
          <w:szCs w:val="20"/>
        </w:rPr>
        <w:t xml:space="preserve">, M. (2008). Magnitude of heterosis and heritability in sunflower over environments. Pakistan Journal of Botany, 40(1), 301-308. </w:t>
      </w:r>
      <w:hyperlink r:id="rId20" w:history="1">
        <w:r w:rsidRPr="006A23FA">
          <w:rPr>
            <w:rStyle w:val="Hyperlink"/>
            <w:rFonts w:ascii="Arial" w:hAnsi="Arial" w:cs="Arial"/>
            <w:sz w:val="20"/>
            <w:szCs w:val="20"/>
          </w:rPr>
          <w:t>https://doi.org/10.30848/PAK.J.BOT</w:t>
        </w:r>
      </w:hyperlink>
      <w:r w:rsidRPr="00DF1C48">
        <w:rPr>
          <w:rFonts w:ascii="Arial" w:hAnsi="Arial" w:cs="Arial"/>
          <w:color w:val="000000" w:themeColor="text1"/>
          <w:sz w:val="20"/>
          <w:szCs w:val="20"/>
        </w:rPr>
        <w:t>.</w:t>
      </w:r>
    </w:p>
    <w:p w14:paraId="4543D59D" w14:textId="6848111D"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Mahesh, G., Ramesh, T., Narendar Reddy, S., Meena, A., Rathod, S., Fiyaz, R. A., Badri, J., Rao, L. V. S., Sundaram, R. M., &amp; </w:t>
      </w:r>
      <w:proofErr w:type="spellStart"/>
      <w:r w:rsidRPr="00DF1C48">
        <w:rPr>
          <w:rFonts w:ascii="Arial" w:hAnsi="Arial" w:cs="Arial"/>
          <w:color w:val="000000" w:themeColor="text1"/>
          <w:sz w:val="20"/>
          <w:szCs w:val="20"/>
        </w:rPr>
        <w:t>Jukanti</w:t>
      </w:r>
      <w:proofErr w:type="spellEnd"/>
      <w:r w:rsidRPr="00DF1C48">
        <w:rPr>
          <w:rFonts w:ascii="Arial" w:hAnsi="Arial" w:cs="Arial"/>
          <w:color w:val="000000" w:themeColor="text1"/>
          <w:sz w:val="20"/>
          <w:szCs w:val="20"/>
        </w:rPr>
        <w:t xml:space="preserve">, A. K. (2022). Genetic variability, heritability, genetic advance and path coefficients for grain protein content, quality traits and grain yield in rice (Oryza sativa L.) germplasm lines. The Pharma Innovation Journal, 11(3), 1836-1839. </w:t>
      </w:r>
      <w:hyperlink r:id="rId21" w:history="1">
        <w:r w:rsidRPr="006A23FA">
          <w:rPr>
            <w:rStyle w:val="Hyperlink"/>
            <w:rFonts w:ascii="Arial" w:hAnsi="Arial" w:cs="Arial"/>
            <w:sz w:val="20"/>
            <w:szCs w:val="20"/>
          </w:rPr>
          <w:t>http://www.thepharmajournal.com</w:t>
        </w:r>
      </w:hyperlink>
    </w:p>
    <w:p w14:paraId="06345BD2" w14:textId="1313184C" w:rsidR="00DF1C48" w:rsidRPr="00DF1C48" w:rsidRDefault="00DF1C48" w:rsidP="00DF1C48">
      <w:pPr>
        <w:pStyle w:val="ListParagraph"/>
        <w:numPr>
          <w:ilvl w:val="0"/>
          <w:numId w:val="5"/>
        </w:numPr>
        <w:spacing w:before="240" w:after="0" w:line="240" w:lineRule="auto"/>
        <w:jc w:val="both"/>
        <w:rPr>
          <w:rFonts w:ascii="Arial" w:eastAsia="Times New Roman" w:hAnsi="Arial" w:cs="Arial"/>
          <w:color w:val="000000" w:themeColor="text1"/>
          <w:sz w:val="20"/>
          <w:szCs w:val="20"/>
        </w:rPr>
      </w:pPr>
      <w:r w:rsidRPr="00DF1C48">
        <w:rPr>
          <w:rFonts w:ascii="Arial" w:hAnsi="Arial" w:cs="Arial"/>
          <w:color w:val="000000" w:themeColor="text1"/>
          <w:sz w:val="20"/>
          <w:szCs w:val="20"/>
        </w:rPr>
        <w:t xml:space="preserve">Nandedkar, K., </w:t>
      </w:r>
      <w:proofErr w:type="spellStart"/>
      <w:r w:rsidRPr="00DF1C48">
        <w:rPr>
          <w:rFonts w:ascii="Arial" w:hAnsi="Arial" w:cs="Arial"/>
          <w:color w:val="000000" w:themeColor="text1"/>
          <w:sz w:val="20"/>
          <w:szCs w:val="20"/>
        </w:rPr>
        <w:t>Sarawgi</w:t>
      </w:r>
      <w:proofErr w:type="spellEnd"/>
      <w:r w:rsidRPr="00DF1C48">
        <w:rPr>
          <w:rFonts w:ascii="Arial" w:hAnsi="Arial" w:cs="Arial"/>
          <w:color w:val="000000" w:themeColor="text1"/>
          <w:sz w:val="20"/>
          <w:szCs w:val="20"/>
        </w:rPr>
        <w:t xml:space="preserve">, A. K., Parikh, M., Saxena, R. R., &amp; Pallavi, K. (2022). Assessment of genetic variability, character association and genetic divergence in germplasm accessions of rice (Oryza sativa L.). The Pharma Innovation Journal, 11(2), 2933-2938. </w:t>
      </w:r>
      <w:hyperlink r:id="rId22" w:history="1">
        <w:r w:rsidRPr="006A23FA">
          <w:rPr>
            <w:rStyle w:val="Hyperlink"/>
            <w:rFonts w:ascii="Arial" w:hAnsi="Arial" w:cs="Arial"/>
            <w:sz w:val="20"/>
            <w:szCs w:val="20"/>
          </w:rPr>
          <w:t>https://www.thepharmajournal.com/archives/2022/vol11issue2/PartAL/11-2-10-900.pdf</w:t>
        </w:r>
      </w:hyperlink>
    </w:p>
    <w:p w14:paraId="5609649C" w14:textId="6CC37DDB" w:rsidR="00DF1C48" w:rsidRP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eastAsia="Times New Roman" w:hAnsi="Arial" w:cs="Arial"/>
          <w:color w:val="000000" w:themeColor="text1"/>
          <w:sz w:val="20"/>
          <w:szCs w:val="20"/>
        </w:rPr>
        <w:t xml:space="preserve">Shirisha, K., Kumar, C. S., Krishna, L., Babu, T. K., Reddy, C. N., &amp; Kumari, J. A. (2025). Assessment of Genetic Variability, Heritability and Genetic Advance in Relation to Yield and Quality Traits among Advanced Breeding Lines Derived from Multiple Cross of Rice (Oryza sativa L.). Journal of Experimental Agriculture International, 47(9), 546-553. </w:t>
      </w:r>
      <w:hyperlink r:id="rId23" w:history="1">
        <w:r w:rsidRPr="006A23FA">
          <w:rPr>
            <w:rStyle w:val="Hyperlink"/>
            <w:rFonts w:ascii="Arial" w:eastAsia="Times New Roman" w:hAnsi="Arial" w:cs="Arial"/>
            <w:sz w:val="20"/>
            <w:szCs w:val="20"/>
          </w:rPr>
          <w:t>https://doi.org/10.9734/jeai/2025/v47i93775</w:t>
        </w:r>
      </w:hyperlink>
    </w:p>
    <w:p w14:paraId="1AF20366" w14:textId="420F0A42" w:rsidR="004610D7" w:rsidRPr="00DF1C48" w:rsidRDefault="004610D7"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Shukla, S., Bhargava, A., Chatterjee, A., </w:t>
      </w:r>
      <w:r w:rsidR="00D8188B" w:rsidRPr="00DF1C48">
        <w:rPr>
          <w:rFonts w:ascii="Arial" w:hAnsi="Arial" w:cs="Arial"/>
          <w:color w:val="000000" w:themeColor="text1"/>
          <w:sz w:val="20"/>
          <w:szCs w:val="20"/>
        </w:rPr>
        <w:t xml:space="preserve">&amp; </w:t>
      </w:r>
      <w:r w:rsidRPr="00DF1C48">
        <w:rPr>
          <w:rFonts w:ascii="Arial" w:hAnsi="Arial" w:cs="Arial"/>
          <w:color w:val="000000" w:themeColor="text1"/>
          <w:sz w:val="20"/>
          <w:szCs w:val="20"/>
        </w:rPr>
        <w:t xml:space="preserve">Singh, S. </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2004</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 Estimates of genetic parameters to determine variability for foliage yield and its different quantitative and qualitative traits in vegetable amaranth (</w:t>
      </w:r>
      <w:r w:rsidRPr="00DF1C48">
        <w:rPr>
          <w:rFonts w:ascii="Arial" w:hAnsi="Arial" w:cs="Arial"/>
          <w:i/>
          <w:iCs/>
          <w:color w:val="000000" w:themeColor="text1"/>
          <w:sz w:val="20"/>
          <w:szCs w:val="20"/>
        </w:rPr>
        <w:t xml:space="preserve">A. </w:t>
      </w:r>
      <w:proofErr w:type="spellStart"/>
      <w:r w:rsidRPr="00DF1C48">
        <w:rPr>
          <w:rFonts w:ascii="Arial" w:hAnsi="Arial" w:cs="Arial"/>
          <w:i/>
          <w:iCs/>
          <w:color w:val="000000" w:themeColor="text1"/>
          <w:sz w:val="20"/>
          <w:szCs w:val="20"/>
        </w:rPr>
        <w:t>tricolor</w:t>
      </w:r>
      <w:proofErr w:type="spellEnd"/>
      <w:r w:rsidRPr="00DF1C48">
        <w:rPr>
          <w:rFonts w:ascii="Arial" w:hAnsi="Arial" w:cs="Arial"/>
          <w:color w:val="000000" w:themeColor="text1"/>
          <w:sz w:val="20"/>
          <w:szCs w:val="20"/>
        </w:rPr>
        <w:t>). J. Genet. Breed., 58: 169-176.</w:t>
      </w:r>
    </w:p>
    <w:p w14:paraId="58452056" w14:textId="774A760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Singh, R. K., &amp; Chaudhary, B. D. (1977). Biometrical methods in quantitative genetic analysis. Kalyani publications. </w:t>
      </w:r>
      <w:hyperlink r:id="rId24" w:history="1">
        <w:r w:rsidRPr="006A23FA">
          <w:rPr>
            <w:rStyle w:val="Hyperlink"/>
            <w:rFonts w:ascii="Arial" w:hAnsi="Arial" w:cs="Arial"/>
            <w:sz w:val="20"/>
            <w:szCs w:val="20"/>
          </w:rPr>
          <w:t>https://www.cabidigitallibrary.org/doi/10.1079/CABICOMPENDIUM_19781661809</w:t>
        </w:r>
      </w:hyperlink>
    </w:p>
    <w:p w14:paraId="09685A15" w14:textId="1F995456" w:rsidR="008D2838" w:rsidRPr="00DF1C48" w:rsidRDefault="008D283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Sivasubramanian, S. </w:t>
      </w:r>
      <w:r w:rsidR="00D8188B" w:rsidRPr="00DF1C48">
        <w:rPr>
          <w:rFonts w:ascii="Arial" w:hAnsi="Arial" w:cs="Arial"/>
          <w:color w:val="000000" w:themeColor="text1"/>
          <w:sz w:val="20"/>
          <w:szCs w:val="20"/>
        </w:rPr>
        <w:t>&amp;</w:t>
      </w:r>
      <w:r w:rsidRPr="00DF1C48">
        <w:rPr>
          <w:rFonts w:ascii="Arial" w:hAnsi="Arial" w:cs="Arial"/>
          <w:color w:val="000000" w:themeColor="text1"/>
          <w:sz w:val="20"/>
          <w:szCs w:val="20"/>
        </w:rPr>
        <w:t xml:space="preserve"> </w:t>
      </w:r>
      <w:proofErr w:type="spellStart"/>
      <w:r w:rsidRPr="00DF1C48">
        <w:rPr>
          <w:rFonts w:ascii="Arial" w:hAnsi="Arial" w:cs="Arial"/>
          <w:color w:val="000000" w:themeColor="text1"/>
          <w:sz w:val="20"/>
          <w:szCs w:val="20"/>
        </w:rPr>
        <w:t>Madhavamenon</w:t>
      </w:r>
      <w:proofErr w:type="spellEnd"/>
      <w:r w:rsidR="00D8188B" w:rsidRPr="00DF1C48">
        <w:rPr>
          <w:rFonts w:ascii="Arial" w:hAnsi="Arial" w:cs="Arial"/>
          <w:color w:val="000000" w:themeColor="text1"/>
          <w:sz w:val="20"/>
          <w:szCs w:val="20"/>
        </w:rPr>
        <w:t>, P.</w:t>
      </w:r>
      <w:r w:rsidRPr="00DF1C48">
        <w:rPr>
          <w:rFonts w:ascii="Arial" w:hAnsi="Arial" w:cs="Arial"/>
          <w:color w:val="000000" w:themeColor="text1"/>
          <w:sz w:val="20"/>
          <w:szCs w:val="20"/>
        </w:rPr>
        <w:t xml:space="preserve"> </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1973</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 xml:space="preserve">. Genotypic and phenotypic variability in rice. Madras Agricultural Journal, 60, 1093–1096. </w:t>
      </w:r>
    </w:p>
    <w:p w14:paraId="4618F4E7" w14:textId="6CF8CAFE" w:rsidR="00DF1C48" w:rsidRPr="00DF1C48" w:rsidRDefault="00DF1C48" w:rsidP="00DF1C48">
      <w:pPr>
        <w:pStyle w:val="ListParagraph"/>
        <w:numPr>
          <w:ilvl w:val="0"/>
          <w:numId w:val="5"/>
        </w:numPr>
        <w:spacing w:before="240" w:after="0" w:line="240" w:lineRule="auto"/>
        <w:jc w:val="both"/>
        <w:rPr>
          <w:rFonts w:ascii="Times New Roman" w:hAnsi="Times New Roman" w:cs="Times New Roman"/>
          <w:b/>
          <w:bCs/>
          <w:color w:val="000000" w:themeColor="text1"/>
        </w:rPr>
      </w:pPr>
      <w:r w:rsidRPr="00DF1C48">
        <w:rPr>
          <w:rFonts w:ascii="Arial" w:hAnsi="Arial" w:cs="Arial"/>
          <w:color w:val="000000" w:themeColor="text1"/>
          <w:sz w:val="20"/>
          <w:szCs w:val="20"/>
        </w:rPr>
        <w:t xml:space="preserve">Tang, R., Cui, D., Zhou, J., Li, W., Ma, X., Han, B., Guo, X., Zhao, Z., &amp; Han, L. (2021). Comparative analysis of genetic diversity of rice (Oryza sativa L.) varieties cultivated in different periods in China. Genetic Resources and Crop Evolution, 68(4), 1439-1451. </w:t>
      </w:r>
      <w:hyperlink r:id="rId25" w:history="1">
        <w:r w:rsidRPr="006A23FA">
          <w:rPr>
            <w:rStyle w:val="Hyperlink"/>
            <w:rFonts w:ascii="Arial" w:hAnsi="Arial" w:cs="Arial"/>
            <w:sz w:val="20"/>
            <w:szCs w:val="20"/>
          </w:rPr>
          <w:t>https://doi.org/10.1007/s10722-020-01073-5</w:t>
        </w:r>
      </w:hyperlink>
    </w:p>
    <w:p w14:paraId="6CB9BC0E" w14:textId="3A8C540A" w:rsidR="002C0FFA" w:rsidRPr="00DF1C48" w:rsidRDefault="00DF1C48" w:rsidP="00DF1C48">
      <w:pPr>
        <w:pStyle w:val="ListParagraph"/>
        <w:numPr>
          <w:ilvl w:val="0"/>
          <w:numId w:val="5"/>
        </w:numPr>
        <w:spacing w:before="240" w:after="0" w:line="240" w:lineRule="auto"/>
        <w:jc w:val="both"/>
        <w:rPr>
          <w:rFonts w:ascii="Times New Roman" w:hAnsi="Times New Roman" w:cs="Times New Roman"/>
          <w:b/>
          <w:bCs/>
          <w:color w:val="000000" w:themeColor="text1"/>
        </w:rPr>
      </w:pPr>
      <w:r w:rsidRPr="00DF1C48">
        <w:rPr>
          <w:rFonts w:ascii="Arial" w:hAnsi="Arial" w:cs="Arial"/>
          <w:color w:val="000000" w:themeColor="text1"/>
          <w:sz w:val="20"/>
          <w:szCs w:val="20"/>
        </w:rPr>
        <w:t xml:space="preserve">USDA Foreign Agricultural Service. (2024). Production – Rice (Commodity Code 0422110): 2023/2024 Global Rice Production. </w:t>
      </w:r>
      <w:hyperlink r:id="rId26" w:history="1">
        <w:r w:rsidRPr="006A23FA">
          <w:rPr>
            <w:rStyle w:val="Hyperlink"/>
            <w:rFonts w:ascii="Arial" w:hAnsi="Arial" w:cs="Arial"/>
            <w:sz w:val="20"/>
            <w:szCs w:val="20"/>
          </w:rPr>
          <w:t>https://www.fas.usda.gov/data/production/commodity/0422110</w:t>
        </w:r>
      </w:hyperlink>
    </w:p>
    <w:p w14:paraId="06AF9E20" w14:textId="77777777" w:rsidR="00DF1C48" w:rsidRPr="00DF1C48" w:rsidRDefault="00DF1C48" w:rsidP="00DF1C48">
      <w:pPr>
        <w:pStyle w:val="ListParagraph"/>
        <w:spacing w:before="240" w:after="0" w:line="240" w:lineRule="auto"/>
        <w:jc w:val="both"/>
        <w:rPr>
          <w:rFonts w:ascii="Times New Roman" w:hAnsi="Times New Roman" w:cs="Times New Roman"/>
          <w:b/>
          <w:bCs/>
          <w:color w:val="000000" w:themeColor="text1"/>
        </w:rPr>
      </w:pPr>
    </w:p>
    <w:sectPr w:rsidR="00DF1C48" w:rsidRPr="00DF1C48" w:rsidSect="00A0423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31B0" w14:textId="77777777" w:rsidR="00FB098C" w:rsidRDefault="00FB098C" w:rsidP="004B30D4">
      <w:pPr>
        <w:spacing w:after="0" w:line="240" w:lineRule="auto"/>
      </w:pPr>
      <w:r>
        <w:separator/>
      </w:r>
    </w:p>
  </w:endnote>
  <w:endnote w:type="continuationSeparator" w:id="0">
    <w:p w14:paraId="1D6D3ED4" w14:textId="77777777" w:rsidR="00FB098C" w:rsidRDefault="00FB098C" w:rsidP="004B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B716" w14:textId="77777777" w:rsidR="00A04237" w:rsidRDefault="00A0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90EF" w14:textId="02434584" w:rsidR="00A72F39" w:rsidRDefault="00A72F39">
    <w:pPr>
      <w:pStyle w:val="Footer"/>
    </w:pPr>
  </w:p>
  <w:p w14:paraId="5FFDFB7F" w14:textId="77777777" w:rsidR="00A72F39" w:rsidRDefault="00A7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F109" w14:textId="77777777" w:rsidR="00A04237" w:rsidRDefault="00A0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49A45" w14:textId="77777777" w:rsidR="00FB098C" w:rsidRDefault="00FB098C" w:rsidP="004B30D4">
      <w:pPr>
        <w:spacing w:after="0" w:line="240" w:lineRule="auto"/>
      </w:pPr>
      <w:r>
        <w:separator/>
      </w:r>
    </w:p>
  </w:footnote>
  <w:footnote w:type="continuationSeparator" w:id="0">
    <w:p w14:paraId="2E151542" w14:textId="77777777" w:rsidR="00FB098C" w:rsidRDefault="00FB098C" w:rsidP="004B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530F" w14:textId="6A664A94" w:rsidR="00A04237" w:rsidRDefault="00A04237">
    <w:pPr>
      <w:pStyle w:val="Header"/>
    </w:pPr>
    <w:r>
      <w:rPr>
        <w:noProof/>
      </w:rPr>
      <w:pict w14:anchorId="79A28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335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5D6E5" w14:textId="405C831B" w:rsidR="00A04237" w:rsidRDefault="00A04237">
    <w:pPr>
      <w:pStyle w:val="Header"/>
    </w:pPr>
    <w:r>
      <w:rPr>
        <w:noProof/>
      </w:rPr>
      <w:pict w14:anchorId="01FF7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335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D5C0" w14:textId="2B2B258B" w:rsidR="00A04237" w:rsidRDefault="00A04237">
    <w:pPr>
      <w:pStyle w:val="Header"/>
    </w:pPr>
    <w:r>
      <w:rPr>
        <w:noProof/>
      </w:rPr>
      <w:pict w14:anchorId="55940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335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037"/>
    <w:multiLevelType w:val="hybridMultilevel"/>
    <w:tmpl w:val="88744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B2844"/>
    <w:multiLevelType w:val="hybridMultilevel"/>
    <w:tmpl w:val="D85A9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2274E"/>
    <w:multiLevelType w:val="hybridMultilevel"/>
    <w:tmpl w:val="CD803030"/>
    <w:lvl w:ilvl="0" w:tplc="2A3A4510">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A3004"/>
    <w:multiLevelType w:val="hybridMultilevel"/>
    <w:tmpl w:val="770C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1E6704"/>
    <w:multiLevelType w:val="hybridMultilevel"/>
    <w:tmpl w:val="A8CE7C0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D5"/>
    <w:rsid w:val="0001639A"/>
    <w:rsid w:val="00073CDB"/>
    <w:rsid w:val="00083B6D"/>
    <w:rsid w:val="00085514"/>
    <w:rsid w:val="000C2867"/>
    <w:rsid w:val="001114E1"/>
    <w:rsid w:val="0013459B"/>
    <w:rsid w:val="001B6D1A"/>
    <w:rsid w:val="00245FD5"/>
    <w:rsid w:val="00260C99"/>
    <w:rsid w:val="00287EF4"/>
    <w:rsid w:val="002C0FFA"/>
    <w:rsid w:val="002F7263"/>
    <w:rsid w:val="003B4F2C"/>
    <w:rsid w:val="003F2EC7"/>
    <w:rsid w:val="004355CC"/>
    <w:rsid w:val="004510EB"/>
    <w:rsid w:val="004610D7"/>
    <w:rsid w:val="004764E2"/>
    <w:rsid w:val="004A2F06"/>
    <w:rsid w:val="004B30D4"/>
    <w:rsid w:val="004D42A3"/>
    <w:rsid w:val="005607F6"/>
    <w:rsid w:val="00571187"/>
    <w:rsid w:val="00586253"/>
    <w:rsid w:val="00594FF9"/>
    <w:rsid w:val="005B7FE5"/>
    <w:rsid w:val="005E3BD7"/>
    <w:rsid w:val="005F153D"/>
    <w:rsid w:val="005F29BB"/>
    <w:rsid w:val="006B4293"/>
    <w:rsid w:val="006C76E3"/>
    <w:rsid w:val="006D44C2"/>
    <w:rsid w:val="006E0CFB"/>
    <w:rsid w:val="006F11E0"/>
    <w:rsid w:val="00753DC2"/>
    <w:rsid w:val="007779FD"/>
    <w:rsid w:val="007E44B4"/>
    <w:rsid w:val="00803242"/>
    <w:rsid w:val="00820AC6"/>
    <w:rsid w:val="0084147C"/>
    <w:rsid w:val="00854189"/>
    <w:rsid w:val="00884DB1"/>
    <w:rsid w:val="008C34E6"/>
    <w:rsid w:val="008D2838"/>
    <w:rsid w:val="008F7123"/>
    <w:rsid w:val="00991CB5"/>
    <w:rsid w:val="009E2B8D"/>
    <w:rsid w:val="00A00C8A"/>
    <w:rsid w:val="00A03A59"/>
    <w:rsid w:val="00A04237"/>
    <w:rsid w:val="00A320ED"/>
    <w:rsid w:val="00A72F39"/>
    <w:rsid w:val="00A87135"/>
    <w:rsid w:val="00A905D5"/>
    <w:rsid w:val="00AF7744"/>
    <w:rsid w:val="00B17197"/>
    <w:rsid w:val="00B20C99"/>
    <w:rsid w:val="00B25498"/>
    <w:rsid w:val="00B94D22"/>
    <w:rsid w:val="00BA657C"/>
    <w:rsid w:val="00BE571E"/>
    <w:rsid w:val="00C01495"/>
    <w:rsid w:val="00C26DE1"/>
    <w:rsid w:val="00CF179F"/>
    <w:rsid w:val="00D12194"/>
    <w:rsid w:val="00D65932"/>
    <w:rsid w:val="00D8188B"/>
    <w:rsid w:val="00D921AC"/>
    <w:rsid w:val="00DC3550"/>
    <w:rsid w:val="00DE2C59"/>
    <w:rsid w:val="00DE57C8"/>
    <w:rsid w:val="00DF1C48"/>
    <w:rsid w:val="00DF795F"/>
    <w:rsid w:val="00E24228"/>
    <w:rsid w:val="00E245EE"/>
    <w:rsid w:val="00E541F2"/>
    <w:rsid w:val="00E9583C"/>
    <w:rsid w:val="00ED2D41"/>
    <w:rsid w:val="00ED30D8"/>
    <w:rsid w:val="00F27292"/>
    <w:rsid w:val="00F53AF9"/>
    <w:rsid w:val="00F6013E"/>
    <w:rsid w:val="00F9268A"/>
    <w:rsid w:val="00FB098C"/>
    <w:rsid w:val="00FB6F6C"/>
    <w:rsid w:val="00FE3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A64DC"/>
  <w15:chartTrackingRefBased/>
  <w15:docId w15:val="{D963EE28-F241-43D6-8196-6904B84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5D5"/>
    <w:rPr>
      <w:rFonts w:eastAsiaTheme="majorEastAsia" w:cstheme="majorBidi"/>
      <w:color w:val="272727" w:themeColor="text1" w:themeTint="D8"/>
    </w:rPr>
  </w:style>
  <w:style w:type="paragraph" w:styleId="Title">
    <w:name w:val="Title"/>
    <w:basedOn w:val="Normal"/>
    <w:next w:val="Normal"/>
    <w:link w:val="TitleChar"/>
    <w:uiPriority w:val="10"/>
    <w:qFormat/>
    <w:rsid w:val="00A9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D5"/>
    <w:pPr>
      <w:spacing w:before="160"/>
      <w:jc w:val="center"/>
    </w:pPr>
    <w:rPr>
      <w:i/>
      <w:iCs/>
      <w:color w:val="404040" w:themeColor="text1" w:themeTint="BF"/>
    </w:rPr>
  </w:style>
  <w:style w:type="character" w:customStyle="1" w:styleId="QuoteChar">
    <w:name w:val="Quote Char"/>
    <w:basedOn w:val="DefaultParagraphFont"/>
    <w:link w:val="Quote"/>
    <w:uiPriority w:val="29"/>
    <w:rsid w:val="00A905D5"/>
    <w:rPr>
      <w:i/>
      <w:iCs/>
      <w:color w:val="404040" w:themeColor="text1" w:themeTint="BF"/>
    </w:rPr>
  </w:style>
  <w:style w:type="paragraph" w:styleId="ListParagraph">
    <w:name w:val="List Paragraph"/>
    <w:basedOn w:val="Normal"/>
    <w:uiPriority w:val="34"/>
    <w:qFormat/>
    <w:rsid w:val="00A905D5"/>
    <w:pPr>
      <w:ind w:left="720"/>
      <w:contextualSpacing/>
    </w:pPr>
  </w:style>
  <w:style w:type="character" w:styleId="IntenseEmphasis">
    <w:name w:val="Intense Emphasis"/>
    <w:basedOn w:val="DefaultParagraphFont"/>
    <w:uiPriority w:val="21"/>
    <w:qFormat/>
    <w:rsid w:val="00A905D5"/>
    <w:rPr>
      <w:i/>
      <w:iCs/>
      <w:color w:val="2F5496" w:themeColor="accent1" w:themeShade="BF"/>
    </w:rPr>
  </w:style>
  <w:style w:type="paragraph" w:styleId="IntenseQuote">
    <w:name w:val="Intense Quote"/>
    <w:basedOn w:val="Normal"/>
    <w:next w:val="Normal"/>
    <w:link w:val="IntenseQuoteChar"/>
    <w:uiPriority w:val="30"/>
    <w:qFormat/>
    <w:rsid w:val="00A90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5D5"/>
    <w:rPr>
      <w:i/>
      <w:iCs/>
      <w:color w:val="2F5496" w:themeColor="accent1" w:themeShade="BF"/>
    </w:rPr>
  </w:style>
  <w:style w:type="character" w:styleId="IntenseReference">
    <w:name w:val="Intense Reference"/>
    <w:basedOn w:val="DefaultParagraphFont"/>
    <w:uiPriority w:val="32"/>
    <w:qFormat/>
    <w:rsid w:val="00A905D5"/>
    <w:rPr>
      <w:b/>
      <w:bCs/>
      <w:smallCaps/>
      <w:color w:val="2F5496" w:themeColor="accent1" w:themeShade="BF"/>
      <w:spacing w:val="5"/>
    </w:rPr>
  </w:style>
  <w:style w:type="character" w:styleId="Hyperlink">
    <w:name w:val="Hyperlink"/>
    <w:basedOn w:val="DefaultParagraphFont"/>
    <w:uiPriority w:val="99"/>
    <w:unhideWhenUsed/>
    <w:rsid w:val="008F7123"/>
    <w:rPr>
      <w:color w:val="0563C1" w:themeColor="hyperlink"/>
      <w:u w:val="single"/>
    </w:rPr>
  </w:style>
  <w:style w:type="character" w:styleId="UnresolvedMention">
    <w:name w:val="Unresolved Mention"/>
    <w:basedOn w:val="DefaultParagraphFont"/>
    <w:uiPriority w:val="99"/>
    <w:semiHidden/>
    <w:unhideWhenUsed/>
    <w:rsid w:val="008F7123"/>
    <w:rPr>
      <w:color w:val="605E5C"/>
      <w:shd w:val="clear" w:color="auto" w:fill="E1DFDD"/>
    </w:rPr>
  </w:style>
  <w:style w:type="character" w:styleId="Emphasis">
    <w:name w:val="Emphasis"/>
    <w:uiPriority w:val="20"/>
    <w:qFormat/>
    <w:rsid w:val="00A320ED"/>
    <w:rPr>
      <w:i/>
      <w:iCs/>
    </w:rPr>
  </w:style>
  <w:style w:type="paragraph" w:styleId="NormalWeb">
    <w:name w:val="Normal (Web)"/>
    <w:basedOn w:val="Normal"/>
    <w:uiPriority w:val="99"/>
    <w:semiHidden/>
    <w:unhideWhenUsed/>
    <w:rsid w:val="00E9583C"/>
    <w:rPr>
      <w:rFonts w:ascii="Times New Roman" w:hAnsi="Times New Roman" w:cs="Times New Roman"/>
    </w:rPr>
  </w:style>
  <w:style w:type="table" w:styleId="TableGrid">
    <w:name w:val="Table Grid"/>
    <w:basedOn w:val="TableNormal"/>
    <w:uiPriority w:val="59"/>
    <w:rsid w:val="0043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0D4"/>
  </w:style>
  <w:style w:type="paragraph" w:styleId="Footer">
    <w:name w:val="footer"/>
    <w:basedOn w:val="Normal"/>
    <w:link w:val="FooterChar"/>
    <w:uiPriority w:val="99"/>
    <w:unhideWhenUsed/>
    <w:rsid w:val="004B3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0D4"/>
  </w:style>
  <w:style w:type="character" w:styleId="LineNumber">
    <w:name w:val="line number"/>
    <w:basedOn w:val="DefaultParagraphFont"/>
    <w:uiPriority w:val="99"/>
    <w:semiHidden/>
    <w:unhideWhenUsed/>
    <w:rsid w:val="00D6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20.906.188" TargetMode="External"/><Relationship Id="rId18" Type="http://schemas.openxmlformats.org/officeDocument/2006/relationships/hyperlink" Target="https://doi.org/10.2134/agronj1955.00021962004700070009x" TargetMode="External"/><Relationship Id="rId26" Type="http://schemas.openxmlformats.org/officeDocument/2006/relationships/hyperlink" Target="https://www.fas.usda.gov/data/production/commodity/0422110" TargetMode="External"/><Relationship Id="rId3" Type="http://schemas.openxmlformats.org/officeDocument/2006/relationships/styles" Target="styles.xml"/><Relationship Id="rId21" Type="http://schemas.openxmlformats.org/officeDocument/2006/relationships/hyperlink" Target="http://www.thepharmajourna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bebooks.com/servlet/BookDetailsPL?bi=30860000000&amp;searchurl=isbn%3D9780471023104%26sortby%3D17" TargetMode="External"/><Relationship Id="rId17" Type="http://schemas.openxmlformats.org/officeDocument/2006/relationships/hyperlink" Target="https://doi.org/10.22271/phyto.2020.v9.i1w.10652" TargetMode="External"/><Relationship Id="rId25" Type="http://schemas.openxmlformats.org/officeDocument/2006/relationships/hyperlink" Target="https://doi.org/10.1007/s10722-020-01073-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0954/0974-1712.08.2019.1" TargetMode="External"/><Relationship Id="rId20" Type="http://schemas.openxmlformats.org/officeDocument/2006/relationships/hyperlink" Target="https://doi.org/10.30848/PAK.J.BO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10.1079/ejpb.2015.06.001" TargetMode="External"/><Relationship Id="rId24" Type="http://schemas.openxmlformats.org/officeDocument/2006/relationships/hyperlink" Target="https://www.cabidigitallibrary.org/doi/10.1079/CABICOMPENDIUM_197816618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34/agronj1953.00021962004500100005x" TargetMode="External"/><Relationship Id="rId23" Type="http://schemas.openxmlformats.org/officeDocument/2006/relationships/hyperlink" Target="https://doi.org/10.9734/jeai/2025/v47i93775" TargetMode="External"/><Relationship Id="rId28" Type="http://schemas.openxmlformats.org/officeDocument/2006/relationships/header" Target="header2.xml"/><Relationship Id="rId10" Type="http://schemas.openxmlformats.org/officeDocument/2006/relationships/hyperlink" Target="https://doi.org/10.17582/journal.pjar/2021/34.2.356.361" TargetMode="External"/><Relationship Id="rId19" Type="http://schemas.openxmlformats.org/officeDocument/2006/relationships/hyperlink" Target="https://doi.org/10.9734/cjast/2020/v39i103063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fspublishers.org/published_papers/11_245_MFA_2012_14_1_55_62.pdf" TargetMode="External"/><Relationship Id="rId22" Type="http://schemas.openxmlformats.org/officeDocument/2006/relationships/hyperlink" Target="https://www.thepharmajournal.com/archives/2022/vol11issue2/PartAL/11-2-10-900.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Excel%20rice\diversity\genetic_parameters_results.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xcel%20rice\diversity\genetic_parameters_results.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GCV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Sheet1!$A$2:$A$15</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Sheet1!$B$2:$B$15</c:f>
              <c:numCache>
                <c:formatCode>0.00;[Red]0.00</c:formatCode>
                <c:ptCount val="14"/>
                <c:pt idx="0">
                  <c:v>6.8335799622436602</c:v>
                </c:pt>
                <c:pt idx="1">
                  <c:v>7.8670516815697802</c:v>
                </c:pt>
                <c:pt idx="2">
                  <c:v>10.440286085806299</c:v>
                </c:pt>
                <c:pt idx="3">
                  <c:v>10.0196981622948</c:v>
                </c:pt>
                <c:pt idx="4">
                  <c:v>9.6300832366636193</c:v>
                </c:pt>
                <c:pt idx="5">
                  <c:v>4.24564774552743</c:v>
                </c:pt>
                <c:pt idx="6">
                  <c:v>4.1377329800644302</c:v>
                </c:pt>
                <c:pt idx="7">
                  <c:v>4.3792574923116501</c:v>
                </c:pt>
                <c:pt idx="8">
                  <c:v>6.7632025283279598</c:v>
                </c:pt>
                <c:pt idx="9">
                  <c:v>3.6308653621101898</c:v>
                </c:pt>
                <c:pt idx="10">
                  <c:v>2.5691249437155901</c:v>
                </c:pt>
                <c:pt idx="11">
                  <c:v>3.2152041452295701</c:v>
                </c:pt>
                <c:pt idx="12">
                  <c:v>12.812455745190199</c:v>
                </c:pt>
                <c:pt idx="13">
                  <c:v>4.7607156788487703</c:v>
                </c:pt>
              </c:numCache>
            </c:numRef>
          </c:val>
          <c:extLst>
            <c:ext xmlns:c16="http://schemas.microsoft.com/office/drawing/2014/chart" uri="{C3380CC4-5D6E-409C-BE32-E72D297353CC}">
              <c16:uniqueId val="{00000000-2ACE-4E75-B0DC-77133DFCB055}"/>
            </c:ext>
          </c:extLst>
        </c:ser>
        <c:ser>
          <c:idx val="1"/>
          <c:order val="1"/>
          <c:tx>
            <c:strRef>
              <c:f>Sheet1!$C$1</c:f>
              <c:strCache>
                <c:ptCount val="1"/>
                <c:pt idx="0">
                  <c:v>PCV</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Sheet1!$A$2:$A$15</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Sheet1!$C$2:$C$15</c:f>
              <c:numCache>
                <c:formatCode>0.00;[Red]0.00</c:formatCode>
                <c:ptCount val="14"/>
                <c:pt idx="0">
                  <c:v>7.2407682766400097</c:v>
                </c:pt>
                <c:pt idx="1">
                  <c:v>8.2442535017777896</c:v>
                </c:pt>
                <c:pt idx="2">
                  <c:v>10.753832298138599</c:v>
                </c:pt>
                <c:pt idx="3">
                  <c:v>10.3782422538939</c:v>
                </c:pt>
                <c:pt idx="4">
                  <c:v>9.9224582253185698</c:v>
                </c:pt>
                <c:pt idx="5">
                  <c:v>5.1127096571264596</c:v>
                </c:pt>
                <c:pt idx="6">
                  <c:v>5.02962094606562</c:v>
                </c:pt>
                <c:pt idx="7">
                  <c:v>4.7533780443331404</c:v>
                </c:pt>
                <c:pt idx="8">
                  <c:v>7.2298663988139902</c:v>
                </c:pt>
                <c:pt idx="9">
                  <c:v>4.4188155461562602</c:v>
                </c:pt>
                <c:pt idx="10">
                  <c:v>3.67919016413967</c:v>
                </c:pt>
                <c:pt idx="11">
                  <c:v>4.1542768721059797</c:v>
                </c:pt>
                <c:pt idx="12">
                  <c:v>13.1245772089963</c:v>
                </c:pt>
                <c:pt idx="13">
                  <c:v>5.3386400677041097</c:v>
                </c:pt>
              </c:numCache>
            </c:numRef>
          </c:val>
          <c:extLst>
            <c:ext xmlns:c16="http://schemas.microsoft.com/office/drawing/2014/chart" uri="{C3380CC4-5D6E-409C-BE32-E72D297353CC}">
              <c16:uniqueId val="{00000001-2ACE-4E75-B0DC-77133DFCB055}"/>
            </c:ext>
          </c:extLst>
        </c:ser>
        <c:dLbls>
          <c:showLegendKey val="0"/>
          <c:showVal val="0"/>
          <c:showCatName val="0"/>
          <c:showSerName val="0"/>
          <c:showPercent val="0"/>
          <c:showBubbleSize val="0"/>
        </c:dLbls>
        <c:gapWidth val="150"/>
        <c:shape val="box"/>
        <c:axId val="219337472"/>
        <c:axId val="236688512"/>
        <c:axId val="304984512"/>
      </c:bar3DChart>
      <c:catAx>
        <c:axId val="2193374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36688512"/>
        <c:crosses val="autoZero"/>
        <c:auto val="1"/>
        <c:lblAlgn val="ctr"/>
        <c:lblOffset val="100"/>
        <c:noMultiLvlLbl val="0"/>
      </c:catAx>
      <c:valAx>
        <c:axId val="23668851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9337472"/>
        <c:crosses val="autoZero"/>
        <c:crossBetween val="between"/>
      </c:valAx>
      <c:serAx>
        <c:axId val="304984512"/>
        <c:scaling>
          <c:orientation val="minMax"/>
        </c:scaling>
        <c:delete val="1"/>
        <c:axPos val="b"/>
        <c:majorTickMark val="none"/>
        <c:minorTickMark val="none"/>
        <c:tickLblPos val="nextTo"/>
        <c:crossAx val="236688512"/>
        <c:crosses val="autoZero"/>
      </c:ser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ayout>
        <c:manualLayout>
          <c:xMode val="edge"/>
          <c:yMode val="edge"/>
          <c:x val="0.41403368328958878"/>
          <c:y val="0.77448989227147669"/>
          <c:w val="0.15908565214208781"/>
          <c:h val="8.98209691229679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Sheet1!$B$19</c:f>
              <c:strCache>
                <c:ptCount val="1"/>
                <c:pt idx="0">
                  <c:v>Heritability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Sheet1!$A$20:$A$33</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Sheet1!$B$20:$B$33</c:f>
              <c:numCache>
                <c:formatCode>General</c:formatCode>
                <c:ptCount val="14"/>
                <c:pt idx="0">
                  <c:v>89.07</c:v>
                </c:pt>
                <c:pt idx="1">
                  <c:v>91.06</c:v>
                </c:pt>
                <c:pt idx="2">
                  <c:v>94.25</c:v>
                </c:pt>
                <c:pt idx="3">
                  <c:v>93.21</c:v>
                </c:pt>
                <c:pt idx="4">
                  <c:v>94.19</c:v>
                </c:pt>
                <c:pt idx="5">
                  <c:v>68.959999999999994</c:v>
                </c:pt>
                <c:pt idx="6">
                  <c:v>67.680000000000007</c:v>
                </c:pt>
                <c:pt idx="7">
                  <c:v>84.88</c:v>
                </c:pt>
                <c:pt idx="8">
                  <c:v>87.51</c:v>
                </c:pt>
                <c:pt idx="9">
                  <c:v>67.52</c:v>
                </c:pt>
                <c:pt idx="10">
                  <c:v>48.76</c:v>
                </c:pt>
                <c:pt idx="11">
                  <c:v>59.9</c:v>
                </c:pt>
                <c:pt idx="12">
                  <c:v>95.3</c:v>
                </c:pt>
                <c:pt idx="13">
                  <c:v>79.52</c:v>
                </c:pt>
              </c:numCache>
            </c:numRef>
          </c:val>
          <c:extLst>
            <c:ext xmlns:c16="http://schemas.microsoft.com/office/drawing/2014/chart" uri="{C3380CC4-5D6E-409C-BE32-E72D297353CC}">
              <c16:uniqueId val="{00000000-77A3-4490-9017-06A9BD6AAAB3}"/>
            </c:ext>
          </c:extLst>
        </c:ser>
        <c:ser>
          <c:idx val="1"/>
          <c:order val="1"/>
          <c:tx>
            <c:strRef>
              <c:f>Sheet1!$C$19</c:f>
              <c:strCache>
                <c:ptCount val="1"/>
                <c:pt idx="0">
                  <c:v>GA % of Mean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Sheet1!$A$20:$A$33</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Sheet1!$C$20:$C$33</c:f>
              <c:numCache>
                <c:formatCode>0.00;[Red]0.00</c:formatCode>
                <c:ptCount val="14"/>
                <c:pt idx="0">
                  <c:v>13.2855375882044</c:v>
                </c:pt>
                <c:pt idx="1">
                  <c:v>15.4646426657206</c:v>
                </c:pt>
                <c:pt idx="2">
                  <c:v>20.879916600432502</c:v>
                </c:pt>
                <c:pt idx="3">
                  <c:v>19.927494323540301</c:v>
                </c:pt>
                <c:pt idx="4">
                  <c:v>19.2534261309737</c:v>
                </c:pt>
                <c:pt idx="5">
                  <c:v>7.2627986987667796</c:v>
                </c:pt>
                <c:pt idx="6">
                  <c:v>7.0122418487765801</c:v>
                </c:pt>
                <c:pt idx="7">
                  <c:v>8.3112400845272791</c:v>
                </c:pt>
                <c:pt idx="8">
                  <c:v>13.032920138077699</c:v>
                </c:pt>
                <c:pt idx="9">
                  <c:v>6.1458454802062201</c:v>
                </c:pt>
                <c:pt idx="10">
                  <c:v>3.6956040663388698</c:v>
                </c:pt>
                <c:pt idx="11">
                  <c:v>5.1261214185605004</c:v>
                </c:pt>
                <c:pt idx="12">
                  <c:v>25.765979383051</c:v>
                </c:pt>
                <c:pt idx="13">
                  <c:v>8.7454280086429907</c:v>
                </c:pt>
              </c:numCache>
            </c:numRef>
          </c:val>
          <c:extLst>
            <c:ext xmlns:c16="http://schemas.microsoft.com/office/drawing/2014/chart" uri="{C3380CC4-5D6E-409C-BE32-E72D297353CC}">
              <c16:uniqueId val="{00000001-77A3-4490-9017-06A9BD6AAAB3}"/>
            </c:ext>
          </c:extLst>
        </c:ser>
        <c:dLbls>
          <c:showLegendKey val="0"/>
          <c:showVal val="0"/>
          <c:showCatName val="0"/>
          <c:showSerName val="0"/>
          <c:showPercent val="0"/>
          <c:showBubbleSize val="0"/>
        </c:dLbls>
        <c:gapWidth val="100"/>
        <c:overlap val="-24"/>
        <c:axId val="102642432"/>
        <c:axId val="102643968"/>
      </c:barChart>
      <c:catAx>
        <c:axId val="102642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2643968"/>
        <c:crosses val="autoZero"/>
        <c:auto val="1"/>
        <c:lblAlgn val="ctr"/>
        <c:lblOffset val="100"/>
        <c:noMultiLvlLbl val="0"/>
      </c:catAx>
      <c:valAx>
        <c:axId val="10264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264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44D6-A490-4111-9CD0-AFA28C0B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satvinder singh</dc:creator>
  <cp:keywords/>
  <dc:description/>
  <cp:lastModifiedBy>SDI 1084</cp:lastModifiedBy>
  <cp:revision>52</cp:revision>
  <dcterms:created xsi:type="dcterms:W3CDTF">2025-11-28T11:28:00Z</dcterms:created>
  <dcterms:modified xsi:type="dcterms:W3CDTF">2025-12-01T09:58:00Z</dcterms:modified>
</cp:coreProperties>
</file>