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BB623" w14:textId="77777777" w:rsidR="00FD08BF" w:rsidRDefault="00FD08BF">
      <w:pPr>
        <w:spacing w:before="240" w:after="240"/>
        <w:jc w:val="both"/>
        <w:rPr>
          <w:rFonts w:ascii="Times New Roman" w:eastAsia="Times New Roman" w:hAnsi="Times New Roman" w:cs="Times New Roman"/>
          <w:b/>
          <w:bCs/>
          <w:sz w:val="24"/>
          <w:szCs w:val="24"/>
        </w:rPr>
      </w:pPr>
      <w:r w:rsidRPr="00FD08BF">
        <w:rPr>
          <w:rFonts w:ascii="Times New Roman" w:eastAsia="Times New Roman" w:hAnsi="Times New Roman" w:cs="Times New Roman"/>
          <w:b/>
          <w:bCs/>
          <w:sz w:val="24"/>
          <w:szCs w:val="24"/>
        </w:rPr>
        <w:t>Computational Identification and Immunoinformatic Design of a Multiepitope Vaccine Candidate Against Marburg Virus Disease Using Reverse Vaccinology</w:t>
      </w:r>
    </w:p>
    <w:p w14:paraId="19D38A11" w14:textId="77777777" w:rsidR="00FD08BF" w:rsidRDefault="00FD08BF">
      <w:pPr>
        <w:spacing w:before="240" w:after="240"/>
        <w:jc w:val="both"/>
        <w:rPr>
          <w:rFonts w:ascii="Times New Roman" w:eastAsia="Times New Roman" w:hAnsi="Times New Roman" w:cs="Times New Roman"/>
          <w:b/>
          <w:bCs/>
          <w:sz w:val="24"/>
          <w:szCs w:val="24"/>
        </w:rPr>
      </w:pPr>
    </w:p>
    <w:p w14:paraId="4A455667" w14:textId="75528F77" w:rsidR="00FD08BF" w:rsidRDefault="00FD08BF">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w:t>
      </w:r>
    </w:p>
    <w:p w14:paraId="488B3C25" w14:textId="002E13AE" w:rsidR="00FD08BF" w:rsidRPr="00FD08BF" w:rsidRDefault="00FD08BF">
      <w:pPr>
        <w:spacing w:before="240" w:after="240"/>
        <w:jc w:val="both"/>
        <w:rPr>
          <w:rFonts w:ascii="Times New Roman" w:eastAsia="Times New Roman" w:hAnsi="Times New Roman" w:cs="Times New Roman"/>
          <w:sz w:val="24"/>
          <w:szCs w:val="24"/>
        </w:rPr>
      </w:pPr>
      <w:r w:rsidRPr="00FD08BF">
        <w:rPr>
          <w:rFonts w:ascii="Times New Roman" w:eastAsia="Times New Roman" w:hAnsi="Times New Roman" w:cs="Times New Roman"/>
          <w:sz w:val="24"/>
          <w:szCs w:val="24"/>
        </w:rPr>
        <w:t xml:space="preserve">Marburg virus disease (MVD) is a highly lethal hemorrhagic fever caused by Marburg virus, a priority pathogen with no approved vaccines or antiviral treatments. In this study, an integrated reverse vaccinology and </w:t>
      </w:r>
      <w:proofErr w:type="spellStart"/>
      <w:r w:rsidRPr="00FD08BF">
        <w:rPr>
          <w:rFonts w:ascii="Times New Roman" w:eastAsia="Times New Roman" w:hAnsi="Times New Roman" w:cs="Times New Roman"/>
          <w:sz w:val="24"/>
          <w:szCs w:val="24"/>
        </w:rPr>
        <w:t>immunoinformatics</w:t>
      </w:r>
      <w:proofErr w:type="spellEnd"/>
      <w:r w:rsidRPr="00FD08BF">
        <w:rPr>
          <w:rFonts w:ascii="Times New Roman" w:eastAsia="Times New Roman" w:hAnsi="Times New Roman" w:cs="Times New Roman"/>
          <w:sz w:val="24"/>
          <w:szCs w:val="24"/>
        </w:rPr>
        <w:t xml:space="preserve"> pipeline was employed to systematically screen the Marburg virus proteome and identify immunodominant B-cell, CD8⁺ T-cell, and CD4⁺ T-cell epitopes suitable for multiepitope vaccine design. Physicochemical and structural analyses revealed the viral glycoprotein and nucleoprotein as the most antigenically relevant proteins, with the glycoprotein exhibiting extensive surface-exposed and allele-promiscuous epitope clusters. High-affinity MHC class I and II epitopes, along with accessible B-cell epitopes, were further validated through molecular docking with representative HLA alleles and neutralizing antibodies. A 284-amino-acid multiepitope vaccine construct incorporating hBD-3 adjuvant, PADRE sequence, CTL epitopes, HTL epitopes, and B-cell epitopes was subseque</w:t>
      </w:r>
      <w:bookmarkStart w:id="0" w:name="_GoBack"/>
      <w:bookmarkEnd w:id="0"/>
      <w:r w:rsidRPr="00FD08BF">
        <w:rPr>
          <w:rFonts w:ascii="Times New Roman" w:eastAsia="Times New Roman" w:hAnsi="Times New Roman" w:cs="Times New Roman"/>
          <w:sz w:val="24"/>
          <w:szCs w:val="24"/>
        </w:rPr>
        <w:t>ntly designed using optimized linker arrangements. Bioinformatic validation demonstrated that the construct is highly antigenic, non-allergenic, non-toxic, structurally stable, and predicted to elicit strong humoral and cellular immune responses. These findings provide a robust computational foundation for developing an effective vaccine against Marburg virus, warranting further experimental and preclinical evaluation.</w:t>
      </w:r>
    </w:p>
    <w:p w14:paraId="5CC53249" w14:textId="77777777" w:rsidR="00FD08BF" w:rsidRPr="00FD08BF" w:rsidRDefault="00FD08BF" w:rsidP="00FD08BF">
      <w:pPr>
        <w:spacing w:before="240" w:after="240"/>
        <w:jc w:val="both"/>
        <w:rPr>
          <w:rFonts w:ascii="Times New Roman" w:eastAsia="Times New Roman" w:hAnsi="Times New Roman" w:cs="Times New Roman"/>
          <w:b/>
          <w:bCs/>
          <w:sz w:val="24"/>
          <w:szCs w:val="24"/>
          <w:lang w:val="en-IN"/>
        </w:rPr>
      </w:pPr>
      <w:r w:rsidRPr="00FD08BF">
        <w:rPr>
          <w:rFonts w:ascii="Times New Roman" w:eastAsia="Times New Roman" w:hAnsi="Times New Roman" w:cs="Times New Roman"/>
          <w:b/>
          <w:bCs/>
          <w:sz w:val="24"/>
          <w:szCs w:val="24"/>
          <w:lang w:val="en-IN"/>
        </w:rPr>
        <w:t>Keywords</w:t>
      </w:r>
    </w:p>
    <w:p w14:paraId="1730FDD7" w14:textId="48D2453C" w:rsidR="00FD08BF" w:rsidRDefault="00FD08BF">
      <w:pPr>
        <w:spacing w:before="240" w:after="240"/>
        <w:jc w:val="both"/>
        <w:rPr>
          <w:rFonts w:ascii="Times New Roman" w:eastAsia="Times New Roman" w:hAnsi="Times New Roman" w:cs="Times New Roman"/>
          <w:sz w:val="24"/>
          <w:szCs w:val="24"/>
        </w:rPr>
      </w:pPr>
      <w:r w:rsidRPr="00FD08BF">
        <w:rPr>
          <w:rFonts w:ascii="Times New Roman" w:eastAsia="Times New Roman" w:hAnsi="Times New Roman" w:cs="Times New Roman"/>
          <w:sz w:val="24"/>
          <w:szCs w:val="24"/>
        </w:rPr>
        <w:t xml:space="preserve">B-cell epitopes; Filoviruses; Glycoprotein; </w:t>
      </w:r>
      <w:proofErr w:type="spellStart"/>
      <w:r w:rsidRPr="00FD08BF">
        <w:rPr>
          <w:rFonts w:ascii="Times New Roman" w:eastAsia="Times New Roman" w:hAnsi="Times New Roman" w:cs="Times New Roman"/>
          <w:sz w:val="24"/>
          <w:szCs w:val="24"/>
        </w:rPr>
        <w:t>Immunoinformatics</w:t>
      </w:r>
      <w:proofErr w:type="spellEnd"/>
      <w:r w:rsidRPr="00FD08BF">
        <w:rPr>
          <w:rFonts w:ascii="Times New Roman" w:eastAsia="Times New Roman" w:hAnsi="Times New Roman" w:cs="Times New Roman"/>
          <w:sz w:val="24"/>
          <w:szCs w:val="24"/>
        </w:rPr>
        <w:t>; Marburg virus; Multiepitope vaccine; Reverse vaccinology; T-cell epitopes; Vaccine design; Viral proteome</w:t>
      </w:r>
    </w:p>
    <w:p w14:paraId="5103B688" w14:textId="5816CAFF" w:rsidR="00FD08BF" w:rsidRPr="00A03A73" w:rsidRDefault="00FD08BF" w:rsidP="00A03A73">
      <w:pPr>
        <w:pStyle w:val="ListParagraph"/>
        <w:numPr>
          <w:ilvl w:val="0"/>
          <w:numId w:val="4"/>
        </w:numPr>
        <w:spacing w:before="240" w:after="240"/>
        <w:jc w:val="both"/>
        <w:rPr>
          <w:rFonts w:ascii="Times New Roman" w:eastAsia="Times New Roman" w:hAnsi="Times New Roman" w:cs="Times New Roman"/>
          <w:b/>
          <w:bCs/>
          <w:sz w:val="24"/>
          <w:szCs w:val="24"/>
        </w:rPr>
      </w:pPr>
      <w:r w:rsidRPr="00A03A73">
        <w:rPr>
          <w:rFonts w:ascii="Times New Roman" w:eastAsia="Times New Roman" w:hAnsi="Times New Roman" w:cs="Times New Roman"/>
          <w:b/>
          <w:bCs/>
          <w:sz w:val="24"/>
          <w:szCs w:val="24"/>
        </w:rPr>
        <w:t>Introduction</w:t>
      </w:r>
    </w:p>
    <w:p w14:paraId="51726266" w14:textId="653757D2"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M</w:t>
      </w:r>
      <w:r w:rsidRPr="007B703E">
        <w:rPr>
          <w:rFonts w:ascii="Times New Roman" w:eastAsia="Times New Roman" w:hAnsi="Times New Roman" w:cs="Times New Roman"/>
          <w:sz w:val="24"/>
          <w:szCs w:val="24"/>
        </w:rPr>
        <w:t>arburg virus disease (MVD) is a severe, often fatal hemorrhagic fever caused by the Marburg virus (MARV), a highly pathogenic member of the Filoviridae family, which also includes Ebola virus [24]. Since its initial discovery in 1967, MVD outbreaks have re</w:t>
      </w:r>
      <w:r w:rsidRPr="007B703E">
        <w:rPr>
          <w:rFonts w:ascii="Times New Roman" w:eastAsia="Times New Roman" w:hAnsi="Times New Roman" w:cs="Times New Roman"/>
          <w:sz w:val="24"/>
          <w:szCs w:val="24"/>
        </w:rPr>
        <w:t>peatedly occurred across sub-Saharan Africa, with case fatality rates (CFRs) historically ranging from 23% to as high as 90%, contingent upon the specific outbreak and the quality of available medical care [4, 6]. MARV is a zoonotic pathogen, transmitted f</w:t>
      </w:r>
      <w:r w:rsidRPr="007B703E">
        <w:rPr>
          <w:rFonts w:ascii="Times New Roman" w:eastAsia="Times New Roman" w:hAnsi="Times New Roman" w:cs="Times New Roman"/>
          <w:sz w:val="24"/>
          <w:szCs w:val="24"/>
        </w:rPr>
        <w:t>rom the Egyptian fruit bat reservoir, causing human infection via direct contact with infected bodily fluids or contaminated materials [24]. Following an incubation period of 2–21 days, the disease typically progresses to high fever, multi-organ failure, s</w:t>
      </w:r>
      <w:r w:rsidRPr="007B703E">
        <w:rPr>
          <w:rFonts w:ascii="Times New Roman" w:eastAsia="Times New Roman" w:hAnsi="Times New Roman" w:cs="Times New Roman"/>
          <w:sz w:val="24"/>
          <w:szCs w:val="24"/>
        </w:rPr>
        <w:t xml:space="preserve">evere hemorrhage, and subsequent death [4, 24]. Critically, no vaccines or targeted antiviral </w:t>
      </w:r>
      <w:r w:rsidRPr="007B703E">
        <w:rPr>
          <w:rFonts w:ascii="Times New Roman" w:eastAsia="Times New Roman" w:hAnsi="Times New Roman" w:cs="Times New Roman"/>
          <w:sz w:val="24"/>
          <w:szCs w:val="24"/>
        </w:rPr>
        <w:lastRenderedPageBreak/>
        <w:t>therapeutics are currently approved for MVD; treatment remains limited to supportive care, which must be administered early to significantly improve survival rate</w:t>
      </w:r>
      <w:r w:rsidRPr="007B703E">
        <w:rPr>
          <w:rFonts w:ascii="Times New Roman" w:eastAsia="Times New Roman" w:hAnsi="Times New Roman" w:cs="Times New Roman"/>
          <w:sz w:val="24"/>
          <w:szCs w:val="24"/>
        </w:rPr>
        <w:t>s [24].</w:t>
      </w:r>
    </w:p>
    <w:p w14:paraId="2C35BE3E"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The traditional paradigm of vaccine development, relying on culturing live or attenuated virus forms, presents significant challenges, particularly for highly infectious, priority pathogens like MARV [6]. This approach is inherently time-intensive </w:t>
      </w:r>
      <w:r w:rsidRPr="007B703E">
        <w:rPr>
          <w:rFonts w:ascii="Times New Roman" w:eastAsia="Times New Roman" w:hAnsi="Times New Roman" w:cs="Times New Roman"/>
          <w:sz w:val="24"/>
          <w:szCs w:val="24"/>
        </w:rPr>
        <w:t>and capital-intensive, necessitating high-level biosafety containment (BSL-3/4) to safeguard researchers [6]. Furthermore, conventional methods struggle to rapidly adapt to the high evolutionary rate of RNA viruses, where genomic mutations can compromise v</w:t>
      </w:r>
      <w:r w:rsidRPr="007B703E">
        <w:rPr>
          <w:rFonts w:ascii="Times New Roman" w:eastAsia="Times New Roman" w:hAnsi="Times New Roman" w:cs="Times New Roman"/>
          <w:sz w:val="24"/>
          <w:szCs w:val="24"/>
        </w:rPr>
        <w:t>accine effectiveness, making the development of long-lasting and broad-spectrum candidates difficult in response to emerging outbreaks [15].</w:t>
      </w:r>
    </w:p>
    <w:p w14:paraId="24D02C8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To circumvent these limitations, Reverse Vaccinology (RV) has emerged as a powerful, computational alternative [19,</w:t>
      </w:r>
      <w:r w:rsidRPr="007B703E">
        <w:rPr>
          <w:rFonts w:ascii="Times New Roman" w:eastAsia="Times New Roman" w:hAnsi="Times New Roman" w:cs="Times New Roman"/>
          <w:sz w:val="24"/>
          <w:szCs w:val="24"/>
        </w:rPr>
        <w:t xml:space="preserve"> 21]. This </w:t>
      </w:r>
      <w:r w:rsidRPr="007B703E">
        <w:rPr>
          <w:rFonts w:ascii="Times New Roman" w:eastAsia="Times New Roman" w:hAnsi="Times New Roman" w:cs="Times New Roman"/>
          <w:i/>
          <w:iCs/>
          <w:sz w:val="24"/>
          <w:szCs w:val="24"/>
        </w:rPr>
        <w:t>in silico</w:t>
      </w:r>
      <w:r w:rsidRPr="007B703E">
        <w:rPr>
          <w:rFonts w:ascii="Times New Roman" w:eastAsia="Times New Roman" w:hAnsi="Times New Roman" w:cs="Times New Roman"/>
          <w:sz w:val="24"/>
          <w:szCs w:val="24"/>
        </w:rPr>
        <w:t xml:space="preserve"> strategy utilizes the pathogen's complete genomic and proteomic sequence data to systematically identify the most promising antigens and their respective epitopes [22]. By focusing on specific, immunologically-relevant molecular target</w:t>
      </w:r>
      <w:r w:rsidRPr="007B703E">
        <w:rPr>
          <w:rFonts w:ascii="Times New Roman" w:eastAsia="Times New Roman" w:hAnsi="Times New Roman" w:cs="Times New Roman"/>
          <w:sz w:val="24"/>
          <w:szCs w:val="24"/>
        </w:rPr>
        <w:t>s—rather than manipulating the whole virus—RV drastically enhances the safety and speed of the discovery process [6, 24]. The RV approach leverages extensive biological databases and predictive software to efficiently screen for components that are most li</w:t>
      </w:r>
      <w:r w:rsidRPr="007B703E">
        <w:rPr>
          <w:rFonts w:ascii="Times New Roman" w:eastAsia="Times New Roman" w:hAnsi="Times New Roman" w:cs="Times New Roman"/>
          <w:sz w:val="24"/>
          <w:szCs w:val="24"/>
        </w:rPr>
        <w:t>kely to elicit a robust, protective immune response, effectively bypassing the time-consuming and hazardous steps of virus culture and inactivation [23, 8]. This makes RV exceptionally well-suited for rapid response during sudden outbreaks involving fast-m</w:t>
      </w:r>
      <w:r w:rsidRPr="007B703E">
        <w:rPr>
          <w:rFonts w:ascii="Times New Roman" w:eastAsia="Times New Roman" w:hAnsi="Times New Roman" w:cs="Times New Roman"/>
          <w:sz w:val="24"/>
          <w:szCs w:val="24"/>
        </w:rPr>
        <w:t>utating or highly virulent pathogens like MARV [6, 24].</w:t>
      </w:r>
    </w:p>
    <w:p w14:paraId="61495FB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The identification and precise prediction of T-cell and B-cell epitopes is a cornerstone of modern subunit vaccine design [14, 16]. The adaptive arm of the human immune system relies on T-lymphocytes </w:t>
      </w:r>
      <w:r w:rsidRPr="007B703E">
        <w:rPr>
          <w:rFonts w:ascii="Times New Roman" w:eastAsia="Times New Roman" w:hAnsi="Times New Roman" w:cs="Times New Roman"/>
          <w:sz w:val="24"/>
          <w:szCs w:val="24"/>
        </w:rPr>
        <w:t>(T cells) and B-lymphocytes (B cells) to mount a pathogen-specific defense [1, 5]. T-cell epitopes are peptides presented by Major Histocompatibility Complex (MHC) molecules, activating Cytotoxic T-lymphocytes (CTLs) to destroy infected cells (MHC Class I)</w:t>
      </w:r>
      <w:r w:rsidRPr="007B703E">
        <w:rPr>
          <w:rFonts w:ascii="Times New Roman" w:eastAsia="Times New Roman" w:hAnsi="Times New Roman" w:cs="Times New Roman"/>
          <w:sz w:val="24"/>
          <w:szCs w:val="24"/>
        </w:rPr>
        <w:t xml:space="preserve"> or T-helper lymphocytes (HTLs) to coordinate the overall immune response (MHC Class II) [1, 23]. B-cell epitopes, which are distinct structural features on the antigen surface, trigger B cells to produce neutralizing antibodies as part of the humoral immu</w:t>
      </w:r>
      <w:r w:rsidRPr="007B703E">
        <w:rPr>
          <w:rFonts w:ascii="Times New Roman" w:eastAsia="Times New Roman" w:hAnsi="Times New Roman" w:cs="Times New Roman"/>
          <w:sz w:val="24"/>
          <w:szCs w:val="24"/>
        </w:rPr>
        <w:t xml:space="preserve">ne response [14]. Sophisticated bioinformatics tools, including MHC Class I and II binding predictors and B-cell epitope prediction algorithms, allow researchers to computationally model the interaction between viral proteins and immune receptors [14, 16, </w:t>
      </w:r>
      <w:r w:rsidRPr="007B703E">
        <w:rPr>
          <w:rFonts w:ascii="Times New Roman" w:eastAsia="Times New Roman" w:hAnsi="Times New Roman" w:cs="Times New Roman"/>
          <w:sz w:val="24"/>
          <w:szCs w:val="24"/>
        </w:rPr>
        <w:t>23]. This focused approach dramatically reduces the experimental search space, accelerating the transition from sequence data to viable vaccine candidates.</w:t>
      </w:r>
    </w:p>
    <w:p w14:paraId="56E977B9"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The Marburg virus has gained renewed global attention following recent outbreaks in Ghana (2022) and</w:t>
      </w:r>
      <w:r w:rsidRPr="007B703E">
        <w:rPr>
          <w:rFonts w:ascii="Times New Roman" w:eastAsia="Times New Roman" w:hAnsi="Times New Roman" w:cs="Times New Roman"/>
          <w:sz w:val="24"/>
          <w:szCs w:val="24"/>
        </w:rPr>
        <w:t xml:space="preserve"> Equatorial Guinea (2023), further confirming the urgent necessity for effective preventive strategies [6, 24]. Despite its high fatality rates and its designation as a priority pathogen by the World Health Organization (WHO) [24], MARV research and vaccin</w:t>
      </w:r>
      <w:r w:rsidRPr="007B703E">
        <w:rPr>
          <w:rFonts w:ascii="Times New Roman" w:eastAsia="Times New Roman" w:hAnsi="Times New Roman" w:cs="Times New Roman"/>
          <w:sz w:val="24"/>
          <w:szCs w:val="24"/>
        </w:rPr>
        <w:t xml:space="preserve">e development efforts severely lag behind those for comparable filoviruses, such as Ebola, or high-profile diseases like COVID-19 [6, 15]. This critical lack of an approved, readily available vaccine leaves vulnerable </w:t>
      </w:r>
      <w:r w:rsidRPr="007B703E">
        <w:rPr>
          <w:rFonts w:ascii="Times New Roman" w:eastAsia="Times New Roman" w:hAnsi="Times New Roman" w:cs="Times New Roman"/>
          <w:sz w:val="24"/>
          <w:szCs w:val="24"/>
        </w:rPr>
        <w:lastRenderedPageBreak/>
        <w:t>populations, particularly those in low</w:t>
      </w:r>
      <w:r w:rsidRPr="007B703E">
        <w:rPr>
          <w:rFonts w:ascii="Times New Roman" w:eastAsia="Times New Roman" w:hAnsi="Times New Roman" w:cs="Times New Roman"/>
          <w:sz w:val="24"/>
          <w:szCs w:val="24"/>
        </w:rPr>
        <w:t>-resource settings, highly susceptible to MVD [24]. This study addresses this significant public health gap by employing a robust Reverse Vaccinology pipeline to systematically identify and predict novel multi-epitope vaccine candidates for the Marburg vir</w:t>
      </w:r>
      <w:r w:rsidRPr="007B703E">
        <w:rPr>
          <w:rFonts w:ascii="Times New Roman" w:eastAsia="Times New Roman" w:hAnsi="Times New Roman" w:cs="Times New Roman"/>
          <w:sz w:val="24"/>
          <w:szCs w:val="24"/>
        </w:rPr>
        <w:t xml:space="preserve">us [22]. By integrating high-throughput genomic data analysis with rigorous </w:t>
      </w:r>
      <w:proofErr w:type="spellStart"/>
      <w:r w:rsidRPr="007B703E">
        <w:rPr>
          <w:rFonts w:ascii="Times New Roman" w:eastAsia="Times New Roman" w:hAnsi="Times New Roman" w:cs="Times New Roman"/>
          <w:sz w:val="24"/>
          <w:szCs w:val="24"/>
        </w:rPr>
        <w:t>immunoinformatics</w:t>
      </w:r>
      <w:proofErr w:type="spellEnd"/>
      <w:r w:rsidRPr="007B703E">
        <w:rPr>
          <w:rFonts w:ascii="Times New Roman" w:eastAsia="Times New Roman" w:hAnsi="Times New Roman" w:cs="Times New Roman"/>
          <w:sz w:val="24"/>
          <w:szCs w:val="24"/>
        </w:rPr>
        <w:t xml:space="preserve"> screening tools, our approach offers a faster, more adaptable, and safer strategy for vaccine target discovery. This </w:t>
      </w:r>
      <w:r w:rsidRPr="007B703E">
        <w:rPr>
          <w:rFonts w:ascii="Times New Roman" w:eastAsia="Times New Roman" w:hAnsi="Times New Roman" w:cs="Times New Roman"/>
          <w:i/>
          <w:iCs/>
          <w:sz w:val="24"/>
          <w:szCs w:val="24"/>
        </w:rPr>
        <w:t>in silico</w:t>
      </w:r>
      <w:r w:rsidRPr="007B703E">
        <w:rPr>
          <w:rFonts w:ascii="Times New Roman" w:eastAsia="Times New Roman" w:hAnsi="Times New Roman" w:cs="Times New Roman"/>
          <w:sz w:val="24"/>
          <w:szCs w:val="24"/>
        </w:rPr>
        <w:t xml:space="preserve"> methodology holds the potential to </w:t>
      </w:r>
      <w:r w:rsidRPr="007B703E">
        <w:rPr>
          <w:rFonts w:ascii="Times New Roman" w:eastAsia="Times New Roman" w:hAnsi="Times New Roman" w:cs="Times New Roman"/>
          <w:sz w:val="24"/>
          <w:szCs w:val="24"/>
        </w:rPr>
        <w:t>significantly improve outbreak preparedness and response, particularly benefiting regions where traditional, resource-intensive vaccine manufacturing is impractical.</w:t>
      </w:r>
    </w:p>
    <w:p w14:paraId="55A2CD4C" w14:textId="77777777" w:rsidR="003A3F0C" w:rsidRPr="007B703E" w:rsidRDefault="001C164D" w:rsidP="00A03A73">
      <w:pPr>
        <w:pStyle w:val="Heading1"/>
        <w:keepNext w:val="0"/>
        <w:keepLines w:val="0"/>
        <w:numPr>
          <w:ilvl w:val="0"/>
          <w:numId w:val="4"/>
        </w:numPr>
        <w:spacing w:before="480"/>
        <w:jc w:val="both"/>
        <w:rPr>
          <w:rFonts w:ascii="Times New Roman" w:eastAsia="Times New Roman" w:hAnsi="Times New Roman" w:cs="Times New Roman"/>
          <w:i/>
          <w:iCs/>
          <w:sz w:val="24"/>
          <w:szCs w:val="24"/>
        </w:rPr>
      </w:pPr>
      <w:bookmarkStart w:id="1" w:name="_qhv654a44n16" w:colFirst="0" w:colLast="0"/>
      <w:bookmarkEnd w:id="1"/>
      <w:r w:rsidRPr="007B703E">
        <w:rPr>
          <w:rFonts w:ascii="Times New Roman" w:eastAsia="Times New Roman" w:hAnsi="Times New Roman" w:cs="Times New Roman"/>
          <w:b/>
          <w:bCs/>
          <w:sz w:val="24"/>
          <w:szCs w:val="24"/>
        </w:rPr>
        <w:t>Materials and Methods</w:t>
      </w:r>
    </w:p>
    <w:p w14:paraId="61AAB55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This study on MVD employed an in-silico reverse vaccinology workflow</w:t>
      </w:r>
      <w:r w:rsidRPr="007B703E">
        <w:rPr>
          <w:rFonts w:ascii="Times New Roman" w:eastAsia="Times New Roman" w:hAnsi="Times New Roman" w:cs="Times New Roman"/>
          <w:sz w:val="24"/>
          <w:szCs w:val="24"/>
        </w:rPr>
        <w:t xml:space="preserve"> to systematically identify and evaluate candidate epitopes from the Marburg virus proteome for multi-epitope vaccine (MEV) design [19,21,22]. Each analytic stage was selected to ensure rigor, reproducibility, and biosafety by eliminating the need for hand</w:t>
      </w:r>
      <w:r w:rsidRPr="007B703E">
        <w:rPr>
          <w:rFonts w:ascii="Times New Roman" w:eastAsia="Times New Roman" w:hAnsi="Times New Roman" w:cs="Times New Roman"/>
          <w:sz w:val="24"/>
          <w:szCs w:val="24"/>
        </w:rPr>
        <w:t>ling live viral pathogens.</w:t>
      </w:r>
    </w:p>
    <w:p w14:paraId="6CFB0D63" w14:textId="0FD33E02" w:rsidR="003A3F0C" w:rsidRPr="007B703E" w:rsidRDefault="001C164D" w:rsidP="00A03A73">
      <w:pPr>
        <w:pStyle w:val="Heading2"/>
        <w:keepNext w:val="0"/>
        <w:keepLines w:val="0"/>
        <w:spacing w:after="80"/>
        <w:jc w:val="both"/>
        <w:rPr>
          <w:rFonts w:ascii="Times New Roman" w:eastAsia="Times New Roman" w:hAnsi="Times New Roman" w:cs="Times New Roman"/>
          <w:b/>
          <w:bCs/>
          <w:sz w:val="24"/>
          <w:szCs w:val="24"/>
        </w:rPr>
      </w:pPr>
      <w:bookmarkStart w:id="2" w:name="_7lv2mabj1q2q" w:colFirst="0" w:colLast="0"/>
      <w:bookmarkEnd w:id="2"/>
      <w:r w:rsidRPr="007B703E">
        <w:rPr>
          <w:rFonts w:ascii="Times New Roman" w:eastAsia="Times New Roman" w:hAnsi="Times New Roman" w:cs="Times New Roman"/>
          <w:b/>
          <w:bCs/>
          <w:sz w:val="24"/>
          <w:szCs w:val="24"/>
        </w:rPr>
        <w:t>Retrieval of protein sequences and initial characterization</w:t>
      </w:r>
    </w:p>
    <w:p w14:paraId="3CFB0653" w14:textId="77777777" w:rsidR="00A03A73" w:rsidRDefault="001C164D" w:rsidP="00A03A73">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Complete amino acid sequences of Marburg virus proteins involved in viral entry, replication, assembly, and immune evasion were retrieved from the NCBI Protein Database </w:t>
      </w:r>
      <w:r w:rsidRPr="007B703E">
        <w:rPr>
          <w:rFonts w:ascii="Times New Roman" w:eastAsia="Times New Roman" w:hAnsi="Times New Roman" w:cs="Times New Roman"/>
          <w:sz w:val="24"/>
          <w:szCs w:val="24"/>
        </w:rPr>
        <w:t xml:space="preserve">[7,22]. These proteins were prioritized based on their biological relevance and known immunogenic potential. Physicochemical properties—including molecular weight, theoretical </w:t>
      </w:r>
      <w:proofErr w:type="spellStart"/>
      <w:r w:rsidRPr="007B703E">
        <w:rPr>
          <w:rFonts w:ascii="Times New Roman" w:eastAsia="Times New Roman" w:hAnsi="Times New Roman" w:cs="Times New Roman"/>
          <w:sz w:val="24"/>
          <w:szCs w:val="24"/>
        </w:rPr>
        <w:t>pI</w:t>
      </w:r>
      <w:proofErr w:type="spellEnd"/>
      <w:r w:rsidRPr="007B703E">
        <w:rPr>
          <w:rFonts w:ascii="Times New Roman" w:eastAsia="Times New Roman" w:hAnsi="Times New Roman" w:cs="Times New Roman"/>
          <w:sz w:val="24"/>
          <w:szCs w:val="24"/>
        </w:rPr>
        <w:t>, instability index, extinction coefficient, aliphatic index, and GRAVY—were c</w:t>
      </w:r>
      <w:r w:rsidRPr="007B703E">
        <w:rPr>
          <w:rFonts w:ascii="Times New Roman" w:eastAsia="Times New Roman" w:hAnsi="Times New Roman" w:cs="Times New Roman"/>
          <w:sz w:val="24"/>
          <w:szCs w:val="24"/>
        </w:rPr>
        <w:t xml:space="preserve">omputed using </w:t>
      </w:r>
      <w:proofErr w:type="spellStart"/>
      <w:r w:rsidRPr="007B703E">
        <w:rPr>
          <w:rFonts w:ascii="Times New Roman" w:eastAsia="Times New Roman" w:hAnsi="Times New Roman" w:cs="Times New Roman"/>
          <w:sz w:val="24"/>
          <w:szCs w:val="24"/>
        </w:rPr>
        <w:t>ProtParam</w:t>
      </w:r>
      <w:proofErr w:type="spellEnd"/>
      <w:r w:rsidRPr="007B703E">
        <w:rPr>
          <w:rFonts w:ascii="Times New Roman" w:eastAsia="Times New Roman" w:hAnsi="Times New Roman" w:cs="Times New Roman"/>
          <w:sz w:val="24"/>
          <w:szCs w:val="24"/>
        </w:rPr>
        <w:t xml:space="preserve"> [10], providing preliminary insights into structural stability, solubility, and overall biochemical behavior.</w:t>
      </w:r>
      <w:bookmarkStart w:id="3" w:name="_ifeuxvpi2hhp" w:colFirst="0" w:colLast="0"/>
      <w:bookmarkEnd w:id="3"/>
    </w:p>
    <w:p w14:paraId="305CF0F5" w14:textId="7D70EE67" w:rsidR="003A3F0C" w:rsidRPr="00A03A73" w:rsidRDefault="001C164D" w:rsidP="00A03A73">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Structural analysis</w:t>
      </w:r>
    </w:p>
    <w:p w14:paraId="7894A8DD"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Secondary structural elements of all viral proteins were predicted using SOPMA [11], enabling evaluati</w:t>
      </w:r>
      <w:r w:rsidRPr="007B703E">
        <w:rPr>
          <w:rFonts w:ascii="Times New Roman" w:eastAsia="Times New Roman" w:hAnsi="Times New Roman" w:cs="Times New Roman"/>
          <w:sz w:val="24"/>
          <w:szCs w:val="24"/>
        </w:rPr>
        <w:t>on of α-helices, β-strands, coils, and turns. These features are critical for identifying surface-exposed and flexible regions that may correspond to immunologically relevant epitope sites. This structural profiling informed subsequent epitope selection by</w:t>
      </w:r>
      <w:r w:rsidRPr="007B703E">
        <w:rPr>
          <w:rFonts w:ascii="Times New Roman" w:eastAsia="Times New Roman" w:hAnsi="Times New Roman" w:cs="Times New Roman"/>
          <w:sz w:val="24"/>
          <w:szCs w:val="24"/>
        </w:rPr>
        <w:t xml:space="preserve"> identifying domains likely accessible to the host immune system.</w:t>
      </w:r>
    </w:p>
    <w:p w14:paraId="7A1F1986" w14:textId="77777777" w:rsidR="003A3F0C" w:rsidRPr="007B703E" w:rsidRDefault="001C164D">
      <w:pPr>
        <w:pStyle w:val="Heading2"/>
        <w:keepNext w:val="0"/>
        <w:keepLines w:val="0"/>
        <w:spacing w:after="80"/>
        <w:jc w:val="both"/>
        <w:rPr>
          <w:rFonts w:ascii="Times New Roman" w:eastAsia="Times New Roman" w:hAnsi="Times New Roman" w:cs="Times New Roman"/>
          <w:b/>
          <w:bCs/>
          <w:sz w:val="24"/>
          <w:szCs w:val="24"/>
        </w:rPr>
      </w:pPr>
      <w:bookmarkStart w:id="4" w:name="_qzi8fnknka6m" w:colFirst="0" w:colLast="0"/>
      <w:bookmarkEnd w:id="4"/>
      <w:r w:rsidRPr="007B703E">
        <w:rPr>
          <w:rFonts w:ascii="Times New Roman" w:eastAsia="Times New Roman" w:hAnsi="Times New Roman" w:cs="Times New Roman"/>
          <w:b/>
          <w:bCs/>
          <w:sz w:val="24"/>
          <w:szCs w:val="24"/>
        </w:rPr>
        <w:t>Epitope prediction</w:t>
      </w:r>
    </w:p>
    <w:p w14:paraId="2555E2B0" w14:textId="77777777" w:rsidR="007B703E" w:rsidRDefault="007B703E">
      <w:pPr>
        <w:pStyle w:val="Heading2"/>
        <w:keepNext w:val="0"/>
        <w:keepLines w:val="0"/>
        <w:spacing w:after="8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A multi-layered </w:t>
      </w:r>
      <w:proofErr w:type="spellStart"/>
      <w:r w:rsidRPr="007B703E">
        <w:rPr>
          <w:rFonts w:ascii="Times New Roman" w:eastAsia="Times New Roman" w:hAnsi="Times New Roman" w:cs="Times New Roman"/>
          <w:sz w:val="24"/>
          <w:szCs w:val="24"/>
        </w:rPr>
        <w:t>immunoinformatics</w:t>
      </w:r>
      <w:proofErr w:type="spellEnd"/>
      <w:r w:rsidRPr="007B703E">
        <w:rPr>
          <w:rFonts w:ascii="Times New Roman" w:eastAsia="Times New Roman" w:hAnsi="Times New Roman" w:cs="Times New Roman"/>
          <w:sz w:val="24"/>
          <w:szCs w:val="24"/>
        </w:rPr>
        <w:t xml:space="preserve"> strategy was employed to predict epitopes capable of eliciting adaptive immune responses. B-cell epitopes were identified using the IEDB </w:t>
      </w:r>
      <w:proofErr w:type="spellStart"/>
      <w:r w:rsidRPr="007B703E">
        <w:rPr>
          <w:rFonts w:ascii="Times New Roman" w:eastAsia="Times New Roman" w:hAnsi="Times New Roman" w:cs="Times New Roman"/>
          <w:sz w:val="24"/>
          <w:szCs w:val="24"/>
        </w:rPr>
        <w:t>BepiPred</w:t>
      </w:r>
      <w:proofErr w:type="spellEnd"/>
      <w:r w:rsidRPr="007B703E">
        <w:rPr>
          <w:rFonts w:ascii="Times New Roman" w:eastAsia="Times New Roman" w:hAnsi="Times New Roman" w:cs="Times New Roman"/>
          <w:sz w:val="24"/>
          <w:szCs w:val="24"/>
        </w:rPr>
        <w:t xml:space="preserve"> Linear Epitope Prediction tool [23], enabling the detection of surface-accessible, antibody-recognizable linear segments. Cytotoxic T lymphocyte (CTL) epitopes were predicted using IEDB MHC-I binding prediction tools, with emphasis on peptides showing high affinity for common human </w:t>
      </w:r>
      <w:r w:rsidRPr="007B703E">
        <w:rPr>
          <w:rFonts w:ascii="Times New Roman" w:eastAsia="Times New Roman" w:hAnsi="Times New Roman" w:cs="Times New Roman"/>
          <w:sz w:val="24"/>
          <w:szCs w:val="24"/>
        </w:rPr>
        <w:lastRenderedPageBreak/>
        <w:t>MHC class I alleles associated with cellular immunity. Helper T lymphocyte (HTL) epitopes were identified using IEDB MHC-II binding prediction algorithms, targeting peptide sequences likely to be presented by MHC class II molecules and capable of stimulating T-helper cell–mediated immune responses. Only peptides demonstrating strong predicted binding across multiple alleles were selected for downstream evaluation.</w:t>
      </w:r>
    </w:p>
    <w:p w14:paraId="6D7BDCE9" w14:textId="22A4BF91" w:rsidR="003A3F0C" w:rsidRPr="007B703E" w:rsidRDefault="001C164D">
      <w:pPr>
        <w:pStyle w:val="Heading2"/>
        <w:keepNext w:val="0"/>
        <w:keepLines w:val="0"/>
        <w:spacing w:after="80"/>
        <w:jc w:val="both"/>
        <w:rPr>
          <w:rFonts w:ascii="Times New Roman" w:eastAsia="Times New Roman" w:hAnsi="Times New Roman" w:cs="Times New Roman"/>
          <w:b/>
          <w:bCs/>
          <w:sz w:val="24"/>
          <w:szCs w:val="24"/>
        </w:rPr>
      </w:pPr>
      <w:r w:rsidRPr="007B703E">
        <w:rPr>
          <w:rFonts w:ascii="Times New Roman" w:eastAsia="Times New Roman" w:hAnsi="Times New Roman" w:cs="Times New Roman"/>
          <w:b/>
          <w:bCs/>
          <w:sz w:val="24"/>
          <w:szCs w:val="24"/>
        </w:rPr>
        <w:t>Safety and immunogenicity screening</w:t>
      </w:r>
    </w:p>
    <w:p w14:paraId="43D6D02E"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All shortlisted epitopes were evaluated for safety and immune activation potential. Antigenicity was quantified using </w:t>
      </w:r>
      <w:proofErr w:type="spellStart"/>
      <w:r w:rsidRPr="007B703E">
        <w:rPr>
          <w:rFonts w:ascii="Times New Roman" w:eastAsia="Times New Roman" w:hAnsi="Times New Roman" w:cs="Times New Roman"/>
          <w:sz w:val="24"/>
          <w:szCs w:val="24"/>
        </w:rPr>
        <w:t>VaxiJen</w:t>
      </w:r>
      <w:proofErr w:type="spellEnd"/>
      <w:r w:rsidRPr="007B703E">
        <w:rPr>
          <w:rFonts w:ascii="Times New Roman" w:eastAsia="Times New Roman" w:hAnsi="Times New Roman" w:cs="Times New Roman"/>
          <w:sz w:val="24"/>
          <w:szCs w:val="24"/>
        </w:rPr>
        <w:t xml:space="preserve"> [22], which assigns scores between 0 and 1 based on alignment-free physicochemical modeling. Allergenicity and toxicity were asses</w:t>
      </w:r>
      <w:r w:rsidRPr="007B703E">
        <w:rPr>
          <w:rFonts w:ascii="Times New Roman" w:eastAsia="Times New Roman" w:hAnsi="Times New Roman" w:cs="Times New Roman"/>
          <w:sz w:val="24"/>
          <w:szCs w:val="24"/>
        </w:rPr>
        <w:t xml:space="preserve">sed using </w:t>
      </w:r>
      <w:proofErr w:type="spellStart"/>
      <w:r w:rsidRPr="007B703E">
        <w:rPr>
          <w:rFonts w:ascii="Times New Roman" w:eastAsia="Times New Roman" w:hAnsi="Times New Roman" w:cs="Times New Roman"/>
          <w:sz w:val="24"/>
          <w:szCs w:val="24"/>
        </w:rPr>
        <w:t>AllerTOP</w:t>
      </w:r>
      <w:proofErr w:type="spellEnd"/>
      <w:r w:rsidRPr="007B703E">
        <w:rPr>
          <w:rFonts w:ascii="Times New Roman" w:eastAsia="Times New Roman" w:hAnsi="Times New Roman" w:cs="Times New Roman"/>
          <w:sz w:val="24"/>
          <w:szCs w:val="24"/>
        </w:rPr>
        <w:t xml:space="preserve"> [22] and toxicity classifiers to remove any peptides with predicted cross-reactivity or adverse immune potential. Only epitopes that were strongly antigenic, non-allergenic, and non-toxic were retained.</w:t>
      </w:r>
    </w:p>
    <w:p w14:paraId="22FD402A" w14:textId="77777777" w:rsidR="003A3F0C" w:rsidRPr="007B703E" w:rsidRDefault="001C164D">
      <w:pPr>
        <w:pStyle w:val="Heading2"/>
        <w:keepNext w:val="0"/>
        <w:keepLines w:val="0"/>
        <w:spacing w:after="80"/>
        <w:jc w:val="both"/>
        <w:rPr>
          <w:rFonts w:ascii="Times New Roman" w:eastAsia="Times New Roman" w:hAnsi="Times New Roman" w:cs="Times New Roman"/>
          <w:b/>
          <w:bCs/>
          <w:sz w:val="24"/>
          <w:szCs w:val="24"/>
        </w:rPr>
      </w:pPr>
      <w:bookmarkStart w:id="5" w:name="_pqyoq6d32u4r" w:colFirst="0" w:colLast="0"/>
      <w:bookmarkEnd w:id="5"/>
      <w:r w:rsidRPr="007B703E">
        <w:rPr>
          <w:rFonts w:ascii="Times New Roman" w:eastAsia="Times New Roman" w:hAnsi="Times New Roman" w:cs="Times New Roman"/>
          <w:b/>
          <w:bCs/>
          <w:sz w:val="24"/>
          <w:szCs w:val="24"/>
        </w:rPr>
        <w:t>Three-dimensional peptide modeling</w:t>
      </w:r>
      <w:r w:rsidRPr="007B703E">
        <w:rPr>
          <w:rFonts w:ascii="Times New Roman" w:eastAsia="Times New Roman" w:hAnsi="Times New Roman" w:cs="Times New Roman"/>
          <w:b/>
          <w:bCs/>
          <w:sz w:val="24"/>
          <w:szCs w:val="24"/>
        </w:rPr>
        <w:t xml:space="preserve"> and molecular docking studies</w:t>
      </w:r>
    </w:p>
    <w:p w14:paraId="689361B9" w14:textId="77777777" w:rsidR="003A3F0C" w:rsidRPr="007B703E" w:rsidRDefault="001C164D">
      <w:pPr>
        <w:pStyle w:val="Heading3"/>
        <w:keepNext w:val="0"/>
        <w:keepLines w:val="0"/>
        <w:spacing w:before="280"/>
        <w:jc w:val="both"/>
        <w:rPr>
          <w:rFonts w:ascii="Times New Roman" w:eastAsia="Times New Roman" w:hAnsi="Times New Roman" w:cs="Times New Roman"/>
          <w:b/>
          <w:bCs/>
          <w:color w:val="000000"/>
          <w:sz w:val="24"/>
          <w:szCs w:val="24"/>
        </w:rPr>
      </w:pPr>
      <w:bookmarkStart w:id="6" w:name="_aa6rn3ewsm52" w:colFirst="0" w:colLast="0"/>
      <w:bookmarkEnd w:id="6"/>
      <w:r w:rsidRPr="007B703E">
        <w:rPr>
          <w:rFonts w:ascii="Times New Roman" w:eastAsia="Times New Roman" w:hAnsi="Times New Roman" w:cs="Times New Roman"/>
          <w:b/>
          <w:bCs/>
          <w:color w:val="000000"/>
          <w:sz w:val="24"/>
          <w:szCs w:val="24"/>
        </w:rPr>
        <w:t>Peptide structure generation</w:t>
      </w:r>
    </w:p>
    <w:p w14:paraId="7918E792"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Shortlisted epitope peptides were modeled into three-dimensional conformations using Discovery Studio Visualizer, employing extended conformations followed by geometry refinement. This ensured sta</w:t>
      </w:r>
      <w:r w:rsidRPr="00BC4686">
        <w:rPr>
          <w:rFonts w:ascii="Times New Roman" w:eastAsia="Times New Roman" w:hAnsi="Times New Roman" w:cs="Times New Roman"/>
          <w:sz w:val="24"/>
          <w:szCs w:val="24"/>
        </w:rPr>
        <w:t>ndardized structural representations suitable for receptor docking.</w:t>
      </w:r>
    </w:p>
    <w:p w14:paraId="4B78C56C" w14:textId="77777777" w:rsidR="003A3F0C" w:rsidRPr="007B703E" w:rsidRDefault="001C164D">
      <w:pPr>
        <w:pStyle w:val="Heading3"/>
        <w:keepNext w:val="0"/>
        <w:keepLines w:val="0"/>
        <w:spacing w:before="280"/>
        <w:jc w:val="both"/>
        <w:rPr>
          <w:rFonts w:ascii="Times New Roman" w:eastAsia="Times New Roman" w:hAnsi="Times New Roman" w:cs="Times New Roman"/>
          <w:b/>
          <w:bCs/>
          <w:color w:val="000000"/>
          <w:sz w:val="24"/>
          <w:szCs w:val="24"/>
        </w:rPr>
      </w:pPr>
      <w:bookmarkStart w:id="7" w:name="_gt9twawgb8ur" w:colFirst="0" w:colLast="0"/>
      <w:bookmarkEnd w:id="7"/>
      <w:r w:rsidRPr="007B703E">
        <w:rPr>
          <w:rFonts w:ascii="Times New Roman" w:eastAsia="Times New Roman" w:hAnsi="Times New Roman" w:cs="Times New Roman"/>
          <w:b/>
          <w:bCs/>
          <w:color w:val="000000"/>
          <w:sz w:val="24"/>
          <w:szCs w:val="24"/>
        </w:rPr>
        <w:t>Energy minimization</w:t>
      </w:r>
    </w:p>
    <w:p w14:paraId="733AA3F6"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All modeled peptide structures underwent energy minimization using UCSF Chimera, applying the steepest descent and conjugate gradient steps under the AMBER ff14SB force</w:t>
      </w:r>
      <w:r w:rsidRPr="00BC4686">
        <w:rPr>
          <w:rFonts w:ascii="Times New Roman" w:eastAsia="Times New Roman" w:hAnsi="Times New Roman" w:cs="Times New Roman"/>
          <w:sz w:val="24"/>
          <w:szCs w:val="24"/>
        </w:rPr>
        <w:t xml:space="preserve"> field. This reduced steric clashes and optimized local conformational geometry prior to docking.</w:t>
      </w:r>
    </w:p>
    <w:p w14:paraId="2BB10B81" w14:textId="77777777" w:rsidR="003A3F0C" w:rsidRPr="007B703E" w:rsidRDefault="001C164D">
      <w:pPr>
        <w:pStyle w:val="Heading3"/>
        <w:keepNext w:val="0"/>
        <w:keepLines w:val="0"/>
        <w:spacing w:before="280"/>
        <w:jc w:val="both"/>
        <w:rPr>
          <w:rFonts w:ascii="Times New Roman" w:eastAsia="Times New Roman" w:hAnsi="Times New Roman" w:cs="Times New Roman"/>
          <w:b/>
          <w:bCs/>
          <w:color w:val="000000"/>
          <w:sz w:val="24"/>
          <w:szCs w:val="24"/>
        </w:rPr>
      </w:pPr>
      <w:bookmarkStart w:id="8" w:name="_o6la7wvpmdor" w:colFirst="0" w:colLast="0"/>
      <w:bookmarkEnd w:id="8"/>
      <w:r w:rsidRPr="007B703E">
        <w:rPr>
          <w:rFonts w:ascii="Times New Roman" w:eastAsia="Times New Roman" w:hAnsi="Times New Roman" w:cs="Times New Roman"/>
          <w:b/>
          <w:bCs/>
          <w:color w:val="000000"/>
          <w:sz w:val="24"/>
          <w:szCs w:val="24"/>
        </w:rPr>
        <w:t>Molecular docking with immune receptors</w:t>
      </w:r>
    </w:p>
    <w:p w14:paraId="42132682"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Molecular docking was performed to evaluate the ability of epitopes to interact with selected HLA molecules and repres</w:t>
      </w:r>
      <w:r w:rsidRPr="00BC4686">
        <w:rPr>
          <w:rFonts w:ascii="Times New Roman" w:eastAsia="Times New Roman" w:hAnsi="Times New Roman" w:cs="Times New Roman"/>
          <w:sz w:val="24"/>
          <w:szCs w:val="24"/>
        </w:rPr>
        <w:t xml:space="preserve">entative neutralizing antibody structures. Prepared peptide structures were docked using </w:t>
      </w:r>
      <w:proofErr w:type="spellStart"/>
      <w:r w:rsidRPr="00BC4686">
        <w:rPr>
          <w:rFonts w:ascii="Times New Roman" w:eastAsia="Times New Roman" w:hAnsi="Times New Roman" w:cs="Times New Roman"/>
          <w:sz w:val="24"/>
          <w:szCs w:val="24"/>
        </w:rPr>
        <w:t>PyRx</w:t>
      </w:r>
      <w:proofErr w:type="spellEnd"/>
      <w:r w:rsidRPr="00BC4686">
        <w:rPr>
          <w:rFonts w:ascii="Times New Roman" w:eastAsia="Times New Roman" w:hAnsi="Times New Roman" w:cs="Times New Roman"/>
          <w:sz w:val="24"/>
          <w:szCs w:val="24"/>
        </w:rPr>
        <w:t xml:space="preserve"> (</w:t>
      </w:r>
      <w:proofErr w:type="spellStart"/>
      <w:r w:rsidRPr="00BC4686">
        <w:rPr>
          <w:rFonts w:ascii="Times New Roman" w:eastAsia="Times New Roman" w:hAnsi="Times New Roman" w:cs="Times New Roman"/>
          <w:sz w:val="24"/>
          <w:szCs w:val="24"/>
        </w:rPr>
        <w:t>AutoDock</w:t>
      </w:r>
      <w:proofErr w:type="spellEnd"/>
      <w:r w:rsidRPr="00BC4686">
        <w:rPr>
          <w:rFonts w:ascii="Times New Roman" w:eastAsia="Times New Roman" w:hAnsi="Times New Roman" w:cs="Times New Roman"/>
          <w:sz w:val="24"/>
          <w:szCs w:val="24"/>
        </w:rPr>
        <w:t xml:space="preserve"> Vina engine), enabling prediction of peptide–receptor binding modes and binding energies. For comparison and additional validation, peptide docking to M</w:t>
      </w:r>
      <w:r w:rsidRPr="00BC4686">
        <w:rPr>
          <w:rFonts w:ascii="Times New Roman" w:eastAsia="Times New Roman" w:hAnsi="Times New Roman" w:cs="Times New Roman"/>
          <w:sz w:val="24"/>
          <w:szCs w:val="24"/>
        </w:rPr>
        <w:t xml:space="preserve">HC alleles was also evaluated through </w:t>
      </w:r>
      <w:proofErr w:type="spellStart"/>
      <w:r w:rsidRPr="00BC4686">
        <w:rPr>
          <w:rFonts w:ascii="Times New Roman" w:eastAsia="Times New Roman" w:hAnsi="Times New Roman" w:cs="Times New Roman"/>
          <w:sz w:val="24"/>
          <w:szCs w:val="24"/>
        </w:rPr>
        <w:t>SwissDock</w:t>
      </w:r>
      <w:proofErr w:type="spellEnd"/>
      <w:r w:rsidRPr="00BC4686">
        <w:rPr>
          <w:rFonts w:ascii="Times New Roman" w:eastAsia="Times New Roman" w:hAnsi="Times New Roman" w:cs="Times New Roman"/>
          <w:sz w:val="24"/>
          <w:szCs w:val="24"/>
        </w:rPr>
        <w:t xml:space="preserve"> where appropriate. Docking outputs were assessed based on binding affinity, orientation, intermolecular contacts, and pocket complementarity to determine immunological relevance.</w:t>
      </w:r>
    </w:p>
    <w:p w14:paraId="73B9307A" w14:textId="77777777" w:rsidR="003A3F0C" w:rsidRPr="007B703E" w:rsidRDefault="001C164D">
      <w:pPr>
        <w:pStyle w:val="Heading2"/>
        <w:keepNext w:val="0"/>
        <w:keepLines w:val="0"/>
        <w:spacing w:after="80"/>
        <w:jc w:val="both"/>
        <w:rPr>
          <w:rFonts w:ascii="Times New Roman" w:eastAsia="Times New Roman" w:hAnsi="Times New Roman" w:cs="Times New Roman"/>
          <w:b/>
          <w:bCs/>
          <w:sz w:val="24"/>
          <w:szCs w:val="24"/>
        </w:rPr>
      </w:pPr>
      <w:bookmarkStart w:id="9" w:name="_avff0m5604x3" w:colFirst="0" w:colLast="0"/>
      <w:bookmarkEnd w:id="9"/>
      <w:r w:rsidRPr="007B703E">
        <w:rPr>
          <w:rFonts w:ascii="Times New Roman" w:eastAsia="Times New Roman" w:hAnsi="Times New Roman" w:cs="Times New Roman"/>
          <w:b/>
          <w:bCs/>
          <w:sz w:val="24"/>
          <w:szCs w:val="24"/>
        </w:rPr>
        <w:t>Surface accessibility evaluat</w:t>
      </w:r>
      <w:r w:rsidRPr="007B703E">
        <w:rPr>
          <w:rFonts w:ascii="Times New Roman" w:eastAsia="Times New Roman" w:hAnsi="Times New Roman" w:cs="Times New Roman"/>
          <w:b/>
          <w:bCs/>
          <w:sz w:val="24"/>
          <w:szCs w:val="24"/>
        </w:rPr>
        <w:t>ion via glycoprotein docking</w:t>
      </w:r>
    </w:p>
    <w:p w14:paraId="22859DB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To confirm the physical accessibility of predicted B-cell epitopes, each peptide was docked to the experimentally resolved Marburg glycoprotein structure. Results were visually inspected for </w:t>
      </w:r>
      <w:r w:rsidRPr="007B703E">
        <w:rPr>
          <w:rFonts w:ascii="Times New Roman" w:eastAsia="Times New Roman" w:hAnsi="Times New Roman" w:cs="Times New Roman"/>
          <w:sz w:val="24"/>
          <w:szCs w:val="24"/>
        </w:rPr>
        <w:lastRenderedPageBreak/>
        <w:t>location, surface exposure, and stru</w:t>
      </w:r>
      <w:r w:rsidRPr="007B703E">
        <w:rPr>
          <w:rFonts w:ascii="Times New Roman" w:eastAsia="Times New Roman" w:hAnsi="Times New Roman" w:cs="Times New Roman"/>
          <w:sz w:val="24"/>
          <w:szCs w:val="24"/>
        </w:rPr>
        <w:t>ctural feasibility, ensuring that predicted epitopes were positioned in accessible regions relevant to humoral immune recognition.</w:t>
      </w:r>
    </w:p>
    <w:p w14:paraId="7AFFACB9" w14:textId="77777777" w:rsidR="003A3F0C" w:rsidRPr="007B703E" w:rsidRDefault="001C164D">
      <w:pPr>
        <w:pStyle w:val="Heading3"/>
        <w:keepNext w:val="0"/>
        <w:keepLines w:val="0"/>
        <w:spacing w:before="280"/>
        <w:jc w:val="both"/>
        <w:rPr>
          <w:rFonts w:ascii="Times New Roman" w:eastAsia="Times New Roman" w:hAnsi="Times New Roman" w:cs="Times New Roman"/>
          <w:b/>
          <w:bCs/>
          <w:color w:val="000000"/>
          <w:sz w:val="24"/>
          <w:szCs w:val="24"/>
        </w:rPr>
      </w:pPr>
      <w:bookmarkStart w:id="10" w:name="_w93nndqfurum" w:colFirst="0" w:colLast="0"/>
      <w:bookmarkEnd w:id="10"/>
      <w:r w:rsidRPr="007B703E">
        <w:rPr>
          <w:rFonts w:ascii="Times New Roman" w:eastAsia="Times New Roman" w:hAnsi="Times New Roman" w:cs="Times New Roman"/>
          <w:b/>
          <w:bCs/>
          <w:color w:val="000000"/>
          <w:sz w:val="24"/>
          <w:szCs w:val="24"/>
        </w:rPr>
        <w:t>Design of the Multiepitope Vaccine Construct</w:t>
      </w:r>
    </w:p>
    <w:p w14:paraId="3EDD0033" w14:textId="6E1FC4B9"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A multiepitope vaccine construct was designed using the top-ranked B-cell, MHC I, and MHC II epitopes identified from the Marburg virus glycoprotein and nucleoprotein. An N-terminal hBD-3 adjuvant (45 aa) was incorporated to activate TLR1/2-mediated innate</w:t>
      </w:r>
      <w:r w:rsidRPr="00BC4686">
        <w:rPr>
          <w:rFonts w:ascii="Times New Roman" w:eastAsia="Times New Roman" w:hAnsi="Times New Roman" w:cs="Times New Roman"/>
          <w:sz w:val="24"/>
          <w:szCs w:val="24"/>
        </w:rPr>
        <w:t xml:space="preserve"> immunity, followed by a rigid EAAAK linker to ensure structural separation. The universal helper epitope PADRE (AKFVAAWTLKAAA) was added to enhance CD4⁺ T-cell activation and linked to the downstream sequence with a second EAAAK linker.</w:t>
      </w:r>
      <w:r w:rsidR="00BC4686">
        <w:rPr>
          <w:rFonts w:ascii="Times New Roman" w:eastAsia="Times New Roman" w:hAnsi="Times New Roman" w:cs="Times New Roman"/>
          <w:sz w:val="24"/>
          <w:szCs w:val="24"/>
        </w:rPr>
        <w:t xml:space="preserve"> </w:t>
      </w:r>
      <w:r w:rsidRPr="00BC4686">
        <w:rPr>
          <w:rFonts w:ascii="Times New Roman" w:eastAsia="Times New Roman" w:hAnsi="Times New Roman" w:cs="Times New Roman"/>
          <w:sz w:val="24"/>
          <w:szCs w:val="24"/>
        </w:rPr>
        <w:t>The CTL region con</w:t>
      </w:r>
      <w:r w:rsidRPr="00BC4686">
        <w:rPr>
          <w:rFonts w:ascii="Times New Roman" w:eastAsia="Times New Roman" w:hAnsi="Times New Roman" w:cs="Times New Roman"/>
          <w:sz w:val="24"/>
          <w:szCs w:val="24"/>
        </w:rPr>
        <w:t>sisted of five validated MHC I epitopes—LLLDPPTNV, FLYDRIAST, HAQGIALHLW, DPVPNTKTI and LPHTSGNTAY—each joined by AAY linkers to promote proteasomal cleavage and TAP transport. The helper T-cell region contained four high-affinity and allele-promiscuous MH</w:t>
      </w:r>
      <w:r w:rsidRPr="00BC4686">
        <w:rPr>
          <w:rFonts w:ascii="Times New Roman" w:eastAsia="Times New Roman" w:hAnsi="Times New Roman" w:cs="Times New Roman"/>
          <w:sz w:val="24"/>
          <w:szCs w:val="24"/>
        </w:rPr>
        <w:t>C II epitopes—SGKSLLLDPPTNVRD, ATRLNTTNPNSDDED, EERTFSLINRHAIDF, and TTMYRGKVFTEGNIA—connected using GPGPG linkers, which favor MHC II processing. The C-terminal B-cell module included five surface-exposed glycoprotein epitopes—ASNDQPQNVDSV, TGVPPKNVEYTEGE</w:t>
      </w:r>
      <w:r w:rsidRPr="00BC4686">
        <w:rPr>
          <w:rFonts w:ascii="Times New Roman" w:eastAsia="Times New Roman" w:hAnsi="Times New Roman" w:cs="Times New Roman"/>
          <w:sz w:val="24"/>
          <w:szCs w:val="24"/>
        </w:rPr>
        <w:t>EAK, KYWTSSNGTQTNDTG, QGQNPHA, and LPHTSGNTAY—joined by KK linkers to enhance flexibility and solvent exposure.</w:t>
      </w:r>
      <w:r w:rsidR="00BC4686">
        <w:rPr>
          <w:rFonts w:ascii="Times New Roman" w:eastAsia="Times New Roman" w:hAnsi="Times New Roman" w:cs="Times New Roman"/>
          <w:sz w:val="24"/>
          <w:szCs w:val="24"/>
        </w:rPr>
        <w:t xml:space="preserve"> </w:t>
      </w:r>
      <w:r w:rsidRPr="00BC4686">
        <w:rPr>
          <w:rFonts w:ascii="Times New Roman" w:eastAsia="Times New Roman" w:hAnsi="Times New Roman" w:cs="Times New Roman"/>
          <w:sz w:val="24"/>
          <w:szCs w:val="24"/>
        </w:rPr>
        <w:t xml:space="preserve">The final construct incorporated a C-terminal His-tag for downstream purification. Structure, antigenicity, and physicochemical properties were </w:t>
      </w:r>
      <w:r w:rsidRPr="00BC4686">
        <w:rPr>
          <w:rFonts w:ascii="Times New Roman" w:eastAsia="Times New Roman" w:hAnsi="Times New Roman" w:cs="Times New Roman"/>
          <w:sz w:val="24"/>
          <w:szCs w:val="24"/>
        </w:rPr>
        <w:t xml:space="preserve">assessed using </w:t>
      </w:r>
      <w:proofErr w:type="spellStart"/>
      <w:r w:rsidRPr="00BC4686">
        <w:rPr>
          <w:rFonts w:ascii="Times New Roman" w:eastAsia="Times New Roman" w:hAnsi="Times New Roman" w:cs="Times New Roman"/>
          <w:sz w:val="24"/>
          <w:szCs w:val="24"/>
        </w:rPr>
        <w:t>VaxiJen</w:t>
      </w:r>
      <w:proofErr w:type="spellEnd"/>
      <w:r w:rsidRPr="00BC4686">
        <w:rPr>
          <w:rFonts w:ascii="Times New Roman" w:eastAsia="Times New Roman" w:hAnsi="Times New Roman" w:cs="Times New Roman"/>
          <w:sz w:val="24"/>
          <w:szCs w:val="24"/>
        </w:rPr>
        <w:t xml:space="preserve">, </w:t>
      </w:r>
      <w:proofErr w:type="spellStart"/>
      <w:r w:rsidRPr="00BC4686">
        <w:rPr>
          <w:rFonts w:ascii="Times New Roman" w:eastAsia="Times New Roman" w:hAnsi="Times New Roman" w:cs="Times New Roman"/>
          <w:sz w:val="24"/>
          <w:szCs w:val="24"/>
        </w:rPr>
        <w:t>ProtParam</w:t>
      </w:r>
      <w:proofErr w:type="spellEnd"/>
      <w:r w:rsidRPr="00BC4686">
        <w:rPr>
          <w:rFonts w:ascii="Times New Roman" w:eastAsia="Times New Roman" w:hAnsi="Times New Roman" w:cs="Times New Roman"/>
          <w:sz w:val="24"/>
          <w:szCs w:val="24"/>
        </w:rPr>
        <w:t>, SOPMA, and docking validation.</w:t>
      </w:r>
    </w:p>
    <w:p w14:paraId="3F5D77EC" w14:textId="77777777" w:rsidR="003A3F0C" w:rsidRPr="007B703E" w:rsidRDefault="001C164D">
      <w:pPr>
        <w:pStyle w:val="Heading1"/>
        <w:keepNext w:val="0"/>
        <w:keepLines w:val="0"/>
        <w:spacing w:before="480"/>
        <w:jc w:val="both"/>
        <w:rPr>
          <w:rFonts w:ascii="Times New Roman" w:eastAsia="Times New Roman" w:hAnsi="Times New Roman" w:cs="Times New Roman"/>
          <w:b/>
          <w:bCs/>
          <w:sz w:val="24"/>
          <w:szCs w:val="24"/>
        </w:rPr>
      </w:pPr>
      <w:bookmarkStart w:id="11" w:name="_m5dx6u27z8ja" w:colFirst="0" w:colLast="0"/>
      <w:bookmarkEnd w:id="11"/>
      <w:r w:rsidRPr="007B703E">
        <w:rPr>
          <w:rFonts w:ascii="Times New Roman" w:eastAsia="Times New Roman" w:hAnsi="Times New Roman" w:cs="Times New Roman"/>
          <w:b/>
          <w:bCs/>
          <w:sz w:val="24"/>
          <w:szCs w:val="24"/>
        </w:rPr>
        <w:t>Bioinformatic Validation of the Multiepitope Vaccine Construct</w:t>
      </w:r>
    </w:p>
    <w:p w14:paraId="7FCE78F0"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 xml:space="preserve">The designed vaccine construct underwent comprehensive </w:t>
      </w:r>
      <w:r w:rsidRPr="00BC4686">
        <w:rPr>
          <w:rFonts w:ascii="Times New Roman" w:eastAsia="Times New Roman" w:hAnsi="Times New Roman" w:cs="Times New Roman"/>
          <w:i/>
          <w:iCs/>
          <w:sz w:val="24"/>
          <w:szCs w:val="24"/>
        </w:rPr>
        <w:t>in silico</w:t>
      </w:r>
      <w:r w:rsidRPr="00BC4686">
        <w:rPr>
          <w:rFonts w:ascii="Times New Roman" w:eastAsia="Times New Roman" w:hAnsi="Times New Roman" w:cs="Times New Roman"/>
          <w:sz w:val="24"/>
          <w:szCs w:val="24"/>
        </w:rPr>
        <w:t xml:space="preserve"> validation to assess antigenicity, safety, structural quality, and predicted immune performance. Antigenicity analysis using </w:t>
      </w:r>
      <w:proofErr w:type="spellStart"/>
      <w:r w:rsidRPr="00BC4686">
        <w:rPr>
          <w:rFonts w:ascii="Times New Roman" w:eastAsia="Times New Roman" w:hAnsi="Times New Roman" w:cs="Times New Roman"/>
          <w:sz w:val="24"/>
          <w:szCs w:val="24"/>
        </w:rPr>
        <w:t>VaxiJen</w:t>
      </w:r>
      <w:proofErr w:type="spellEnd"/>
      <w:r w:rsidRPr="00BC4686">
        <w:rPr>
          <w:rFonts w:ascii="Times New Roman" w:eastAsia="Times New Roman" w:hAnsi="Times New Roman" w:cs="Times New Roman"/>
          <w:sz w:val="24"/>
          <w:szCs w:val="24"/>
        </w:rPr>
        <w:t xml:space="preserve"> and </w:t>
      </w:r>
      <w:proofErr w:type="spellStart"/>
      <w:r w:rsidRPr="00BC4686">
        <w:rPr>
          <w:rFonts w:ascii="Times New Roman" w:eastAsia="Times New Roman" w:hAnsi="Times New Roman" w:cs="Times New Roman"/>
          <w:sz w:val="24"/>
          <w:szCs w:val="24"/>
        </w:rPr>
        <w:t>ANTIGENpro</w:t>
      </w:r>
      <w:proofErr w:type="spellEnd"/>
      <w:r w:rsidRPr="00BC4686">
        <w:rPr>
          <w:rFonts w:ascii="Times New Roman" w:eastAsia="Times New Roman" w:hAnsi="Times New Roman" w:cs="Times New Roman"/>
          <w:sz w:val="24"/>
          <w:szCs w:val="24"/>
        </w:rPr>
        <w:t xml:space="preserve"> classified the construct as highly antigenic, while </w:t>
      </w:r>
      <w:proofErr w:type="spellStart"/>
      <w:r w:rsidRPr="00BC4686">
        <w:rPr>
          <w:rFonts w:ascii="Times New Roman" w:eastAsia="Times New Roman" w:hAnsi="Times New Roman" w:cs="Times New Roman"/>
          <w:sz w:val="24"/>
          <w:szCs w:val="24"/>
        </w:rPr>
        <w:t>AllerTOP</w:t>
      </w:r>
      <w:proofErr w:type="spellEnd"/>
      <w:r w:rsidRPr="00BC4686">
        <w:rPr>
          <w:rFonts w:ascii="Times New Roman" w:eastAsia="Times New Roman" w:hAnsi="Times New Roman" w:cs="Times New Roman"/>
          <w:sz w:val="24"/>
          <w:szCs w:val="24"/>
        </w:rPr>
        <w:t xml:space="preserve"> and </w:t>
      </w:r>
      <w:proofErr w:type="spellStart"/>
      <w:r w:rsidRPr="00BC4686">
        <w:rPr>
          <w:rFonts w:ascii="Times New Roman" w:eastAsia="Times New Roman" w:hAnsi="Times New Roman" w:cs="Times New Roman"/>
          <w:sz w:val="24"/>
          <w:szCs w:val="24"/>
        </w:rPr>
        <w:t>AllergenFP</w:t>
      </w:r>
      <w:proofErr w:type="spellEnd"/>
      <w:r w:rsidRPr="00BC4686">
        <w:rPr>
          <w:rFonts w:ascii="Times New Roman" w:eastAsia="Times New Roman" w:hAnsi="Times New Roman" w:cs="Times New Roman"/>
          <w:sz w:val="24"/>
          <w:szCs w:val="24"/>
        </w:rPr>
        <w:t xml:space="preserve"> predicted non-allergenic </w:t>
      </w:r>
      <w:proofErr w:type="spellStart"/>
      <w:r w:rsidRPr="00BC4686">
        <w:rPr>
          <w:rFonts w:ascii="Times New Roman" w:eastAsia="Times New Roman" w:hAnsi="Times New Roman" w:cs="Times New Roman"/>
          <w:sz w:val="24"/>
          <w:szCs w:val="24"/>
        </w:rPr>
        <w:t>behavi</w:t>
      </w:r>
      <w:r w:rsidRPr="00BC4686">
        <w:rPr>
          <w:rFonts w:ascii="Times New Roman" w:eastAsia="Times New Roman" w:hAnsi="Times New Roman" w:cs="Times New Roman"/>
          <w:sz w:val="24"/>
          <w:szCs w:val="24"/>
        </w:rPr>
        <w:t>our</w:t>
      </w:r>
      <w:proofErr w:type="spellEnd"/>
      <w:r w:rsidRPr="00BC4686">
        <w:rPr>
          <w:rFonts w:ascii="Times New Roman" w:eastAsia="Times New Roman" w:hAnsi="Times New Roman" w:cs="Times New Roman"/>
          <w:sz w:val="24"/>
          <w:szCs w:val="24"/>
        </w:rPr>
        <w:t xml:space="preserve">. </w:t>
      </w:r>
      <w:proofErr w:type="spellStart"/>
      <w:r w:rsidRPr="00BC4686">
        <w:rPr>
          <w:rFonts w:ascii="Times New Roman" w:eastAsia="Times New Roman" w:hAnsi="Times New Roman" w:cs="Times New Roman"/>
          <w:sz w:val="24"/>
          <w:szCs w:val="24"/>
        </w:rPr>
        <w:t>ToxinPred</w:t>
      </w:r>
      <w:proofErr w:type="spellEnd"/>
      <w:r w:rsidRPr="00BC4686">
        <w:rPr>
          <w:rFonts w:ascii="Times New Roman" w:eastAsia="Times New Roman" w:hAnsi="Times New Roman" w:cs="Times New Roman"/>
          <w:sz w:val="24"/>
          <w:szCs w:val="24"/>
        </w:rPr>
        <w:t xml:space="preserve"> analysis confirmed that the sequence is non-toxic, and solubility assessment indicated a strong likelihood of soluble expression in </w:t>
      </w:r>
      <w:r w:rsidRPr="00BC4686">
        <w:rPr>
          <w:rFonts w:ascii="Times New Roman" w:eastAsia="Times New Roman" w:hAnsi="Times New Roman" w:cs="Times New Roman"/>
          <w:i/>
          <w:iCs/>
          <w:sz w:val="24"/>
          <w:szCs w:val="24"/>
        </w:rPr>
        <w:t>E. coli</w:t>
      </w:r>
      <w:r w:rsidRPr="00BC4686">
        <w:rPr>
          <w:rFonts w:ascii="Times New Roman" w:eastAsia="Times New Roman" w:hAnsi="Times New Roman" w:cs="Times New Roman"/>
          <w:sz w:val="24"/>
          <w:szCs w:val="24"/>
        </w:rPr>
        <w:t xml:space="preserve">, supported by a negative GRAVY score and </w:t>
      </w:r>
      <w:proofErr w:type="spellStart"/>
      <w:r w:rsidRPr="00BC4686">
        <w:rPr>
          <w:rFonts w:ascii="Times New Roman" w:eastAsia="Times New Roman" w:hAnsi="Times New Roman" w:cs="Times New Roman"/>
          <w:sz w:val="24"/>
          <w:szCs w:val="24"/>
        </w:rPr>
        <w:t>favourable</w:t>
      </w:r>
      <w:proofErr w:type="spellEnd"/>
      <w:r w:rsidRPr="00BC4686">
        <w:rPr>
          <w:rFonts w:ascii="Times New Roman" w:eastAsia="Times New Roman" w:hAnsi="Times New Roman" w:cs="Times New Roman"/>
          <w:sz w:val="24"/>
          <w:szCs w:val="24"/>
        </w:rPr>
        <w:t xml:space="preserve"> Protein-Sol metrics. Physicochemical evaluation u</w:t>
      </w:r>
      <w:r w:rsidRPr="00BC4686">
        <w:rPr>
          <w:rFonts w:ascii="Times New Roman" w:eastAsia="Times New Roman" w:hAnsi="Times New Roman" w:cs="Times New Roman"/>
          <w:sz w:val="24"/>
          <w:szCs w:val="24"/>
        </w:rPr>
        <w:t xml:space="preserve">sing </w:t>
      </w:r>
      <w:proofErr w:type="spellStart"/>
      <w:r w:rsidRPr="00BC4686">
        <w:rPr>
          <w:rFonts w:ascii="Times New Roman" w:eastAsia="Times New Roman" w:hAnsi="Times New Roman" w:cs="Times New Roman"/>
          <w:sz w:val="24"/>
          <w:szCs w:val="24"/>
        </w:rPr>
        <w:t>ProtParam</w:t>
      </w:r>
      <w:proofErr w:type="spellEnd"/>
      <w:r w:rsidRPr="00BC4686">
        <w:rPr>
          <w:rFonts w:ascii="Times New Roman" w:eastAsia="Times New Roman" w:hAnsi="Times New Roman" w:cs="Times New Roman"/>
          <w:sz w:val="24"/>
          <w:szCs w:val="24"/>
        </w:rPr>
        <w:t xml:space="preserve"> showed a stable instability index, high aliphatic index, appropriate molecular weight, and a theoretical </w:t>
      </w:r>
      <w:proofErr w:type="spellStart"/>
      <w:r w:rsidRPr="00BC4686">
        <w:rPr>
          <w:rFonts w:ascii="Times New Roman" w:eastAsia="Times New Roman" w:hAnsi="Times New Roman" w:cs="Times New Roman"/>
          <w:sz w:val="24"/>
          <w:szCs w:val="24"/>
        </w:rPr>
        <w:t>pI</w:t>
      </w:r>
      <w:proofErr w:type="spellEnd"/>
      <w:r w:rsidRPr="00BC4686">
        <w:rPr>
          <w:rFonts w:ascii="Times New Roman" w:eastAsia="Times New Roman" w:hAnsi="Times New Roman" w:cs="Times New Roman"/>
          <w:sz w:val="24"/>
          <w:szCs w:val="24"/>
        </w:rPr>
        <w:t xml:space="preserve"> consistent with efficient expression. Secondary-structure predictions (SOPMA, PSIPRED) demonstrated a balanced distribution of α-heli</w:t>
      </w:r>
      <w:r w:rsidRPr="00BC4686">
        <w:rPr>
          <w:rFonts w:ascii="Times New Roman" w:eastAsia="Times New Roman" w:hAnsi="Times New Roman" w:cs="Times New Roman"/>
          <w:sz w:val="24"/>
          <w:szCs w:val="24"/>
        </w:rPr>
        <w:t>ces and coil regions, with coil-rich areas corresponding to flexible, surface-exposed B-cell epitope regions.</w:t>
      </w:r>
    </w:p>
    <w:p w14:paraId="2F029815"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Tertiary-structure modelling was performed using SWISS-MODEL via a homology-based approach. The resulting 3D model displayed appropriate folding a</w:t>
      </w:r>
      <w:r w:rsidRPr="00BC4686">
        <w:rPr>
          <w:rFonts w:ascii="Times New Roman" w:eastAsia="Times New Roman" w:hAnsi="Times New Roman" w:cs="Times New Roman"/>
          <w:sz w:val="24"/>
          <w:szCs w:val="24"/>
        </w:rPr>
        <w:t xml:space="preserve">nd domain </w:t>
      </w:r>
      <w:proofErr w:type="spellStart"/>
      <w:r w:rsidRPr="00BC4686">
        <w:rPr>
          <w:rFonts w:ascii="Times New Roman" w:eastAsia="Times New Roman" w:hAnsi="Times New Roman" w:cs="Times New Roman"/>
          <w:sz w:val="24"/>
          <w:szCs w:val="24"/>
        </w:rPr>
        <w:t>organisation</w:t>
      </w:r>
      <w:proofErr w:type="spellEnd"/>
      <w:r w:rsidRPr="00BC4686">
        <w:rPr>
          <w:rFonts w:ascii="Times New Roman" w:eastAsia="Times New Roman" w:hAnsi="Times New Roman" w:cs="Times New Roman"/>
          <w:sz w:val="24"/>
          <w:szCs w:val="24"/>
        </w:rPr>
        <w:t xml:space="preserve"> based on the closest structural templates. Validation of the SWISS-MODEL output using </w:t>
      </w:r>
      <w:proofErr w:type="spellStart"/>
      <w:r w:rsidRPr="00BC4686">
        <w:rPr>
          <w:rFonts w:ascii="Times New Roman" w:eastAsia="Times New Roman" w:hAnsi="Times New Roman" w:cs="Times New Roman"/>
          <w:sz w:val="24"/>
          <w:szCs w:val="24"/>
        </w:rPr>
        <w:t>ProSA</w:t>
      </w:r>
      <w:proofErr w:type="spellEnd"/>
      <w:r w:rsidRPr="00BC4686">
        <w:rPr>
          <w:rFonts w:ascii="Times New Roman" w:eastAsia="Times New Roman" w:hAnsi="Times New Roman" w:cs="Times New Roman"/>
          <w:sz w:val="24"/>
          <w:szCs w:val="24"/>
        </w:rPr>
        <w:t>-web, ERRAT, and Ramachandran plot analysis confirmed structural reliability, with acceptable Z-scores and more than 90% of residues falling w</w:t>
      </w:r>
      <w:r w:rsidRPr="00BC4686">
        <w:rPr>
          <w:rFonts w:ascii="Times New Roman" w:eastAsia="Times New Roman" w:hAnsi="Times New Roman" w:cs="Times New Roman"/>
          <w:sz w:val="24"/>
          <w:szCs w:val="24"/>
        </w:rPr>
        <w:t xml:space="preserve">ithin </w:t>
      </w:r>
      <w:proofErr w:type="spellStart"/>
      <w:r w:rsidRPr="00BC4686">
        <w:rPr>
          <w:rFonts w:ascii="Times New Roman" w:eastAsia="Times New Roman" w:hAnsi="Times New Roman" w:cs="Times New Roman"/>
          <w:sz w:val="24"/>
          <w:szCs w:val="24"/>
        </w:rPr>
        <w:t>favoured</w:t>
      </w:r>
      <w:proofErr w:type="spellEnd"/>
      <w:r w:rsidRPr="00BC4686">
        <w:rPr>
          <w:rFonts w:ascii="Times New Roman" w:eastAsia="Times New Roman" w:hAnsi="Times New Roman" w:cs="Times New Roman"/>
          <w:sz w:val="24"/>
          <w:szCs w:val="24"/>
        </w:rPr>
        <w:t xml:space="preserve"> regions.</w:t>
      </w:r>
    </w:p>
    <w:p w14:paraId="11913214"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lastRenderedPageBreak/>
        <w:t xml:space="preserve">To examine the predicted interaction </w:t>
      </w:r>
      <w:proofErr w:type="spellStart"/>
      <w:r w:rsidRPr="00BC4686">
        <w:rPr>
          <w:rFonts w:ascii="Times New Roman" w:eastAsia="Times New Roman" w:hAnsi="Times New Roman" w:cs="Times New Roman"/>
          <w:sz w:val="24"/>
          <w:szCs w:val="24"/>
        </w:rPr>
        <w:t>behaviour</w:t>
      </w:r>
      <w:proofErr w:type="spellEnd"/>
      <w:r w:rsidRPr="00BC4686">
        <w:rPr>
          <w:rFonts w:ascii="Times New Roman" w:eastAsia="Times New Roman" w:hAnsi="Times New Roman" w:cs="Times New Roman"/>
          <w:sz w:val="24"/>
          <w:szCs w:val="24"/>
        </w:rPr>
        <w:t xml:space="preserve"> of individual epitopes, molecular docking of CTL, HTL, and B-cell epitopes was conducted using </w:t>
      </w:r>
      <w:proofErr w:type="spellStart"/>
      <w:r w:rsidRPr="00BC4686">
        <w:rPr>
          <w:rFonts w:ascii="Times New Roman" w:eastAsia="Times New Roman" w:hAnsi="Times New Roman" w:cs="Times New Roman"/>
          <w:sz w:val="24"/>
          <w:szCs w:val="24"/>
        </w:rPr>
        <w:t>PyRx</w:t>
      </w:r>
      <w:proofErr w:type="spellEnd"/>
      <w:r w:rsidRPr="00BC4686">
        <w:rPr>
          <w:rFonts w:ascii="Times New Roman" w:eastAsia="Times New Roman" w:hAnsi="Times New Roman" w:cs="Times New Roman"/>
          <w:sz w:val="24"/>
          <w:szCs w:val="24"/>
        </w:rPr>
        <w:t>.</w:t>
      </w:r>
    </w:p>
    <w:p w14:paraId="0A3AD195" w14:textId="77777777" w:rsidR="003A3F0C" w:rsidRPr="007B703E" w:rsidRDefault="003A3F0C">
      <w:pPr>
        <w:spacing w:before="240" w:after="240"/>
        <w:jc w:val="both"/>
        <w:rPr>
          <w:rFonts w:ascii="Times New Roman" w:eastAsia="Times New Roman" w:hAnsi="Times New Roman" w:cs="Times New Roman"/>
          <w:sz w:val="24"/>
          <w:szCs w:val="24"/>
        </w:rPr>
      </w:pPr>
    </w:p>
    <w:p w14:paraId="0D86E9F8" w14:textId="77777777" w:rsidR="003A3F0C" w:rsidRPr="007B703E" w:rsidRDefault="003A3F0C">
      <w:pPr>
        <w:spacing w:before="240" w:after="240"/>
        <w:jc w:val="both"/>
        <w:rPr>
          <w:rFonts w:ascii="Times New Roman" w:eastAsia="Times New Roman" w:hAnsi="Times New Roman" w:cs="Times New Roman"/>
          <w:sz w:val="24"/>
          <w:szCs w:val="24"/>
        </w:rPr>
      </w:pPr>
    </w:p>
    <w:p w14:paraId="0BCA8259" w14:textId="77777777" w:rsidR="003A3F0C" w:rsidRPr="007B703E" w:rsidRDefault="001C164D" w:rsidP="00A03A73">
      <w:pPr>
        <w:pStyle w:val="Heading1"/>
        <w:keepNext w:val="0"/>
        <w:keepLines w:val="0"/>
        <w:numPr>
          <w:ilvl w:val="0"/>
          <w:numId w:val="5"/>
        </w:numPr>
        <w:spacing w:before="480"/>
        <w:jc w:val="both"/>
        <w:rPr>
          <w:rFonts w:ascii="Times New Roman" w:eastAsia="Times New Roman" w:hAnsi="Times New Roman" w:cs="Times New Roman"/>
          <w:b/>
          <w:bCs/>
          <w:sz w:val="24"/>
          <w:szCs w:val="24"/>
        </w:rPr>
      </w:pPr>
      <w:bookmarkStart w:id="12" w:name="_ww1dlurolp3v" w:colFirst="0" w:colLast="0"/>
      <w:bookmarkEnd w:id="12"/>
      <w:r w:rsidRPr="007B703E">
        <w:rPr>
          <w:rFonts w:ascii="Times New Roman" w:eastAsia="Times New Roman" w:hAnsi="Times New Roman" w:cs="Times New Roman"/>
          <w:b/>
          <w:bCs/>
          <w:sz w:val="24"/>
          <w:szCs w:val="24"/>
        </w:rPr>
        <w:t>Results</w:t>
      </w:r>
    </w:p>
    <w:p w14:paraId="72F74D19" w14:textId="77777777" w:rsidR="003A3F0C" w:rsidRPr="007B703E" w:rsidRDefault="001C164D">
      <w:pPr>
        <w:pStyle w:val="Heading2"/>
        <w:keepNext w:val="0"/>
        <w:keepLines w:val="0"/>
        <w:spacing w:after="80"/>
        <w:jc w:val="both"/>
        <w:rPr>
          <w:rFonts w:ascii="Times New Roman" w:eastAsia="Times New Roman" w:hAnsi="Times New Roman" w:cs="Times New Roman"/>
          <w:b/>
          <w:bCs/>
          <w:sz w:val="24"/>
          <w:szCs w:val="24"/>
        </w:rPr>
      </w:pPr>
      <w:bookmarkStart w:id="13" w:name="_v9nle1fwhdmu" w:colFirst="0" w:colLast="0"/>
      <w:bookmarkEnd w:id="13"/>
      <w:r w:rsidRPr="007B703E">
        <w:rPr>
          <w:rFonts w:ascii="Times New Roman" w:eastAsia="Times New Roman" w:hAnsi="Times New Roman" w:cs="Times New Roman"/>
          <w:b/>
          <w:bCs/>
          <w:sz w:val="24"/>
          <w:szCs w:val="24"/>
        </w:rPr>
        <w:t>Global Structural and Antigenic Profiling of the Marburg Virus Proteome</w:t>
      </w:r>
    </w:p>
    <w:p w14:paraId="14559DD6" w14:textId="0E245D2E"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Co</w:t>
      </w:r>
      <w:r w:rsidRPr="007B703E">
        <w:rPr>
          <w:rFonts w:ascii="Times New Roman" w:eastAsia="Times New Roman" w:hAnsi="Times New Roman" w:cs="Times New Roman"/>
          <w:sz w:val="24"/>
          <w:szCs w:val="24"/>
        </w:rPr>
        <w:t xml:space="preserve">mprehensive physicochemical and structural analysis of the Marburg virus proteome revealed clear distinctions among viral proteins that reflected their biological roles within the viral life cycle [7, 9, 12, </w:t>
      </w:r>
      <w:proofErr w:type="gramStart"/>
      <w:r w:rsidRPr="007B703E">
        <w:rPr>
          <w:rFonts w:ascii="Times New Roman" w:eastAsia="Times New Roman" w:hAnsi="Times New Roman" w:cs="Times New Roman"/>
          <w:sz w:val="24"/>
          <w:szCs w:val="24"/>
        </w:rPr>
        <w:t>13]</w:t>
      </w:r>
      <w:r w:rsidR="00FD08BF">
        <w:rPr>
          <w:rFonts w:ascii="Times New Roman" w:eastAsia="Times New Roman" w:hAnsi="Times New Roman" w:cs="Times New Roman"/>
          <w:sz w:val="24"/>
          <w:szCs w:val="24"/>
        </w:rPr>
        <w:t>(</w:t>
      </w:r>
      <w:proofErr w:type="gramEnd"/>
      <w:r w:rsidR="00FD08BF">
        <w:rPr>
          <w:rFonts w:ascii="Times New Roman" w:eastAsia="Times New Roman" w:hAnsi="Times New Roman" w:cs="Times New Roman"/>
          <w:sz w:val="24"/>
          <w:szCs w:val="24"/>
        </w:rPr>
        <w:t>Table 1)</w:t>
      </w:r>
      <w:r w:rsidRPr="007B703E">
        <w:rPr>
          <w:rFonts w:ascii="Times New Roman" w:eastAsia="Times New Roman" w:hAnsi="Times New Roman" w:cs="Times New Roman"/>
          <w:sz w:val="24"/>
          <w:szCs w:val="24"/>
        </w:rPr>
        <w:t xml:space="preserve">. The nucleoprotein (~77 </w:t>
      </w:r>
      <w:proofErr w:type="spellStart"/>
      <w:r w:rsidRPr="007B703E">
        <w:rPr>
          <w:rFonts w:ascii="Times New Roman" w:eastAsia="Times New Roman" w:hAnsi="Times New Roman" w:cs="Times New Roman"/>
          <w:sz w:val="24"/>
          <w:szCs w:val="24"/>
        </w:rPr>
        <w:t>kDa</w:t>
      </w:r>
      <w:proofErr w:type="spellEnd"/>
      <w:r w:rsidRPr="007B703E">
        <w:rPr>
          <w:rFonts w:ascii="Times New Roman" w:eastAsia="Times New Roman" w:hAnsi="Times New Roman" w:cs="Times New Roman"/>
          <w:sz w:val="24"/>
          <w:szCs w:val="24"/>
        </w:rPr>
        <w:t>) and gl</w:t>
      </w:r>
      <w:r w:rsidRPr="007B703E">
        <w:rPr>
          <w:rFonts w:ascii="Times New Roman" w:eastAsia="Times New Roman" w:hAnsi="Times New Roman" w:cs="Times New Roman"/>
          <w:sz w:val="24"/>
          <w:szCs w:val="24"/>
        </w:rPr>
        <w:t xml:space="preserve">ycoprotein (~74 </w:t>
      </w:r>
      <w:proofErr w:type="spellStart"/>
      <w:r w:rsidRPr="007B703E">
        <w:rPr>
          <w:rFonts w:ascii="Times New Roman" w:eastAsia="Times New Roman" w:hAnsi="Times New Roman" w:cs="Times New Roman"/>
          <w:sz w:val="24"/>
          <w:szCs w:val="24"/>
        </w:rPr>
        <w:t>kDa</w:t>
      </w:r>
      <w:proofErr w:type="spellEnd"/>
      <w:r w:rsidRPr="007B703E">
        <w:rPr>
          <w:rFonts w:ascii="Times New Roman" w:eastAsia="Times New Roman" w:hAnsi="Times New Roman" w:cs="Times New Roman"/>
          <w:sz w:val="24"/>
          <w:szCs w:val="24"/>
        </w:rPr>
        <w:t xml:space="preserve">) were the largest structural components and exhibited features consistent with functions in genome </w:t>
      </w:r>
      <w:proofErr w:type="spellStart"/>
      <w:r w:rsidRPr="007B703E">
        <w:rPr>
          <w:rFonts w:ascii="Times New Roman" w:eastAsia="Times New Roman" w:hAnsi="Times New Roman" w:cs="Times New Roman"/>
          <w:sz w:val="24"/>
          <w:szCs w:val="24"/>
        </w:rPr>
        <w:t>encapsidation</w:t>
      </w:r>
      <w:proofErr w:type="spellEnd"/>
      <w:r w:rsidRPr="007B703E">
        <w:rPr>
          <w:rFonts w:ascii="Times New Roman" w:eastAsia="Times New Roman" w:hAnsi="Times New Roman" w:cs="Times New Roman"/>
          <w:sz w:val="24"/>
          <w:szCs w:val="24"/>
        </w:rPr>
        <w:t>, viral entry, and replication [9, 12]. Their size, high α-helical content, and complex tertiary structures suggested divers</w:t>
      </w:r>
      <w:r w:rsidRPr="007B703E">
        <w:rPr>
          <w:rFonts w:ascii="Times New Roman" w:eastAsia="Times New Roman" w:hAnsi="Times New Roman" w:cs="Times New Roman"/>
          <w:sz w:val="24"/>
          <w:szCs w:val="24"/>
        </w:rPr>
        <w:t>e antigenic surfaces, supporting their prominence as immune targets.</w:t>
      </w:r>
    </w:p>
    <w:p w14:paraId="3394E7FF"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Smaller proteins—matrix protein (33 </w:t>
      </w:r>
      <w:proofErr w:type="spellStart"/>
      <w:r w:rsidRPr="007B703E">
        <w:rPr>
          <w:rFonts w:ascii="Times New Roman" w:eastAsia="Times New Roman" w:hAnsi="Times New Roman" w:cs="Times New Roman"/>
          <w:sz w:val="24"/>
          <w:szCs w:val="24"/>
        </w:rPr>
        <w:t>kDa</w:t>
      </w:r>
      <w:proofErr w:type="spellEnd"/>
      <w:r w:rsidRPr="007B703E">
        <w:rPr>
          <w:rFonts w:ascii="Times New Roman" w:eastAsia="Times New Roman" w:hAnsi="Times New Roman" w:cs="Times New Roman"/>
          <w:sz w:val="24"/>
          <w:szCs w:val="24"/>
        </w:rPr>
        <w:t xml:space="preserve">), VP24 (28 </w:t>
      </w:r>
      <w:proofErr w:type="spellStart"/>
      <w:r w:rsidRPr="007B703E">
        <w:rPr>
          <w:rFonts w:ascii="Times New Roman" w:eastAsia="Times New Roman" w:hAnsi="Times New Roman" w:cs="Times New Roman"/>
          <w:sz w:val="24"/>
          <w:szCs w:val="24"/>
        </w:rPr>
        <w:t>kDa</w:t>
      </w:r>
      <w:proofErr w:type="spellEnd"/>
      <w:r w:rsidRPr="007B703E">
        <w:rPr>
          <w:rFonts w:ascii="Times New Roman" w:eastAsia="Times New Roman" w:hAnsi="Times New Roman" w:cs="Times New Roman"/>
          <w:sz w:val="24"/>
          <w:szCs w:val="24"/>
        </w:rPr>
        <w:t xml:space="preserve">), and VP30 (31 </w:t>
      </w:r>
      <w:proofErr w:type="spellStart"/>
      <w:r w:rsidRPr="007B703E">
        <w:rPr>
          <w:rFonts w:ascii="Times New Roman" w:eastAsia="Times New Roman" w:hAnsi="Times New Roman" w:cs="Times New Roman"/>
          <w:sz w:val="24"/>
          <w:szCs w:val="24"/>
        </w:rPr>
        <w:t>kDa</w:t>
      </w:r>
      <w:proofErr w:type="spellEnd"/>
      <w:r w:rsidRPr="007B703E">
        <w:rPr>
          <w:rFonts w:ascii="Times New Roman" w:eastAsia="Times New Roman" w:hAnsi="Times New Roman" w:cs="Times New Roman"/>
          <w:sz w:val="24"/>
          <w:szCs w:val="24"/>
        </w:rPr>
        <w:t>)—displayed more compact architectures yet remain functionally critical for virion assembly and immune evasion. Th</w:t>
      </w:r>
      <w:r w:rsidRPr="007B703E">
        <w:rPr>
          <w:rFonts w:ascii="Times New Roman" w:eastAsia="Times New Roman" w:hAnsi="Times New Roman" w:cs="Times New Roman"/>
          <w:sz w:val="24"/>
          <w:szCs w:val="24"/>
        </w:rPr>
        <w:t xml:space="preserve">e major RNA-dependent RNA polymerase (&gt;267 </w:t>
      </w:r>
      <w:proofErr w:type="spellStart"/>
      <w:r w:rsidRPr="007B703E">
        <w:rPr>
          <w:rFonts w:ascii="Times New Roman" w:eastAsia="Times New Roman" w:hAnsi="Times New Roman" w:cs="Times New Roman"/>
          <w:sz w:val="24"/>
          <w:szCs w:val="24"/>
        </w:rPr>
        <w:t>kDa</w:t>
      </w:r>
      <w:proofErr w:type="spellEnd"/>
      <w:r w:rsidRPr="007B703E">
        <w:rPr>
          <w:rFonts w:ascii="Times New Roman" w:eastAsia="Times New Roman" w:hAnsi="Times New Roman" w:cs="Times New Roman"/>
          <w:sz w:val="24"/>
          <w:szCs w:val="24"/>
        </w:rPr>
        <w:t>) was the largest viral protein and its structural complexity reflected its multifunctional role in RNA replication [7, 9].</w:t>
      </w:r>
    </w:p>
    <w:p w14:paraId="7294DF86"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Several biochemical indices further differentiated protein </w:t>
      </w:r>
      <w:proofErr w:type="spellStart"/>
      <w:r w:rsidRPr="007B703E">
        <w:rPr>
          <w:rFonts w:ascii="Times New Roman" w:eastAsia="Times New Roman" w:hAnsi="Times New Roman" w:cs="Times New Roman"/>
          <w:sz w:val="24"/>
          <w:szCs w:val="24"/>
        </w:rPr>
        <w:t>behaviour</w:t>
      </w:r>
      <w:proofErr w:type="spellEnd"/>
      <w:r w:rsidRPr="007B703E">
        <w:rPr>
          <w:rFonts w:ascii="Times New Roman" w:eastAsia="Times New Roman" w:hAnsi="Times New Roman" w:cs="Times New Roman"/>
          <w:sz w:val="24"/>
          <w:szCs w:val="24"/>
        </w:rPr>
        <w:t xml:space="preserve">. Acidic proteins </w:t>
      </w:r>
      <w:r w:rsidRPr="007B703E">
        <w:rPr>
          <w:rFonts w:ascii="Times New Roman" w:eastAsia="Times New Roman" w:hAnsi="Times New Roman" w:cs="Times New Roman"/>
          <w:sz w:val="24"/>
          <w:szCs w:val="24"/>
        </w:rPr>
        <w:t>such as the nucleoprotein (</w:t>
      </w:r>
      <w:proofErr w:type="spellStart"/>
      <w:r w:rsidRPr="007B703E">
        <w:rPr>
          <w:rFonts w:ascii="Times New Roman" w:eastAsia="Times New Roman" w:hAnsi="Times New Roman" w:cs="Times New Roman"/>
          <w:sz w:val="24"/>
          <w:szCs w:val="24"/>
        </w:rPr>
        <w:t>pI</w:t>
      </w:r>
      <w:proofErr w:type="spellEnd"/>
      <w:r w:rsidRPr="007B703E">
        <w:rPr>
          <w:rFonts w:ascii="Times New Roman" w:eastAsia="Times New Roman" w:hAnsi="Times New Roman" w:cs="Times New Roman"/>
          <w:sz w:val="24"/>
          <w:szCs w:val="24"/>
        </w:rPr>
        <w:t xml:space="preserve"> ~4.8) were predicted to be negatively charged and highly soluble, whereas basic proteins including matrix protein and VP30 (</w:t>
      </w:r>
      <w:proofErr w:type="spellStart"/>
      <w:r w:rsidRPr="007B703E">
        <w:rPr>
          <w:rFonts w:ascii="Times New Roman" w:eastAsia="Times New Roman" w:hAnsi="Times New Roman" w:cs="Times New Roman"/>
          <w:sz w:val="24"/>
          <w:szCs w:val="24"/>
        </w:rPr>
        <w:t>pI</w:t>
      </w:r>
      <w:proofErr w:type="spellEnd"/>
      <w:r w:rsidRPr="007B703E">
        <w:rPr>
          <w:rFonts w:ascii="Times New Roman" w:eastAsia="Times New Roman" w:hAnsi="Times New Roman" w:cs="Times New Roman"/>
          <w:sz w:val="24"/>
          <w:szCs w:val="24"/>
        </w:rPr>
        <w:t xml:space="preserve"> ~9.4) likely form stronger electrostatic interactions with host membranes [7, 10]. VP24 showed the </w:t>
      </w:r>
      <w:r w:rsidRPr="007B703E">
        <w:rPr>
          <w:rFonts w:ascii="Times New Roman" w:eastAsia="Times New Roman" w:hAnsi="Times New Roman" w:cs="Times New Roman"/>
          <w:sz w:val="24"/>
          <w:szCs w:val="24"/>
        </w:rPr>
        <w:t>highest aliphatic index (108.9), indicating thermostability [2], while the glycoprotein’s lower index (68.7) aligned with its need for conformational flexibility during receptor engagement [12, 17]. GRAVY scores revealed that most proteins were predominant</w:t>
      </w:r>
      <w:r w:rsidRPr="007B703E">
        <w:rPr>
          <w:rFonts w:ascii="Times New Roman" w:eastAsia="Times New Roman" w:hAnsi="Times New Roman" w:cs="Times New Roman"/>
          <w:sz w:val="24"/>
          <w:szCs w:val="24"/>
        </w:rPr>
        <w:t>ly hydrophilic; VP24’s slightly positive score (~+0.12) suggested a compact hydrophobic core. SOPMA-based analysis indicated that the nucleoprotein and polymerase were enriched in α-helices (39–51%), whereas matrix protein and VP30 contained more β-strands</w:t>
      </w:r>
      <w:r w:rsidRPr="007B703E">
        <w:rPr>
          <w:rFonts w:ascii="Times New Roman" w:eastAsia="Times New Roman" w:hAnsi="Times New Roman" w:cs="Times New Roman"/>
          <w:sz w:val="24"/>
          <w:szCs w:val="24"/>
        </w:rPr>
        <w:t>, reflecting structural adaptability.</w:t>
      </w:r>
    </w:p>
    <w:p w14:paraId="5450193B"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Antigenicity predictions showed that all seven proteins surpassed the 0.4 threshold, classifying them as probable antigens. VP24 (0.5544), VP30 (0.5492), and GP (0.5433) scored highest, while the matrix protein, though</w:t>
      </w:r>
      <w:r w:rsidRPr="007B703E">
        <w:rPr>
          <w:rFonts w:ascii="Times New Roman" w:eastAsia="Times New Roman" w:hAnsi="Times New Roman" w:cs="Times New Roman"/>
          <w:sz w:val="24"/>
          <w:szCs w:val="24"/>
        </w:rPr>
        <w:t xml:space="preserve"> lowest (0.4069), was still predicted antigenic. The glycoprotein (680 aa) and nucleoprotein (695 aa) were highly flexible, each containing &gt;64% random coil content, a feature associated with enhanced epitope accessibility.</w:t>
      </w:r>
    </w:p>
    <w:p w14:paraId="1FE4C886" w14:textId="77777777" w:rsidR="003A3F0C" w:rsidRPr="007B703E" w:rsidRDefault="003A3F0C">
      <w:pPr>
        <w:spacing w:before="240" w:after="240"/>
        <w:jc w:val="both"/>
        <w:rPr>
          <w:rFonts w:ascii="Times New Roman" w:eastAsia="Times New Roman" w:hAnsi="Times New Roman" w:cs="Times New Roman"/>
          <w:sz w:val="24"/>
          <w:szCs w:val="24"/>
        </w:rPr>
      </w:pPr>
    </w:p>
    <w:p w14:paraId="2609869A" w14:textId="66416234" w:rsidR="007B703E" w:rsidRPr="007B703E" w:rsidRDefault="007B703E" w:rsidP="007B703E">
      <w:pPr>
        <w:pStyle w:val="Caption"/>
        <w:rPr>
          <w:b/>
          <w:bCs/>
          <w:lang w:val="en-IN"/>
        </w:rPr>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Pr="007B703E">
        <w:rPr>
          <w:b/>
          <w:bCs/>
          <w:lang w:val="en-IN"/>
        </w:rPr>
        <w:t>Physicochemical and secondary-structure characteristics of Marburg virus proteins.</w:t>
      </w:r>
    </w:p>
    <w:p w14:paraId="567D9ACF" w14:textId="77777777" w:rsidR="007B703E" w:rsidRPr="007B703E" w:rsidRDefault="007B703E" w:rsidP="007B703E">
      <w:pPr>
        <w:pStyle w:val="Caption"/>
        <w:keepNext/>
        <w:rPr>
          <w:lang w:val="en-IN"/>
        </w:rPr>
      </w:pPr>
      <w:r w:rsidRPr="007B703E">
        <w:rPr>
          <w:lang w:val="en-IN"/>
        </w:rPr>
        <w:t>Summary of key biochemical parameters and predicted structural features of the major Marburg virus proteins, including length, molecular weight, theoretical isoelectric point (</w:t>
      </w:r>
      <w:proofErr w:type="spellStart"/>
      <w:r w:rsidRPr="007B703E">
        <w:rPr>
          <w:lang w:val="en-IN"/>
        </w:rPr>
        <w:t>pI</w:t>
      </w:r>
      <w:proofErr w:type="spellEnd"/>
      <w:r w:rsidRPr="007B703E">
        <w:rPr>
          <w:lang w:val="en-IN"/>
        </w:rPr>
        <w:t>), aliphatic index, GRAVY score, and antigenicity. Secondary-structure composition is shown as the percentage of α-helix, β-strand, and random coil content. These properties highlight notable differences among proteins, such as the high thermostability of VP24 (aliphatic index 108.97), strong coil enrichment in GP and NP, and high antigenicity scores in VP24, VP30, and GP, supporting their immunogenic relevance in downstream epitope prediction and vaccine design.</w:t>
      </w:r>
    </w:p>
    <w:p w14:paraId="58BED3E0" w14:textId="2BA8E160" w:rsidR="007B703E" w:rsidRDefault="007B703E" w:rsidP="007B703E">
      <w:pPr>
        <w:pStyle w:val="Caption"/>
        <w:keepNext/>
      </w:pPr>
    </w:p>
    <w:tbl>
      <w:tblPr>
        <w:tblStyle w:val="TableGrid"/>
        <w:tblW w:w="9359" w:type="dxa"/>
        <w:tblLayout w:type="fixed"/>
        <w:tblLook w:val="0600" w:firstRow="0" w:lastRow="0" w:firstColumn="0" w:lastColumn="0" w:noHBand="1" w:noVBand="1"/>
      </w:tblPr>
      <w:tblGrid>
        <w:gridCol w:w="1297"/>
        <w:gridCol w:w="777"/>
        <w:gridCol w:w="957"/>
        <w:gridCol w:w="523"/>
        <w:gridCol w:w="945"/>
        <w:gridCol w:w="873"/>
        <w:gridCol w:w="1200"/>
        <w:gridCol w:w="909"/>
        <w:gridCol w:w="969"/>
        <w:gridCol w:w="909"/>
      </w:tblGrid>
      <w:tr w:rsidR="003A3F0C" w:rsidRPr="007B703E" w14:paraId="1A0E0C04" w14:textId="77777777" w:rsidTr="007B703E">
        <w:trPr>
          <w:trHeight w:val="785"/>
        </w:trPr>
        <w:tc>
          <w:tcPr>
            <w:tcW w:w="1295" w:type="dxa"/>
          </w:tcPr>
          <w:p w14:paraId="26ED7939"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Protein</w:t>
            </w:r>
          </w:p>
        </w:tc>
        <w:tc>
          <w:tcPr>
            <w:tcW w:w="776" w:type="dxa"/>
          </w:tcPr>
          <w:p w14:paraId="7F50508D"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Length (aa)</w:t>
            </w:r>
          </w:p>
        </w:tc>
        <w:tc>
          <w:tcPr>
            <w:tcW w:w="957" w:type="dxa"/>
          </w:tcPr>
          <w:p w14:paraId="472F310D"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Mol. Weight</w:t>
            </w:r>
          </w:p>
        </w:tc>
        <w:tc>
          <w:tcPr>
            <w:tcW w:w="523" w:type="dxa"/>
          </w:tcPr>
          <w:p w14:paraId="78799510" w14:textId="77777777" w:rsidR="003A3F0C" w:rsidRPr="007B703E" w:rsidRDefault="001C164D">
            <w:pPr>
              <w:spacing w:before="240" w:after="240"/>
              <w:jc w:val="center"/>
              <w:rPr>
                <w:rFonts w:ascii="Times New Roman" w:eastAsia="Times New Roman" w:hAnsi="Times New Roman" w:cs="Times New Roman"/>
                <w:sz w:val="24"/>
                <w:szCs w:val="24"/>
              </w:rPr>
            </w:pPr>
            <w:proofErr w:type="spellStart"/>
            <w:r w:rsidRPr="007B703E">
              <w:rPr>
                <w:rFonts w:ascii="Times New Roman" w:eastAsia="Times New Roman" w:hAnsi="Times New Roman" w:cs="Times New Roman"/>
                <w:b/>
                <w:bCs/>
                <w:sz w:val="24"/>
                <w:szCs w:val="24"/>
              </w:rPr>
              <w:t>pI</w:t>
            </w:r>
            <w:proofErr w:type="spellEnd"/>
          </w:p>
        </w:tc>
        <w:tc>
          <w:tcPr>
            <w:tcW w:w="945" w:type="dxa"/>
          </w:tcPr>
          <w:p w14:paraId="6B5882BE"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Al</w:t>
            </w:r>
            <w:r w:rsidRPr="007B703E">
              <w:rPr>
                <w:rFonts w:ascii="Times New Roman" w:eastAsia="Times New Roman" w:hAnsi="Times New Roman" w:cs="Times New Roman"/>
                <w:b/>
                <w:bCs/>
                <w:sz w:val="24"/>
                <w:szCs w:val="24"/>
              </w:rPr>
              <w:t>iphatic Index</w:t>
            </w:r>
          </w:p>
        </w:tc>
        <w:tc>
          <w:tcPr>
            <w:tcW w:w="873" w:type="dxa"/>
          </w:tcPr>
          <w:p w14:paraId="3D9C9DA6"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GRAVY</w:t>
            </w:r>
          </w:p>
        </w:tc>
        <w:tc>
          <w:tcPr>
            <w:tcW w:w="1199" w:type="dxa"/>
          </w:tcPr>
          <w:p w14:paraId="3C58AF10"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Antigenicity Score</w:t>
            </w:r>
          </w:p>
        </w:tc>
        <w:tc>
          <w:tcPr>
            <w:tcW w:w="909" w:type="dxa"/>
          </w:tcPr>
          <w:p w14:paraId="3140D6C6"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Alpha Helix</w:t>
            </w:r>
          </w:p>
        </w:tc>
        <w:tc>
          <w:tcPr>
            <w:tcW w:w="969" w:type="dxa"/>
          </w:tcPr>
          <w:p w14:paraId="1F7C3B3B"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Extended Strand</w:t>
            </w:r>
          </w:p>
        </w:tc>
        <w:tc>
          <w:tcPr>
            <w:tcW w:w="909" w:type="dxa"/>
          </w:tcPr>
          <w:p w14:paraId="7BF8FCFA"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Random Coil</w:t>
            </w:r>
          </w:p>
        </w:tc>
      </w:tr>
      <w:tr w:rsidR="003A3F0C" w:rsidRPr="007B703E" w14:paraId="0C588665" w14:textId="77777777" w:rsidTr="007B703E">
        <w:trPr>
          <w:trHeight w:val="785"/>
        </w:trPr>
        <w:tc>
          <w:tcPr>
            <w:tcW w:w="1295" w:type="dxa"/>
          </w:tcPr>
          <w:p w14:paraId="27EFBF69"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Nucleoprotein</w:t>
            </w:r>
          </w:p>
        </w:tc>
        <w:tc>
          <w:tcPr>
            <w:tcW w:w="776" w:type="dxa"/>
          </w:tcPr>
          <w:p w14:paraId="338EDD56"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695</w:t>
            </w:r>
          </w:p>
        </w:tc>
        <w:tc>
          <w:tcPr>
            <w:tcW w:w="957" w:type="dxa"/>
          </w:tcPr>
          <w:p w14:paraId="0ACDFCF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77,672.56</w:t>
            </w:r>
          </w:p>
        </w:tc>
        <w:tc>
          <w:tcPr>
            <w:tcW w:w="523" w:type="dxa"/>
          </w:tcPr>
          <w:p w14:paraId="1B6D7515"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4.89</w:t>
            </w:r>
          </w:p>
        </w:tc>
        <w:tc>
          <w:tcPr>
            <w:tcW w:w="945" w:type="dxa"/>
          </w:tcPr>
          <w:p w14:paraId="51315DB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86.26</w:t>
            </w:r>
          </w:p>
        </w:tc>
        <w:tc>
          <w:tcPr>
            <w:tcW w:w="873" w:type="dxa"/>
          </w:tcPr>
          <w:p w14:paraId="6DE48945"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–0.529</w:t>
            </w:r>
          </w:p>
        </w:tc>
        <w:tc>
          <w:tcPr>
            <w:tcW w:w="1199" w:type="dxa"/>
          </w:tcPr>
          <w:p w14:paraId="737315D2"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0.4791</w:t>
            </w:r>
          </w:p>
        </w:tc>
        <w:tc>
          <w:tcPr>
            <w:tcW w:w="909" w:type="dxa"/>
          </w:tcPr>
          <w:p w14:paraId="21191FF0"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49 (16.17%)</w:t>
            </w:r>
          </w:p>
        </w:tc>
        <w:tc>
          <w:tcPr>
            <w:tcW w:w="969" w:type="dxa"/>
          </w:tcPr>
          <w:p w14:paraId="5BEAFD66"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58 (19.14%)</w:t>
            </w:r>
          </w:p>
        </w:tc>
        <w:tc>
          <w:tcPr>
            <w:tcW w:w="909" w:type="dxa"/>
          </w:tcPr>
          <w:p w14:paraId="61080945"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196 (64.69%)</w:t>
            </w:r>
          </w:p>
        </w:tc>
      </w:tr>
      <w:tr w:rsidR="003A3F0C" w:rsidRPr="007B703E" w14:paraId="1C2AFD7F" w14:textId="77777777" w:rsidTr="007B703E">
        <w:trPr>
          <w:trHeight w:val="1055"/>
        </w:trPr>
        <w:tc>
          <w:tcPr>
            <w:tcW w:w="1295" w:type="dxa"/>
          </w:tcPr>
          <w:p w14:paraId="3B287A81"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Minor polymerase component</w:t>
            </w:r>
          </w:p>
        </w:tc>
        <w:tc>
          <w:tcPr>
            <w:tcW w:w="776" w:type="dxa"/>
          </w:tcPr>
          <w:p w14:paraId="1AF067FB"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329</w:t>
            </w:r>
          </w:p>
        </w:tc>
        <w:tc>
          <w:tcPr>
            <w:tcW w:w="957" w:type="dxa"/>
          </w:tcPr>
          <w:p w14:paraId="13D1B5BE"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36,130.82</w:t>
            </w:r>
          </w:p>
        </w:tc>
        <w:tc>
          <w:tcPr>
            <w:tcW w:w="523" w:type="dxa"/>
          </w:tcPr>
          <w:p w14:paraId="6F35FE4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8.96</w:t>
            </w:r>
          </w:p>
        </w:tc>
        <w:tc>
          <w:tcPr>
            <w:tcW w:w="945" w:type="dxa"/>
          </w:tcPr>
          <w:p w14:paraId="0568FC35"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90.73</w:t>
            </w:r>
          </w:p>
        </w:tc>
        <w:tc>
          <w:tcPr>
            <w:tcW w:w="873" w:type="dxa"/>
          </w:tcPr>
          <w:p w14:paraId="27A02E09"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–0.167</w:t>
            </w:r>
          </w:p>
        </w:tc>
        <w:tc>
          <w:tcPr>
            <w:tcW w:w="1199" w:type="dxa"/>
          </w:tcPr>
          <w:p w14:paraId="4712CC43"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0.4330</w:t>
            </w:r>
          </w:p>
        </w:tc>
        <w:tc>
          <w:tcPr>
            <w:tcW w:w="909" w:type="dxa"/>
          </w:tcPr>
          <w:p w14:paraId="3732FAA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275 (39.57%)</w:t>
            </w:r>
          </w:p>
        </w:tc>
        <w:tc>
          <w:tcPr>
            <w:tcW w:w="969" w:type="dxa"/>
          </w:tcPr>
          <w:p w14:paraId="39C5FFF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53 </w:t>
            </w:r>
            <w:r w:rsidRPr="007B703E">
              <w:rPr>
                <w:rFonts w:ascii="Times New Roman" w:eastAsia="Times New Roman" w:hAnsi="Times New Roman" w:cs="Times New Roman"/>
                <w:sz w:val="24"/>
                <w:szCs w:val="24"/>
              </w:rPr>
              <w:t>(7.63%)</w:t>
            </w:r>
          </w:p>
        </w:tc>
        <w:tc>
          <w:tcPr>
            <w:tcW w:w="909" w:type="dxa"/>
          </w:tcPr>
          <w:p w14:paraId="7BF90B1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367 (52.81%)</w:t>
            </w:r>
          </w:p>
        </w:tc>
      </w:tr>
      <w:tr w:rsidR="003A3F0C" w:rsidRPr="007B703E" w14:paraId="6C8FA3C8" w14:textId="77777777" w:rsidTr="007B703E">
        <w:trPr>
          <w:trHeight w:val="785"/>
        </w:trPr>
        <w:tc>
          <w:tcPr>
            <w:tcW w:w="1295" w:type="dxa"/>
          </w:tcPr>
          <w:p w14:paraId="384BB519"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Matrix protein</w:t>
            </w:r>
          </w:p>
        </w:tc>
        <w:tc>
          <w:tcPr>
            <w:tcW w:w="776" w:type="dxa"/>
          </w:tcPr>
          <w:p w14:paraId="4B6F5041"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303</w:t>
            </w:r>
          </w:p>
        </w:tc>
        <w:tc>
          <w:tcPr>
            <w:tcW w:w="957" w:type="dxa"/>
          </w:tcPr>
          <w:p w14:paraId="0866B51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33,789.73</w:t>
            </w:r>
          </w:p>
        </w:tc>
        <w:tc>
          <w:tcPr>
            <w:tcW w:w="523" w:type="dxa"/>
          </w:tcPr>
          <w:p w14:paraId="673E0746"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9.40</w:t>
            </w:r>
          </w:p>
        </w:tc>
        <w:tc>
          <w:tcPr>
            <w:tcW w:w="945" w:type="dxa"/>
          </w:tcPr>
          <w:p w14:paraId="51A9F30D"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86.90</w:t>
            </w:r>
          </w:p>
        </w:tc>
        <w:tc>
          <w:tcPr>
            <w:tcW w:w="873" w:type="dxa"/>
          </w:tcPr>
          <w:p w14:paraId="7FDE25C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–0.274</w:t>
            </w:r>
          </w:p>
        </w:tc>
        <w:tc>
          <w:tcPr>
            <w:tcW w:w="1199" w:type="dxa"/>
          </w:tcPr>
          <w:p w14:paraId="085BCD90"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0.4069</w:t>
            </w:r>
          </w:p>
        </w:tc>
        <w:tc>
          <w:tcPr>
            <w:tcW w:w="909" w:type="dxa"/>
          </w:tcPr>
          <w:p w14:paraId="44E9BC71"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170 (51.67%)</w:t>
            </w:r>
          </w:p>
        </w:tc>
        <w:tc>
          <w:tcPr>
            <w:tcW w:w="969" w:type="dxa"/>
          </w:tcPr>
          <w:p w14:paraId="55EF1E8E"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27 (8.21%)</w:t>
            </w:r>
          </w:p>
        </w:tc>
        <w:tc>
          <w:tcPr>
            <w:tcW w:w="909" w:type="dxa"/>
          </w:tcPr>
          <w:p w14:paraId="51740FD1"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132 (40.12%)</w:t>
            </w:r>
          </w:p>
        </w:tc>
      </w:tr>
      <w:tr w:rsidR="003A3F0C" w:rsidRPr="007B703E" w14:paraId="53DABDC8" w14:textId="77777777" w:rsidTr="007B703E">
        <w:trPr>
          <w:trHeight w:val="785"/>
        </w:trPr>
        <w:tc>
          <w:tcPr>
            <w:tcW w:w="1295" w:type="dxa"/>
          </w:tcPr>
          <w:p w14:paraId="5D8B2E35"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Glycoprotein (GP)</w:t>
            </w:r>
          </w:p>
        </w:tc>
        <w:tc>
          <w:tcPr>
            <w:tcW w:w="776" w:type="dxa"/>
          </w:tcPr>
          <w:p w14:paraId="3F789F8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680</w:t>
            </w:r>
          </w:p>
        </w:tc>
        <w:tc>
          <w:tcPr>
            <w:tcW w:w="957" w:type="dxa"/>
          </w:tcPr>
          <w:p w14:paraId="118C52E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74,352.91</w:t>
            </w:r>
          </w:p>
        </w:tc>
        <w:tc>
          <w:tcPr>
            <w:tcW w:w="523" w:type="dxa"/>
          </w:tcPr>
          <w:p w14:paraId="4F54905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5.85</w:t>
            </w:r>
          </w:p>
        </w:tc>
        <w:tc>
          <w:tcPr>
            <w:tcW w:w="945" w:type="dxa"/>
          </w:tcPr>
          <w:p w14:paraId="7A31B36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68.74</w:t>
            </w:r>
          </w:p>
        </w:tc>
        <w:tc>
          <w:tcPr>
            <w:tcW w:w="873" w:type="dxa"/>
          </w:tcPr>
          <w:p w14:paraId="5FBBEB1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–0.564</w:t>
            </w:r>
          </w:p>
        </w:tc>
        <w:tc>
          <w:tcPr>
            <w:tcW w:w="1199" w:type="dxa"/>
          </w:tcPr>
          <w:p w14:paraId="47373450"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0.5433</w:t>
            </w:r>
          </w:p>
        </w:tc>
        <w:tc>
          <w:tcPr>
            <w:tcW w:w="909" w:type="dxa"/>
          </w:tcPr>
          <w:p w14:paraId="2BDEC22C"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146 (21.47%)</w:t>
            </w:r>
          </w:p>
        </w:tc>
        <w:tc>
          <w:tcPr>
            <w:tcW w:w="969" w:type="dxa"/>
          </w:tcPr>
          <w:p w14:paraId="1BCBD50C"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73 (10.74%)</w:t>
            </w:r>
          </w:p>
        </w:tc>
        <w:tc>
          <w:tcPr>
            <w:tcW w:w="909" w:type="dxa"/>
          </w:tcPr>
          <w:p w14:paraId="75B8F6A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461 (67.79%)</w:t>
            </w:r>
          </w:p>
        </w:tc>
      </w:tr>
      <w:tr w:rsidR="003A3F0C" w:rsidRPr="007B703E" w14:paraId="629363F3" w14:textId="77777777" w:rsidTr="007B703E">
        <w:trPr>
          <w:trHeight w:val="785"/>
        </w:trPr>
        <w:tc>
          <w:tcPr>
            <w:tcW w:w="1295" w:type="dxa"/>
          </w:tcPr>
          <w:p w14:paraId="09AF7129"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VP30</w:t>
            </w:r>
          </w:p>
        </w:tc>
        <w:tc>
          <w:tcPr>
            <w:tcW w:w="776" w:type="dxa"/>
          </w:tcPr>
          <w:p w14:paraId="2A94DAA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281</w:t>
            </w:r>
          </w:p>
        </w:tc>
        <w:tc>
          <w:tcPr>
            <w:tcW w:w="957" w:type="dxa"/>
          </w:tcPr>
          <w:p w14:paraId="2B9531AE"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31,625.87</w:t>
            </w:r>
          </w:p>
        </w:tc>
        <w:tc>
          <w:tcPr>
            <w:tcW w:w="523" w:type="dxa"/>
          </w:tcPr>
          <w:p w14:paraId="159FA11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9.40</w:t>
            </w:r>
          </w:p>
        </w:tc>
        <w:tc>
          <w:tcPr>
            <w:tcW w:w="945" w:type="dxa"/>
          </w:tcPr>
          <w:p w14:paraId="27F42176"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72.92</w:t>
            </w:r>
          </w:p>
        </w:tc>
        <w:tc>
          <w:tcPr>
            <w:tcW w:w="873" w:type="dxa"/>
          </w:tcPr>
          <w:p w14:paraId="5BB47C7D"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–0.754</w:t>
            </w:r>
          </w:p>
        </w:tc>
        <w:tc>
          <w:tcPr>
            <w:tcW w:w="1199" w:type="dxa"/>
          </w:tcPr>
          <w:p w14:paraId="3618B255"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0.5492</w:t>
            </w:r>
          </w:p>
        </w:tc>
        <w:tc>
          <w:tcPr>
            <w:tcW w:w="909" w:type="dxa"/>
          </w:tcPr>
          <w:p w14:paraId="6C7E486F"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97</w:t>
            </w:r>
            <w:r w:rsidRPr="007B703E">
              <w:rPr>
                <w:rFonts w:ascii="Times New Roman" w:eastAsia="Times New Roman" w:hAnsi="Times New Roman" w:cs="Times New Roman"/>
                <w:sz w:val="24"/>
                <w:szCs w:val="24"/>
              </w:rPr>
              <w:t xml:space="preserve"> (34.52%)</w:t>
            </w:r>
          </w:p>
        </w:tc>
        <w:tc>
          <w:tcPr>
            <w:tcW w:w="969" w:type="dxa"/>
          </w:tcPr>
          <w:p w14:paraId="43ADB73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16 (5.69%)</w:t>
            </w:r>
          </w:p>
        </w:tc>
        <w:tc>
          <w:tcPr>
            <w:tcW w:w="909" w:type="dxa"/>
          </w:tcPr>
          <w:p w14:paraId="7A59D027"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168 (59.79%)</w:t>
            </w:r>
          </w:p>
        </w:tc>
      </w:tr>
      <w:tr w:rsidR="003A3F0C" w:rsidRPr="007B703E" w14:paraId="7E02684E" w14:textId="77777777" w:rsidTr="007B703E">
        <w:trPr>
          <w:trHeight w:val="785"/>
        </w:trPr>
        <w:tc>
          <w:tcPr>
            <w:tcW w:w="1295" w:type="dxa"/>
          </w:tcPr>
          <w:p w14:paraId="4B6E3DD0"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VP24</w:t>
            </w:r>
          </w:p>
        </w:tc>
        <w:tc>
          <w:tcPr>
            <w:tcW w:w="776" w:type="dxa"/>
          </w:tcPr>
          <w:p w14:paraId="5F463AEA"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253</w:t>
            </w:r>
          </w:p>
        </w:tc>
        <w:tc>
          <w:tcPr>
            <w:tcW w:w="957" w:type="dxa"/>
          </w:tcPr>
          <w:p w14:paraId="244F017F"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28,664.56</w:t>
            </w:r>
          </w:p>
        </w:tc>
        <w:tc>
          <w:tcPr>
            <w:tcW w:w="523" w:type="dxa"/>
          </w:tcPr>
          <w:p w14:paraId="05F91A7D"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8.53</w:t>
            </w:r>
          </w:p>
        </w:tc>
        <w:tc>
          <w:tcPr>
            <w:tcW w:w="945" w:type="dxa"/>
          </w:tcPr>
          <w:p w14:paraId="4079ED79"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108.97</w:t>
            </w:r>
          </w:p>
        </w:tc>
        <w:tc>
          <w:tcPr>
            <w:tcW w:w="873" w:type="dxa"/>
          </w:tcPr>
          <w:p w14:paraId="2098206A"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0.123</w:t>
            </w:r>
          </w:p>
        </w:tc>
        <w:tc>
          <w:tcPr>
            <w:tcW w:w="1199" w:type="dxa"/>
          </w:tcPr>
          <w:p w14:paraId="072033BD"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0.5544</w:t>
            </w:r>
          </w:p>
        </w:tc>
        <w:tc>
          <w:tcPr>
            <w:tcW w:w="909" w:type="dxa"/>
          </w:tcPr>
          <w:p w14:paraId="796D9A18"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112 (44.27%)</w:t>
            </w:r>
          </w:p>
        </w:tc>
        <w:tc>
          <w:tcPr>
            <w:tcW w:w="969" w:type="dxa"/>
          </w:tcPr>
          <w:p w14:paraId="7CBD9303"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48 (18.97%)</w:t>
            </w:r>
          </w:p>
        </w:tc>
        <w:tc>
          <w:tcPr>
            <w:tcW w:w="909" w:type="dxa"/>
          </w:tcPr>
          <w:p w14:paraId="0FBDC384"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93 (36.76%)</w:t>
            </w:r>
          </w:p>
        </w:tc>
      </w:tr>
      <w:tr w:rsidR="003A3F0C" w:rsidRPr="007B703E" w14:paraId="26EC5AB7" w14:textId="77777777" w:rsidTr="007B703E">
        <w:trPr>
          <w:trHeight w:val="785"/>
        </w:trPr>
        <w:tc>
          <w:tcPr>
            <w:tcW w:w="1295" w:type="dxa"/>
          </w:tcPr>
          <w:p w14:paraId="3D6871DF"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lastRenderedPageBreak/>
              <w:t>L polymerase</w:t>
            </w:r>
          </w:p>
        </w:tc>
        <w:tc>
          <w:tcPr>
            <w:tcW w:w="776" w:type="dxa"/>
          </w:tcPr>
          <w:p w14:paraId="6AE54376"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2331</w:t>
            </w:r>
          </w:p>
        </w:tc>
        <w:tc>
          <w:tcPr>
            <w:tcW w:w="957" w:type="dxa"/>
          </w:tcPr>
          <w:p w14:paraId="785A02B2"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w:t>
            </w:r>
          </w:p>
        </w:tc>
        <w:tc>
          <w:tcPr>
            <w:tcW w:w="523" w:type="dxa"/>
          </w:tcPr>
          <w:p w14:paraId="3026582F"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w:t>
            </w:r>
          </w:p>
        </w:tc>
        <w:tc>
          <w:tcPr>
            <w:tcW w:w="945" w:type="dxa"/>
          </w:tcPr>
          <w:p w14:paraId="4A11BDBE"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w:t>
            </w:r>
          </w:p>
        </w:tc>
        <w:tc>
          <w:tcPr>
            <w:tcW w:w="873" w:type="dxa"/>
          </w:tcPr>
          <w:p w14:paraId="25A9047B"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–0.230</w:t>
            </w:r>
          </w:p>
        </w:tc>
        <w:tc>
          <w:tcPr>
            <w:tcW w:w="1199" w:type="dxa"/>
          </w:tcPr>
          <w:p w14:paraId="601DB015"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0.4557</w:t>
            </w:r>
          </w:p>
        </w:tc>
        <w:tc>
          <w:tcPr>
            <w:tcW w:w="909" w:type="dxa"/>
          </w:tcPr>
          <w:p w14:paraId="6DF907D1"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1090 (46.76%)</w:t>
            </w:r>
          </w:p>
        </w:tc>
        <w:tc>
          <w:tcPr>
            <w:tcW w:w="969" w:type="dxa"/>
          </w:tcPr>
          <w:p w14:paraId="05ADD63D"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203 (8.71%)</w:t>
            </w:r>
          </w:p>
        </w:tc>
        <w:tc>
          <w:tcPr>
            <w:tcW w:w="909" w:type="dxa"/>
          </w:tcPr>
          <w:p w14:paraId="790098A1"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1038 (44.53%)</w:t>
            </w:r>
          </w:p>
        </w:tc>
      </w:tr>
    </w:tbl>
    <w:p w14:paraId="5460ECA1" w14:textId="77777777" w:rsidR="003A3F0C" w:rsidRPr="007B703E" w:rsidRDefault="003A3F0C">
      <w:pPr>
        <w:spacing w:before="240" w:after="240"/>
        <w:jc w:val="both"/>
        <w:rPr>
          <w:rFonts w:ascii="Times New Roman" w:eastAsia="Times New Roman" w:hAnsi="Times New Roman" w:cs="Times New Roman"/>
          <w:sz w:val="24"/>
          <w:szCs w:val="24"/>
        </w:rPr>
      </w:pPr>
    </w:p>
    <w:p w14:paraId="2562C7A3" w14:textId="77777777" w:rsidR="003A3F0C" w:rsidRPr="007B703E" w:rsidRDefault="001C164D">
      <w:pPr>
        <w:pStyle w:val="Heading2"/>
        <w:keepNext w:val="0"/>
        <w:keepLines w:val="0"/>
        <w:spacing w:after="80"/>
        <w:jc w:val="both"/>
        <w:rPr>
          <w:rFonts w:ascii="Times New Roman" w:eastAsia="Times New Roman" w:hAnsi="Times New Roman" w:cs="Times New Roman"/>
          <w:b/>
          <w:bCs/>
          <w:sz w:val="24"/>
          <w:szCs w:val="24"/>
        </w:rPr>
      </w:pPr>
      <w:bookmarkStart w:id="14" w:name="_dsf0oibbk501" w:colFirst="0" w:colLast="0"/>
      <w:bookmarkEnd w:id="14"/>
      <w:r w:rsidRPr="007B703E">
        <w:rPr>
          <w:rFonts w:ascii="Times New Roman" w:eastAsia="Times New Roman" w:hAnsi="Times New Roman" w:cs="Times New Roman"/>
          <w:b/>
          <w:bCs/>
          <w:sz w:val="24"/>
          <w:szCs w:val="24"/>
        </w:rPr>
        <w:t>B-cell Epitope Landscape Across the Proteome</w:t>
      </w:r>
    </w:p>
    <w:p w14:paraId="59918850"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Proteome-wide linear B-cell epitope prediction using </w:t>
      </w:r>
      <w:proofErr w:type="spellStart"/>
      <w:r w:rsidRPr="007B703E">
        <w:rPr>
          <w:rFonts w:ascii="Times New Roman" w:eastAsia="Times New Roman" w:hAnsi="Times New Roman" w:cs="Times New Roman"/>
          <w:sz w:val="24"/>
          <w:szCs w:val="24"/>
        </w:rPr>
        <w:t>Bepipred</w:t>
      </w:r>
      <w:proofErr w:type="spellEnd"/>
      <w:r w:rsidRPr="007B703E">
        <w:rPr>
          <w:rFonts w:ascii="Times New Roman" w:eastAsia="Times New Roman" w:hAnsi="Times New Roman" w:cs="Times New Roman"/>
          <w:sz w:val="24"/>
          <w:szCs w:val="24"/>
        </w:rPr>
        <w:t>, Chou–</w:t>
      </w:r>
      <w:proofErr w:type="spellStart"/>
      <w:r w:rsidRPr="007B703E">
        <w:rPr>
          <w:rFonts w:ascii="Times New Roman" w:eastAsia="Times New Roman" w:hAnsi="Times New Roman" w:cs="Times New Roman"/>
          <w:sz w:val="24"/>
          <w:szCs w:val="24"/>
        </w:rPr>
        <w:t>Fasman</w:t>
      </w:r>
      <w:proofErr w:type="spellEnd"/>
      <w:r w:rsidRPr="007B703E">
        <w:rPr>
          <w:rFonts w:ascii="Times New Roman" w:eastAsia="Times New Roman" w:hAnsi="Times New Roman" w:cs="Times New Roman"/>
          <w:sz w:val="24"/>
          <w:szCs w:val="24"/>
        </w:rPr>
        <w:t xml:space="preserve">, </w:t>
      </w:r>
      <w:proofErr w:type="spellStart"/>
      <w:r w:rsidRPr="007B703E">
        <w:rPr>
          <w:rFonts w:ascii="Times New Roman" w:eastAsia="Times New Roman" w:hAnsi="Times New Roman" w:cs="Times New Roman"/>
          <w:sz w:val="24"/>
          <w:szCs w:val="24"/>
        </w:rPr>
        <w:t>Emini</w:t>
      </w:r>
      <w:proofErr w:type="spellEnd"/>
      <w:r w:rsidRPr="007B703E">
        <w:rPr>
          <w:rFonts w:ascii="Times New Roman" w:eastAsia="Times New Roman" w:hAnsi="Times New Roman" w:cs="Times New Roman"/>
          <w:sz w:val="24"/>
          <w:szCs w:val="24"/>
        </w:rPr>
        <w:t xml:space="preserve"> accessibility, </w:t>
      </w:r>
      <w:proofErr w:type="spellStart"/>
      <w:r w:rsidRPr="007B703E">
        <w:rPr>
          <w:rFonts w:ascii="Times New Roman" w:eastAsia="Times New Roman" w:hAnsi="Times New Roman" w:cs="Times New Roman"/>
          <w:sz w:val="24"/>
          <w:szCs w:val="24"/>
        </w:rPr>
        <w:t>Kolaskar</w:t>
      </w:r>
      <w:proofErr w:type="spellEnd"/>
      <w:r w:rsidRPr="007B703E">
        <w:rPr>
          <w:rFonts w:ascii="Times New Roman" w:eastAsia="Times New Roman" w:hAnsi="Times New Roman" w:cs="Times New Roman"/>
          <w:sz w:val="24"/>
          <w:szCs w:val="24"/>
        </w:rPr>
        <w:t xml:space="preserve"> antigenicity, and Parker hydrophilicity models identified extensive epitope-rich regions across the seven Marburg virus proteins [16, 23].</w:t>
      </w:r>
    </w:p>
    <w:p w14:paraId="3F27459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The nucleop</w:t>
      </w:r>
      <w:r w:rsidRPr="007B703E">
        <w:rPr>
          <w:rFonts w:ascii="Times New Roman" w:eastAsia="Times New Roman" w:hAnsi="Times New Roman" w:cs="Times New Roman"/>
          <w:sz w:val="24"/>
          <w:szCs w:val="24"/>
        </w:rPr>
        <w:t>rotein carried 690 predicted epitopes—many clustering within accessible N-terminal and central regions—consistent with its known immunogenicity. The glycoprotein contained 680 epitopes, with multiple long, continuous clusters mapped to the ectodomain. Seve</w:t>
      </w:r>
      <w:r w:rsidRPr="007B703E">
        <w:rPr>
          <w:rFonts w:ascii="Times New Roman" w:eastAsia="Times New Roman" w:hAnsi="Times New Roman" w:cs="Times New Roman"/>
          <w:sz w:val="24"/>
          <w:szCs w:val="24"/>
        </w:rPr>
        <w:t>ral extended hydrophilic segments (e.g., residues 25–36, 74–90, 97–118, 218–348, 352–424, 455–484) overlapped with coil-rich regions and are predicted to be prominently exposed on the virion surface.</w:t>
      </w:r>
    </w:p>
    <w:p w14:paraId="60A4CA1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Other structural proteins displayed fewer epitopes but i</w:t>
      </w:r>
      <w:r w:rsidRPr="007B703E">
        <w:rPr>
          <w:rFonts w:ascii="Times New Roman" w:eastAsia="Times New Roman" w:hAnsi="Times New Roman" w:cs="Times New Roman"/>
          <w:sz w:val="24"/>
          <w:szCs w:val="24"/>
        </w:rPr>
        <w:t xml:space="preserve">ncluded notable antigenic loops: the matrix protein (297 epitopes), VP24 (247 epitopes), VP30 (275 epitopes), and the minor polymerase component (323 epitopes). Despite internal </w:t>
      </w:r>
      <w:proofErr w:type="spellStart"/>
      <w:r w:rsidRPr="007B703E">
        <w:rPr>
          <w:rFonts w:ascii="Times New Roman" w:eastAsia="Times New Roman" w:hAnsi="Times New Roman" w:cs="Times New Roman"/>
          <w:sz w:val="24"/>
          <w:szCs w:val="24"/>
        </w:rPr>
        <w:t>localisation</w:t>
      </w:r>
      <w:proofErr w:type="spellEnd"/>
      <w:r w:rsidRPr="007B703E">
        <w:rPr>
          <w:rFonts w:ascii="Times New Roman" w:eastAsia="Times New Roman" w:hAnsi="Times New Roman" w:cs="Times New Roman"/>
          <w:sz w:val="24"/>
          <w:szCs w:val="24"/>
        </w:rPr>
        <w:t>, the major polymerase subunit showed the highest total count (232</w:t>
      </w:r>
      <w:r w:rsidRPr="007B703E">
        <w:rPr>
          <w:rFonts w:ascii="Times New Roman" w:eastAsia="Times New Roman" w:hAnsi="Times New Roman" w:cs="Times New Roman"/>
          <w:sz w:val="24"/>
          <w:szCs w:val="24"/>
        </w:rPr>
        <w:t>6 epitopes), with several densely clustered immunogenic regions.</w:t>
      </w:r>
    </w:p>
    <w:p w14:paraId="2CE94B8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Overall, both structural and non-structural proteins contributed to the antigenic landscape, but the density, continuity, and surface accessibility of glycoprotein epitopes strongly support i</w:t>
      </w:r>
      <w:r w:rsidRPr="007B703E">
        <w:rPr>
          <w:rFonts w:ascii="Times New Roman" w:eastAsia="Times New Roman" w:hAnsi="Times New Roman" w:cs="Times New Roman"/>
          <w:sz w:val="24"/>
          <w:szCs w:val="24"/>
        </w:rPr>
        <w:t xml:space="preserve">ts </w:t>
      </w:r>
      <w:proofErr w:type="spellStart"/>
      <w:r w:rsidRPr="007B703E">
        <w:rPr>
          <w:rFonts w:ascii="Times New Roman" w:eastAsia="Times New Roman" w:hAnsi="Times New Roman" w:cs="Times New Roman"/>
          <w:sz w:val="24"/>
          <w:szCs w:val="24"/>
        </w:rPr>
        <w:t>prioritisation</w:t>
      </w:r>
      <w:proofErr w:type="spellEnd"/>
      <w:r w:rsidRPr="007B703E">
        <w:rPr>
          <w:rFonts w:ascii="Times New Roman" w:eastAsia="Times New Roman" w:hAnsi="Times New Roman" w:cs="Times New Roman"/>
          <w:sz w:val="24"/>
          <w:szCs w:val="24"/>
        </w:rPr>
        <w:t xml:space="preserve"> for vaccine design.</w:t>
      </w:r>
    </w:p>
    <w:p w14:paraId="0D02D029" w14:textId="77777777" w:rsidR="003A3F0C" w:rsidRPr="007B703E" w:rsidRDefault="001C164D">
      <w:pPr>
        <w:pStyle w:val="Heading2"/>
        <w:keepNext w:val="0"/>
        <w:keepLines w:val="0"/>
        <w:spacing w:after="80"/>
        <w:jc w:val="both"/>
        <w:rPr>
          <w:rFonts w:ascii="Times New Roman" w:eastAsia="Times New Roman" w:hAnsi="Times New Roman" w:cs="Times New Roman"/>
          <w:b/>
          <w:bCs/>
          <w:sz w:val="24"/>
          <w:szCs w:val="24"/>
        </w:rPr>
      </w:pPr>
      <w:bookmarkStart w:id="15" w:name="_ucztbe8vmvfp" w:colFirst="0" w:colLast="0"/>
      <w:bookmarkEnd w:id="15"/>
      <w:r w:rsidRPr="007B703E">
        <w:rPr>
          <w:rFonts w:ascii="Times New Roman" w:eastAsia="Times New Roman" w:hAnsi="Times New Roman" w:cs="Times New Roman"/>
          <w:b/>
          <w:bCs/>
          <w:sz w:val="24"/>
          <w:szCs w:val="24"/>
        </w:rPr>
        <w:t>T-cell Epitope Immunogenicity: MHC I and II Binding Profiles</w:t>
      </w:r>
    </w:p>
    <w:p w14:paraId="3FF87A21" w14:textId="45F585DF"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Caudex" w:hAnsi="Times New Roman" w:cs="Times New Roman"/>
          <w:sz w:val="24"/>
          <w:szCs w:val="24"/>
        </w:rPr>
        <w:t>Evaluation of MHC I (9-mer) and MHC II (15-mer) binding across the proteome revealed extensive T-cell epitope repertoires, with 262,275 peptides predicted as</w:t>
      </w:r>
      <w:r w:rsidRPr="007B703E">
        <w:rPr>
          <w:rFonts w:ascii="Times New Roman" w:eastAsia="Caudex" w:hAnsi="Times New Roman" w:cs="Times New Roman"/>
          <w:sz w:val="24"/>
          <w:szCs w:val="24"/>
        </w:rPr>
        <w:t xml:space="preserve"> strong CD8⁺ binders and 128,896 as strong CD4⁺ binders [18, 22]. Epitope distribution was heterogeneous, with the nucleoprotein and glycoprotein showing the highest densities of high-affinity binders, consistent with their size, structural flexibility, an</w:t>
      </w:r>
      <w:r w:rsidRPr="007B703E">
        <w:rPr>
          <w:rFonts w:ascii="Times New Roman" w:eastAsia="Caudex" w:hAnsi="Times New Roman" w:cs="Times New Roman"/>
          <w:sz w:val="24"/>
          <w:szCs w:val="24"/>
        </w:rPr>
        <w:t>d immunological importance. Under stringent thresholds (MHC I ≤0.5 percentile; MHC II ≤2), the nucleoprotein produced 478 strong MHC I and 361 strong MHC II binders, while the glycoprotein yielded 328 and 162, respectively, many of which were allele-promis</w:t>
      </w:r>
      <w:r w:rsidRPr="007B703E">
        <w:rPr>
          <w:rFonts w:ascii="Times New Roman" w:eastAsia="Caudex" w:hAnsi="Times New Roman" w:cs="Times New Roman"/>
          <w:sz w:val="24"/>
          <w:szCs w:val="24"/>
        </w:rPr>
        <w:t>cuous and predicted to bind across multiple HLA supertypes, supporting broad population coverage [2, 13]. Overlaying these T-cell epitopes with predicted B-cell regions demonstrated substantial concordance, with more than 95% of strong glycoprotein epitope</w:t>
      </w:r>
      <w:r w:rsidRPr="007B703E">
        <w:rPr>
          <w:rFonts w:ascii="Times New Roman" w:eastAsia="Caudex" w:hAnsi="Times New Roman" w:cs="Times New Roman"/>
          <w:sz w:val="24"/>
          <w:szCs w:val="24"/>
        </w:rPr>
        <w:t xml:space="preserve">s and </w:t>
      </w:r>
      <w:r w:rsidRPr="007B703E">
        <w:rPr>
          <w:rFonts w:ascii="Times New Roman" w:eastAsia="Caudex" w:hAnsi="Times New Roman" w:cs="Times New Roman"/>
          <w:sz w:val="24"/>
          <w:szCs w:val="24"/>
        </w:rPr>
        <w:lastRenderedPageBreak/>
        <w:t>the majority of nucleoprotein epitopes mapping to B-cell–positive segments, defining multi-epitope hotspots capable of coordinated humoral and cellular activation</w:t>
      </w:r>
      <w:r w:rsidR="00FD08BF">
        <w:rPr>
          <w:rFonts w:ascii="Times New Roman" w:eastAsia="Caudex" w:hAnsi="Times New Roman" w:cs="Times New Roman"/>
          <w:sz w:val="24"/>
          <w:szCs w:val="24"/>
        </w:rPr>
        <w:t xml:space="preserve"> (Table 2)</w:t>
      </w:r>
      <w:r w:rsidRPr="007B703E">
        <w:rPr>
          <w:rFonts w:ascii="Times New Roman" w:eastAsia="Caudex" w:hAnsi="Times New Roman" w:cs="Times New Roman"/>
          <w:sz w:val="24"/>
          <w:szCs w:val="24"/>
        </w:rPr>
        <w:t>. Three major glycoprotein clusters emerged: residues ~101–160 containing over</w:t>
      </w:r>
      <w:r w:rsidRPr="007B703E">
        <w:rPr>
          <w:rFonts w:ascii="Times New Roman" w:eastAsia="Caudex" w:hAnsi="Times New Roman" w:cs="Times New Roman"/>
          <w:sz w:val="24"/>
          <w:szCs w:val="24"/>
        </w:rPr>
        <w:t>lapping MHC I/II binders such as LLLDPPTNV and FLYDRIAST; residues ~218–280 comprising a long hydrophilic region enriched with strong class II cores like ATRLNTTNPNSDDED; and residues ~455–503 incorporating dominant MHC I epitopes including DPVPNTKTI and L</w:t>
      </w:r>
      <w:r w:rsidRPr="007B703E">
        <w:rPr>
          <w:rFonts w:ascii="Times New Roman" w:eastAsia="Caudex" w:hAnsi="Times New Roman" w:cs="Times New Roman"/>
          <w:sz w:val="24"/>
          <w:szCs w:val="24"/>
        </w:rPr>
        <w:t>PHTSGNTAY within a coil-rich antigenic domain. Together, these sites represent highly promising targets for multi-epitope vaccine design.</w:t>
      </w:r>
    </w:p>
    <w:p w14:paraId="3A721789" w14:textId="77777777" w:rsidR="003A3F0C" w:rsidRPr="007B703E" w:rsidRDefault="003A3F0C">
      <w:pPr>
        <w:spacing w:before="240" w:after="240"/>
        <w:jc w:val="both"/>
        <w:rPr>
          <w:rFonts w:ascii="Times New Roman" w:eastAsia="Times New Roman" w:hAnsi="Times New Roman" w:cs="Times New Roman"/>
          <w:sz w:val="24"/>
          <w:szCs w:val="24"/>
        </w:rPr>
      </w:pPr>
    </w:p>
    <w:p w14:paraId="79D975FE" w14:textId="4C030F80" w:rsidR="007B703E" w:rsidRPr="007B703E" w:rsidRDefault="007B703E" w:rsidP="007B703E">
      <w:pPr>
        <w:pStyle w:val="Caption"/>
        <w:rPr>
          <w:b/>
          <w:bCs/>
          <w:lang w:val="en-IN"/>
        </w:rPr>
      </w:pPr>
      <w:r>
        <w:t xml:space="preserve">Table </w:t>
      </w:r>
      <w:r>
        <w:fldChar w:fldCharType="begin"/>
      </w:r>
      <w:r>
        <w:instrText xml:space="preserve"> SEQ Table \* ARABIC </w:instrText>
      </w:r>
      <w:r>
        <w:fldChar w:fldCharType="separate"/>
      </w:r>
      <w:r>
        <w:rPr>
          <w:noProof/>
        </w:rPr>
        <w:t>2</w:t>
      </w:r>
      <w:r>
        <w:fldChar w:fldCharType="end"/>
      </w:r>
      <w:r>
        <w:t xml:space="preserve"> </w:t>
      </w:r>
      <w:r w:rsidRPr="007B703E">
        <w:rPr>
          <w:b/>
          <w:bCs/>
          <w:lang w:val="en-IN"/>
        </w:rPr>
        <w:t>Comparative immunogenic profiling of Marburg virus nucleoprotein and glycoprotein.</w:t>
      </w:r>
    </w:p>
    <w:p w14:paraId="26908C75" w14:textId="77777777" w:rsidR="007B703E" w:rsidRPr="007B703E" w:rsidRDefault="007B703E" w:rsidP="007B703E">
      <w:pPr>
        <w:pStyle w:val="Caption"/>
        <w:keepNext/>
        <w:rPr>
          <w:lang w:val="en-IN"/>
        </w:rPr>
      </w:pPr>
      <w:r w:rsidRPr="007B703E">
        <w:rPr>
          <w:lang w:val="en-IN"/>
        </w:rPr>
        <w:t>Summary of the number of predicted strong MHC class I and class II T-cell epitopes, linear B-cell epitopes, and antigenicity scores for the nucleoprotein and glycoprotein. Although the nucleoprotein contains a larger repertoire of predicted T-cell epitopes, the glycoprotein exhibits higher antigenicity and substantial epitope density across all categories, supporting its prioritization as the primary antigenic target for multiepitope vaccine design.</w:t>
      </w:r>
    </w:p>
    <w:p w14:paraId="16CB578E" w14:textId="12692FA9" w:rsidR="007B703E" w:rsidRDefault="007B703E" w:rsidP="007B703E">
      <w:pPr>
        <w:pStyle w:val="Caption"/>
        <w:keepNext/>
      </w:pPr>
    </w:p>
    <w:tbl>
      <w:tblPr>
        <w:tblStyle w:val="TableGrid"/>
        <w:tblW w:w="8590" w:type="dxa"/>
        <w:tblLayout w:type="fixed"/>
        <w:tblLook w:val="0600" w:firstRow="0" w:lastRow="0" w:firstColumn="0" w:lastColumn="0" w:noHBand="1" w:noVBand="1"/>
      </w:tblPr>
      <w:tblGrid>
        <w:gridCol w:w="1685"/>
        <w:gridCol w:w="1745"/>
        <w:gridCol w:w="1835"/>
        <w:gridCol w:w="1835"/>
        <w:gridCol w:w="1490"/>
      </w:tblGrid>
      <w:tr w:rsidR="003A3F0C" w:rsidRPr="007B703E" w14:paraId="258924FA" w14:textId="77777777" w:rsidTr="007B703E">
        <w:trPr>
          <w:trHeight w:val="500"/>
        </w:trPr>
        <w:tc>
          <w:tcPr>
            <w:tcW w:w="1685" w:type="dxa"/>
          </w:tcPr>
          <w:p w14:paraId="45FDAA8D"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Protein</w:t>
            </w:r>
          </w:p>
        </w:tc>
        <w:tc>
          <w:tcPr>
            <w:tcW w:w="1745" w:type="dxa"/>
          </w:tcPr>
          <w:p w14:paraId="2F84BD83"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Strong MHC-I</w:t>
            </w:r>
          </w:p>
        </w:tc>
        <w:tc>
          <w:tcPr>
            <w:tcW w:w="1835" w:type="dxa"/>
          </w:tcPr>
          <w:p w14:paraId="12671FB6"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Strong MHC-II</w:t>
            </w:r>
          </w:p>
        </w:tc>
        <w:tc>
          <w:tcPr>
            <w:tcW w:w="1835" w:type="dxa"/>
          </w:tcPr>
          <w:p w14:paraId="193849C8"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B-Cell Epitopes</w:t>
            </w:r>
          </w:p>
        </w:tc>
        <w:tc>
          <w:tcPr>
            <w:tcW w:w="1490" w:type="dxa"/>
          </w:tcPr>
          <w:p w14:paraId="1F734E22"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Antigenicity</w:t>
            </w:r>
          </w:p>
        </w:tc>
      </w:tr>
      <w:tr w:rsidR="003A3F0C" w:rsidRPr="007B703E" w14:paraId="763F1C6F" w14:textId="77777777" w:rsidTr="007B703E">
        <w:trPr>
          <w:trHeight w:val="500"/>
        </w:trPr>
        <w:tc>
          <w:tcPr>
            <w:tcW w:w="1685" w:type="dxa"/>
          </w:tcPr>
          <w:p w14:paraId="195C4E4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Nucleoprotein</w:t>
            </w:r>
          </w:p>
        </w:tc>
        <w:tc>
          <w:tcPr>
            <w:tcW w:w="1745" w:type="dxa"/>
          </w:tcPr>
          <w:p w14:paraId="0532FFBD"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478</w:t>
            </w:r>
          </w:p>
        </w:tc>
        <w:tc>
          <w:tcPr>
            <w:tcW w:w="1835" w:type="dxa"/>
          </w:tcPr>
          <w:p w14:paraId="1089AD4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361</w:t>
            </w:r>
          </w:p>
        </w:tc>
        <w:tc>
          <w:tcPr>
            <w:tcW w:w="1835" w:type="dxa"/>
          </w:tcPr>
          <w:p w14:paraId="0CC88E47"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30</w:t>
            </w:r>
          </w:p>
        </w:tc>
        <w:tc>
          <w:tcPr>
            <w:tcW w:w="1490" w:type="dxa"/>
          </w:tcPr>
          <w:p w14:paraId="0506F05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0.4791</w:t>
            </w:r>
          </w:p>
        </w:tc>
      </w:tr>
      <w:tr w:rsidR="003A3F0C" w:rsidRPr="007B703E" w14:paraId="2C4A9FDB" w14:textId="77777777" w:rsidTr="007B703E">
        <w:trPr>
          <w:trHeight w:val="500"/>
        </w:trPr>
        <w:tc>
          <w:tcPr>
            <w:tcW w:w="1685" w:type="dxa"/>
          </w:tcPr>
          <w:p w14:paraId="6E32BE90"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Glycoprotein</w:t>
            </w:r>
          </w:p>
        </w:tc>
        <w:tc>
          <w:tcPr>
            <w:tcW w:w="1745" w:type="dxa"/>
          </w:tcPr>
          <w:p w14:paraId="2BC59E6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328</w:t>
            </w:r>
          </w:p>
        </w:tc>
        <w:tc>
          <w:tcPr>
            <w:tcW w:w="1835" w:type="dxa"/>
          </w:tcPr>
          <w:p w14:paraId="575B04F9"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162</w:t>
            </w:r>
          </w:p>
        </w:tc>
        <w:tc>
          <w:tcPr>
            <w:tcW w:w="1835" w:type="dxa"/>
          </w:tcPr>
          <w:p w14:paraId="59DAB4B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25</w:t>
            </w:r>
          </w:p>
        </w:tc>
        <w:tc>
          <w:tcPr>
            <w:tcW w:w="1490" w:type="dxa"/>
          </w:tcPr>
          <w:p w14:paraId="3653149D"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0.5433</w:t>
            </w:r>
          </w:p>
        </w:tc>
      </w:tr>
    </w:tbl>
    <w:p w14:paraId="45E35FB6" w14:textId="77777777" w:rsidR="003A3F0C" w:rsidRPr="007B703E" w:rsidRDefault="003A3F0C">
      <w:pPr>
        <w:spacing w:before="240" w:after="240"/>
        <w:jc w:val="both"/>
        <w:rPr>
          <w:rFonts w:ascii="Times New Roman" w:eastAsia="Times New Roman" w:hAnsi="Times New Roman" w:cs="Times New Roman"/>
          <w:sz w:val="24"/>
          <w:szCs w:val="24"/>
        </w:rPr>
      </w:pPr>
    </w:p>
    <w:p w14:paraId="3EDBAA13" w14:textId="77777777" w:rsidR="003A3F0C" w:rsidRPr="007B703E" w:rsidRDefault="001C164D">
      <w:pPr>
        <w:pStyle w:val="Heading2"/>
        <w:keepNext w:val="0"/>
        <w:keepLines w:val="0"/>
        <w:spacing w:after="80"/>
        <w:jc w:val="both"/>
        <w:rPr>
          <w:rFonts w:ascii="Times New Roman" w:eastAsia="Times New Roman" w:hAnsi="Times New Roman" w:cs="Times New Roman"/>
          <w:b/>
          <w:bCs/>
          <w:sz w:val="24"/>
          <w:szCs w:val="24"/>
        </w:rPr>
      </w:pPr>
      <w:bookmarkStart w:id="16" w:name="_rlanfwqzvws1" w:colFirst="0" w:colLast="0"/>
      <w:bookmarkEnd w:id="16"/>
      <w:r w:rsidRPr="007B703E">
        <w:rPr>
          <w:rFonts w:ascii="Times New Roman" w:eastAsia="Times New Roman" w:hAnsi="Times New Roman" w:cs="Times New Roman"/>
          <w:b/>
          <w:bCs/>
          <w:sz w:val="24"/>
          <w:szCs w:val="24"/>
        </w:rPr>
        <w:t>Identification of the Glycoprotein as the Optimal Vaccine Antigen</w:t>
      </w:r>
    </w:p>
    <w:p w14:paraId="0C187665" w14:textId="71BBFF48" w:rsidR="003A3F0C" w:rsidRPr="007B703E" w:rsidRDefault="001C164D" w:rsidP="00BC4686">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Although the nucleoprotein contains the largest number of predicted T-cell epitopes, its internal </w:t>
      </w:r>
      <w:proofErr w:type="spellStart"/>
      <w:r w:rsidRPr="007B703E">
        <w:rPr>
          <w:rFonts w:ascii="Times New Roman" w:eastAsia="Times New Roman" w:hAnsi="Times New Roman" w:cs="Times New Roman"/>
          <w:sz w:val="24"/>
          <w:szCs w:val="24"/>
        </w:rPr>
        <w:t>localisation</w:t>
      </w:r>
      <w:proofErr w:type="spellEnd"/>
      <w:r w:rsidRPr="007B703E">
        <w:rPr>
          <w:rFonts w:ascii="Times New Roman" w:eastAsia="Times New Roman" w:hAnsi="Times New Roman" w:cs="Times New Roman"/>
          <w:sz w:val="24"/>
          <w:szCs w:val="24"/>
        </w:rPr>
        <w:t xml:space="preserve"> limits its accessibility to </w:t>
      </w:r>
      <w:proofErr w:type="spellStart"/>
      <w:r w:rsidRPr="007B703E">
        <w:rPr>
          <w:rFonts w:ascii="Times New Roman" w:eastAsia="Times New Roman" w:hAnsi="Times New Roman" w:cs="Times New Roman"/>
          <w:sz w:val="24"/>
          <w:szCs w:val="24"/>
        </w:rPr>
        <w:t>neutralising</w:t>
      </w:r>
      <w:proofErr w:type="spellEnd"/>
      <w:r w:rsidRPr="007B703E">
        <w:rPr>
          <w:rFonts w:ascii="Times New Roman" w:eastAsia="Times New Roman" w:hAnsi="Times New Roman" w:cs="Times New Roman"/>
          <w:sz w:val="24"/>
          <w:szCs w:val="24"/>
        </w:rPr>
        <w:t xml:space="preserve"> antibodies. In contrast, the envelope glycoprotein is surface-exposed and essential for receptor binding and membrane fusion, exhibits high antigenicity (0.5433), contains numerous allele-promiscuous MHC class I an</w:t>
      </w:r>
      <w:r w:rsidRPr="007B703E">
        <w:rPr>
          <w:rFonts w:ascii="Times New Roman" w:eastAsia="Times New Roman" w:hAnsi="Times New Roman" w:cs="Times New Roman"/>
          <w:sz w:val="24"/>
          <w:szCs w:val="24"/>
        </w:rPr>
        <w:t>d II epitopes,</w:t>
      </w:r>
      <w:r w:rsidR="00FD08BF">
        <w:rPr>
          <w:rFonts w:ascii="Times New Roman" w:eastAsia="Times New Roman" w:hAnsi="Times New Roman" w:cs="Times New Roman"/>
          <w:sz w:val="24"/>
          <w:szCs w:val="24"/>
        </w:rPr>
        <w:t xml:space="preserve"> (Table 3,4)</w:t>
      </w:r>
      <w:r w:rsidRPr="007B703E">
        <w:rPr>
          <w:rFonts w:ascii="Times New Roman" w:eastAsia="Times New Roman" w:hAnsi="Times New Roman" w:cs="Times New Roman"/>
          <w:sz w:val="24"/>
          <w:szCs w:val="24"/>
        </w:rPr>
        <w:t xml:space="preserve"> </w:t>
      </w:r>
      <w:proofErr w:type="spellStart"/>
      <w:r w:rsidRPr="007B703E">
        <w:rPr>
          <w:rFonts w:ascii="Times New Roman" w:eastAsia="Times New Roman" w:hAnsi="Times New Roman" w:cs="Times New Roman"/>
          <w:sz w:val="24"/>
          <w:szCs w:val="24"/>
        </w:rPr>
        <w:t>harbours</w:t>
      </w:r>
      <w:proofErr w:type="spellEnd"/>
      <w:r w:rsidRPr="007B703E">
        <w:rPr>
          <w:rFonts w:ascii="Times New Roman" w:eastAsia="Times New Roman" w:hAnsi="Times New Roman" w:cs="Times New Roman"/>
          <w:sz w:val="24"/>
          <w:szCs w:val="24"/>
        </w:rPr>
        <w:t xml:space="preserve"> extensive overlapping B-cell and T-cell clusters, and possesses structurally flexible coil-rich regions that make it highly suitable for antibody recognition, collectively identifying it as the superior vaccine antigen.</w:t>
      </w:r>
    </w:p>
    <w:p w14:paraId="2182ABDA" w14:textId="11F88C7B" w:rsidR="003A3F0C" w:rsidRPr="007B703E" w:rsidRDefault="001C164D" w:rsidP="00BC4686">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Together, these properties strongly support the glycoprotein as the most compelling primary antigen for a reverse-vaccinology–based subunit or multi-epitope vaccine. The nucleoprotein, VP24, and VP30 may serve as complementary internal antigens to broaden </w:t>
      </w:r>
      <w:r w:rsidRPr="007B703E">
        <w:rPr>
          <w:rFonts w:ascii="Times New Roman" w:eastAsia="Times New Roman" w:hAnsi="Times New Roman" w:cs="Times New Roman"/>
          <w:sz w:val="24"/>
          <w:szCs w:val="24"/>
        </w:rPr>
        <w:t xml:space="preserve">CD8⁺ and CD4⁺ T-cell </w:t>
      </w:r>
      <w:proofErr w:type="gramStart"/>
      <w:r w:rsidRPr="007B703E">
        <w:rPr>
          <w:rFonts w:ascii="Times New Roman" w:eastAsia="Times New Roman" w:hAnsi="Times New Roman" w:cs="Times New Roman"/>
          <w:sz w:val="24"/>
          <w:szCs w:val="24"/>
        </w:rPr>
        <w:t>responses.</w:t>
      </w:r>
      <w:r w:rsidR="00FD08BF">
        <w:rPr>
          <w:rFonts w:ascii="Times New Roman" w:eastAsia="Times New Roman" w:hAnsi="Times New Roman" w:cs="Times New Roman"/>
          <w:sz w:val="24"/>
          <w:szCs w:val="24"/>
        </w:rPr>
        <w:t>(</w:t>
      </w:r>
      <w:proofErr w:type="gramEnd"/>
      <w:r w:rsidR="00FD08BF">
        <w:rPr>
          <w:rFonts w:ascii="Times New Roman" w:eastAsia="Times New Roman" w:hAnsi="Times New Roman" w:cs="Times New Roman"/>
          <w:sz w:val="24"/>
          <w:szCs w:val="24"/>
        </w:rPr>
        <w:t>Table 5)</w:t>
      </w:r>
    </w:p>
    <w:p w14:paraId="2D0795A6" w14:textId="77777777" w:rsidR="003A3F0C" w:rsidRPr="007B703E" w:rsidRDefault="003A3F0C">
      <w:pPr>
        <w:spacing w:before="240" w:after="240"/>
        <w:jc w:val="both"/>
        <w:rPr>
          <w:rFonts w:ascii="Times New Roman" w:eastAsia="Times New Roman" w:hAnsi="Times New Roman" w:cs="Times New Roman"/>
          <w:sz w:val="24"/>
          <w:szCs w:val="24"/>
        </w:rPr>
      </w:pPr>
    </w:p>
    <w:p w14:paraId="2929A1E7" w14:textId="0AA81C57" w:rsidR="007B703E" w:rsidRPr="007B703E" w:rsidRDefault="007B703E" w:rsidP="007B703E">
      <w:pPr>
        <w:pStyle w:val="Caption"/>
        <w:rPr>
          <w:b/>
          <w:bCs/>
          <w:lang w:val="en-IN"/>
        </w:rPr>
      </w:pPr>
      <w:r>
        <w:t xml:space="preserve">Table </w:t>
      </w:r>
      <w:r>
        <w:fldChar w:fldCharType="begin"/>
      </w:r>
      <w:r>
        <w:instrText xml:space="preserve"> SEQ Table \* ARABIC </w:instrText>
      </w:r>
      <w:r>
        <w:fldChar w:fldCharType="separate"/>
      </w:r>
      <w:r>
        <w:rPr>
          <w:noProof/>
        </w:rPr>
        <w:t>3</w:t>
      </w:r>
      <w:r>
        <w:fldChar w:fldCharType="end"/>
      </w:r>
      <w:r>
        <w:t xml:space="preserve"> </w:t>
      </w:r>
      <w:r w:rsidRPr="007B703E">
        <w:rPr>
          <w:b/>
          <w:bCs/>
          <w:lang w:val="en-IN"/>
        </w:rPr>
        <w:t>High-affinity HLA class I–restricted CTL epitopes predicted from the Marburg virus glycoprotein.</w:t>
      </w:r>
    </w:p>
    <w:p w14:paraId="3D34F150" w14:textId="77777777" w:rsidR="007B703E" w:rsidRPr="007B703E" w:rsidRDefault="007B703E" w:rsidP="007B703E">
      <w:pPr>
        <w:pStyle w:val="Caption"/>
        <w:keepNext/>
        <w:rPr>
          <w:lang w:val="en-IN"/>
        </w:rPr>
      </w:pPr>
      <w:r w:rsidRPr="007B703E">
        <w:rPr>
          <w:lang w:val="en-IN"/>
        </w:rPr>
        <w:t>List of top predicted CD8</w:t>
      </w:r>
      <w:r w:rsidRPr="007B703E">
        <w:rPr>
          <w:rFonts w:ascii="Cambria Math" w:hAnsi="Cambria Math" w:cs="Cambria Math"/>
          <w:lang w:val="en-IN"/>
        </w:rPr>
        <w:t>⁺</w:t>
      </w:r>
      <w:r w:rsidRPr="007B703E">
        <w:rPr>
          <w:lang w:val="en-IN"/>
        </w:rPr>
        <w:t xml:space="preserve"> T-cell epitopes ranked by binding affinity across multiple HLA class I alleles. For each epitope, the corresponding HLA allele, residue position (start–end), predicted peptide sequence, binding score, and percentile rank are provided. All epitopes displayed exceptionally strong HLA binding (≤0.02 percentile), with several epitopes (e.g., HAQGIALHLW, LLLDPPTNV, FLYDRIAST) showing broad immunogenic potential and suitability for inclusion in the multiepitope vaccine construct.</w:t>
      </w:r>
    </w:p>
    <w:p w14:paraId="5A1E8A16" w14:textId="331A4E19" w:rsidR="007B703E" w:rsidRPr="007B703E" w:rsidRDefault="007B703E" w:rsidP="007B703E">
      <w:pPr>
        <w:pStyle w:val="Caption"/>
        <w:keepNext/>
        <w:rPr>
          <w:b/>
          <w:bCs/>
          <w:lang w:val="en-IN"/>
        </w:rPr>
      </w:pPr>
    </w:p>
    <w:tbl>
      <w:tblPr>
        <w:tblStyle w:val="TableGrid"/>
        <w:tblW w:w="6925" w:type="dxa"/>
        <w:tblLayout w:type="fixed"/>
        <w:tblLook w:val="0600" w:firstRow="0" w:lastRow="0" w:firstColumn="0" w:lastColumn="0" w:noHBand="1" w:noVBand="1"/>
      </w:tblPr>
      <w:tblGrid>
        <w:gridCol w:w="1640"/>
        <w:gridCol w:w="1295"/>
        <w:gridCol w:w="1850"/>
        <w:gridCol w:w="890"/>
        <w:gridCol w:w="1250"/>
      </w:tblGrid>
      <w:tr w:rsidR="003A3F0C" w:rsidRPr="007B703E" w14:paraId="5BF63F78" w14:textId="77777777" w:rsidTr="007B703E">
        <w:trPr>
          <w:trHeight w:val="500"/>
        </w:trPr>
        <w:tc>
          <w:tcPr>
            <w:tcW w:w="1640" w:type="dxa"/>
          </w:tcPr>
          <w:p w14:paraId="1704D7C6"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HLA allele</w:t>
            </w:r>
          </w:p>
        </w:tc>
        <w:tc>
          <w:tcPr>
            <w:tcW w:w="1295" w:type="dxa"/>
          </w:tcPr>
          <w:p w14:paraId="2FD691EF"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Start–End</w:t>
            </w:r>
          </w:p>
        </w:tc>
        <w:tc>
          <w:tcPr>
            <w:tcW w:w="1850" w:type="dxa"/>
          </w:tcPr>
          <w:p w14:paraId="55A950D8"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Peptide</w:t>
            </w:r>
          </w:p>
        </w:tc>
        <w:tc>
          <w:tcPr>
            <w:tcW w:w="890" w:type="dxa"/>
          </w:tcPr>
          <w:p w14:paraId="5B8F5232"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Sc</w:t>
            </w:r>
            <w:r w:rsidRPr="007B703E">
              <w:rPr>
                <w:rFonts w:ascii="Times New Roman" w:eastAsia="Times New Roman" w:hAnsi="Times New Roman" w:cs="Times New Roman"/>
                <w:b/>
                <w:bCs/>
                <w:sz w:val="24"/>
                <w:szCs w:val="24"/>
              </w:rPr>
              <w:t>ore</w:t>
            </w:r>
          </w:p>
        </w:tc>
        <w:tc>
          <w:tcPr>
            <w:tcW w:w="1250" w:type="dxa"/>
          </w:tcPr>
          <w:p w14:paraId="24513F4D"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Percentile</w:t>
            </w:r>
          </w:p>
        </w:tc>
      </w:tr>
      <w:tr w:rsidR="003A3F0C" w:rsidRPr="007B703E" w14:paraId="2C87636D" w14:textId="77777777" w:rsidTr="007B703E">
        <w:trPr>
          <w:trHeight w:val="500"/>
        </w:trPr>
        <w:tc>
          <w:tcPr>
            <w:tcW w:w="1640" w:type="dxa"/>
          </w:tcPr>
          <w:p w14:paraId="10EDB7E9"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HLA-B*57:01</w:t>
            </w:r>
          </w:p>
        </w:tc>
        <w:tc>
          <w:tcPr>
            <w:tcW w:w="1295" w:type="dxa"/>
          </w:tcPr>
          <w:p w14:paraId="0AB52CE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131–140</w:t>
            </w:r>
          </w:p>
        </w:tc>
        <w:tc>
          <w:tcPr>
            <w:tcW w:w="1850" w:type="dxa"/>
          </w:tcPr>
          <w:p w14:paraId="638869C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HAQGIALHLW</w:t>
            </w:r>
          </w:p>
        </w:tc>
        <w:tc>
          <w:tcPr>
            <w:tcW w:w="890" w:type="dxa"/>
          </w:tcPr>
          <w:p w14:paraId="034F5C5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0.9866</w:t>
            </w:r>
          </w:p>
        </w:tc>
        <w:tc>
          <w:tcPr>
            <w:tcW w:w="1250" w:type="dxa"/>
          </w:tcPr>
          <w:p w14:paraId="1696A6BD"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0.01</w:t>
            </w:r>
          </w:p>
        </w:tc>
      </w:tr>
      <w:tr w:rsidR="003A3F0C" w:rsidRPr="007B703E" w14:paraId="7AC10B72" w14:textId="77777777" w:rsidTr="007B703E">
        <w:trPr>
          <w:trHeight w:val="500"/>
        </w:trPr>
        <w:tc>
          <w:tcPr>
            <w:tcW w:w="1640" w:type="dxa"/>
          </w:tcPr>
          <w:p w14:paraId="60FE1101"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HLA-A*68:01</w:t>
            </w:r>
          </w:p>
        </w:tc>
        <w:tc>
          <w:tcPr>
            <w:tcW w:w="1295" w:type="dxa"/>
          </w:tcPr>
          <w:p w14:paraId="0DDF4D5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588–596</w:t>
            </w:r>
          </w:p>
        </w:tc>
        <w:tc>
          <w:tcPr>
            <w:tcW w:w="1850" w:type="dxa"/>
          </w:tcPr>
          <w:p w14:paraId="4AA71E15"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HAIDFLLTR</w:t>
            </w:r>
          </w:p>
        </w:tc>
        <w:tc>
          <w:tcPr>
            <w:tcW w:w="890" w:type="dxa"/>
          </w:tcPr>
          <w:p w14:paraId="0839E1CD"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0.9831</w:t>
            </w:r>
          </w:p>
        </w:tc>
        <w:tc>
          <w:tcPr>
            <w:tcW w:w="1250" w:type="dxa"/>
          </w:tcPr>
          <w:p w14:paraId="2F98249B"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0.01</w:t>
            </w:r>
          </w:p>
        </w:tc>
      </w:tr>
      <w:tr w:rsidR="003A3F0C" w:rsidRPr="007B703E" w14:paraId="1FA2302C" w14:textId="77777777" w:rsidTr="007B703E">
        <w:trPr>
          <w:trHeight w:val="500"/>
        </w:trPr>
        <w:tc>
          <w:tcPr>
            <w:tcW w:w="1640" w:type="dxa"/>
          </w:tcPr>
          <w:p w14:paraId="5AE11D0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HLA-A*02:01</w:t>
            </w:r>
          </w:p>
        </w:tc>
        <w:tc>
          <w:tcPr>
            <w:tcW w:w="1295" w:type="dxa"/>
          </w:tcPr>
          <w:p w14:paraId="0922B4A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105–113</w:t>
            </w:r>
          </w:p>
        </w:tc>
        <w:tc>
          <w:tcPr>
            <w:tcW w:w="1850" w:type="dxa"/>
          </w:tcPr>
          <w:p w14:paraId="1379968E"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LLLDPPTNV</w:t>
            </w:r>
          </w:p>
        </w:tc>
        <w:tc>
          <w:tcPr>
            <w:tcW w:w="890" w:type="dxa"/>
          </w:tcPr>
          <w:p w14:paraId="3A91934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0.9829</w:t>
            </w:r>
          </w:p>
        </w:tc>
        <w:tc>
          <w:tcPr>
            <w:tcW w:w="1250" w:type="dxa"/>
          </w:tcPr>
          <w:p w14:paraId="7DCC3F3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0.01</w:t>
            </w:r>
          </w:p>
        </w:tc>
      </w:tr>
      <w:tr w:rsidR="003A3F0C" w:rsidRPr="007B703E" w14:paraId="1FA5D7A3" w14:textId="77777777" w:rsidTr="007B703E">
        <w:trPr>
          <w:trHeight w:val="500"/>
        </w:trPr>
        <w:tc>
          <w:tcPr>
            <w:tcW w:w="1640" w:type="dxa"/>
          </w:tcPr>
          <w:p w14:paraId="2C1EBFF5"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HLA-A*02:03</w:t>
            </w:r>
          </w:p>
        </w:tc>
        <w:tc>
          <w:tcPr>
            <w:tcW w:w="1295" w:type="dxa"/>
          </w:tcPr>
          <w:p w14:paraId="32B6E7C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144–152</w:t>
            </w:r>
          </w:p>
        </w:tc>
        <w:tc>
          <w:tcPr>
            <w:tcW w:w="1850" w:type="dxa"/>
          </w:tcPr>
          <w:p w14:paraId="2DE6ABF7"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FLYDRIAST</w:t>
            </w:r>
          </w:p>
        </w:tc>
        <w:tc>
          <w:tcPr>
            <w:tcW w:w="890" w:type="dxa"/>
          </w:tcPr>
          <w:p w14:paraId="055FE11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0.9820</w:t>
            </w:r>
          </w:p>
        </w:tc>
        <w:tc>
          <w:tcPr>
            <w:tcW w:w="1250" w:type="dxa"/>
          </w:tcPr>
          <w:p w14:paraId="4A4A4E2C"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0.01</w:t>
            </w:r>
          </w:p>
        </w:tc>
      </w:tr>
      <w:tr w:rsidR="003A3F0C" w:rsidRPr="007B703E" w14:paraId="5C185C71" w14:textId="77777777" w:rsidTr="007B703E">
        <w:trPr>
          <w:trHeight w:val="500"/>
        </w:trPr>
        <w:tc>
          <w:tcPr>
            <w:tcW w:w="1640" w:type="dxa"/>
          </w:tcPr>
          <w:p w14:paraId="384E400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HLA-A*11:01</w:t>
            </w:r>
          </w:p>
        </w:tc>
        <w:tc>
          <w:tcPr>
            <w:tcW w:w="1295" w:type="dxa"/>
          </w:tcPr>
          <w:p w14:paraId="2CFB7F79"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35–43</w:t>
            </w:r>
          </w:p>
        </w:tc>
        <w:tc>
          <w:tcPr>
            <w:tcW w:w="1850" w:type="dxa"/>
          </w:tcPr>
          <w:p w14:paraId="47561581"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SVCSGTLQK</w:t>
            </w:r>
          </w:p>
        </w:tc>
        <w:tc>
          <w:tcPr>
            <w:tcW w:w="890" w:type="dxa"/>
          </w:tcPr>
          <w:p w14:paraId="4C83D9D1"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0.9467</w:t>
            </w:r>
          </w:p>
        </w:tc>
        <w:tc>
          <w:tcPr>
            <w:tcW w:w="1250" w:type="dxa"/>
          </w:tcPr>
          <w:p w14:paraId="79480C9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0.01</w:t>
            </w:r>
          </w:p>
        </w:tc>
      </w:tr>
      <w:tr w:rsidR="003A3F0C" w:rsidRPr="007B703E" w14:paraId="1EC17369" w14:textId="77777777" w:rsidTr="007B703E">
        <w:trPr>
          <w:trHeight w:val="500"/>
        </w:trPr>
        <w:tc>
          <w:tcPr>
            <w:tcW w:w="1640" w:type="dxa"/>
          </w:tcPr>
          <w:p w14:paraId="2D9F357E"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HLA-A*30:01</w:t>
            </w:r>
          </w:p>
        </w:tc>
        <w:tc>
          <w:tcPr>
            <w:tcW w:w="1295" w:type="dxa"/>
          </w:tcPr>
          <w:p w14:paraId="4FD3DF77"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71–79</w:t>
            </w:r>
          </w:p>
        </w:tc>
        <w:tc>
          <w:tcPr>
            <w:tcW w:w="1850" w:type="dxa"/>
          </w:tcPr>
          <w:p w14:paraId="0E30B705"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AFRTGVPPK</w:t>
            </w:r>
          </w:p>
        </w:tc>
        <w:tc>
          <w:tcPr>
            <w:tcW w:w="890" w:type="dxa"/>
          </w:tcPr>
          <w:p w14:paraId="7DE9E5AC"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0.8438</w:t>
            </w:r>
          </w:p>
        </w:tc>
        <w:tc>
          <w:tcPr>
            <w:tcW w:w="1250" w:type="dxa"/>
          </w:tcPr>
          <w:p w14:paraId="111CF3CB"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0.01</w:t>
            </w:r>
          </w:p>
        </w:tc>
      </w:tr>
      <w:tr w:rsidR="003A3F0C" w:rsidRPr="007B703E" w14:paraId="67382916" w14:textId="77777777" w:rsidTr="007B703E">
        <w:trPr>
          <w:trHeight w:val="500"/>
        </w:trPr>
        <w:tc>
          <w:tcPr>
            <w:tcW w:w="1640" w:type="dxa"/>
          </w:tcPr>
          <w:p w14:paraId="7E75539D"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HLA-B*35:01</w:t>
            </w:r>
          </w:p>
        </w:tc>
        <w:tc>
          <w:tcPr>
            <w:tcW w:w="1295" w:type="dxa"/>
          </w:tcPr>
          <w:p w14:paraId="7615B16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494–503</w:t>
            </w:r>
          </w:p>
        </w:tc>
        <w:tc>
          <w:tcPr>
            <w:tcW w:w="1850" w:type="dxa"/>
          </w:tcPr>
          <w:p w14:paraId="3942E67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LPHTSGNTAY</w:t>
            </w:r>
          </w:p>
        </w:tc>
        <w:tc>
          <w:tcPr>
            <w:tcW w:w="890" w:type="dxa"/>
          </w:tcPr>
          <w:p w14:paraId="5690A31F"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0.9468</w:t>
            </w:r>
          </w:p>
        </w:tc>
        <w:tc>
          <w:tcPr>
            <w:tcW w:w="1250" w:type="dxa"/>
          </w:tcPr>
          <w:p w14:paraId="05CEBD1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0.02</w:t>
            </w:r>
          </w:p>
        </w:tc>
      </w:tr>
      <w:tr w:rsidR="003A3F0C" w:rsidRPr="007B703E" w14:paraId="0B5BAF7C" w14:textId="77777777" w:rsidTr="007B703E">
        <w:trPr>
          <w:trHeight w:val="500"/>
        </w:trPr>
        <w:tc>
          <w:tcPr>
            <w:tcW w:w="1640" w:type="dxa"/>
          </w:tcPr>
          <w:p w14:paraId="708D311E"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HLA-B*44:02</w:t>
            </w:r>
          </w:p>
        </w:tc>
        <w:tc>
          <w:tcPr>
            <w:tcW w:w="1295" w:type="dxa"/>
          </w:tcPr>
          <w:p w14:paraId="73A23CF6"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629–637</w:t>
            </w:r>
          </w:p>
        </w:tc>
        <w:tc>
          <w:tcPr>
            <w:tcW w:w="1850" w:type="dxa"/>
          </w:tcPr>
          <w:p w14:paraId="3209AD51"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DEQKEGTGW</w:t>
            </w:r>
          </w:p>
        </w:tc>
        <w:tc>
          <w:tcPr>
            <w:tcW w:w="890" w:type="dxa"/>
          </w:tcPr>
          <w:p w14:paraId="384AD15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0.9269</w:t>
            </w:r>
          </w:p>
        </w:tc>
        <w:tc>
          <w:tcPr>
            <w:tcW w:w="1250" w:type="dxa"/>
          </w:tcPr>
          <w:p w14:paraId="294D08E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0.02</w:t>
            </w:r>
          </w:p>
        </w:tc>
      </w:tr>
      <w:tr w:rsidR="003A3F0C" w:rsidRPr="007B703E" w14:paraId="6B95A688" w14:textId="77777777" w:rsidTr="007B703E">
        <w:trPr>
          <w:trHeight w:val="500"/>
        </w:trPr>
        <w:tc>
          <w:tcPr>
            <w:tcW w:w="1640" w:type="dxa"/>
          </w:tcPr>
          <w:p w14:paraId="5767DD8B"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HLA-B*53:01</w:t>
            </w:r>
          </w:p>
        </w:tc>
        <w:tc>
          <w:tcPr>
            <w:tcW w:w="1295" w:type="dxa"/>
          </w:tcPr>
          <w:p w14:paraId="46AB11DC"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62–70</w:t>
            </w:r>
          </w:p>
        </w:tc>
        <w:tc>
          <w:tcPr>
            <w:tcW w:w="1850" w:type="dxa"/>
          </w:tcPr>
          <w:p w14:paraId="2BD9022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SPLEASKRW</w:t>
            </w:r>
          </w:p>
        </w:tc>
        <w:tc>
          <w:tcPr>
            <w:tcW w:w="890" w:type="dxa"/>
          </w:tcPr>
          <w:p w14:paraId="3F33AAB1"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0.9216</w:t>
            </w:r>
          </w:p>
        </w:tc>
        <w:tc>
          <w:tcPr>
            <w:tcW w:w="1250" w:type="dxa"/>
          </w:tcPr>
          <w:p w14:paraId="3C28280F"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0.02</w:t>
            </w:r>
          </w:p>
        </w:tc>
      </w:tr>
      <w:tr w:rsidR="003A3F0C" w:rsidRPr="007B703E" w14:paraId="2B9A7349" w14:textId="77777777" w:rsidTr="007B703E">
        <w:trPr>
          <w:trHeight w:val="500"/>
        </w:trPr>
        <w:tc>
          <w:tcPr>
            <w:tcW w:w="1640" w:type="dxa"/>
          </w:tcPr>
          <w:p w14:paraId="67229C80"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HLA-B*51:01</w:t>
            </w:r>
          </w:p>
        </w:tc>
        <w:tc>
          <w:tcPr>
            <w:tcW w:w="1295" w:type="dxa"/>
          </w:tcPr>
          <w:p w14:paraId="35DAC65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458–466</w:t>
            </w:r>
          </w:p>
        </w:tc>
        <w:tc>
          <w:tcPr>
            <w:tcW w:w="1850" w:type="dxa"/>
          </w:tcPr>
          <w:p w14:paraId="24F7203E"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DPVPNTKTI</w:t>
            </w:r>
          </w:p>
        </w:tc>
        <w:tc>
          <w:tcPr>
            <w:tcW w:w="890" w:type="dxa"/>
          </w:tcPr>
          <w:p w14:paraId="379CA5F1"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0.9095</w:t>
            </w:r>
          </w:p>
        </w:tc>
        <w:tc>
          <w:tcPr>
            <w:tcW w:w="1250" w:type="dxa"/>
          </w:tcPr>
          <w:p w14:paraId="0F96E9F7"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0.02</w:t>
            </w:r>
          </w:p>
        </w:tc>
      </w:tr>
    </w:tbl>
    <w:p w14:paraId="5F458717" w14:textId="77777777" w:rsidR="003A3F0C" w:rsidRPr="007B703E" w:rsidRDefault="003A3F0C">
      <w:pPr>
        <w:spacing w:before="240" w:after="240"/>
        <w:jc w:val="both"/>
        <w:rPr>
          <w:rFonts w:ascii="Times New Roman" w:eastAsia="Times New Roman" w:hAnsi="Times New Roman" w:cs="Times New Roman"/>
          <w:sz w:val="24"/>
          <w:szCs w:val="24"/>
        </w:rPr>
      </w:pPr>
    </w:p>
    <w:p w14:paraId="5EF297F2" w14:textId="24F027F5" w:rsidR="007B703E" w:rsidRPr="007B703E" w:rsidRDefault="007B703E" w:rsidP="007B703E">
      <w:pPr>
        <w:pStyle w:val="Caption"/>
        <w:rPr>
          <w:b/>
          <w:bCs/>
          <w:lang w:val="en-IN"/>
        </w:rPr>
      </w:pPr>
      <w:r>
        <w:t xml:space="preserve">Table </w:t>
      </w:r>
      <w:r>
        <w:fldChar w:fldCharType="begin"/>
      </w:r>
      <w:r>
        <w:instrText xml:space="preserve"> SEQ Table \* ARABIC </w:instrText>
      </w:r>
      <w:r>
        <w:fldChar w:fldCharType="separate"/>
      </w:r>
      <w:r>
        <w:rPr>
          <w:noProof/>
        </w:rPr>
        <w:t>4</w:t>
      </w:r>
      <w:r>
        <w:fldChar w:fldCharType="end"/>
      </w:r>
      <w:r>
        <w:t xml:space="preserve"> </w:t>
      </w:r>
      <w:r w:rsidRPr="007B703E">
        <w:rPr>
          <w:b/>
          <w:bCs/>
          <w:lang w:val="en-IN"/>
        </w:rPr>
        <w:t>High-affinity HLA class II–restricted helper T-cell epitopes predicted from the Marburg virus glycoprotein.</w:t>
      </w:r>
    </w:p>
    <w:p w14:paraId="1BBC0F62" w14:textId="77777777" w:rsidR="007B703E" w:rsidRPr="007B703E" w:rsidRDefault="007B703E" w:rsidP="007B703E">
      <w:pPr>
        <w:pStyle w:val="Caption"/>
        <w:keepNext/>
        <w:rPr>
          <w:lang w:val="en-IN"/>
        </w:rPr>
      </w:pPr>
      <w:r w:rsidRPr="007B703E">
        <w:rPr>
          <w:lang w:val="en-IN"/>
        </w:rPr>
        <w:lastRenderedPageBreak/>
        <w:t>Predicted CD4</w:t>
      </w:r>
      <w:r w:rsidRPr="007B703E">
        <w:rPr>
          <w:rFonts w:ascii="Cambria Math" w:hAnsi="Cambria Math" w:cs="Cambria Math"/>
          <w:lang w:val="en-IN"/>
        </w:rPr>
        <w:t>⁺</w:t>
      </w:r>
      <w:r w:rsidRPr="007B703E">
        <w:rPr>
          <w:lang w:val="en-IN"/>
        </w:rPr>
        <w:t xml:space="preserve"> T-cell epitopes showing strong binding affinity to multiple HLA class II alleles. For each epitope, the corresponding allele, start–end residue positions, binding core, full 15-mer peptide, binding score, and percentile rank are shown. Several epitopes—including EERTFSLINRHAIDF, ATRLNTTNPNSDDED, and TTMYRGKVFTEGNIA—exhibited very low percentile ranks (≤0.10) and strong promiscuous binding across DR, DQ, and DP alleles. These epitopes represent the most immunologically relevant candidates for inclusion in the multiepitope vaccine construct due to their predicted broad HLA coverage and stable binding profiles.</w:t>
      </w:r>
    </w:p>
    <w:p w14:paraId="0D75446E" w14:textId="18A6EEBB" w:rsidR="007B703E" w:rsidRPr="007B703E" w:rsidRDefault="007B703E" w:rsidP="007B703E">
      <w:pPr>
        <w:pStyle w:val="Caption"/>
        <w:keepNext/>
        <w:rPr>
          <w:lang w:val="en-IN"/>
        </w:rPr>
      </w:pPr>
    </w:p>
    <w:tbl>
      <w:tblPr>
        <w:tblStyle w:val="TableGrid"/>
        <w:tblW w:w="9360" w:type="dxa"/>
        <w:tblLayout w:type="fixed"/>
        <w:tblLook w:val="0600" w:firstRow="0" w:lastRow="0" w:firstColumn="0" w:lastColumn="0" w:noHBand="1" w:noVBand="1"/>
      </w:tblPr>
      <w:tblGrid>
        <w:gridCol w:w="2504"/>
        <w:gridCol w:w="1219"/>
        <w:gridCol w:w="1586"/>
        <w:gridCol w:w="2476"/>
        <w:gridCol w:w="837"/>
        <w:gridCol w:w="738"/>
      </w:tblGrid>
      <w:tr w:rsidR="003A3F0C" w:rsidRPr="007B703E" w14:paraId="611CF37C" w14:textId="77777777" w:rsidTr="007B703E">
        <w:trPr>
          <w:trHeight w:val="500"/>
        </w:trPr>
        <w:tc>
          <w:tcPr>
            <w:tcW w:w="2503" w:type="dxa"/>
          </w:tcPr>
          <w:p w14:paraId="095C79D1"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HLA allele</w:t>
            </w:r>
          </w:p>
        </w:tc>
        <w:tc>
          <w:tcPr>
            <w:tcW w:w="1218" w:type="dxa"/>
          </w:tcPr>
          <w:p w14:paraId="3BB9EF17"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Start–End</w:t>
            </w:r>
          </w:p>
        </w:tc>
        <w:tc>
          <w:tcPr>
            <w:tcW w:w="1585" w:type="dxa"/>
          </w:tcPr>
          <w:p w14:paraId="6716069E"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Core</w:t>
            </w:r>
          </w:p>
        </w:tc>
        <w:tc>
          <w:tcPr>
            <w:tcW w:w="2475" w:type="dxa"/>
          </w:tcPr>
          <w:p w14:paraId="5308BD41"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Peptide</w:t>
            </w:r>
          </w:p>
        </w:tc>
        <w:tc>
          <w:tcPr>
            <w:tcW w:w="837" w:type="dxa"/>
          </w:tcPr>
          <w:p w14:paraId="115148FF"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Score</w:t>
            </w:r>
          </w:p>
        </w:tc>
        <w:tc>
          <w:tcPr>
            <w:tcW w:w="738" w:type="dxa"/>
          </w:tcPr>
          <w:p w14:paraId="766A2511"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Rank</w:t>
            </w:r>
          </w:p>
        </w:tc>
      </w:tr>
      <w:tr w:rsidR="003A3F0C" w:rsidRPr="007B703E" w14:paraId="44017BAB" w14:textId="77777777" w:rsidTr="007B703E">
        <w:trPr>
          <w:trHeight w:val="500"/>
        </w:trPr>
        <w:tc>
          <w:tcPr>
            <w:tcW w:w="2503" w:type="dxa"/>
          </w:tcPr>
          <w:p w14:paraId="2EB5D50F"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DRB1*13:02</w:t>
            </w:r>
          </w:p>
        </w:tc>
        <w:tc>
          <w:tcPr>
            <w:tcW w:w="1218" w:type="dxa"/>
          </w:tcPr>
          <w:p w14:paraId="10BB6157"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578–592</w:t>
            </w:r>
          </w:p>
        </w:tc>
        <w:tc>
          <w:tcPr>
            <w:tcW w:w="1585" w:type="dxa"/>
          </w:tcPr>
          <w:p w14:paraId="7F92059E"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FSLINRHAI</w:t>
            </w:r>
          </w:p>
        </w:tc>
        <w:tc>
          <w:tcPr>
            <w:tcW w:w="2475" w:type="dxa"/>
          </w:tcPr>
          <w:p w14:paraId="1FEE756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EERTFSLINRHAIDF</w:t>
            </w:r>
          </w:p>
        </w:tc>
        <w:tc>
          <w:tcPr>
            <w:tcW w:w="837" w:type="dxa"/>
          </w:tcPr>
          <w:p w14:paraId="1A1A1B87"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0.8286</w:t>
            </w:r>
          </w:p>
        </w:tc>
        <w:tc>
          <w:tcPr>
            <w:tcW w:w="738" w:type="dxa"/>
          </w:tcPr>
          <w:p w14:paraId="769EC53C"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0.05</w:t>
            </w:r>
          </w:p>
        </w:tc>
      </w:tr>
      <w:tr w:rsidR="003A3F0C" w:rsidRPr="007B703E" w14:paraId="41CC7258" w14:textId="77777777" w:rsidTr="007B703E">
        <w:trPr>
          <w:trHeight w:val="500"/>
        </w:trPr>
        <w:tc>
          <w:tcPr>
            <w:tcW w:w="2503" w:type="dxa"/>
          </w:tcPr>
          <w:p w14:paraId="07F2261E"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DQA1</w:t>
            </w:r>
            <w:r w:rsidRPr="007B703E">
              <w:rPr>
                <w:rFonts w:ascii="Times New Roman" w:eastAsia="Times New Roman" w:hAnsi="Times New Roman" w:cs="Times New Roman"/>
                <w:i/>
                <w:iCs/>
                <w:sz w:val="24"/>
                <w:szCs w:val="24"/>
              </w:rPr>
              <w:t>03:01/DQB1</w:t>
            </w:r>
            <w:r w:rsidRPr="007B703E">
              <w:rPr>
                <w:rFonts w:ascii="Times New Roman" w:eastAsia="Times New Roman" w:hAnsi="Times New Roman" w:cs="Times New Roman"/>
                <w:sz w:val="24"/>
                <w:szCs w:val="24"/>
              </w:rPr>
              <w:t>03:02</w:t>
            </w:r>
          </w:p>
        </w:tc>
        <w:tc>
          <w:tcPr>
            <w:tcW w:w="1218" w:type="dxa"/>
          </w:tcPr>
          <w:p w14:paraId="6FACFBF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251–265</w:t>
            </w:r>
          </w:p>
        </w:tc>
        <w:tc>
          <w:tcPr>
            <w:tcW w:w="1585" w:type="dxa"/>
          </w:tcPr>
          <w:p w14:paraId="5A4A9C2D"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LNTTNPNSD</w:t>
            </w:r>
          </w:p>
        </w:tc>
        <w:tc>
          <w:tcPr>
            <w:tcW w:w="2475" w:type="dxa"/>
          </w:tcPr>
          <w:p w14:paraId="7B5650C5"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ATRLNTTNPNSDDED</w:t>
            </w:r>
          </w:p>
        </w:tc>
        <w:tc>
          <w:tcPr>
            <w:tcW w:w="837" w:type="dxa"/>
          </w:tcPr>
          <w:p w14:paraId="3965A16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0.0493</w:t>
            </w:r>
          </w:p>
        </w:tc>
        <w:tc>
          <w:tcPr>
            <w:tcW w:w="738" w:type="dxa"/>
          </w:tcPr>
          <w:p w14:paraId="0AED0459"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0.06</w:t>
            </w:r>
          </w:p>
        </w:tc>
      </w:tr>
      <w:tr w:rsidR="003A3F0C" w:rsidRPr="007B703E" w14:paraId="0FF7575C" w14:textId="77777777" w:rsidTr="007B703E">
        <w:trPr>
          <w:trHeight w:val="500"/>
        </w:trPr>
        <w:tc>
          <w:tcPr>
            <w:tcW w:w="2503" w:type="dxa"/>
          </w:tcPr>
          <w:p w14:paraId="5B4B73A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DPA1</w:t>
            </w:r>
            <w:r w:rsidRPr="007B703E">
              <w:rPr>
                <w:rFonts w:ascii="Times New Roman" w:eastAsia="Times New Roman" w:hAnsi="Times New Roman" w:cs="Times New Roman"/>
                <w:i/>
                <w:iCs/>
                <w:sz w:val="24"/>
                <w:szCs w:val="24"/>
              </w:rPr>
              <w:t>01:03/DPB1</w:t>
            </w:r>
            <w:r w:rsidRPr="007B703E">
              <w:rPr>
                <w:rFonts w:ascii="Times New Roman" w:eastAsia="Times New Roman" w:hAnsi="Times New Roman" w:cs="Times New Roman"/>
                <w:sz w:val="24"/>
                <w:szCs w:val="24"/>
              </w:rPr>
              <w:t>02:01</w:t>
            </w:r>
          </w:p>
        </w:tc>
        <w:tc>
          <w:tcPr>
            <w:tcW w:w="1218" w:type="dxa"/>
          </w:tcPr>
          <w:p w14:paraId="78A0DE20"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152–166</w:t>
            </w:r>
          </w:p>
        </w:tc>
        <w:tc>
          <w:tcPr>
            <w:tcW w:w="1585" w:type="dxa"/>
          </w:tcPr>
          <w:p w14:paraId="4E76799F"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YRGKVFTEG</w:t>
            </w:r>
          </w:p>
        </w:tc>
        <w:tc>
          <w:tcPr>
            <w:tcW w:w="2475" w:type="dxa"/>
          </w:tcPr>
          <w:p w14:paraId="32249650"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TTMYRGKVFTEGNIA</w:t>
            </w:r>
          </w:p>
        </w:tc>
        <w:tc>
          <w:tcPr>
            <w:tcW w:w="837" w:type="dxa"/>
          </w:tcPr>
          <w:p w14:paraId="40A754D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0.8835</w:t>
            </w:r>
          </w:p>
        </w:tc>
        <w:tc>
          <w:tcPr>
            <w:tcW w:w="738" w:type="dxa"/>
          </w:tcPr>
          <w:p w14:paraId="6E6E13B7"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0.10</w:t>
            </w:r>
          </w:p>
        </w:tc>
      </w:tr>
      <w:tr w:rsidR="003A3F0C" w:rsidRPr="007B703E" w14:paraId="3BD97546" w14:textId="77777777" w:rsidTr="007B703E">
        <w:trPr>
          <w:trHeight w:val="500"/>
        </w:trPr>
        <w:tc>
          <w:tcPr>
            <w:tcW w:w="2503" w:type="dxa"/>
          </w:tcPr>
          <w:p w14:paraId="1EDF0BE9"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DPA1</w:t>
            </w:r>
            <w:r w:rsidRPr="007B703E">
              <w:rPr>
                <w:rFonts w:ascii="Times New Roman" w:eastAsia="Times New Roman" w:hAnsi="Times New Roman" w:cs="Times New Roman"/>
                <w:i/>
                <w:iCs/>
                <w:sz w:val="24"/>
                <w:szCs w:val="24"/>
              </w:rPr>
              <w:t>01:03/DPB1</w:t>
            </w:r>
            <w:r w:rsidRPr="007B703E">
              <w:rPr>
                <w:rFonts w:ascii="Times New Roman" w:eastAsia="Times New Roman" w:hAnsi="Times New Roman" w:cs="Times New Roman"/>
                <w:sz w:val="24"/>
                <w:szCs w:val="24"/>
              </w:rPr>
              <w:t>02:01</w:t>
            </w:r>
          </w:p>
        </w:tc>
        <w:tc>
          <w:tcPr>
            <w:tcW w:w="1218" w:type="dxa"/>
          </w:tcPr>
          <w:p w14:paraId="6DD8B8EB"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151–165</w:t>
            </w:r>
          </w:p>
        </w:tc>
        <w:tc>
          <w:tcPr>
            <w:tcW w:w="1585" w:type="dxa"/>
          </w:tcPr>
          <w:p w14:paraId="2E3AEFF5"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YRGKVFTEG</w:t>
            </w:r>
          </w:p>
        </w:tc>
        <w:tc>
          <w:tcPr>
            <w:tcW w:w="2475" w:type="dxa"/>
          </w:tcPr>
          <w:p w14:paraId="261442B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STTMYRGKVFTEGNI</w:t>
            </w:r>
          </w:p>
        </w:tc>
        <w:tc>
          <w:tcPr>
            <w:tcW w:w="837" w:type="dxa"/>
          </w:tcPr>
          <w:p w14:paraId="7250A04D"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0.8598</w:t>
            </w:r>
          </w:p>
        </w:tc>
        <w:tc>
          <w:tcPr>
            <w:tcW w:w="738" w:type="dxa"/>
          </w:tcPr>
          <w:p w14:paraId="1A2295CC"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0.10</w:t>
            </w:r>
          </w:p>
        </w:tc>
      </w:tr>
      <w:tr w:rsidR="003A3F0C" w:rsidRPr="007B703E" w14:paraId="10B4B088" w14:textId="77777777" w:rsidTr="007B703E">
        <w:trPr>
          <w:trHeight w:val="500"/>
        </w:trPr>
        <w:tc>
          <w:tcPr>
            <w:tcW w:w="2503" w:type="dxa"/>
          </w:tcPr>
          <w:p w14:paraId="2074C0D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DRB1*13:02</w:t>
            </w:r>
          </w:p>
        </w:tc>
        <w:tc>
          <w:tcPr>
            <w:tcW w:w="1218" w:type="dxa"/>
          </w:tcPr>
          <w:p w14:paraId="3A15E93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577–591</w:t>
            </w:r>
          </w:p>
        </w:tc>
        <w:tc>
          <w:tcPr>
            <w:tcW w:w="1585" w:type="dxa"/>
          </w:tcPr>
          <w:p w14:paraId="75A0D445"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FSLINRHAI</w:t>
            </w:r>
          </w:p>
        </w:tc>
        <w:tc>
          <w:tcPr>
            <w:tcW w:w="2475" w:type="dxa"/>
          </w:tcPr>
          <w:p w14:paraId="35FC4D7C"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TEERTFSLINRHAID</w:t>
            </w:r>
          </w:p>
        </w:tc>
        <w:tc>
          <w:tcPr>
            <w:tcW w:w="837" w:type="dxa"/>
          </w:tcPr>
          <w:p w14:paraId="2B354F9C"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0.7761</w:t>
            </w:r>
          </w:p>
        </w:tc>
        <w:tc>
          <w:tcPr>
            <w:tcW w:w="738" w:type="dxa"/>
          </w:tcPr>
          <w:p w14:paraId="373BEB0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0.13</w:t>
            </w:r>
          </w:p>
        </w:tc>
      </w:tr>
      <w:tr w:rsidR="003A3F0C" w:rsidRPr="007B703E" w14:paraId="0D53E3DB" w14:textId="77777777" w:rsidTr="007B703E">
        <w:trPr>
          <w:trHeight w:val="500"/>
        </w:trPr>
        <w:tc>
          <w:tcPr>
            <w:tcW w:w="2503" w:type="dxa"/>
          </w:tcPr>
          <w:p w14:paraId="7EE51955"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DRB3*01:01</w:t>
            </w:r>
          </w:p>
        </w:tc>
        <w:tc>
          <w:tcPr>
            <w:tcW w:w="1218" w:type="dxa"/>
          </w:tcPr>
          <w:p w14:paraId="3609E07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101–115</w:t>
            </w:r>
          </w:p>
        </w:tc>
        <w:tc>
          <w:tcPr>
            <w:tcW w:w="1585" w:type="dxa"/>
          </w:tcPr>
          <w:p w14:paraId="33F5288C"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LLLDPPTNV</w:t>
            </w:r>
          </w:p>
        </w:tc>
        <w:tc>
          <w:tcPr>
            <w:tcW w:w="2475" w:type="dxa"/>
          </w:tcPr>
          <w:p w14:paraId="5F214B3D"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SGKSLLLDPPTNVRD</w:t>
            </w:r>
          </w:p>
        </w:tc>
        <w:tc>
          <w:tcPr>
            <w:tcW w:w="837" w:type="dxa"/>
          </w:tcPr>
          <w:p w14:paraId="1B504ED6"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0.8216</w:t>
            </w:r>
          </w:p>
        </w:tc>
        <w:tc>
          <w:tcPr>
            <w:tcW w:w="738" w:type="dxa"/>
          </w:tcPr>
          <w:p w14:paraId="72ED1BE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0.16</w:t>
            </w:r>
          </w:p>
        </w:tc>
      </w:tr>
      <w:tr w:rsidR="003A3F0C" w:rsidRPr="007B703E" w14:paraId="5C3D472E" w14:textId="77777777" w:rsidTr="007B703E">
        <w:trPr>
          <w:trHeight w:val="500"/>
        </w:trPr>
        <w:tc>
          <w:tcPr>
            <w:tcW w:w="2503" w:type="dxa"/>
          </w:tcPr>
          <w:p w14:paraId="6658FCEE"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DRB3*01:01</w:t>
            </w:r>
          </w:p>
        </w:tc>
        <w:tc>
          <w:tcPr>
            <w:tcW w:w="1218" w:type="dxa"/>
          </w:tcPr>
          <w:p w14:paraId="7EEC356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102–116</w:t>
            </w:r>
          </w:p>
        </w:tc>
        <w:tc>
          <w:tcPr>
            <w:tcW w:w="1585" w:type="dxa"/>
          </w:tcPr>
          <w:p w14:paraId="46C90BA1"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LLLDPPTNV</w:t>
            </w:r>
          </w:p>
        </w:tc>
        <w:tc>
          <w:tcPr>
            <w:tcW w:w="2475" w:type="dxa"/>
          </w:tcPr>
          <w:p w14:paraId="29CFF249"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GKSLLLDPPTNVRDY</w:t>
            </w:r>
          </w:p>
        </w:tc>
        <w:tc>
          <w:tcPr>
            <w:tcW w:w="837" w:type="dxa"/>
          </w:tcPr>
          <w:p w14:paraId="298EA959"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0.8202</w:t>
            </w:r>
          </w:p>
        </w:tc>
        <w:tc>
          <w:tcPr>
            <w:tcW w:w="738" w:type="dxa"/>
          </w:tcPr>
          <w:p w14:paraId="6103721A"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0.16</w:t>
            </w:r>
          </w:p>
        </w:tc>
      </w:tr>
      <w:tr w:rsidR="003A3F0C" w:rsidRPr="007B703E" w14:paraId="2112B809" w14:textId="77777777" w:rsidTr="007B703E">
        <w:trPr>
          <w:trHeight w:val="500"/>
        </w:trPr>
        <w:tc>
          <w:tcPr>
            <w:tcW w:w="2503" w:type="dxa"/>
          </w:tcPr>
          <w:p w14:paraId="35E09397"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DQA1</w:t>
            </w:r>
            <w:r w:rsidRPr="007B703E">
              <w:rPr>
                <w:rFonts w:ascii="Times New Roman" w:eastAsia="Times New Roman" w:hAnsi="Times New Roman" w:cs="Times New Roman"/>
                <w:i/>
                <w:iCs/>
                <w:sz w:val="24"/>
                <w:szCs w:val="24"/>
              </w:rPr>
              <w:t>05:01/DQB1</w:t>
            </w:r>
            <w:r w:rsidRPr="007B703E">
              <w:rPr>
                <w:rFonts w:ascii="Times New Roman" w:eastAsia="Times New Roman" w:hAnsi="Times New Roman" w:cs="Times New Roman"/>
                <w:sz w:val="24"/>
                <w:szCs w:val="24"/>
              </w:rPr>
              <w:t>02:01</w:t>
            </w:r>
          </w:p>
        </w:tc>
        <w:tc>
          <w:tcPr>
            <w:tcW w:w="1218" w:type="dxa"/>
          </w:tcPr>
          <w:p w14:paraId="038AE69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514–528</w:t>
            </w:r>
          </w:p>
        </w:tc>
        <w:tc>
          <w:tcPr>
            <w:tcW w:w="1585" w:type="dxa"/>
          </w:tcPr>
          <w:p w14:paraId="02BC12EF"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IWSVQEDDL</w:t>
            </w:r>
          </w:p>
        </w:tc>
        <w:tc>
          <w:tcPr>
            <w:tcW w:w="2475" w:type="dxa"/>
          </w:tcPr>
          <w:p w14:paraId="042F0E87"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ELRIWSVQEDDLAAG</w:t>
            </w:r>
          </w:p>
        </w:tc>
        <w:tc>
          <w:tcPr>
            <w:tcW w:w="837" w:type="dxa"/>
          </w:tcPr>
          <w:p w14:paraId="1C4D1143"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0.7446</w:t>
            </w:r>
          </w:p>
        </w:tc>
        <w:tc>
          <w:tcPr>
            <w:tcW w:w="738" w:type="dxa"/>
          </w:tcPr>
          <w:p w14:paraId="539BF4FF"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0.16</w:t>
            </w:r>
          </w:p>
        </w:tc>
      </w:tr>
    </w:tbl>
    <w:p w14:paraId="662B07E2" w14:textId="77777777" w:rsidR="003A3F0C" w:rsidRPr="007B703E" w:rsidRDefault="003A3F0C">
      <w:pPr>
        <w:spacing w:before="240" w:after="240"/>
        <w:jc w:val="both"/>
        <w:rPr>
          <w:rFonts w:ascii="Times New Roman" w:eastAsia="Times New Roman" w:hAnsi="Times New Roman" w:cs="Times New Roman"/>
          <w:sz w:val="24"/>
          <w:szCs w:val="24"/>
        </w:rPr>
      </w:pPr>
    </w:p>
    <w:p w14:paraId="319A8578" w14:textId="77777777" w:rsidR="007B703E" w:rsidRPr="007B703E" w:rsidRDefault="007B703E" w:rsidP="007B703E">
      <w:pPr>
        <w:pStyle w:val="Caption"/>
        <w:rPr>
          <w:b/>
          <w:bCs/>
          <w:lang w:val="en-IN"/>
        </w:rPr>
      </w:pPr>
      <w:r>
        <w:t xml:space="preserve">Table </w:t>
      </w:r>
      <w:r>
        <w:fldChar w:fldCharType="begin"/>
      </w:r>
      <w:r>
        <w:instrText xml:space="preserve"> SEQ Table \* ARABIC </w:instrText>
      </w:r>
      <w:r>
        <w:fldChar w:fldCharType="separate"/>
      </w:r>
      <w:r>
        <w:rPr>
          <w:noProof/>
        </w:rPr>
        <w:t>5</w:t>
      </w:r>
      <w:r>
        <w:fldChar w:fldCharType="end"/>
      </w:r>
      <w:r>
        <w:t xml:space="preserve"> </w:t>
      </w:r>
      <w:r w:rsidRPr="007B703E">
        <w:rPr>
          <w:b/>
          <w:bCs/>
          <w:lang w:val="en-IN"/>
        </w:rPr>
        <w:t>Immunodominant epitope clusters identified within the Marburg virus glycoprotein.</w:t>
      </w:r>
    </w:p>
    <w:p w14:paraId="0FFF2DA1" w14:textId="77777777" w:rsidR="007B703E" w:rsidRPr="007B703E" w:rsidRDefault="007B703E" w:rsidP="007B703E">
      <w:pPr>
        <w:pStyle w:val="Caption"/>
        <w:keepNext/>
        <w:rPr>
          <w:lang w:val="en-IN"/>
        </w:rPr>
      </w:pPr>
      <w:r w:rsidRPr="007B703E">
        <w:rPr>
          <w:lang w:val="en-IN"/>
        </w:rPr>
        <w:t xml:space="preserve">Summary of the three major multi-epitope hotspots mapped across the glycoprotein sequence. Each cluster is defined by its amino-acid region, dominant CTL/HTL/B-cell epitopes, and key immunological or structural features. </w:t>
      </w:r>
      <w:r w:rsidRPr="007B703E">
        <w:rPr>
          <w:lang w:val="en-IN"/>
        </w:rPr>
        <w:lastRenderedPageBreak/>
        <w:t>Cluster 1 (aa 101–160) contains overlapping CD8</w:t>
      </w:r>
      <w:r w:rsidRPr="007B703E">
        <w:rPr>
          <w:rFonts w:ascii="Cambria Math" w:hAnsi="Cambria Math" w:cs="Cambria Math"/>
          <w:lang w:val="en-IN"/>
        </w:rPr>
        <w:t>⁺</w:t>
      </w:r>
      <w:r w:rsidRPr="007B703E">
        <w:rPr>
          <w:lang w:val="en-IN"/>
        </w:rPr>
        <w:t>, CD4</w:t>
      </w:r>
      <w:r w:rsidRPr="007B703E">
        <w:rPr>
          <w:rFonts w:ascii="Cambria Math" w:hAnsi="Cambria Math" w:cs="Cambria Math"/>
          <w:lang w:val="en-IN"/>
        </w:rPr>
        <w:t>⁺</w:t>
      </w:r>
      <w:r w:rsidRPr="007B703E">
        <w:rPr>
          <w:lang w:val="en-IN"/>
        </w:rPr>
        <w:t>, and B-cell epitopes within a coil-rich, highly accessible region. Cluster 2 (aa 218–270) corresponds to an extended hydrophilic B-cell domain enriched with promiscuous DR/DQ binders. Cluster 3 (aa 455–503) includes strong CD8</w:t>
      </w:r>
      <w:r w:rsidRPr="007B703E">
        <w:rPr>
          <w:rFonts w:ascii="Cambria Math" w:hAnsi="Cambria Math" w:cs="Cambria Math"/>
          <w:lang w:val="en-IN"/>
        </w:rPr>
        <w:t>⁺</w:t>
      </w:r>
      <w:r w:rsidRPr="007B703E">
        <w:rPr>
          <w:lang w:val="en-IN"/>
        </w:rPr>
        <w:t xml:space="preserve"> epitopes (DPVPNTKTI, LPHTSGNTAY) situated within a B-cell–accessible surface region, highlighting its importance as a neutralizing epitope site.</w:t>
      </w:r>
    </w:p>
    <w:p w14:paraId="22D45B63" w14:textId="4B863595" w:rsidR="007B703E" w:rsidRDefault="007B703E" w:rsidP="007B703E">
      <w:pPr>
        <w:pStyle w:val="Caption"/>
        <w:keepNext/>
      </w:pPr>
    </w:p>
    <w:tbl>
      <w:tblPr>
        <w:tblStyle w:val="TableGrid"/>
        <w:tblW w:w="10201" w:type="dxa"/>
        <w:tblLayout w:type="fixed"/>
        <w:tblLook w:val="0600" w:firstRow="0" w:lastRow="0" w:firstColumn="0" w:lastColumn="0" w:noHBand="1" w:noVBand="1"/>
      </w:tblPr>
      <w:tblGrid>
        <w:gridCol w:w="1413"/>
        <w:gridCol w:w="1559"/>
        <w:gridCol w:w="2552"/>
        <w:gridCol w:w="4677"/>
      </w:tblGrid>
      <w:tr w:rsidR="003A3F0C" w:rsidRPr="007B703E" w14:paraId="0F3890F4" w14:textId="77777777" w:rsidTr="00BC4686">
        <w:trPr>
          <w:trHeight w:val="785"/>
        </w:trPr>
        <w:tc>
          <w:tcPr>
            <w:tcW w:w="1413" w:type="dxa"/>
          </w:tcPr>
          <w:p w14:paraId="1BDA6868"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Cluster</w:t>
            </w:r>
          </w:p>
        </w:tc>
        <w:tc>
          <w:tcPr>
            <w:tcW w:w="1559" w:type="dxa"/>
          </w:tcPr>
          <w:p w14:paraId="24E42890"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Region (aa)</w:t>
            </w:r>
          </w:p>
        </w:tc>
        <w:tc>
          <w:tcPr>
            <w:tcW w:w="2552" w:type="dxa"/>
          </w:tcPr>
          <w:p w14:paraId="5FF4DA6D"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Key Epitopes</w:t>
            </w:r>
          </w:p>
        </w:tc>
        <w:tc>
          <w:tcPr>
            <w:tcW w:w="4677" w:type="dxa"/>
          </w:tcPr>
          <w:p w14:paraId="4F6C77B1" w14:textId="77777777" w:rsidR="003A3F0C" w:rsidRPr="007B703E" w:rsidRDefault="001C164D">
            <w:pPr>
              <w:spacing w:before="240" w:after="240"/>
              <w:jc w:val="center"/>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Features</w:t>
            </w:r>
          </w:p>
        </w:tc>
      </w:tr>
      <w:tr w:rsidR="003A3F0C" w:rsidRPr="007B703E" w14:paraId="26D67A0F" w14:textId="77777777" w:rsidTr="00BC4686">
        <w:trPr>
          <w:trHeight w:val="785"/>
        </w:trPr>
        <w:tc>
          <w:tcPr>
            <w:tcW w:w="1413" w:type="dxa"/>
          </w:tcPr>
          <w:p w14:paraId="081D975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Cluster 1</w:t>
            </w:r>
          </w:p>
        </w:tc>
        <w:tc>
          <w:tcPr>
            <w:tcW w:w="1559" w:type="dxa"/>
          </w:tcPr>
          <w:p w14:paraId="7243AF0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101–160</w:t>
            </w:r>
          </w:p>
        </w:tc>
        <w:tc>
          <w:tcPr>
            <w:tcW w:w="2552" w:type="dxa"/>
          </w:tcPr>
          <w:p w14:paraId="299DC7BB"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LLLDPPTNV, FLYDRIAST</w:t>
            </w:r>
          </w:p>
        </w:tc>
        <w:tc>
          <w:tcPr>
            <w:tcW w:w="4677" w:type="dxa"/>
          </w:tcPr>
          <w:p w14:paraId="250408E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MHC-I + MHC-II + B-cell; coil rich</w:t>
            </w:r>
          </w:p>
        </w:tc>
      </w:tr>
      <w:tr w:rsidR="003A3F0C" w:rsidRPr="007B703E" w14:paraId="5C36CFC4" w14:textId="77777777" w:rsidTr="00BC4686">
        <w:trPr>
          <w:trHeight w:val="785"/>
        </w:trPr>
        <w:tc>
          <w:tcPr>
            <w:tcW w:w="1413" w:type="dxa"/>
          </w:tcPr>
          <w:p w14:paraId="0D1559C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Cluster 2</w:t>
            </w:r>
          </w:p>
        </w:tc>
        <w:tc>
          <w:tcPr>
            <w:tcW w:w="1559" w:type="dxa"/>
          </w:tcPr>
          <w:p w14:paraId="072125D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218–270</w:t>
            </w:r>
          </w:p>
        </w:tc>
        <w:tc>
          <w:tcPr>
            <w:tcW w:w="2552" w:type="dxa"/>
          </w:tcPr>
          <w:p w14:paraId="1DB4A190"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LNTTNPNSDDED</w:t>
            </w:r>
          </w:p>
        </w:tc>
        <w:tc>
          <w:tcPr>
            <w:tcW w:w="4677" w:type="dxa"/>
          </w:tcPr>
          <w:p w14:paraId="35A6D499"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Long B-cell region + multiple DR/DQ binders</w:t>
            </w:r>
          </w:p>
        </w:tc>
      </w:tr>
      <w:tr w:rsidR="003A3F0C" w:rsidRPr="007B703E" w14:paraId="100CC0A4" w14:textId="77777777" w:rsidTr="00BC4686">
        <w:trPr>
          <w:trHeight w:val="785"/>
        </w:trPr>
        <w:tc>
          <w:tcPr>
            <w:tcW w:w="1413" w:type="dxa"/>
          </w:tcPr>
          <w:p w14:paraId="3DCD786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b/>
                <w:bCs/>
                <w:sz w:val="24"/>
                <w:szCs w:val="24"/>
              </w:rPr>
              <w:t>Cluster 3</w:t>
            </w:r>
          </w:p>
        </w:tc>
        <w:tc>
          <w:tcPr>
            <w:tcW w:w="1559" w:type="dxa"/>
          </w:tcPr>
          <w:p w14:paraId="0E90FE55"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455–503</w:t>
            </w:r>
          </w:p>
        </w:tc>
        <w:tc>
          <w:tcPr>
            <w:tcW w:w="2552" w:type="dxa"/>
          </w:tcPr>
          <w:p w14:paraId="6B79C07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DPVPNTKTI, LPHTSGNTAY</w:t>
            </w:r>
          </w:p>
        </w:tc>
        <w:tc>
          <w:tcPr>
            <w:tcW w:w="4677" w:type="dxa"/>
          </w:tcPr>
          <w:p w14:paraId="38D9A146"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Strong CD8 + B-cell region</w:t>
            </w:r>
          </w:p>
        </w:tc>
      </w:tr>
    </w:tbl>
    <w:p w14:paraId="54470E9F" w14:textId="77777777" w:rsidR="003A3F0C" w:rsidRPr="007B703E" w:rsidRDefault="003A3F0C">
      <w:pPr>
        <w:spacing w:before="240" w:after="240"/>
        <w:jc w:val="both"/>
        <w:rPr>
          <w:rFonts w:ascii="Times New Roman" w:eastAsia="Times New Roman" w:hAnsi="Times New Roman" w:cs="Times New Roman"/>
          <w:sz w:val="24"/>
          <w:szCs w:val="24"/>
        </w:rPr>
      </w:pPr>
    </w:p>
    <w:p w14:paraId="4508C8B2" w14:textId="77777777" w:rsidR="003A3F0C" w:rsidRPr="007B703E" w:rsidRDefault="001C164D">
      <w:pPr>
        <w:pStyle w:val="Heading1"/>
        <w:keepNext w:val="0"/>
        <w:keepLines w:val="0"/>
        <w:spacing w:before="480"/>
        <w:jc w:val="both"/>
        <w:rPr>
          <w:rFonts w:ascii="Times New Roman" w:eastAsia="Times New Roman" w:hAnsi="Times New Roman" w:cs="Times New Roman"/>
          <w:b/>
          <w:bCs/>
          <w:sz w:val="24"/>
          <w:szCs w:val="24"/>
        </w:rPr>
      </w:pPr>
      <w:bookmarkStart w:id="17" w:name="_f5mvw26qpo56" w:colFirst="0" w:colLast="0"/>
      <w:bookmarkEnd w:id="17"/>
      <w:r w:rsidRPr="007B703E">
        <w:rPr>
          <w:rFonts w:ascii="Times New Roman" w:eastAsia="Times New Roman" w:hAnsi="Times New Roman" w:cs="Times New Roman"/>
          <w:b/>
          <w:bCs/>
          <w:sz w:val="24"/>
          <w:szCs w:val="24"/>
        </w:rPr>
        <w:t>Validation of Predicted Epitopes Through Molecular Docking</w:t>
      </w:r>
    </w:p>
    <w:p w14:paraId="7D0833D2"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To validate the immunoinformatic predictions, the top-ranked B-cell, MHC I, and MHC II epitopes were evaluated using molecular docking against their respective receptors. Docking of CD8⁺ T-cell epi</w:t>
      </w:r>
      <w:r w:rsidRPr="00BC4686">
        <w:rPr>
          <w:rFonts w:ascii="Times New Roman" w:eastAsia="Times New Roman" w:hAnsi="Times New Roman" w:cs="Times New Roman"/>
          <w:sz w:val="24"/>
          <w:szCs w:val="24"/>
        </w:rPr>
        <w:t>topes with representative HLA class I alleles showed strong and stable binding interactions, supported by canonical contacts at the N-terminal P1, central backbone, and C-terminal PΩ anchor positions. Key peptides such as FLYDRIAST–HLA-A*02:03 (–8.7 kcal/m</w:t>
      </w:r>
      <w:r w:rsidRPr="00BC4686">
        <w:rPr>
          <w:rFonts w:ascii="Times New Roman" w:eastAsia="Times New Roman" w:hAnsi="Times New Roman" w:cs="Times New Roman"/>
          <w:sz w:val="24"/>
          <w:szCs w:val="24"/>
        </w:rPr>
        <w:t>ol), LLLDPPTNV–HLA-A*02:01 (–8.9 kcal/mol), and HAQGIALHLW–HLA-B*57:01 (–9.0 kcal/mol) demonstrated high-affinity binding within well-defined anchor pockets (P2 and PΩ), confirming the suitability of these peptides as strong CD8⁺ T-cell epitopes.</w:t>
      </w:r>
    </w:p>
    <w:p w14:paraId="3EB8F35A" w14:textId="77777777" w:rsidR="003A3F0C" w:rsidRPr="007B703E"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Similarly</w:t>
      </w:r>
      <w:r w:rsidRPr="00BC4686">
        <w:rPr>
          <w:rFonts w:ascii="Times New Roman" w:eastAsia="Times New Roman" w:hAnsi="Times New Roman" w:cs="Times New Roman"/>
          <w:sz w:val="24"/>
          <w:szCs w:val="24"/>
        </w:rPr>
        <w:t xml:space="preserve">, docking of predicted CD4⁺ epitopes with MHC II alleles demonstrated </w:t>
      </w:r>
      <w:proofErr w:type="spellStart"/>
      <w:r w:rsidRPr="00BC4686">
        <w:rPr>
          <w:rFonts w:ascii="Times New Roman" w:eastAsia="Times New Roman" w:hAnsi="Times New Roman" w:cs="Times New Roman"/>
          <w:sz w:val="24"/>
          <w:szCs w:val="24"/>
        </w:rPr>
        <w:t>favourable</w:t>
      </w:r>
      <w:proofErr w:type="spellEnd"/>
      <w:r w:rsidRPr="00BC4686">
        <w:rPr>
          <w:rFonts w:ascii="Times New Roman" w:eastAsia="Times New Roman" w:hAnsi="Times New Roman" w:cs="Times New Roman"/>
          <w:sz w:val="24"/>
          <w:szCs w:val="24"/>
        </w:rPr>
        <w:t xml:space="preserve"> binding conformations accommodating the extended 15-mer registers. High-scoring interactions were observed for SGKSLLLDPPTNVRD–DRB3*01:01 (–6.7 kcal/mol), EERTFSLINRHAIDF–DRB1</w:t>
      </w:r>
      <w:r w:rsidRPr="00BC4686">
        <w:rPr>
          <w:rFonts w:ascii="Times New Roman" w:eastAsia="Times New Roman" w:hAnsi="Times New Roman" w:cs="Times New Roman"/>
          <w:sz w:val="24"/>
          <w:szCs w:val="24"/>
        </w:rPr>
        <w:t>*13:02 (–7.5 kcal/mol), ATRLNTTNPNSDDED–HLA-DQ7 (–7.0 kcal/mol), and TTMYRGKVFTEGNIA–DPB1*02:01 (–6.6 kcal/mol). These peptides</w:t>
      </w:r>
      <w:r w:rsidRPr="007B703E">
        <w:rPr>
          <w:rFonts w:ascii="Times New Roman" w:eastAsia="Times New Roman" w:hAnsi="Times New Roman" w:cs="Times New Roman"/>
          <w:sz w:val="24"/>
          <w:szCs w:val="24"/>
        </w:rPr>
        <w:t xml:space="preserve"> adopted stable hydrogen-bond networks across the β-sheet floor of the MHC II groove, supporting their predicted high-affinity an</w:t>
      </w:r>
      <w:r w:rsidRPr="007B703E">
        <w:rPr>
          <w:rFonts w:ascii="Times New Roman" w:eastAsia="Times New Roman" w:hAnsi="Times New Roman" w:cs="Times New Roman"/>
          <w:sz w:val="24"/>
          <w:szCs w:val="24"/>
        </w:rPr>
        <w:t>d allele-promiscuous binding.</w:t>
      </w:r>
    </w:p>
    <w:p w14:paraId="585CAB78"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 xml:space="preserve">B-cell epitope docking against </w:t>
      </w:r>
      <w:proofErr w:type="spellStart"/>
      <w:r w:rsidRPr="00BC4686">
        <w:rPr>
          <w:rFonts w:ascii="Times New Roman" w:eastAsia="Times New Roman" w:hAnsi="Times New Roman" w:cs="Times New Roman"/>
          <w:sz w:val="24"/>
          <w:szCs w:val="24"/>
        </w:rPr>
        <w:t>neutralising</w:t>
      </w:r>
      <w:proofErr w:type="spellEnd"/>
      <w:r w:rsidRPr="00BC4686">
        <w:rPr>
          <w:rFonts w:ascii="Times New Roman" w:eastAsia="Times New Roman" w:hAnsi="Times New Roman" w:cs="Times New Roman"/>
          <w:sz w:val="24"/>
          <w:szCs w:val="24"/>
        </w:rPr>
        <w:t xml:space="preserve"> antibodies further confirmed accessible, energetically </w:t>
      </w:r>
      <w:proofErr w:type="spellStart"/>
      <w:r w:rsidRPr="00BC4686">
        <w:rPr>
          <w:rFonts w:ascii="Times New Roman" w:eastAsia="Times New Roman" w:hAnsi="Times New Roman" w:cs="Times New Roman"/>
          <w:sz w:val="24"/>
          <w:szCs w:val="24"/>
        </w:rPr>
        <w:t>favourable</w:t>
      </w:r>
      <w:proofErr w:type="spellEnd"/>
      <w:r w:rsidRPr="00BC4686">
        <w:rPr>
          <w:rFonts w:ascii="Times New Roman" w:eastAsia="Times New Roman" w:hAnsi="Times New Roman" w:cs="Times New Roman"/>
          <w:sz w:val="24"/>
          <w:szCs w:val="24"/>
        </w:rPr>
        <w:t xml:space="preserve"> interactions. The glycoprotein-derived epitopes ASNDQPQNVDSV, TGVPPKNVEYTEGEEAK, LPHTSGNTAY, and KYWTSSNGTQTNDTG dis</w:t>
      </w:r>
      <w:r w:rsidRPr="00BC4686">
        <w:rPr>
          <w:rFonts w:ascii="Times New Roman" w:eastAsia="Times New Roman" w:hAnsi="Times New Roman" w:cs="Times New Roman"/>
          <w:sz w:val="24"/>
          <w:szCs w:val="24"/>
        </w:rPr>
        <w:t xml:space="preserve">played strong </w:t>
      </w:r>
      <w:r w:rsidRPr="00BC4686">
        <w:rPr>
          <w:rFonts w:ascii="Times New Roman" w:eastAsia="Times New Roman" w:hAnsi="Times New Roman" w:cs="Times New Roman"/>
          <w:sz w:val="24"/>
          <w:szCs w:val="24"/>
        </w:rPr>
        <w:lastRenderedPageBreak/>
        <w:t>binding to well-</w:t>
      </w:r>
      <w:proofErr w:type="spellStart"/>
      <w:r w:rsidRPr="00BC4686">
        <w:rPr>
          <w:rFonts w:ascii="Times New Roman" w:eastAsia="Times New Roman" w:hAnsi="Times New Roman" w:cs="Times New Roman"/>
          <w:sz w:val="24"/>
          <w:szCs w:val="24"/>
        </w:rPr>
        <w:t>characterised</w:t>
      </w:r>
      <w:proofErr w:type="spellEnd"/>
      <w:r w:rsidRPr="00BC4686">
        <w:rPr>
          <w:rFonts w:ascii="Times New Roman" w:eastAsia="Times New Roman" w:hAnsi="Times New Roman" w:cs="Times New Roman"/>
          <w:sz w:val="24"/>
          <w:szCs w:val="24"/>
        </w:rPr>
        <w:t xml:space="preserve"> Marburg virus antibodies KZ52, MR78, and MR72 (binding energies ranging from –7.3 to –7.8 kcal/mol). These interactions occurred within solvent-exposed, coil-rich ectodomain regions, consistent with their predict</w:t>
      </w:r>
      <w:r w:rsidRPr="00BC4686">
        <w:rPr>
          <w:rFonts w:ascii="Times New Roman" w:eastAsia="Times New Roman" w:hAnsi="Times New Roman" w:cs="Times New Roman"/>
          <w:sz w:val="24"/>
          <w:szCs w:val="24"/>
        </w:rPr>
        <w:t>ed high surface accessibility.</w:t>
      </w:r>
    </w:p>
    <w:p w14:paraId="762B0A6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Finally, comparison of docking energies across all epitope classes confirmed that glycoprotein-derived epitopes consistently produced the strongest binding scores among both T-cell and B-cell receptors. This functional valida</w:t>
      </w:r>
      <w:r w:rsidRPr="007B703E">
        <w:rPr>
          <w:rFonts w:ascii="Times New Roman" w:eastAsia="Times New Roman" w:hAnsi="Times New Roman" w:cs="Times New Roman"/>
          <w:sz w:val="24"/>
          <w:szCs w:val="24"/>
        </w:rPr>
        <w:t xml:space="preserve">tion strongly supports the </w:t>
      </w:r>
      <w:proofErr w:type="spellStart"/>
      <w:r w:rsidRPr="007B703E">
        <w:rPr>
          <w:rFonts w:ascii="Times New Roman" w:eastAsia="Times New Roman" w:hAnsi="Times New Roman" w:cs="Times New Roman"/>
          <w:sz w:val="24"/>
          <w:szCs w:val="24"/>
        </w:rPr>
        <w:t>prioritisation</w:t>
      </w:r>
      <w:proofErr w:type="spellEnd"/>
      <w:r w:rsidRPr="007B703E">
        <w:rPr>
          <w:rFonts w:ascii="Times New Roman" w:eastAsia="Times New Roman" w:hAnsi="Times New Roman" w:cs="Times New Roman"/>
          <w:sz w:val="24"/>
          <w:szCs w:val="24"/>
        </w:rPr>
        <w:t xml:space="preserve"> of the glycoprotein as the lead antigen for multi-epitope vaccine design, with complementary contributions from nucleoprotein-derived T-cell epitopes.</w:t>
      </w:r>
    </w:p>
    <w:p w14:paraId="6C3A521A" w14:textId="77777777" w:rsidR="003A3F0C" w:rsidRPr="007B703E" w:rsidRDefault="001C164D">
      <w:pPr>
        <w:pStyle w:val="Heading3"/>
        <w:keepNext w:val="0"/>
        <w:keepLines w:val="0"/>
        <w:spacing w:before="280"/>
        <w:jc w:val="both"/>
        <w:rPr>
          <w:rFonts w:ascii="Times New Roman" w:eastAsia="Times New Roman" w:hAnsi="Times New Roman" w:cs="Times New Roman"/>
          <w:b/>
          <w:bCs/>
          <w:color w:val="000000"/>
          <w:sz w:val="24"/>
          <w:szCs w:val="24"/>
        </w:rPr>
      </w:pPr>
      <w:bookmarkStart w:id="18" w:name="_slfu92ob5c4p" w:colFirst="0" w:colLast="0"/>
      <w:bookmarkEnd w:id="18"/>
      <w:r w:rsidRPr="007B703E">
        <w:rPr>
          <w:rFonts w:ascii="Times New Roman" w:eastAsia="Times New Roman" w:hAnsi="Times New Roman" w:cs="Times New Roman"/>
          <w:b/>
          <w:bCs/>
          <w:color w:val="000000"/>
          <w:sz w:val="24"/>
          <w:szCs w:val="24"/>
        </w:rPr>
        <w:t xml:space="preserve">Multiepitope Vaccine Construct Development Using an Integrated </w:t>
      </w:r>
      <w:proofErr w:type="spellStart"/>
      <w:r w:rsidRPr="007B703E">
        <w:rPr>
          <w:rFonts w:ascii="Times New Roman" w:eastAsia="Times New Roman" w:hAnsi="Times New Roman" w:cs="Times New Roman"/>
          <w:b/>
          <w:bCs/>
          <w:color w:val="000000"/>
          <w:sz w:val="24"/>
          <w:szCs w:val="24"/>
        </w:rPr>
        <w:t>Immunoinformatics</w:t>
      </w:r>
      <w:proofErr w:type="spellEnd"/>
      <w:r w:rsidRPr="007B703E">
        <w:rPr>
          <w:rFonts w:ascii="Times New Roman" w:eastAsia="Times New Roman" w:hAnsi="Times New Roman" w:cs="Times New Roman"/>
          <w:b/>
          <w:bCs/>
          <w:color w:val="000000"/>
          <w:sz w:val="24"/>
          <w:szCs w:val="24"/>
        </w:rPr>
        <w:t xml:space="preserve"> Pipeline</w:t>
      </w:r>
    </w:p>
    <w:p w14:paraId="146C9D1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A fully computational pipeline was employed to design a multiepitope vaccine construct incorporating the most immunogenic regions of the Marburg virus proteome. Based on prior antigenicity screening, B-cell mapping, and T-cell ep</w:t>
      </w:r>
      <w:r w:rsidRPr="007B703E">
        <w:rPr>
          <w:rFonts w:ascii="Times New Roman" w:eastAsia="Times New Roman" w:hAnsi="Times New Roman" w:cs="Times New Roman"/>
          <w:sz w:val="24"/>
          <w:szCs w:val="24"/>
        </w:rPr>
        <w:t xml:space="preserve">itope prioritization, a glycoprotein-focused multi-domain construct was assembled using only </w:t>
      </w:r>
      <w:r w:rsidRPr="007B703E">
        <w:rPr>
          <w:rFonts w:ascii="Times New Roman" w:eastAsia="Times New Roman" w:hAnsi="Times New Roman" w:cs="Times New Roman"/>
          <w:i/>
          <w:iCs/>
          <w:sz w:val="24"/>
          <w:szCs w:val="24"/>
        </w:rPr>
        <w:t>in silico</w:t>
      </w:r>
      <w:r w:rsidRPr="007B703E">
        <w:rPr>
          <w:rFonts w:ascii="Times New Roman" w:eastAsia="Times New Roman" w:hAnsi="Times New Roman" w:cs="Times New Roman"/>
          <w:sz w:val="24"/>
          <w:szCs w:val="24"/>
        </w:rPr>
        <w:t xml:space="preserve"> predictions. The final construct consisted of an N-terminal hBD-3 adjuvant fused through an EAAAK linker to the PADRE helper epitope, followed by blocks </w:t>
      </w:r>
      <w:r w:rsidRPr="007B703E">
        <w:rPr>
          <w:rFonts w:ascii="Times New Roman" w:eastAsia="Times New Roman" w:hAnsi="Times New Roman" w:cs="Times New Roman"/>
          <w:sz w:val="24"/>
          <w:szCs w:val="24"/>
        </w:rPr>
        <w:t>of MHC I, MHC II, and B-cell epitopes arranged to maximize predicted immune coverage.</w:t>
      </w:r>
    </w:p>
    <w:p w14:paraId="25D26520"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The CD8⁺ T-cell region contained five high-ranking MHC I binders (LLLDPPTNV, FLYDRIAST, HAQGIALHLW, DPVPNTKTI, and LPHTSGNTAY), each connected by AAY linkers to enhance p</w:t>
      </w:r>
      <w:r w:rsidRPr="007B703E">
        <w:rPr>
          <w:rFonts w:ascii="Times New Roman" w:eastAsia="Times New Roman" w:hAnsi="Times New Roman" w:cs="Times New Roman"/>
          <w:sz w:val="24"/>
          <w:szCs w:val="24"/>
        </w:rPr>
        <w:t xml:space="preserve">roteasomal processing and TAP transport. The CD4⁺ T-cell region comprised four strong and promiscuous MHC II epitopes (SGKSLLLDPPTNVRD, ATRLNTTNPNSDDED, EERTFSLINRHAIDF, and TTMYRGKVFTEGNIA), linked using GPGPG spacers to </w:t>
      </w:r>
      <w:proofErr w:type="spellStart"/>
      <w:r w:rsidRPr="007B703E">
        <w:rPr>
          <w:rFonts w:ascii="Times New Roman" w:eastAsia="Times New Roman" w:hAnsi="Times New Roman" w:cs="Times New Roman"/>
          <w:sz w:val="24"/>
          <w:szCs w:val="24"/>
        </w:rPr>
        <w:t>favour</w:t>
      </w:r>
      <w:proofErr w:type="spellEnd"/>
      <w:r w:rsidRPr="007B703E">
        <w:rPr>
          <w:rFonts w:ascii="Times New Roman" w:eastAsia="Times New Roman" w:hAnsi="Times New Roman" w:cs="Times New Roman"/>
          <w:sz w:val="24"/>
          <w:szCs w:val="24"/>
        </w:rPr>
        <w:t xml:space="preserve"> MHC II presentation. The B-</w:t>
      </w:r>
      <w:r w:rsidRPr="007B703E">
        <w:rPr>
          <w:rFonts w:ascii="Times New Roman" w:eastAsia="Times New Roman" w:hAnsi="Times New Roman" w:cs="Times New Roman"/>
          <w:sz w:val="24"/>
          <w:szCs w:val="24"/>
        </w:rPr>
        <w:t>cell module incorporated five glycoprotein-derived linear epitopes (ASNDQPQNVDSV, TGVPPKNVEYTEGEEAK, KYWTSSNGTQTNDTG, QGQNPHA, and LPHTSGNTAY), separated by KK linkers to preserve solvent accessibility and predicted antibody recognition. A C-terminal His-t</w:t>
      </w:r>
      <w:r w:rsidRPr="007B703E">
        <w:rPr>
          <w:rFonts w:ascii="Times New Roman" w:eastAsia="Times New Roman" w:hAnsi="Times New Roman" w:cs="Times New Roman"/>
          <w:sz w:val="24"/>
          <w:szCs w:val="24"/>
        </w:rPr>
        <w:t>ag was added to facilitate potential future recombinant expression, though no wet-lab experiments were performed in this study.</w:t>
      </w:r>
    </w:p>
    <w:p w14:paraId="137E4F33" w14:textId="59074281"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The final construct contained 284 amino acids. Physicochemical analysis predicted the sequence to be hydrophilic, stable, and no</w:t>
      </w:r>
      <w:r w:rsidRPr="007B703E">
        <w:rPr>
          <w:rFonts w:ascii="Times New Roman" w:eastAsia="Times New Roman" w:hAnsi="Times New Roman" w:cs="Times New Roman"/>
          <w:sz w:val="24"/>
          <w:szCs w:val="24"/>
        </w:rPr>
        <w:t>n-allergenic, with a high overall antigenicity score. Secondary-structure modelling showed that the CTL and HTL blocks were enriched in α-helical motifs, while B-cell regions remained coil-dominated and flexible, consistent with accessible epitope presenta</w:t>
      </w:r>
      <w:r w:rsidRPr="007B703E">
        <w:rPr>
          <w:rFonts w:ascii="Times New Roman" w:eastAsia="Times New Roman" w:hAnsi="Times New Roman" w:cs="Times New Roman"/>
          <w:sz w:val="24"/>
          <w:szCs w:val="24"/>
        </w:rPr>
        <w:t xml:space="preserve">tion. Docking-based </w:t>
      </w:r>
      <w:r w:rsidRPr="007B703E">
        <w:rPr>
          <w:rFonts w:ascii="Times New Roman" w:eastAsia="Times New Roman" w:hAnsi="Times New Roman" w:cs="Times New Roman"/>
          <w:i/>
          <w:iCs/>
          <w:sz w:val="24"/>
          <w:szCs w:val="24"/>
        </w:rPr>
        <w:t>in silico</w:t>
      </w:r>
      <w:r w:rsidRPr="007B703E">
        <w:rPr>
          <w:rFonts w:ascii="Times New Roman" w:eastAsia="Times New Roman" w:hAnsi="Times New Roman" w:cs="Times New Roman"/>
          <w:sz w:val="24"/>
          <w:szCs w:val="24"/>
        </w:rPr>
        <w:t xml:space="preserve"> validation confirmed strong binding energies between selected T-cell epitopes and their respective HLA alleles, and between B-cell epitopes and known Marburg virus neutralizing antibodies, supporting the computational prioriti</w:t>
      </w:r>
      <w:r w:rsidRPr="007B703E">
        <w:rPr>
          <w:rFonts w:ascii="Times New Roman" w:eastAsia="Times New Roman" w:hAnsi="Times New Roman" w:cs="Times New Roman"/>
          <w:sz w:val="24"/>
          <w:szCs w:val="24"/>
        </w:rPr>
        <w:t>zation of these sequences.</w:t>
      </w:r>
      <w:r w:rsidR="00FD08BF">
        <w:rPr>
          <w:rFonts w:ascii="Times New Roman" w:eastAsia="Times New Roman" w:hAnsi="Times New Roman" w:cs="Times New Roman"/>
          <w:sz w:val="24"/>
          <w:szCs w:val="24"/>
        </w:rPr>
        <w:t xml:space="preserve"> (Figure 1)</w:t>
      </w:r>
    </w:p>
    <w:p w14:paraId="6FB11172"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lastRenderedPageBreak/>
        <w:t>Overall, these results demonstrate that the construct integrates multiple computationally validated B-cell, CD8⁺, and CD4⁺ epitopes from the Marburg virus glycoprotein and nucleoprotein, providing a rationally designed</w:t>
      </w:r>
      <w:r w:rsidRPr="007B703E">
        <w:rPr>
          <w:rFonts w:ascii="Times New Roman" w:eastAsia="Times New Roman" w:hAnsi="Times New Roman" w:cs="Times New Roman"/>
          <w:sz w:val="24"/>
          <w:szCs w:val="24"/>
        </w:rPr>
        <w:t xml:space="preserve"> candidate for further experimental development.</w:t>
      </w:r>
    </w:p>
    <w:p w14:paraId="70EE8E3F" w14:textId="77777777" w:rsidR="007B703E" w:rsidRDefault="001C164D" w:rsidP="007B703E">
      <w:pPr>
        <w:keepNext/>
        <w:spacing w:before="240" w:after="240"/>
        <w:jc w:val="both"/>
      </w:pPr>
      <w:r w:rsidRPr="007B703E">
        <w:rPr>
          <w:rFonts w:ascii="Times New Roman" w:eastAsia="Times New Roman" w:hAnsi="Times New Roman" w:cs="Times New Roman"/>
          <w:noProof/>
          <w:sz w:val="24"/>
          <w:szCs w:val="24"/>
        </w:rPr>
        <w:drawing>
          <wp:inline distT="114300" distB="114300" distL="114300" distR="114300" wp14:anchorId="74A74B1E" wp14:editId="50F9BDBA">
            <wp:extent cx="5943600" cy="2044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2044700"/>
                    </a:xfrm>
                    <a:prstGeom prst="rect">
                      <a:avLst/>
                    </a:prstGeom>
                    <a:ln/>
                  </pic:spPr>
                </pic:pic>
              </a:graphicData>
            </a:graphic>
          </wp:inline>
        </w:drawing>
      </w:r>
    </w:p>
    <w:p w14:paraId="219EEA1D" w14:textId="5B116756" w:rsidR="007B703E" w:rsidRPr="007B703E" w:rsidRDefault="007B703E" w:rsidP="007B703E">
      <w:pPr>
        <w:pStyle w:val="Caption"/>
        <w:jc w:val="both"/>
        <w:rPr>
          <w:b/>
          <w:bCs/>
          <w:lang w:val="en-IN"/>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7B703E">
        <w:rPr>
          <w:b/>
          <w:bCs/>
          <w:lang w:val="en-IN"/>
        </w:rPr>
        <w:t>Structural organization and domain architecture of the designed multiepitope vaccine construct.</w:t>
      </w:r>
    </w:p>
    <w:p w14:paraId="68880D42" w14:textId="77777777" w:rsidR="007B703E" w:rsidRPr="007B703E" w:rsidRDefault="007B703E" w:rsidP="007B703E">
      <w:pPr>
        <w:pStyle w:val="Caption"/>
        <w:jc w:val="both"/>
        <w:rPr>
          <w:lang w:val="en-IN"/>
        </w:rPr>
      </w:pPr>
      <w:r w:rsidRPr="007B703E">
        <w:rPr>
          <w:lang w:val="en-IN"/>
        </w:rPr>
        <w:t>(A) Schematic representation of the multiepitope vaccine construct showing the arrangement of the N-terminal hBD-3 adjuvant, PADRE helper epitope, CTL epitope block (MHC I), HTL epitope block (MHC II), B-cell epitope block, and C-terminal His-tag. Appropriate linker sequences—EAAAK (rigid linker), AAY (proteasomal/TAP-compatible linker), GPGPG (flexible MHC II linker), and KK (B-cell spacing linker)—are placed between domains to preserve structural separation and ensure efficient antigen processing and presentation.</w:t>
      </w:r>
      <w:r w:rsidRPr="007B703E">
        <w:rPr>
          <w:lang w:val="en-IN"/>
        </w:rPr>
        <w:br/>
        <w:t>(B) Linear domain map of the complete 284-amino-acid construct, indicating the exact start and end positions of each functional region, including adjuvant, PADRE, CTL and HTL epitope clusters, B-cell epitope region, linkers, and His-tag.</w:t>
      </w:r>
      <w:r w:rsidRPr="007B703E">
        <w:rPr>
          <w:lang w:val="en-IN"/>
        </w:rPr>
        <w:br/>
        <w:t>(C) Condensed graphical representation of the construct aligned to the amino-acid scale, illustrating the proportional length and sequential order of immunological domains. Together, these panels summarize the structural logic and immunological design principles underlying the final vaccine construct.</w:t>
      </w:r>
    </w:p>
    <w:p w14:paraId="76F72BE9" w14:textId="46719C0E" w:rsidR="003A3F0C" w:rsidRPr="007B703E" w:rsidRDefault="003A3F0C" w:rsidP="007B703E">
      <w:pPr>
        <w:pStyle w:val="Caption"/>
        <w:jc w:val="both"/>
        <w:rPr>
          <w:rFonts w:ascii="Times New Roman" w:eastAsia="Times New Roman" w:hAnsi="Times New Roman" w:cs="Times New Roman"/>
          <w:sz w:val="24"/>
          <w:szCs w:val="24"/>
        </w:rPr>
      </w:pPr>
    </w:p>
    <w:p w14:paraId="035C8043" w14:textId="77777777" w:rsidR="003A3F0C" w:rsidRPr="007B703E" w:rsidRDefault="001C164D">
      <w:pPr>
        <w:pStyle w:val="Heading1"/>
        <w:keepNext w:val="0"/>
        <w:keepLines w:val="0"/>
        <w:spacing w:before="480"/>
        <w:jc w:val="both"/>
        <w:rPr>
          <w:rFonts w:ascii="Times New Roman" w:eastAsia="Times New Roman" w:hAnsi="Times New Roman" w:cs="Times New Roman"/>
          <w:b/>
          <w:bCs/>
          <w:sz w:val="24"/>
          <w:szCs w:val="24"/>
        </w:rPr>
      </w:pPr>
      <w:bookmarkStart w:id="19" w:name="_5yb6bavpun79" w:colFirst="0" w:colLast="0"/>
      <w:bookmarkEnd w:id="19"/>
      <w:r w:rsidRPr="007B703E">
        <w:rPr>
          <w:rFonts w:ascii="Times New Roman" w:eastAsia="Times New Roman" w:hAnsi="Times New Roman" w:cs="Times New Roman"/>
          <w:b/>
          <w:bCs/>
          <w:sz w:val="24"/>
          <w:szCs w:val="24"/>
        </w:rPr>
        <w:t>Bioinformatic Validation of the Mul</w:t>
      </w:r>
      <w:r w:rsidRPr="007B703E">
        <w:rPr>
          <w:rFonts w:ascii="Times New Roman" w:eastAsia="Times New Roman" w:hAnsi="Times New Roman" w:cs="Times New Roman"/>
          <w:b/>
          <w:bCs/>
          <w:sz w:val="24"/>
          <w:szCs w:val="24"/>
        </w:rPr>
        <w:t>tiepitope Vaccine Construct</w:t>
      </w:r>
    </w:p>
    <w:p w14:paraId="0EB12C23" w14:textId="77777777" w:rsidR="003A3F0C" w:rsidRPr="00BC4686" w:rsidRDefault="001C164D">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 xml:space="preserve">The final 284-amino-acid multiepitope construct was subjected to an extensive </w:t>
      </w:r>
      <w:r w:rsidRPr="00BC4686">
        <w:rPr>
          <w:rFonts w:ascii="Times New Roman" w:eastAsia="Times New Roman" w:hAnsi="Times New Roman" w:cs="Times New Roman"/>
          <w:i/>
          <w:iCs/>
          <w:sz w:val="24"/>
          <w:szCs w:val="24"/>
        </w:rPr>
        <w:t>in silico</w:t>
      </w:r>
      <w:r w:rsidRPr="00BC4686">
        <w:rPr>
          <w:rFonts w:ascii="Times New Roman" w:eastAsia="Times New Roman" w:hAnsi="Times New Roman" w:cs="Times New Roman"/>
          <w:sz w:val="24"/>
          <w:szCs w:val="24"/>
        </w:rPr>
        <w:t xml:space="preserve"> validation pipeline to assess antigenicity, safety, structural stability, and predicted immune responsiveness. Antigenicity assessment using</w:t>
      </w:r>
      <w:r w:rsidRPr="00BC4686">
        <w:rPr>
          <w:rFonts w:ascii="Times New Roman" w:eastAsia="Times New Roman" w:hAnsi="Times New Roman" w:cs="Times New Roman"/>
          <w:sz w:val="24"/>
          <w:szCs w:val="24"/>
        </w:rPr>
        <w:t xml:space="preserve"> </w:t>
      </w:r>
      <w:proofErr w:type="spellStart"/>
      <w:r w:rsidRPr="00BC4686">
        <w:rPr>
          <w:rFonts w:ascii="Times New Roman" w:eastAsia="Times New Roman" w:hAnsi="Times New Roman" w:cs="Times New Roman"/>
          <w:sz w:val="24"/>
          <w:szCs w:val="24"/>
        </w:rPr>
        <w:t>VaxiJen</w:t>
      </w:r>
      <w:proofErr w:type="spellEnd"/>
      <w:r w:rsidRPr="00BC4686">
        <w:rPr>
          <w:rFonts w:ascii="Times New Roman" w:eastAsia="Times New Roman" w:hAnsi="Times New Roman" w:cs="Times New Roman"/>
          <w:sz w:val="24"/>
          <w:szCs w:val="24"/>
        </w:rPr>
        <w:t xml:space="preserve"> (threshold 0.4) classified the construct as highly antigenic, confirming its capacity to elicit immune recognition. Allergenicity screening through </w:t>
      </w:r>
      <w:proofErr w:type="spellStart"/>
      <w:r w:rsidRPr="00BC4686">
        <w:rPr>
          <w:rFonts w:ascii="Times New Roman" w:eastAsia="Times New Roman" w:hAnsi="Times New Roman" w:cs="Times New Roman"/>
          <w:sz w:val="24"/>
          <w:szCs w:val="24"/>
        </w:rPr>
        <w:t>AllerTOP</w:t>
      </w:r>
      <w:proofErr w:type="spellEnd"/>
      <w:r w:rsidRPr="00BC4686">
        <w:rPr>
          <w:rFonts w:ascii="Times New Roman" w:eastAsia="Times New Roman" w:hAnsi="Times New Roman" w:cs="Times New Roman"/>
          <w:sz w:val="24"/>
          <w:szCs w:val="24"/>
        </w:rPr>
        <w:t xml:space="preserve"> and </w:t>
      </w:r>
      <w:proofErr w:type="spellStart"/>
      <w:r w:rsidRPr="00BC4686">
        <w:rPr>
          <w:rFonts w:ascii="Times New Roman" w:eastAsia="Times New Roman" w:hAnsi="Times New Roman" w:cs="Times New Roman"/>
          <w:sz w:val="24"/>
          <w:szCs w:val="24"/>
        </w:rPr>
        <w:t>AllergenFP</w:t>
      </w:r>
      <w:proofErr w:type="spellEnd"/>
      <w:r w:rsidRPr="00BC4686">
        <w:rPr>
          <w:rFonts w:ascii="Times New Roman" w:eastAsia="Times New Roman" w:hAnsi="Times New Roman" w:cs="Times New Roman"/>
          <w:sz w:val="24"/>
          <w:szCs w:val="24"/>
        </w:rPr>
        <w:t xml:space="preserve"> identified the construct as non-allergenic, and </w:t>
      </w:r>
      <w:proofErr w:type="spellStart"/>
      <w:r w:rsidRPr="00BC4686">
        <w:rPr>
          <w:rFonts w:ascii="Times New Roman" w:eastAsia="Times New Roman" w:hAnsi="Times New Roman" w:cs="Times New Roman"/>
          <w:sz w:val="24"/>
          <w:szCs w:val="24"/>
        </w:rPr>
        <w:t>ToxinPred</w:t>
      </w:r>
      <w:proofErr w:type="spellEnd"/>
      <w:r w:rsidRPr="00BC4686">
        <w:rPr>
          <w:rFonts w:ascii="Times New Roman" w:eastAsia="Times New Roman" w:hAnsi="Times New Roman" w:cs="Times New Roman"/>
          <w:sz w:val="24"/>
          <w:szCs w:val="24"/>
        </w:rPr>
        <w:t xml:space="preserve"> analysis confirme</w:t>
      </w:r>
      <w:r w:rsidRPr="00BC4686">
        <w:rPr>
          <w:rFonts w:ascii="Times New Roman" w:eastAsia="Times New Roman" w:hAnsi="Times New Roman" w:cs="Times New Roman"/>
          <w:sz w:val="24"/>
          <w:szCs w:val="24"/>
        </w:rPr>
        <w:t xml:space="preserve">d a non-toxic profile, collectively supporting its computational safety. Physicochemical analysis showed a </w:t>
      </w:r>
      <w:proofErr w:type="spellStart"/>
      <w:r w:rsidRPr="00BC4686">
        <w:rPr>
          <w:rFonts w:ascii="Times New Roman" w:eastAsia="Times New Roman" w:hAnsi="Times New Roman" w:cs="Times New Roman"/>
          <w:sz w:val="24"/>
          <w:szCs w:val="24"/>
        </w:rPr>
        <w:t>favourable</w:t>
      </w:r>
      <w:proofErr w:type="spellEnd"/>
      <w:r w:rsidRPr="00BC4686">
        <w:rPr>
          <w:rFonts w:ascii="Times New Roman" w:eastAsia="Times New Roman" w:hAnsi="Times New Roman" w:cs="Times New Roman"/>
          <w:sz w:val="24"/>
          <w:szCs w:val="24"/>
        </w:rPr>
        <w:t xml:space="preserve"> instability index, a high aliphatic index indicating predicted thermostability, and a negative GRAVY score reflecting hydrophilicity and s</w:t>
      </w:r>
      <w:r w:rsidRPr="00BC4686">
        <w:rPr>
          <w:rFonts w:ascii="Times New Roman" w:eastAsia="Times New Roman" w:hAnsi="Times New Roman" w:cs="Times New Roman"/>
          <w:sz w:val="24"/>
          <w:szCs w:val="24"/>
        </w:rPr>
        <w:t>uitability for soluble expression.</w:t>
      </w:r>
    </w:p>
    <w:p w14:paraId="3DF6EB1E" w14:textId="3ED86EC5"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Secondary-structure prediction revealed a balanced distribution of α-helices and coils, with coil-rich regions aligning with B-cell epitope clusters and helix-rich regions corresponding to T-cell epitope domains, consiste</w:t>
      </w:r>
      <w:r w:rsidRPr="007B703E">
        <w:rPr>
          <w:rFonts w:ascii="Times New Roman" w:eastAsia="Times New Roman" w:hAnsi="Times New Roman" w:cs="Times New Roman"/>
          <w:sz w:val="24"/>
          <w:szCs w:val="24"/>
        </w:rPr>
        <w:t>nt with their predicted accessibility and immune relevance. Tertiary structure</w:t>
      </w:r>
      <w:r w:rsidR="00FD08BF">
        <w:rPr>
          <w:rFonts w:ascii="Times New Roman" w:eastAsia="Times New Roman" w:hAnsi="Times New Roman" w:cs="Times New Roman"/>
          <w:sz w:val="24"/>
          <w:szCs w:val="24"/>
        </w:rPr>
        <w:t xml:space="preserve"> (Figure 2)</w:t>
      </w:r>
      <w:r w:rsidRPr="007B703E">
        <w:rPr>
          <w:rFonts w:ascii="Times New Roman" w:eastAsia="Times New Roman" w:hAnsi="Times New Roman" w:cs="Times New Roman"/>
          <w:sz w:val="24"/>
          <w:szCs w:val="24"/>
        </w:rPr>
        <w:t xml:space="preserve"> modelling followed by refinement improved stereochemical quality, as </w:t>
      </w:r>
      <w:r w:rsidRPr="007B703E">
        <w:rPr>
          <w:rFonts w:ascii="Times New Roman" w:eastAsia="Times New Roman" w:hAnsi="Times New Roman" w:cs="Times New Roman"/>
          <w:sz w:val="24"/>
          <w:szCs w:val="24"/>
        </w:rPr>
        <w:lastRenderedPageBreak/>
        <w:t>indicated by enhanced Ramachandran statistics, reduced steric clashes, and stable overall geometr</w:t>
      </w:r>
      <w:r w:rsidRPr="007B703E">
        <w:rPr>
          <w:rFonts w:ascii="Times New Roman" w:eastAsia="Times New Roman" w:hAnsi="Times New Roman" w:cs="Times New Roman"/>
          <w:sz w:val="24"/>
          <w:szCs w:val="24"/>
        </w:rPr>
        <w:t xml:space="preserve">y. </w:t>
      </w:r>
      <w:proofErr w:type="spellStart"/>
      <w:r w:rsidRPr="007B703E">
        <w:rPr>
          <w:rFonts w:ascii="Times New Roman" w:eastAsia="Times New Roman" w:hAnsi="Times New Roman" w:cs="Times New Roman"/>
          <w:sz w:val="24"/>
          <w:szCs w:val="24"/>
        </w:rPr>
        <w:t>ProSA</w:t>
      </w:r>
      <w:proofErr w:type="spellEnd"/>
      <w:r w:rsidRPr="007B703E">
        <w:rPr>
          <w:rFonts w:ascii="Times New Roman" w:eastAsia="Times New Roman" w:hAnsi="Times New Roman" w:cs="Times New Roman"/>
          <w:sz w:val="24"/>
          <w:szCs w:val="24"/>
        </w:rPr>
        <w:t>-web and ERRAT validation further confirmed acceptable Z-scores and high-quality structural integrity.</w:t>
      </w:r>
    </w:p>
    <w:p w14:paraId="44A6C4C6" w14:textId="77777777" w:rsidR="003A3F0C" w:rsidRPr="00BC4686" w:rsidRDefault="001C164D" w:rsidP="00BC4686">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Functional validation was performed computationally using receptor docking. All selected CTL epitopes demonstrated strong binding affinity with t</w:t>
      </w:r>
      <w:r w:rsidRPr="00BC4686">
        <w:rPr>
          <w:rFonts w:ascii="Times New Roman" w:eastAsia="Times New Roman" w:hAnsi="Times New Roman" w:cs="Times New Roman"/>
          <w:sz w:val="24"/>
          <w:szCs w:val="24"/>
        </w:rPr>
        <w:t>heir respective HLA class I alleles, including LLLDPPTNV–HLA-A*02:01 (–8.9 kcal/mol), FLYDRIAST–HLA-A*02:03 (–8.7 kcal/mol), HAQGIALHLW–HLA-B*57:01 (–9.0 kcal/mol), DPVPNTKTI–HLA-B*51:01 (–8.4 kcal/mol), and LPHTSGNTAY–HLA-B*35:01 (–7.8 kcal/mol). Similarl</w:t>
      </w:r>
      <w:r w:rsidRPr="00BC4686">
        <w:rPr>
          <w:rFonts w:ascii="Times New Roman" w:eastAsia="Times New Roman" w:hAnsi="Times New Roman" w:cs="Times New Roman"/>
          <w:sz w:val="24"/>
          <w:szCs w:val="24"/>
        </w:rPr>
        <w:t xml:space="preserve">y, HTL epitopes showed </w:t>
      </w:r>
      <w:proofErr w:type="spellStart"/>
      <w:r w:rsidRPr="00BC4686">
        <w:rPr>
          <w:rFonts w:ascii="Times New Roman" w:eastAsia="Times New Roman" w:hAnsi="Times New Roman" w:cs="Times New Roman"/>
          <w:sz w:val="24"/>
          <w:szCs w:val="24"/>
        </w:rPr>
        <w:t>favourable</w:t>
      </w:r>
      <w:proofErr w:type="spellEnd"/>
      <w:r w:rsidRPr="00BC4686">
        <w:rPr>
          <w:rFonts w:ascii="Times New Roman" w:eastAsia="Times New Roman" w:hAnsi="Times New Roman" w:cs="Times New Roman"/>
          <w:sz w:val="24"/>
          <w:szCs w:val="24"/>
        </w:rPr>
        <w:t xml:space="preserve"> interactions with MHC II alleles, including SGKSLLLDPPTNVRD–DRB3*01:01 (–6.7 kcal/mol), ATRLNTTNPNSDDED–DQ7 (–7.0 kcal/mol), EERTFSLINRHAIDF–DRB1*13:02 (–7.5 kcal/mol), and TTMYRGKVFTEGNIA–DPB1*02:01 (–6.6 kcal/mol). B-cel</w:t>
      </w:r>
      <w:r w:rsidRPr="00BC4686">
        <w:rPr>
          <w:rFonts w:ascii="Times New Roman" w:eastAsia="Times New Roman" w:hAnsi="Times New Roman" w:cs="Times New Roman"/>
          <w:sz w:val="24"/>
          <w:szCs w:val="24"/>
        </w:rPr>
        <w:t>l epitopes demonstrated predicted antibody accessibility and high-affinity docking with known neutralizing antibodies, including ASNDQPQNVDSV and TGVPPKNVEYTEGEEAK (–7.3 kcal/mol with KZ52), KYWTSSNGTQTNDTG (–7.5 kcal/mol with MR72), and LPHTSGNTAY (–7.8 k</w:t>
      </w:r>
      <w:r w:rsidRPr="00BC4686">
        <w:rPr>
          <w:rFonts w:ascii="Times New Roman" w:eastAsia="Times New Roman" w:hAnsi="Times New Roman" w:cs="Times New Roman"/>
          <w:sz w:val="24"/>
          <w:szCs w:val="24"/>
        </w:rPr>
        <w:t>cal/mol with MR78). These results validate the computationally selected epitopes and support their roles as immunodominant regions.</w:t>
      </w:r>
    </w:p>
    <w:p w14:paraId="4CD7C8D4" w14:textId="77777777" w:rsidR="003A3F0C" w:rsidRPr="00BC4686" w:rsidRDefault="001C164D" w:rsidP="00BC4686">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Normal mode analysis demonstrated low deformability and a high eigenvalue, indicating a stable and compact vaccine structure</w:t>
      </w:r>
      <w:r w:rsidRPr="00BC4686">
        <w:rPr>
          <w:rFonts w:ascii="Times New Roman" w:eastAsia="Times New Roman" w:hAnsi="Times New Roman" w:cs="Times New Roman"/>
          <w:sz w:val="24"/>
          <w:szCs w:val="24"/>
        </w:rPr>
        <w:t xml:space="preserve">. </w:t>
      </w:r>
      <w:r w:rsidRPr="00BC4686">
        <w:rPr>
          <w:rFonts w:ascii="Times New Roman" w:eastAsia="Times New Roman" w:hAnsi="Times New Roman" w:cs="Times New Roman"/>
          <w:i/>
          <w:iCs/>
          <w:sz w:val="24"/>
          <w:szCs w:val="24"/>
        </w:rPr>
        <w:t>In silico</w:t>
      </w:r>
      <w:r w:rsidRPr="00BC4686">
        <w:rPr>
          <w:rFonts w:ascii="Times New Roman" w:eastAsia="Times New Roman" w:hAnsi="Times New Roman" w:cs="Times New Roman"/>
          <w:sz w:val="24"/>
          <w:szCs w:val="24"/>
        </w:rPr>
        <w:t xml:space="preserve"> immune simulation predicted strong humoral and cellular responses, including elevated IgM/IgG production, increased memory cell formation, and robust IFN-γ and IL-2 signals, consistent with effective activation of both B- and T-cell pathways.</w:t>
      </w:r>
    </w:p>
    <w:p w14:paraId="0D40523F" w14:textId="77777777" w:rsidR="003A3F0C" w:rsidRPr="00BC4686" w:rsidRDefault="001C164D" w:rsidP="00BC4686">
      <w:pPr>
        <w:spacing w:before="240" w:after="240"/>
        <w:jc w:val="both"/>
        <w:rPr>
          <w:rFonts w:ascii="Times New Roman" w:eastAsia="Times New Roman" w:hAnsi="Times New Roman" w:cs="Times New Roman"/>
          <w:sz w:val="24"/>
          <w:szCs w:val="24"/>
        </w:rPr>
      </w:pPr>
      <w:r w:rsidRPr="00BC4686">
        <w:rPr>
          <w:rFonts w:ascii="Times New Roman" w:eastAsia="Times New Roman" w:hAnsi="Times New Roman" w:cs="Times New Roman"/>
          <w:sz w:val="24"/>
          <w:szCs w:val="24"/>
        </w:rPr>
        <w:t>C</w:t>
      </w:r>
      <w:r w:rsidRPr="00BC4686">
        <w:rPr>
          <w:rFonts w:ascii="Times New Roman" w:eastAsia="Times New Roman" w:hAnsi="Times New Roman" w:cs="Times New Roman"/>
          <w:sz w:val="24"/>
          <w:szCs w:val="24"/>
        </w:rPr>
        <w:t>ollectively, these bioinformatic evaluations demonstrate that the designed multiepitope construct is predicted to be antigenic, non-allergenic, non-toxic, structurally stable, immunologically potent, and capable of strong interaction with immune receptors,</w:t>
      </w:r>
      <w:r w:rsidRPr="00BC4686">
        <w:rPr>
          <w:rFonts w:ascii="Times New Roman" w:eastAsia="Times New Roman" w:hAnsi="Times New Roman" w:cs="Times New Roman"/>
          <w:sz w:val="24"/>
          <w:szCs w:val="24"/>
        </w:rPr>
        <w:t xml:space="preserve"> supporting its suitability as a computationally validated vaccine candidate for future experimental implementation.</w:t>
      </w:r>
    </w:p>
    <w:p w14:paraId="660C60CB" w14:textId="77777777" w:rsidR="007B703E" w:rsidRDefault="001C164D" w:rsidP="007B703E">
      <w:pPr>
        <w:keepNext/>
        <w:jc w:val="both"/>
      </w:pPr>
      <w:r w:rsidRPr="007B703E">
        <w:rPr>
          <w:rFonts w:ascii="Times New Roman" w:eastAsia="Times New Roman" w:hAnsi="Times New Roman" w:cs="Times New Roman"/>
          <w:noProof/>
          <w:sz w:val="24"/>
          <w:szCs w:val="24"/>
        </w:rPr>
        <w:lastRenderedPageBreak/>
        <w:drawing>
          <wp:inline distT="114300" distB="114300" distL="114300" distR="114300" wp14:anchorId="17F05DEB" wp14:editId="7B4FAF93">
            <wp:extent cx="5053013" cy="423513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53013" cy="4235137"/>
                    </a:xfrm>
                    <a:prstGeom prst="rect">
                      <a:avLst/>
                    </a:prstGeom>
                    <a:ln/>
                  </pic:spPr>
                </pic:pic>
              </a:graphicData>
            </a:graphic>
          </wp:inline>
        </w:drawing>
      </w:r>
    </w:p>
    <w:p w14:paraId="5A828BF8" w14:textId="77777777" w:rsidR="007B703E" w:rsidRPr="007B703E" w:rsidRDefault="007B703E" w:rsidP="007B703E">
      <w:pPr>
        <w:pStyle w:val="Caption"/>
        <w:jc w:val="both"/>
        <w:rPr>
          <w:b/>
          <w:bCs/>
          <w:lang w:val="en-IN"/>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7B703E">
        <w:rPr>
          <w:b/>
          <w:bCs/>
          <w:lang w:val="en-IN"/>
        </w:rPr>
        <w:t>Predicted 3D tertiary structure of the designed multiepitope vaccine construct.</w:t>
      </w:r>
    </w:p>
    <w:p w14:paraId="5D40852E" w14:textId="77777777" w:rsidR="007B703E" w:rsidRPr="007B703E" w:rsidRDefault="007B703E" w:rsidP="007B703E">
      <w:pPr>
        <w:pStyle w:val="Caption"/>
        <w:jc w:val="both"/>
        <w:rPr>
          <w:lang w:val="en-IN"/>
        </w:rPr>
      </w:pPr>
      <w:r w:rsidRPr="007B703E">
        <w:rPr>
          <w:lang w:val="en-IN"/>
        </w:rPr>
        <w:t>The three-dimensional structure of the final 284-amino-acid multiepitope vaccine construct generated by homology modelling using the SWISS-MODEL server. The model displays a compact, well-folded architecture consisting of multiple β-strands and α-helices connected by flexible loop regions. Coil-rich segments correspond to surface-exposed B-cell epitopes, while structured helical elements reflect the adjuvant and T-cell epitope blocks. The colour gradient (blue → red) represents the N- to C-terminal orientation of the protein. Overall, the model demonstrates stable folding and accessible antigenic surfaces, supporting the construct’s suitability for immune recognition.</w:t>
      </w:r>
    </w:p>
    <w:p w14:paraId="779FFD92" w14:textId="0F42189F" w:rsidR="003A3F0C" w:rsidRPr="007B703E" w:rsidRDefault="003A3F0C" w:rsidP="007B703E">
      <w:pPr>
        <w:pStyle w:val="Caption"/>
        <w:jc w:val="both"/>
        <w:rPr>
          <w:rFonts w:ascii="Times New Roman" w:eastAsia="Times New Roman" w:hAnsi="Times New Roman" w:cs="Times New Roman"/>
          <w:sz w:val="24"/>
          <w:szCs w:val="24"/>
        </w:rPr>
      </w:pPr>
    </w:p>
    <w:p w14:paraId="4FCFBD34" w14:textId="77777777" w:rsidR="003A3F0C" w:rsidRPr="00A03A73" w:rsidRDefault="001C164D" w:rsidP="00A03A73">
      <w:pPr>
        <w:pStyle w:val="ListParagraph"/>
        <w:numPr>
          <w:ilvl w:val="0"/>
          <w:numId w:val="5"/>
        </w:numPr>
        <w:jc w:val="both"/>
        <w:rPr>
          <w:rFonts w:ascii="Times New Roman" w:eastAsia="Times New Roman" w:hAnsi="Times New Roman" w:cs="Times New Roman"/>
          <w:sz w:val="24"/>
          <w:szCs w:val="24"/>
        </w:rPr>
      </w:pPr>
      <w:r w:rsidRPr="00A03A73">
        <w:rPr>
          <w:rFonts w:ascii="Times New Roman" w:eastAsia="Times New Roman" w:hAnsi="Times New Roman" w:cs="Times New Roman"/>
          <w:sz w:val="24"/>
          <w:szCs w:val="24"/>
        </w:rPr>
        <w:t>Discussion</w:t>
      </w:r>
    </w:p>
    <w:p w14:paraId="6F9A54C5" w14:textId="77777777" w:rsidR="003A3F0C" w:rsidRPr="007B703E" w:rsidRDefault="003A3F0C">
      <w:pPr>
        <w:jc w:val="both"/>
        <w:rPr>
          <w:rFonts w:ascii="Times New Roman" w:eastAsia="Times New Roman" w:hAnsi="Times New Roman" w:cs="Times New Roman"/>
          <w:sz w:val="24"/>
          <w:szCs w:val="24"/>
        </w:rPr>
      </w:pPr>
    </w:p>
    <w:p w14:paraId="0EB3047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  In this study, a comprehensive reverse vaccinology and </w:t>
      </w:r>
      <w:proofErr w:type="spellStart"/>
      <w:r w:rsidRPr="007B703E">
        <w:rPr>
          <w:rFonts w:ascii="Times New Roman" w:eastAsia="Times New Roman" w:hAnsi="Times New Roman" w:cs="Times New Roman"/>
          <w:sz w:val="24"/>
          <w:szCs w:val="24"/>
        </w:rPr>
        <w:t>immunoinformatics</w:t>
      </w:r>
      <w:proofErr w:type="spellEnd"/>
      <w:r w:rsidRPr="007B703E">
        <w:rPr>
          <w:rFonts w:ascii="Times New Roman" w:eastAsia="Times New Roman" w:hAnsi="Times New Roman" w:cs="Times New Roman"/>
          <w:sz w:val="24"/>
          <w:szCs w:val="24"/>
        </w:rPr>
        <w:t xml:space="preserve"> pipeline was employed to </w:t>
      </w:r>
      <w:r w:rsidRPr="007B703E">
        <w:rPr>
          <w:rFonts w:ascii="Times New Roman" w:eastAsia="Times New Roman" w:hAnsi="Times New Roman" w:cs="Times New Roman"/>
          <w:sz w:val="24"/>
          <w:szCs w:val="24"/>
        </w:rPr>
        <w:t>identify immunogenic regions across the Marburg virus proteome and to design a multiepitope vaccine capable of eliciting coordinated humoral and cellular immunity. Predictions from multiple tools—including MHC class I and II binding algorithms for T-cell e</w:t>
      </w:r>
      <w:r w:rsidRPr="007B703E">
        <w:rPr>
          <w:rFonts w:ascii="Times New Roman" w:eastAsia="Times New Roman" w:hAnsi="Times New Roman" w:cs="Times New Roman"/>
          <w:sz w:val="24"/>
          <w:szCs w:val="24"/>
        </w:rPr>
        <w:t xml:space="preserve">pitopes and </w:t>
      </w:r>
      <w:proofErr w:type="spellStart"/>
      <w:r w:rsidRPr="007B703E">
        <w:rPr>
          <w:rFonts w:ascii="Times New Roman" w:eastAsia="Times New Roman" w:hAnsi="Times New Roman" w:cs="Times New Roman"/>
          <w:sz w:val="24"/>
          <w:szCs w:val="24"/>
        </w:rPr>
        <w:t>Bepipred</w:t>
      </w:r>
      <w:proofErr w:type="spellEnd"/>
      <w:r w:rsidRPr="007B703E">
        <w:rPr>
          <w:rFonts w:ascii="Times New Roman" w:eastAsia="Times New Roman" w:hAnsi="Times New Roman" w:cs="Times New Roman"/>
          <w:sz w:val="24"/>
          <w:szCs w:val="24"/>
        </w:rPr>
        <w:t xml:space="preserve"> for B-cell epitopes—were integrated to increase confidence in the identified antigenic sites [14, 16, 23]. Concordance among tools highlighted epitopes sharing </w:t>
      </w:r>
      <w:proofErr w:type="spellStart"/>
      <w:r w:rsidRPr="007B703E">
        <w:rPr>
          <w:rFonts w:ascii="Times New Roman" w:eastAsia="Times New Roman" w:hAnsi="Times New Roman" w:cs="Times New Roman"/>
          <w:sz w:val="24"/>
          <w:szCs w:val="24"/>
        </w:rPr>
        <w:t>favourable</w:t>
      </w:r>
      <w:proofErr w:type="spellEnd"/>
      <w:r w:rsidRPr="007B703E">
        <w:rPr>
          <w:rFonts w:ascii="Times New Roman" w:eastAsia="Times New Roman" w:hAnsi="Times New Roman" w:cs="Times New Roman"/>
          <w:sz w:val="24"/>
          <w:szCs w:val="24"/>
        </w:rPr>
        <w:t xml:space="preserve"> biophysical properties such as hydrophilicity, flexibility, and </w:t>
      </w:r>
      <w:r w:rsidRPr="007B703E">
        <w:rPr>
          <w:rFonts w:ascii="Times New Roman" w:eastAsia="Times New Roman" w:hAnsi="Times New Roman" w:cs="Times New Roman"/>
          <w:sz w:val="24"/>
          <w:szCs w:val="24"/>
        </w:rPr>
        <w:t>surface exposure, features known to enhance immune visibility and recognition during natural infection.</w:t>
      </w:r>
    </w:p>
    <w:p w14:paraId="04BE856D"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lastRenderedPageBreak/>
        <w:t>Across the proteome, clear differences emerged in epitope distribution. The envelope glycoprotein (GP) consistently displayed the highest density of bot</w:t>
      </w:r>
      <w:r w:rsidRPr="007B703E">
        <w:rPr>
          <w:rFonts w:ascii="Times New Roman" w:eastAsia="Times New Roman" w:hAnsi="Times New Roman" w:cs="Times New Roman"/>
          <w:sz w:val="24"/>
          <w:szCs w:val="24"/>
        </w:rPr>
        <w:t xml:space="preserve">h B-cell and T-cell epitopes, reflecting its surface accessibility and its central role in receptor binding and viral entry [12, 17, 20]. These attributes make GP an especially strong candidate for </w:t>
      </w:r>
      <w:proofErr w:type="spellStart"/>
      <w:r w:rsidRPr="007B703E">
        <w:rPr>
          <w:rFonts w:ascii="Times New Roman" w:eastAsia="Times New Roman" w:hAnsi="Times New Roman" w:cs="Times New Roman"/>
          <w:sz w:val="24"/>
          <w:szCs w:val="24"/>
        </w:rPr>
        <w:t>neutralising</w:t>
      </w:r>
      <w:proofErr w:type="spellEnd"/>
      <w:r w:rsidRPr="007B703E">
        <w:rPr>
          <w:rFonts w:ascii="Times New Roman" w:eastAsia="Times New Roman" w:hAnsi="Times New Roman" w:cs="Times New Roman"/>
          <w:sz w:val="24"/>
          <w:szCs w:val="24"/>
        </w:rPr>
        <w:t xml:space="preserve"> antibody targeting. In contrast, internal pro</w:t>
      </w:r>
      <w:r w:rsidRPr="007B703E">
        <w:rPr>
          <w:rFonts w:ascii="Times New Roman" w:eastAsia="Times New Roman" w:hAnsi="Times New Roman" w:cs="Times New Roman"/>
          <w:sz w:val="24"/>
          <w:szCs w:val="24"/>
        </w:rPr>
        <w:t>teins such as the nucleoprotein (NP) and the RNA-dependent RNA polymerase (L protein) contained numerous predicted epitopes but are less accessible to antibodies. Their immunological relevance instead lies in their ability to stimulate robust CD8⁺ and CD4⁺</w:t>
      </w:r>
      <w:r w:rsidRPr="007B703E">
        <w:rPr>
          <w:rFonts w:ascii="Times New Roman" w:eastAsia="Times New Roman" w:hAnsi="Times New Roman" w:cs="Times New Roman"/>
          <w:sz w:val="24"/>
          <w:szCs w:val="24"/>
        </w:rPr>
        <w:t xml:space="preserve"> T-cell responses, and their high sequence conservation makes them attractive components for cross-strain or cross-species filovirus vaccine design [18, 22]. Smaller proteins, including VP24 and VP30, contributed fewer epitopes overall but </w:t>
      </w:r>
      <w:proofErr w:type="spellStart"/>
      <w:r w:rsidRPr="007B703E">
        <w:rPr>
          <w:rFonts w:ascii="Times New Roman" w:eastAsia="Times New Roman" w:hAnsi="Times New Roman" w:cs="Times New Roman"/>
          <w:sz w:val="24"/>
          <w:szCs w:val="24"/>
        </w:rPr>
        <w:t>harboured</w:t>
      </w:r>
      <w:proofErr w:type="spellEnd"/>
      <w:r w:rsidRPr="007B703E">
        <w:rPr>
          <w:rFonts w:ascii="Times New Roman" w:eastAsia="Times New Roman" w:hAnsi="Times New Roman" w:cs="Times New Roman"/>
          <w:sz w:val="24"/>
          <w:szCs w:val="24"/>
        </w:rPr>
        <w:t xml:space="preserve"> discre</w:t>
      </w:r>
      <w:r w:rsidRPr="007B703E">
        <w:rPr>
          <w:rFonts w:ascii="Times New Roman" w:eastAsia="Times New Roman" w:hAnsi="Times New Roman" w:cs="Times New Roman"/>
          <w:sz w:val="24"/>
          <w:szCs w:val="24"/>
        </w:rPr>
        <w:t>te immunogenic hotspots that may play supporting roles in T-cell activation [2, 13].</w:t>
      </w:r>
    </w:p>
    <w:p w14:paraId="1C114B51"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The functional implications of this epitope landscape were evident in the predicted immune responses. GP epitopes, enriched in flexible, hydrophilic regions, aligned with </w:t>
      </w:r>
      <w:r w:rsidRPr="007B703E">
        <w:rPr>
          <w:rFonts w:ascii="Times New Roman" w:eastAsia="Times New Roman" w:hAnsi="Times New Roman" w:cs="Times New Roman"/>
          <w:sz w:val="24"/>
          <w:szCs w:val="24"/>
        </w:rPr>
        <w:t xml:space="preserve">known principles of antibody accessibility [17], supporting their candidacy for </w:t>
      </w:r>
      <w:proofErr w:type="spellStart"/>
      <w:r w:rsidRPr="007B703E">
        <w:rPr>
          <w:rFonts w:ascii="Times New Roman" w:eastAsia="Times New Roman" w:hAnsi="Times New Roman" w:cs="Times New Roman"/>
          <w:sz w:val="24"/>
          <w:szCs w:val="24"/>
        </w:rPr>
        <w:t>neutralisation</w:t>
      </w:r>
      <w:proofErr w:type="spellEnd"/>
      <w:r w:rsidRPr="007B703E">
        <w:rPr>
          <w:rFonts w:ascii="Times New Roman" w:eastAsia="Times New Roman" w:hAnsi="Times New Roman" w:cs="Times New Roman"/>
          <w:sz w:val="24"/>
          <w:szCs w:val="24"/>
        </w:rPr>
        <w:t>. Conversely, the stability and low mutation rates of NP and L proteins make them suitable for generating long-lasting T-cell immunity and for diagnostic applicat</w:t>
      </w:r>
      <w:r w:rsidRPr="007B703E">
        <w:rPr>
          <w:rFonts w:ascii="Times New Roman" w:eastAsia="Times New Roman" w:hAnsi="Times New Roman" w:cs="Times New Roman"/>
          <w:sz w:val="24"/>
          <w:szCs w:val="24"/>
        </w:rPr>
        <w:t>ions. Notably, several regions within VP24 and L appeared capable of activating both CD8⁺ cytotoxic and CD4⁺ helper T cells, suggesting potential to induce both acute viral clearance and durable memory formation [18, 22].</w:t>
      </w:r>
    </w:p>
    <w:p w14:paraId="5E83160D"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MHC-I epitopes were primarily conc</w:t>
      </w:r>
      <w:r w:rsidRPr="007B703E">
        <w:rPr>
          <w:rFonts w:ascii="Times New Roman" w:eastAsia="Times New Roman" w:hAnsi="Times New Roman" w:cs="Times New Roman"/>
          <w:sz w:val="24"/>
          <w:szCs w:val="24"/>
        </w:rPr>
        <w:t xml:space="preserve">entrated in surface-exposed proteins like GP, consistent with the activation of cytotoxic T cells that mediate clearance of infected cells, whereas MHC-II epitope abundance was higher in NP, aligning with its role in helper T-cell priming. The presence of </w:t>
      </w:r>
      <w:r w:rsidRPr="007B703E">
        <w:rPr>
          <w:rFonts w:ascii="Times New Roman" w:eastAsia="Times New Roman" w:hAnsi="Times New Roman" w:cs="Times New Roman"/>
          <w:sz w:val="24"/>
          <w:szCs w:val="24"/>
        </w:rPr>
        <w:t>multiple epitopes binding a wide range of HLA alleles indicates strong global population coverage, a key requirement for emerging high-consequence pathogens.</w:t>
      </w:r>
    </w:p>
    <w:p w14:paraId="65F1D05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Structural analyses and molecular docking provided further validation. High-affinity interactions </w:t>
      </w:r>
      <w:r w:rsidRPr="007B703E">
        <w:rPr>
          <w:rFonts w:ascii="Times New Roman" w:eastAsia="Times New Roman" w:hAnsi="Times New Roman" w:cs="Times New Roman"/>
          <w:sz w:val="24"/>
          <w:szCs w:val="24"/>
        </w:rPr>
        <w:t>such as LLLDPPTNV with HLA-A02:01 and HAQGIALHLW with HLA-B57:01 confirmed that selected CD8⁺ epitopes fit canonical HLA anchor motifs, while CD4⁺ epitopes formed extensive stabilizing interactions within the MHC-II groove. The allele promiscuity exhibited</w:t>
      </w:r>
      <w:r w:rsidRPr="007B703E">
        <w:rPr>
          <w:rFonts w:ascii="Times New Roman" w:eastAsia="Times New Roman" w:hAnsi="Times New Roman" w:cs="Times New Roman"/>
          <w:sz w:val="24"/>
          <w:szCs w:val="24"/>
        </w:rPr>
        <w:t xml:space="preserve"> by many epitopes strengthens confidence in their broad immunological relevance. Additionally, B-cell epitope docking with known filovirus </w:t>
      </w:r>
      <w:proofErr w:type="spellStart"/>
      <w:r w:rsidRPr="007B703E">
        <w:rPr>
          <w:rFonts w:ascii="Times New Roman" w:eastAsia="Times New Roman" w:hAnsi="Times New Roman" w:cs="Times New Roman"/>
          <w:sz w:val="24"/>
          <w:szCs w:val="24"/>
        </w:rPr>
        <w:t>neutralising</w:t>
      </w:r>
      <w:proofErr w:type="spellEnd"/>
      <w:r w:rsidRPr="007B703E">
        <w:rPr>
          <w:rFonts w:ascii="Times New Roman" w:eastAsia="Times New Roman" w:hAnsi="Times New Roman" w:cs="Times New Roman"/>
          <w:sz w:val="24"/>
          <w:szCs w:val="24"/>
        </w:rPr>
        <w:t xml:space="preserve"> antibodies yielded </w:t>
      </w:r>
      <w:proofErr w:type="spellStart"/>
      <w:r w:rsidRPr="007B703E">
        <w:rPr>
          <w:rFonts w:ascii="Times New Roman" w:eastAsia="Times New Roman" w:hAnsi="Times New Roman" w:cs="Times New Roman"/>
          <w:sz w:val="24"/>
          <w:szCs w:val="24"/>
        </w:rPr>
        <w:t>favourable</w:t>
      </w:r>
      <w:proofErr w:type="spellEnd"/>
      <w:r w:rsidRPr="007B703E">
        <w:rPr>
          <w:rFonts w:ascii="Times New Roman" w:eastAsia="Times New Roman" w:hAnsi="Times New Roman" w:cs="Times New Roman"/>
          <w:sz w:val="24"/>
          <w:szCs w:val="24"/>
        </w:rPr>
        <w:t xml:space="preserve"> interaction energies and biologically plausible orientations, suggesting t</w:t>
      </w:r>
      <w:r w:rsidRPr="007B703E">
        <w:rPr>
          <w:rFonts w:ascii="Times New Roman" w:eastAsia="Times New Roman" w:hAnsi="Times New Roman" w:cs="Times New Roman"/>
          <w:sz w:val="24"/>
          <w:szCs w:val="24"/>
        </w:rPr>
        <w:t>hat these epitopes may elicit effective humoral responses when presented in an appropriate conformational context.</w:t>
      </w:r>
    </w:p>
    <w:p w14:paraId="08D21E08"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These findings informed the design of a 284-amino-acid multiepitope vaccine incorporating an N-terminal hBD-3 adjuvant to enhance innate immu</w:t>
      </w:r>
      <w:r w:rsidRPr="007B703E">
        <w:rPr>
          <w:rFonts w:ascii="Times New Roman" w:eastAsia="Times New Roman" w:hAnsi="Times New Roman" w:cs="Times New Roman"/>
          <w:sz w:val="24"/>
          <w:szCs w:val="24"/>
        </w:rPr>
        <w:t xml:space="preserve">nity and a PADRE sequence to minimize HLA restrictions. CTL, HTL, and B-cell epitopes were arranged using </w:t>
      </w:r>
      <w:proofErr w:type="spellStart"/>
      <w:r w:rsidRPr="007B703E">
        <w:rPr>
          <w:rFonts w:ascii="Times New Roman" w:eastAsia="Times New Roman" w:hAnsi="Times New Roman" w:cs="Times New Roman"/>
          <w:sz w:val="24"/>
          <w:szCs w:val="24"/>
        </w:rPr>
        <w:t>optimised</w:t>
      </w:r>
      <w:proofErr w:type="spellEnd"/>
      <w:r w:rsidRPr="007B703E">
        <w:rPr>
          <w:rFonts w:ascii="Times New Roman" w:eastAsia="Times New Roman" w:hAnsi="Times New Roman" w:cs="Times New Roman"/>
          <w:sz w:val="24"/>
          <w:szCs w:val="24"/>
        </w:rPr>
        <w:t xml:space="preserve"> linkers to support efficient processing, proteasomal cleavage, and structural flexibility. Bioinformatic analyses demonstrated that the cons</w:t>
      </w:r>
      <w:r w:rsidRPr="007B703E">
        <w:rPr>
          <w:rFonts w:ascii="Times New Roman" w:eastAsia="Times New Roman" w:hAnsi="Times New Roman" w:cs="Times New Roman"/>
          <w:sz w:val="24"/>
          <w:szCs w:val="24"/>
        </w:rPr>
        <w:t xml:space="preserve">truct is predicted to be antigenic, non-allergenic, non-toxic, stable, hydrophilic, and amenable to soluble expression. Refinement of the 3D model produced </w:t>
      </w:r>
      <w:proofErr w:type="spellStart"/>
      <w:r w:rsidRPr="007B703E">
        <w:rPr>
          <w:rFonts w:ascii="Times New Roman" w:eastAsia="Times New Roman" w:hAnsi="Times New Roman" w:cs="Times New Roman"/>
          <w:sz w:val="24"/>
          <w:szCs w:val="24"/>
        </w:rPr>
        <w:lastRenderedPageBreak/>
        <w:t>favourable</w:t>
      </w:r>
      <w:proofErr w:type="spellEnd"/>
      <w:r w:rsidRPr="007B703E">
        <w:rPr>
          <w:rFonts w:ascii="Times New Roman" w:eastAsia="Times New Roman" w:hAnsi="Times New Roman" w:cs="Times New Roman"/>
          <w:sz w:val="24"/>
          <w:szCs w:val="24"/>
        </w:rPr>
        <w:t xml:space="preserve"> Ramachandran statistics and low deformability, and in silico immune simulations predicted</w:t>
      </w:r>
      <w:r w:rsidRPr="007B703E">
        <w:rPr>
          <w:rFonts w:ascii="Times New Roman" w:eastAsia="Times New Roman" w:hAnsi="Times New Roman" w:cs="Times New Roman"/>
          <w:sz w:val="24"/>
          <w:szCs w:val="24"/>
        </w:rPr>
        <w:t xml:space="preserve"> strong IgM/IgG responses, elevated IFN-γ secretion, and durable memory cell formation—features consistent with protective immunity against filoviruses.</w:t>
      </w:r>
    </w:p>
    <w:p w14:paraId="7FD6C18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The integration of these findings highlights GP as the dominant antigenic target due to its epitope den</w:t>
      </w:r>
      <w:r w:rsidRPr="007B703E">
        <w:rPr>
          <w:rFonts w:ascii="Times New Roman" w:eastAsia="Times New Roman" w:hAnsi="Times New Roman" w:cs="Times New Roman"/>
          <w:sz w:val="24"/>
          <w:szCs w:val="24"/>
        </w:rPr>
        <w:t xml:space="preserve">sity and surface exposure, while NP and L provide essential complementary T-cell targets that enhance breadth and durability of the immune response. This dual-target approach supports a balanced vaccine strategy capable of generating </w:t>
      </w:r>
      <w:proofErr w:type="spellStart"/>
      <w:r w:rsidRPr="007B703E">
        <w:rPr>
          <w:rFonts w:ascii="Times New Roman" w:eastAsia="Times New Roman" w:hAnsi="Times New Roman" w:cs="Times New Roman"/>
          <w:sz w:val="24"/>
          <w:szCs w:val="24"/>
        </w:rPr>
        <w:t>neutralising</w:t>
      </w:r>
      <w:proofErr w:type="spellEnd"/>
      <w:r w:rsidRPr="007B703E">
        <w:rPr>
          <w:rFonts w:ascii="Times New Roman" w:eastAsia="Times New Roman" w:hAnsi="Times New Roman" w:cs="Times New Roman"/>
          <w:sz w:val="24"/>
          <w:szCs w:val="24"/>
        </w:rPr>
        <w:t xml:space="preserve"> antibodie</w:t>
      </w:r>
      <w:r w:rsidRPr="007B703E">
        <w:rPr>
          <w:rFonts w:ascii="Times New Roman" w:eastAsia="Times New Roman" w:hAnsi="Times New Roman" w:cs="Times New Roman"/>
          <w:sz w:val="24"/>
          <w:szCs w:val="24"/>
        </w:rPr>
        <w:t>s while simultaneously restricting viral replication in infected cells. The identification of conserved epitopes additionally raises the prospect of cross-protective vaccines against divergent Marburg strains and even related filoviruses such as Ebola.</w:t>
      </w:r>
    </w:p>
    <w:p w14:paraId="6CCAD006"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Fin</w:t>
      </w:r>
      <w:r w:rsidRPr="007B703E">
        <w:rPr>
          <w:rFonts w:ascii="Times New Roman" w:eastAsia="Times New Roman" w:hAnsi="Times New Roman" w:cs="Times New Roman"/>
          <w:sz w:val="24"/>
          <w:szCs w:val="24"/>
        </w:rPr>
        <w:t xml:space="preserve">ally, the </w:t>
      </w:r>
      <w:proofErr w:type="spellStart"/>
      <w:r w:rsidRPr="007B703E">
        <w:rPr>
          <w:rFonts w:ascii="Times New Roman" w:eastAsia="Times New Roman" w:hAnsi="Times New Roman" w:cs="Times New Roman"/>
          <w:sz w:val="24"/>
          <w:szCs w:val="24"/>
        </w:rPr>
        <w:t>organisation</w:t>
      </w:r>
      <w:proofErr w:type="spellEnd"/>
      <w:r w:rsidRPr="007B703E">
        <w:rPr>
          <w:rFonts w:ascii="Times New Roman" w:eastAsia="Times New Roman" w:hAnsi="Times New Roman" w:cs="Times New Roman"/>
          <w:sz w:val="24"/>
          <w:szCs w:val="24"/>
        </w:rPr>
        <w:t xml:space="preserve"> and communication of epitope predictions using visual tools such as heatmaps, protein line maps, and bar charts proved crucial for discerning population coverage, immunodominant hotspots, and inter-tool concordance [22]. These repres</w:t>
      </w:r>
      <w:r w:rsidRPr="007B703E">
        <w:rPr>
          <w:rFonts w:ascii="Times New Roman" w:eastAsia="Times New Roman" w:hAnsi="Times New Roman" w:cs="Times New Roman"/>
          <w:sz w:val="24"/>
          <w:szCs w:val="24"/>
        </w:rPr>
        <w:t xml:space="preserve">entations strengthen confidence in the final </w:t>
      </w:r>
      <w:proofErr w:type="spellStart"/>
      <w:r w:rsidRPr="007B703E">
        <w:rPr>
          <w:rFonts w:ascii="Times New Roman" w:eastAsia="Times New Roman" w:hAnsi="Times New Roman" w:cs="Times New Roman"/>
          <w:sz w:val="24"/>
          <w:szCs w:val="24"/>
        </w:rPr>
        <w:t>prioritised</w:t>
      </w:r>
      <w:proofErr w:type="spellEnd"/>
      <w:r w:rsidRPr="007B703E">
        <w:rPr>
          <w:rFonts w:ascii="Times New Roman" w:eastAsia="Times New Roman" w:hAnsi="Times New Roman" w:cs="Times New Roman"/>
          <w:sz w:val="24"/>
          <w:szCs w:val="24"/>
        </w:rPr>
        <w:t xml:space="preserve"> epitope set and provide a clear rational basis for experimental evaluation.</w:t>
      </w:r>
    </w:p>
    <w:p w14:paraId="3B9B65C0"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Although the results are strictly computational, they provide a rigorous foundation for subsequent wet-lab studies. Factors</w:t>
      </w:r>
      <w:r w:rsidRPr="007B703E">
        <w:rPr>
          <w:rFonts w:ascii="Times New Roman" w:eastAsia="Times New Roman" w:hAnsi="Times New Roman" w:cs="Times New Roman"/>
          <w:sz w:val="24"/>
          <w:szCs w:val="24"/>
        </w:rPr>
        <w:t xml:space="preserve"> such as epitope processing efficiency, glycoprotein conformational masking, antigenic competition, and real-world immunogenicity remain to be validated experimentally. Nevertheless, this work demonstrates the power of computational vaccinology and establi</w:t>
      </w:r>
      <w:r w:rsidRPr="007B703E">
        <w:rPr>
          <w:rFonts w:ascii="Times New Roman" w:eastAsia="Times New Roman" w:hAnsi="Times New Roman" w:cs="Times New Roman"/>
          <w:sz w:val="24"/>
          <w:szCs w:val="24"/>
        </w:rPr>
        <w:t>shes a systematic framework for advancing vaccine and diagnostic development against Marburg virus.</w:t>
      </w:r>
    </w:p>
    <w:p w14:paraId="539B3C0F" w14:textId="77777777" w:rsidR="003A3F0C" w:rsidRPr="00A03A73" w:rsidRDefault="001C164D" w:rsidP="00A03A73">
      <w:pPr>
        <w:pStyle w:val="ListParagraph"/>
        <w:numPr>
          <w:ilvl w:val="0"/>
          <w:numId w:val="5"/>
        </w:numPr>
        <w:spacing w:before="240" w:after="240"/>
        <w:jc w:val="both"/>
        <w:rPr>
          <w:rFonts w:ascii="Times New Roman" w:eastAsia="Times New Roman" w:hAnsi="Times New Roman" w:cs="Times New Roman"/>
          <w:b/>
          <w:bCs/>
          <w:sz w:val="24"/>
          <w:szCs w:val="24"/>
        </w:rPr>
      </w:pPr>
      <w:r w:rsidRPr="00A03A73">
        <w:rPr>
          <w:rFonts w:ascii="Times New Roman" w:eastAsia="Times New Roman" w:hAnsi="Times New Roman" w:cs="Times New Roman"/>
          <w:b/>
          <w:bCs/>
          <w:sz w:val="24"/>
          <w:szCs w:val="24"/>
        </w:rPr>
        <w:t>Conclusion</w:t>
      </w:r>
    </w:p>
    <w:p w14:paraId="055BE5F7"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T</w:t>
      </w:r>
      <w:r w:rsidRPr="007B703E">
        <w:rPr>
          <w:rFonts w:ascii="Times New Roman" w:eastAsia="Times New Roman" w:hAnsi="Times New Roman" w:cs="Times New Roman"/>
          <w:sz w:val="24"/>
          <w:szCs w:val="24"/>
        </w:rPr>
        <w:t>his study demonstrates the power of a comprehensive in silico reverse vaccinology approach for identifying and prioritizing vaccine targets against Marburg virus. By integrating physicochemical assessment, structural prediction, epitope mapping, and molecu</w:t>
      </w:r>
      <w:r w:rsidRPr="007B703E">
        <w:rPr>
          <w:rFonts w:ascii="Times New Roman" w:eastAsia="Times New Roman" w:hAnsi="Times New Roman" w:cs="Times New Roman"/>
          <w:sz w:val="24"/>
          <w:szCs w:val="24"/>
        </w:rPr>
        <w:t xml:space="preserve">lar docking, we established a reliable and high-precision workflow for epitope discovery that aligns well with existing experimental data on Marburg virus proteins, underscoring the accuracy of computational screening [7, 9, 12, 18]. Key factors—including </w:t>
      </w:r>
      <w:r w:rsidRPr="007B703E">
        <w:rPr>
          <w:rFonts w:ascii="Times New Roman" w:eastAsia="Times New Roman" w:hAnsi="Times New Roman" w:cs="Times New Roman"/>
          <w:sz w:val="24"/>
          <w:szCs w:val="24"/>
        </w:rPr>
        <w:t xml:space="preserve">molecular weight, theoretical </w:t>
      </w:r>
      <w:proofErr w:type="spellStart"/>
      <w:r w:rsidRPr="007B703E">
        <w:rPr>
          <w:rFonts w:ascii="Times New Roman" w:eastAsia="Times New Roman" w:hAnsi="Times New Roman" w:cs="Times New Roman"/>
          <w:sz w:val="24"/>
          <w:szCs w:val="24"/>
        </w:rPr>
        <w:t>pI</w:t>
      </w:r>
      <w:proofErr w:type="spellEnd"/>
      <w:r w:rsidRPr="007B703E">
        <w:rPr>
          <w:rFonts w:ascii="Times New Roman" w:eastAsia="Times New Roman" w:hAnsi="Times New Roman" w:cs="Times New Roman"/>
          <w:sz w:val="24"/>
          <w:szCs w:val="24"/>
        </w:rPr>
        <w:t>, hydrophobic folding, disulfide bonding, and thermostability—proved essential in evaluating the suitability of viral proteins for vaccine development.</w:t>
      </w:r>
    </w:p>
    <w:p w14:paraId="3191F864"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Through this pipeline, conserved immunodominant epitopes were identified</w:t>
      </w:r>
      <w:r w:rsidRPr="007B703E">
        <w:rPr>
          <w:rFonts w:ascii="Times New Roman" w:eastAsia="Times New Roman" w:hAnsi="Times New Roman" w:cs="Times New Roman"/>
          <w:sz w:val="24"/>
          <w:szCs w:val="24"/>
        </w:rPr>
        <w:t xml:space="preserve"> across the glycoprotein, nucleoprotein, and polymerase, leading to the design of a multiepitope vaccine construct predicted to be antigenic, stable, broadly HLA-covering, and capable of inducing strong humoral and cellular immune responses. The demonstrat</w:t>
      </w:r>
      <w:r w:rsidRPr="007B703E">
        <w:rPr>
          <w:rFonts w:ascii="Times New Roman" w:eastAsia="Times New Roman" w:hAnsi="Times New Roman" w:cs="Times New Roman"/>
          <w:sz w:val="24"/>
          <w:szCs w:val="24"/>
        </w:rPr>
        <w:t>ed in silico stability of the construct under physiological and stress conditions further suggests the potential for robust performance across diverse environmental settings, supporting universal accessibility and safety [2, 17].</w:t>
      </w:r>
    </w:p>
    <w:p w14:paraId="47F2EEFE" w14:textId="77777777" w:rsidR="003A3F0C" w:rsidRPr="007B703E"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lastRenderedPageBreak/>
        <w:t>While computational findin</w:t>
      </w:r>
      <w:r w:rsidRPr="007B703E">
        <w:rPr>
          <w:rFonts w:ascii="Times New Roman" w:eastAsia="Times New Roman" w:hAnsi="Times New Roman" w:cs="Times New Roman"/>
          <w:sz w:val="24"/>
          <w:szCs w:val="24"/>
        </w:rPr>
        <w:t>gs cannot replace laboratory experimentation or clinical trials, they significantly accelerate the early phases of vaccine development by narrowing the search space and identifying high-value targets for experimental validation [22]. This rapid screening c</w:t>
      </w:r>
      <w:r w:rsidRPr="007B703E">
        <w:rPr>
          <w:rFonts w:ascii="Times New Roman" w:eastAsia="Times New Roman" w:hAnsi="Times New Roman" w:cs="Times New Roman"/>
          <w:sz w:val="24"/>
          <w:szCs w:val="24"/>
        </w:rPr>
        <w:t>apacity is especially critical for high-consequence pathogens such as Marburg virus, where shortening the interval between outbreak emergence and vaccine availability could have profound public-health impact.</w:t>
      </w:r>
    </w:p>
    <w:p w14:paraId="4DC757DF" w14:textId="77777777" w:rsidR="003A3F0C" w:rsidRDefault="001C164D">
      <w:pPr>
        <w:spacing w:before="240" w:after="240"/>
        <w:jc w:val="both"/>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In conclusion, this work bridges computational </w:t>
      </w:r>
      <w:r w:rsidRPr="007B703E">
        <w:rPr>
          <w:rFonts w:ascii="Times New Roman" w:eastAsia="Times New Roman" w:hAnsi="Times New Roman" w:cs="Times New Roman"/>
          <w:sz w:val="24"/>
          <w:szCs w:val="24"/>
        </w:rPr>
        <w:t>prediction with experimental potential, providing a rational, evidence-based foundation for developing future Marburg virus vaccines. The integration of advanced in silico techniques offers a powerful strategy for accelerating vaccine discovery against thi</w:t>
      </w:r>
      <w:r w:rsidRPr="007B703E">
        <w:rPr>
          <w:rFonts w:ascii="Times New Roman" w:eastAsia="Times New Roman" w:hAnsi="Times New Roman" w:cs="Times New Roman"/>
          <w:sz w:val="24"/>
          <w:szCs w:val="24"/>
        </w:rPr>
        <w:t>s highly lethal pathogen [17, 18, 20, 22, 24].</w:t>
      </w:r>
    </w:p>
    <w:p w14:paraId="7CB3A32D" w14:textId="303D3C88" w:rsidR="00FD08BF" w:rsidRPr="00A03A73" w:rsidRDefault="00FD08BF" w:rsidP="00A03A73">
      <w:pPr>
        <w:pStyle w:val="ListParagraph"/>
        <w:numPr>
          <w:ilvl w:val="0"/>
          <w:numId w:val="5"/>
        </w:numPr>
        <w:spacing w:before="240" w:after="240"/>
        <w:jc w:val="both"/>
        <w:rPr>
          <w:rFonts w:ascii="Times New Roman" w:eastAsia="Times New Roman" w:hAnsi="Times New Roman" w:cs="Times New Roman"/>
          <w:b/>
          <w:bCs/>
          <w:sz w:val="24"/>
          <w:szCs w:val="24"/>
          <w:lang w:val="en-IN"/>
        </w:rPr>
      </w:pPr>
      <w:r w:rsidRPr="00A03A73">
        <w:rPr>
          <w:rFonts w:ascii="Times New Roman" w:eastAsia="Times New Roman" w:hAnsi="Times New Roman" w:cs="Times New Roman"/>
          <w:b/>
          <w:bCs/>
          <w:sz w:val="24"/>
          <w:szCs w:val="24"/>
          <w:lang w:val="en-IN"/>
        </w:rPr>
        <w:t xml:space="preserve">List of Abbreviations </w:t>
      </w:r>
    </w:p>
    <w:p w14:paraId="4770DD32" w14:textId="62AD8522" w:rsidR="00FD08BF" w:rsidRPr="00FD08BF" w:rsidRDefault="00FD08BF">
      <w:pPr>
        <w:spacing w:before="240" w:after="240"/>
        <w:jc w:val="both"/>
        <w:rPr>
          <w:rFonts w:ascii="Times New Roman" w:eastAsia="Times New Roman" w:hAnsi="Times New Roman" w:cs="Times New Roman"/>
          <w:sz w:val="24"/>
          <w:szCs w:val="24"/>
          <w:lang w:val="en-IN"/>
        </w:rPr>
      </w:pPr>
      <w:r w:rsidRPr="00FD08BF">
        <w:rPr>
          <w:rFonts w:ascii="Times New Roman" w:eastAsia="Times New Roman" w:hAnsi="Times New Roman" w:cs="Times New Roman"/>
          <w:sz w:val="24"/>
          <w:szCs w:val="24"/>
        </w:rPr>
        <w:t xml:space="preserve">MVD: Marburg Virus Disease; MARV: Marburg Virus; RV: Reverse Vaccinology; MEV: Multiepitope Vaccine; CTL: Cytotoxic T Lymphocyte; HTL: Helper T Lymphocyte; MHC: Major Histocompatibility Complex; HLA: Human Leukocyte Antigen; GP: Glycoprotein; NP: Nucleoprotein; L protein: RNA-dependent RNA polymerase; IEDB: Immune Epitope Database; </w:t>
      </w:r>
      <w:proofErr w:type="spellStart"/>
      <w:r w:rsidRPr="00FD08BF">
        <w:rPr>
          <w:rFonts w:ascii="Times New Roman" w:eastAsia="Times New Roman" w:hAnsi="Times New Roman" w:cs="Times New Roman"/>
          <w:sz w:val="24"/>
          <w:szCs w:val="24"/>
        </w:rPr>
        <w:t>VaxiJen</w:t>
      </w:r>
      <w:proofErr w:type="spellEnd"/>
      <w:r w:rsidRPr="00FD08BF">
        <w:rPr>
          <w:rFonts w:ascii="Times New Roman" w:eastAsia="Times New Roman" w:hAnsi="Times New Roman" w:cs="Times New Roman"/>
          <w:sz w:val="24"/>
          <w:szCs w:val="24"/>
        </w:rPr>
        <w:t>: Antigenicity Prediction Tool; SOPMA: Secondary Structure Prediction Tool; GRAVY: Grand Average of Hydropathy; PDB: Protein Data Bank; C-terminus: Carboxyl Terminus; N-terminus: Amino Terminus; RMSD: Root Mean Square Deviation; IFN-γ: Interferon-gamma; IL-2: Interleukin-2.</w:t>
      </w:r>
    </w:p>
    <w:p w14:paraId="515FDC8D" w14:textId="05A53E6F" w:rsidR="00A03A73" w:rsidRPr="00A03A73" w:rsidRDefault="00A03A73" w:rsidP="00A03A73">
      <w:pPr>
        <w:pStyle w:val="ListParagraph"/>
        <w:numPr>
          <w:ilvl w:val="0"/>
          <w:numId w:val="5"/>
        </w:numPr>
        <w:spacing w:before="240" w:after="240"/>
        <w:jc w:val="both"/>
        <w:rPr>
          <w:rFonts w:ascii="Times New Roman" w:eastAsia="Times New Roman" w:hAnsi="Times New Roman" w:cs="Times New Roman"/>
          <w:sz w:val="24"/>
          <w:szCs w:val="24"/>
        </w:rPr>
      </w:pPr>
      <w:r w:rsidRPr="00A03A73">
        <w:rPr>
          <w:rFonts w:ascii="Times New Roman" w:eastAsia="Times New Roman" w:hAnsi="Times New Roman" w:cs="Times New Roman"/>
          <w:b/>
          <w:bCs/>
          <w:sz w:val="24"/>
          <w:szCs w:val="24"/>
        </w:rPr>
        <w:t>Ethics approval and consent to participate:</w:t>
      </w:r>
      <w:r w:rsidRPr="00A03A73">
        <w:rPr>
          <w:rFonts w:ascii="Times New Roman" w:eastAsia="Times New Roman" w:hAnsi="Times New Roman" w:cs="Times New Roman"/>
          <w:sz w:val="24"/>
          <w:szCs w:val="24"/>
        </w:rPr>
        <w:t xml:space="preserve"> Not applicable.</w:t>
      </w:r>
    </w:p>
    <w:p w14:paraId="659D0003" w14:textId="789D87D3" w:rsidR="00A03A73" w:rsidRPr="00A03A73" w:rsidRDefault="00A03A73" w:rsidP="00A03A73">
      <w:pPr>
        <w:pStyle w:val="ListParagraph"/>
        <w:numPr>
          <w:ilvl w:val="0"/>
          <w:numId w:val="5"/>
        </w:numPr>
        <w:spacing w:before="240" w:after="240"/>
        <w:jc w:val="both"/>
        <w:rPr>
          <w:rFonts w:ascii="Times New Roman" w:eastAsia="Times New Roman" w:hAnsi="Times New Roman" w:cs="Times New Roman"/>
          <w:sz w:val="24"/>
          <w:szCs w:val="24"/>
        </w:rPr>
      </w:pPr>
      <w:r w:rsidRPr="00A03A73">
        <w:rPr>
          <w:rFonts w:ascii="Times New Roman" w:eastAsia="Times New Roman" w:hAnsi="Times New Roman" w:cs="Times New Roman"/>
          <w:b/>
          <w:bCs/>
          <w:sz w:val="24"/>
          <w:szCs w:val="24"/>
        </w:rPr>
        <w:t xml:space="preserve">Consent for publication: </w:t>
      </w:r>
      <w:r w:rsidRPr="00A03A73">
        <w:rPr>
          <w:rFonts w:ascii="Times New Roman" w:eastAsia="Times New Roman" w:hAnsi="Times New Roman" w:cs="Times New Roman"/>
          <w:sz w:val="24"/>
          <w:szCs w:val="24"/>
        </w:rPr>
        <w:t>Not applicable.</w:t>
      </w:r>
    </w:p>
    <w:p w14:paraId="5316576B" w14:textId="2187D387" w:rsidR="00A03A73" w:rsidRPr="00A03A73" w:rsidRDefault="00A03A73" w:rsidP="00A03A73">
      <w:pPr>
        <w:pStyle w:val="ListParagraph"/>
        <w:numPr>
          <w:ilvl w:val="0"/>
          <w:numId w:val="5"/>
        </w:numPr>
        <w:spacing w:before="240" w:after="240"/>
        <w:jc w:val="both"/>
        <w:rPr>
          <w:rFonts w:ascii="Times New Roman" w:eastAsia="Times New Roman" w:hAnsi="Times New Roman" w:cs="Times New Roman"/>
          <w:sz w:val="24"/>
          <w:szCs w:val="24"/>
        </w:rPr>
      </w:pPr>
      <w:r w:rsidRPr="00A03A73">
        <w:rPr>
          <w:rFonts w:ascii="Times New Roman" w:eastAsia="Times New Roman" w:hAnsi="Times New Roman" w:cs="Times New Roman"/>
          <w:b/>
          <w:bCs/>
          <w:sz w:val="24"/>
          <w:szCs w:val="24"/>
        </w:rPr>
        <w:t>Data Availability Statement:</w:t>
      </w:r>
      <w:r w:rsidRPr="00A03A73">
        <w:rPr>
          <w:rFonts w:ascii="Times New Roman" w:eastAsia="Times New Roman" w:hAnsi="Times New Roman" w:cs="Times New Roman"/>
          <w:sz w:val="24"/>
          <w:szCs w:val="24"/>
        </w:rPr>
        <w:t xml:space="preserve"> The datasets generated and analyzed during the current study are available from the corresponding author on reasonable request.</w:t>
      </w:r>
    </w:p>
    <w:p w14:paraId="27D56125" w14:textId="77777777" w:rsidR="00A03A73" w:rsidRPr="007B703E" w:rsidRDefault="00A03A73">
      <w:pPr>
        <w:spacing w:before="240" w:after="240"/>
        <w:jc w:val="both"/>
        <w:rPr>
          <w:rFonts w:ascii="Times New Roman" w:eastAsia="Times New Roman" w:hAnsi="Times New Roman" w:cs="Times New Roman"/>
          <w:sz w:val="24"/>
          <w:szCs w:val="24"/>
        </w:rPr>
      </w:pPr>
    </w:p>
    <w:p w14:paraId="7DB5ECAB" w14:textId="4400EA61" w:rsidR="003A3F0C" w:rsidRPr="00A03A73" w:rsidRDefault="00FD08BF" w:rsidP="00A03A73">
      <w:pPr>
        <w:pStyle w:val="ListParagraph"/>
        <w:numPr>
          <w:ilvl w:val="0"/>
          <w:numId w:val="5"/>
        </w:numPr>
        <w:spacing w:before="240" w:after="240"/>
        <w:jc w:val="both"/>
        <w:rPr>
          <w:rFonts w:ascii="Times New Roman" w:eastAsia="Times New Roman" w:hAnsi="Times New Roman" w:cs="Times New Roman"/>
          <w:b/>
          <w:bCs/>
          <w:sz w:val="24"/>
          <w:szCs w:val="24"/>
        </w:rPr>
      </w:pPr>
      <w:r w:rsidRPr="00A03A73">
        <w:rPr>
          <w:rFonts w:ascii="Times New Roman" w:eastAsia="Times New Roman" w:hAnsi="Times New Roman" w:cs="Times New Roman"/>
          <w:b/>
          <w:bCs/>
          <w:sz w:val="24"/>
          <w:szCs w:val="24"/>
        </w:rPr>
        <w:t xml:space="preserve">References </w:t>
      </w:r>
    </w:p>
    <w:p w14:paraId="47454DF0"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Alberts, Bruce, et al. “Helper T Cells and Lymphocyte Activation.” </w:t>
      </w:r>
      <w:r w:rsidRPr="007B703E">
        <w:rPr>
          <w:rFonts w:ascii="Times New Roman" w:eastAsia="Times New Roman" w:hAnsi="Times New Roman" w:cs="Times New Roman"/>
          <w:i/>
          <w:iCs/>
          <w:sz w:val="24"/>
          <w:szCs w:val="24"/>
        </w:rPr>
        <w:t>Nih.gov</w:t>
      </w:r>
      <w:r w:rsidRPr="007B703E">
        <w:rPr>
          <w:rFonts w:ascii="Times New Roman" w:eastAsia="Times New Roman" w:hAnsi="Times New Roman" w:cs="Times New Roman"/>
          <w:sz w:val="24"/>
          <w:szCs w:val="24"/>
        </w:rPr>
        <w:t>, Garland Science, 2002, www.ncbi.nlm.nih.gov/books/NBK26827/.</w:t>
      </w:r>
    </w:p>
    <w:p w14:paraId="48CBC6BB"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Bamberg, Sandra,</w:t>
      </w:r>
      <w:r w:rsidRPr="007B703E">
        <w:rPr>
          <w:rFonts w:ascii="Times New Roman" w:eastAsia="Times New Roman" w:hAnsi="Times New Roman" w:cs="Times New Roman"/>
          <w:sz w:val="24"/>
          <w:szCs w:val="24"/>
        </w:rPr>
        <w:t xml:space="preserve"> et al. “VP24 of Marburg Virus Influences Formation of Infectious Particles.” </w:t>
      </w:r>
      <w:r w:rsidRPr="007B703E">
        <w:rPr>
          <w:rFonts w:ascii="Times New Roman" w:eastAsia="Times New Roman" w:hAnsi="Times New Roman" w:cs="Times New Roman"/>
          <w:i/>
          <w:iCs/>
          <w:sz w:val="24"/>
          <w:szCs w:val="24"/>
        </w:rPr>
        <w:t>Journal of Virology</w:t>
      </w:r>
      <w:r w:rsidRPr="007B703E">
        <w:rPr>
          <w:rFonts w:ascii="Times New Roman" w:eastAsia="Times New Roman" w:hAnsi="Times New Roman" w:cs="Times New Roman"/>
          <w:sz w:val="24"/>
          <w:szCs w:val="24"/>
        </w:rPr>
        <w:t>, vol. 79, no. 21, Nov. 2005, pp. 13421–13433, https://doi.org/10.1128/jvi.79.21.13421-13433.2005.</w:t>
      </w:r>
    </w:p>
    <w:p w14:paraId="4C93C5E8"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lastRenderedPageBreak/>
        <w:t>Baral, Prabin, et al. “Immunoinformatic Screening of Marburg</w:t>
      </w:r>
      <w:r w:rsidRPr="007B703E">
        <w:rPr>
          <w:rFonts w:ascii="Times New Roman" w:eastAsia="Times New Roman" w:hAnsi="Times New Roman" w:cs="Times New Roman"/>
          <w:sz w:val="24"/>
          <w:szCs w:val="24"/>
        </w:rPr>
        <w:t xml:space="preserve">virus Epitopes and Computational Investigations of Epitope-Allele Complexes.” </w:t>
      </w:r>
      <w:r w:rsidRPr="007B703E">
        <w:rPr>
          <w:rFonts w:ascii="Times New Roman" w:eastAsia="Times New Roman" w:hAnsi="Times New Roman" w:cs="Times New Roman"/>
          <w:i/>
          <w:iCs/>
          <w:sz w:val="24"/>
          <w:szCs w:val="24"/>
        </w:rPr>
        <w:t>International Immunopharmacology</w:t>
      </w:r>
      <w:r w:rsidRPr="007B703E">
        <w:rPr>
          <w:rFonts w:ascii="Times New Roman" w:eastAsia="Times New Roman" w:hAnsi="Times New Roman" w:cs="Times New Roman"/>
          <w:sz w:val="24"/>
          <w:szCs w:val="24"/>
        </w:rPr>
        <w:t>, vol. 111, 1 Aug. 2022, p. 109109, www.sciencedirect.com/science/article/abs/pii/S1567576922005938, https://doi.org/10.1016/j.intimp.2022.109109.</w:t>
      </w:r>
    </w:p>
    <w:p w14:paraId="5C1C242E"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CDC. “About Marburg Disease.” </w:t>
      </w:r>
      <w:r w:rsidRPr="007B703E">
        <w:rPr>
          <w:rFonts w:ascii="Times New Roman" w:eastAsia="Times New Roman" w:hAnsi="Times New Roman" w:cs="Times New Roman"/>
          <w:i/>
          <w:iCs/>
          <w:sz w:val="24"/>
          <w:szCs w:val="24"/>
        </w:rPr>
        <w:t>Marburg Virus Disease</w:t>
      </w:r>
      <w:r w:rsidRPr="007B703E">
        <w:rPr>
          <w:rFonts w:ascii="Times New Roman" w:eastAsia="Times New Roman" w:hAnsi="Times New Roman" w:cs="Times New Roman"/>
          <w:sz w:val="24"/>
          <w:szCs w:val="24"/>
        </w:rPr>
        <w:t>, 14 May 2024, www.cdc.gov/marburg/about/?CDC_AAref_Val=www.cdc.gov/vhf/marburg/index.html.</w:t>
      </w:r>
    </w:p>
    <w:p w14:paraId="3EA4DCD1"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Cleveland Clinic. “T Cells: Types and Function.” </w:t>
      </w:r>
      <w:r w:rsidRPr="007B703E">
        <w:rPr>
          <w:rFonts w:ascii="Times New Roman" w:eastAsia="Times New Roman" w:hAnsi="Times New Roman" w:cs="Times New Roman"/>
          <w:i/>
          <w:iCs/>
          <w:sz w:val="24"/>
          <w:szCs w:val="24"/>
        </w:rPr>
        <w:t>Cleveland Clinic</w:t>
      </w:r>
      <w:r w:rsidRPr="007B703E">
        <w:rPr>
          <w:rFonts w:ascii="Times New Roman" w:eastAsia="Times New Roman" w:hAnsi="Times New Roman" w:cs="Times New Roman"/>
          <w:sz w:val="24"/>
          <w:szCs w:val="24"/>
        </w:rPr>
        <w:t xml:space="preserve">, Cleveland Clinic, 2023, </w:t>
      </w:r>
      <w:r w:rsidRPr="007B703E">
        <w:rPr>
          <w:rFonts w:ascii="Times New Roman" w:eastAsia="Times New Roman" w:hAnsi="Times New Roman" w:cs="Times New Roman"/>
          <w:sz w:val="24"/>
          <w:szCs w:val="24"/>
        </w:rPr>
        <w:t>my.clevelandclinic.org/health/body/24630-t-cells.</w:t>
      </w:r>
    </w:p>
    <w:p w14:paraId="55B80B2D"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Craig, Jess. “An Ebola-like Virus Is Spreading in Rwanda. Why Isn’t There an Approved Vaccine for Marburg?” </w:t>
      </w:r>
      <w:r w:rsidRPr="007B703E">
        <w:rPr>
          <w:rFonts w:ascii="Times New Roman" w:eastAsia="Times New Roman" w:hAnsi="Times New Roman" w:cs="Times New Roman"/>
          <w:i/>
          <w:iCs/>
          <w:sz w:val="24"/>
          <w:szCs w:val="24"/>
        </w:rPr>
        <w:t>Vox</w:t>
      </w:r>
      <w:r w:rsidRPr="007B703E">
        <w:rPr>
          <w:rFonts w:ascii="Times New Roman" w:eastAsia="Times New Roman" w:hAnsi="Times New Roman" w:cs="Times New Roman"/>
          <w:sz w:val="24"/>
          <w:szCs w:val="24"/>
        </w:rPr>
        <w:t>, 4 Oct. 2024, www.vox.com/future-perfect/375819/marburg-outbreak-rwanda-vaccine-trial.</w:t>
      </w:r>
    </w:p>
    <w:p w14:paraId="1091A19B"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DiCarlo</w:t>
      </w:r>
      <w:r w:rsidRPr="007B703E">
        <w:rPr>
          <w:rFonts w:ascii="Times New Roman" w:eastAsia="Times New Roman" w:hAnsi="Times New Roman" w:cs="Times New Roman"/>
          <w:sz w:val="24"/>
          <w:szCs w:val="24"/>
        </w:rPr>
        <w:t xml:space="preserve">, Andrea, et al. “Nucleocapsid Formation and RNA Synthesis of Marburg Virus Is Dependent on Two Coiled Coil Motifs in the Nucleoprotein.” </w:t>
      </w:r>
      <w:r w:rsidRPr="007B703E">
        <w:rPr>
          <w:rFonts w:ascii="Times New Roman" w:eastAsia="Times New Roman" w:hAnsi="Times New Roman" w:cs="Times New Roman"/>
          <w:i/>
          <w:iCs/>
          <w:sz w:val="24"/>
          <w:szCs w:val="24"/>
        </w:rPr>
        <w:t>Virology Journal</w:t>
      </w:r>
      <w:r w:rsidRPr="007B703E">
        <w:rPr>
          <w:rFonts w:ascii="Times New Roman" w:eastAsia="Times New Roman" w:hAnsi="Times New Roman" w:cs="Times New Roman"/>
          <w:sz w:val="24"/>
          <w:szCs w:val="24"/>
        </w:rPr>
        <w:t>, vol. 4, 24 Oct. 2007, p. 105, www.ncbi.nlm.nih.gov/pmc/articles/PMC2170442/, https://doi.org/10.1186</w:t>
      </w:r>
      <w:r w:rsidRPr="007B703E">
        <w:rPr>
          <w:rFonts w:ascii="Times New Roman" w:eastAsia="Times New Roman" w:hAnsi="Times New Roman" w:cs="Times New Roman"/>
          <w:sz w:val="24"/>
          <w:szCs w:val="24"/>
        </w:rPr>
        <w:t>/1743-422X-4-105. Accessed 15 Apr. 2021.</w:t>
      </w:r>
    </w:p>
    <w:p w14:paraId="3DF16C22"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“Everything You Need to Know about Candidate Vaccines and Treatments for Marburg Disease.” </w:t>
      </w:r>
      <w:r w:rsidRPr="007B703E">
        <w:rPr>
          <w:rFonts w:ascii="Times New Roman" w:eastAsia="Times New Roman" w:hAnsi="Times New Roman" w:cs="Times New Roman"/>
          <w:i/>
          <w:iCs/>
          <w:sz w:val="24"/>
          <w:szCs w:val="24"/>
        </w:rPr>
        <w:t>Gavi.org</w:t>
      </w:r>
      <w:r w:rsidRPr="007B703E">
        <w:rPr>
          <w:rFonts w:ascii="Times New Roman" w:eastAsia="Times New Roman" w:hAnsi="Times New Roman" w:cs="Times New Roman"/>
          <w:sz w:val="24"/>
          <w:szCs w:val="24"/>
        </w:rPr>
        <w:t>, 2024, www.gavi.org/vaccineswork/everything-you-need-know-about-candidate-vaccines-and-treatments-marburg-disease.</w:t>
      </w:r>
    </w:p>
    <w:p w14:paraId="71CE305C"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Fujita-</w:t>
      </w:r>
      <w:proofErr w:type="spellStart"/>
      <w:r w:rsidRPr="007B703E">
        <w:rPr>
          <w:rFonts w:ascii="Times New Roman" w:eastAsia="Times New Roman" w:hAnsi="Times New Roman" w:cs="Times New Roman"/>
          <w:sz w:val="24"/>
          <w:szCs w:val="24"/>
        </w:rPr>
        <w:t>Fujiharu</w:t>
      </w:r>
      <w:proofErr w:type="spellEnd"/>
      <w:r w:rsidRPr="007B703E">
        <w:rPr>
          <w:rFonts w:ascii="Times New Roman" w:eastAsia="Times New Roman" w:hAnsi="Times New Roman" w:cs="Times New Roman"/>
          <w:sz w:val="24"/>
          <w:szCs w:val="24"/>
        </w:rPr>
        <w:t xml:space="preserve">, Yoko, et al. “Structural Insight into Marburg Virus Nucleoprotein–RNA Complex Formation.” </w:t>
      </w:r>
      <w:r w:rsidRPr="007B703E">
        <w:rPr>
          <w:rFonts w:ascii="Times New Roman" w:eastAsia="Times New Roman" w:hAnsi="Times New Roman" w:cs="Times New Roman"/>
          <w:i/>
          <w:iCs/>
          <w:sz w:val="24"/>
          <w:szCs w:val="24"/>
        </w:rPr>
        <w:t>Nature Communications</w:t>
      </w:r>
      <w:r w:rsidRPr="007B703E">
        <w:rPr>
          <w:rFonts w:ascii="Times New Roman" w:eastAsia="Times New Roman" w:hAnsi="Times New Roman" w:cs="Times New Roman"/>
          <w:sz w:val="24"/>
          <w:szCs w:val="24"/>
        </w:rPr>
        <w:t>, vol. 13, no. 1, 4 Mar. 2022, p. 1191, www.nature.com/articles/s41467-022-28802-x, https://doi.org/10.1038/s41467-022-28802-x.</w:t>
      </w:r>
    </w:p>
    <w:p w14:paraId="0E223BBA"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lastRenderedPageBreak/>
        <w:t xml:space="preserve">Gasteiger, Elisabeth, et al. “Protein Identification and Analysis Tools on the </w:t>
      </w:r>
      <w:proofErr w:type="spellStart"/>
      <w:r w:rsidRPr="007B703E">
        <w:rPr>
          <w:rFonts w:ascii="Times New Roman" w:eastAsia="Times New Roman" w:hAnsi="Times New Roman" w:cs="Times New Roman"/>
          <w:sz w:val="24"/>
          <w:szCs w:val="24"/>
        </w:rPr>
        <w:t>ExPASy</w:t>
      </w:r>
      <w:proofErr w:type="spellEnd"/>
      <w:r w:rsidRPr="007B703E">
        <w:rPr>
          <w:rFonts w:ascii="Times New Roman" w:eastAsia="Times New Roman" w:hAnsi="Times New Roman" w:cs="Times New Roman"/>
          <w:sz w:val="24"/>
          <w:szCs w:val="24"/>
        </w:rPr>
        <w:t xml:space="preserve"> Server.” </w:t>
      </w:r>
      <w:r w:rsidRPr="007B703E">
        <w:rPr>
          <w:rFonts w:ascii="Times New Roman" w:eastAsia="Times New Roman" w:hAnsi="Times New Roman" w:cs="Times New Roman"/>
          <w:i/>
          <w:iCs/>
          <w:sz w:val="24"/>
          <w:szCs w:val="24"/>
        </w:rPr>
        <w:t>The Proteomics Protocols Handbook</w:t>
      </w:r>
      <w:r w:rsidRPr="007B703E">
        <w:rPr>
          <w:rFonts w:ascii="Times New Roman" w:eastAsia="Times New Roman" w:hAnsi="Times New Roman" w:cs="Times New Roman"/>
          <w:sz w:val="24"/>
          <w:szCs w:val="24"/>
        </w:rPr>
        <w:t>, 2005, pp. 571–607, https://doi.org/10.1385/1-59259-890-0:571.</w:t>
      </w:r>
    </w:p>
    <w:p w14:paraId="5259FD40"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proofErr w:type="spellStart"/>
      <w:r w:rsidRPr="007B703E">
        <w:rPr>
          <w:rFonts w:ascii="Times New Roman" w:eastAsia="Times New Roman" w:hAnsi="Times New Roman" w:cs="Times New Roman"/>
          <w:sz w:val="24"/>
          <w:szCs w:val="24"/>
        </w:rPr>
        <w:t>Geourjon</w:t>
      </w:r>
      <w:proofErr w:type="spellEnd"/>
      <w:r w:rsidRPr="007B703E">
        <w:rPr>
          <w:rFonts w:ascii="Times New Roman" w:eastAsia="Times New Roman" w:hAnsi="Times New Roman" w:cs="Times New Roman"/>
          <w:sz w:val="24"/>
          <w:szCs w:val="24"/>
        </w:rPr>
        <w:t xml:space="preserve">, C., and G. </w:t>
      </w:r>
      <w:proofErr w:type="spellStart"/>
      <w:r w:rsidRPr="007B703E">
        <w:rPr>
          <w:rFonts w:ascii="Times New Roman" w:eastAsia="Times New Roman" w:hAnsi="Times New Roman" w:cs="Times New Roman"/>
          <w:sz w:val="24"/>
          <w:szCs w:val="24"/>
        </w:rPr>
        <w:t>Deléage</w:t>
      </w:r>
      <w:proofErr w:type="spellEnd"/>
      <w:r w:rsidRPr="007B703E">
        <w:rPr>
          <w:rFonts w:ascii="Times New Roman" w:eastAsia="Times New Roman" w:hAnsi="Times New Roman" w:cs="Times New Roman"/>
          <w:sz w:val="24"/>
          <w:szCs w:val="24"/>
        </w:rPr>
        <w:t>. “SOPMA: Significant Improvements i</w:t>
      </w:r>
      <w:r w:rsidRPr="007B703E">
        <w:rPr>
          <w:rFonts w:ascii="Times New Roman" w:eastAsia="Times New Roman" w:hAnsi="Times New Roman" w:cs="Times New Roman"/>
          <w:sz w:val="24"/>
          <w:szCs w:val="24"/>
        </w:rPr>
        <w:t xml:space="preserve">n Protein Secondary Structure Prediction by Consensus Prediction from Multiple Alignments.” </w:t>
      </w:r>
      <w:r w:rsidRPr="007B703E">
        <w:rPr>
          <w:rFonts w:ascii="Times New Roman" w:eastAsia="Times New Roman" w:hAnsi="Times New Roman" w:cs="Times New Roman"/>
          <w:i/>
          <w:iCs/>
          <w:sz w:val="24"/>
          <w:szCs w:val="24"/>
        </w:rPr>
        <w:t>Bioinformatics</w:t>
      </w:r>
      <w:r w:rsidRPr="007B703E">
        <w:rPr>
          <w:rFonts w:ascii="Times New Roman" w:eastAsia="Times New Roman" w:hAnsi="Times New Roman" w:cs="Times New Roman"/>
          <w:sz w:val="24"/>
          <w:szCs w:val="24"/>
        </w:rPr>
        <w:t>, vol. 11, no. 6, 1995, pp. 681–684, https://doi.org/10.1093/bioinformatics/11.6.681. Accessed 1 Aug. 2019.</w:t>
      </w:r>
    </w:p>
    <w:p w14:paraId="6155604E"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Hashiguchi, Takao, et al. “Structural Basi</w:t>
      </w:r>
      <w:r w:rsidRPr="007B703E">
        <w:rPr>
          <w:rFonts w:ascii="Times New Roman" w:eastAsia="Times New Roman" w:hAnsi="Times New Roman" w:cs="Times New Roman"/>
          <w:sz w:val="24"/>
          <w:szCs w:val="24"/>
        </w:rPr>
        <w:t xml:space="preserve">s for Marburg Virus Neutralization by a Cross-Reactive Human Antibody.” </w:t>
      </w:r>
      <w:r w:rsidRPr="007B703E">
        <w:rPr>
          <w:rFonts w:ascii="Times New Roman" w:eastAsia="Times New Roman" w:hAnsi="Times New Roman" w:cs="Times New Roman"/>
          <w:i/>
          <w:iCs/>
          <w:sz w:val="24"/>
          <w:szCs w:val="24"/>
        </w:rPr>
        <w:t>Cell</w:t>
      </w:r>
      <w:r w:rsidRPr="007B703E">
        <w:rPr>
          <w:rFonts w:ascii="Times New Roman" w:eastAsia="Times New Roman" w:hAnsi="Times New Roman" w:cs="Times New Roman"/>
          <w:sz w:val="24"/>
          <w:szCs w:val="24"/>
        </w:rPr>
        <w:t>, vol. 160, no. 5, Feb. 2015, pp. 904–912, www.cell.com/cell/pdfExtended/S0092-8674(15)00119-1, https://doi.org/10.1016/j.cell.2015.01.041. Accessed 30 Apr. 2021.</w:t>
      </w:r>
    </w:p>
    <w:p w14:paraId="235C8B4C"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lang w:val="de-DE"/>
        </w:rPr>
        <w:t>Kalina, Warren V,</w:t>
      </w:r>
      <w:r w:rsidRPr="007B703E">
        <w:rPr>
          <w:rFonts w:ascii="Times New Roman" w:eastAsia="Times New Roman" w:hAnsi="Times New Roman" w:cs="Times New Roman"/>
          <w:sz w:val="24"/>
          <w:szCs w:val="24"/>
          <w:lang w:val="de-DE"/>
        </w:rPr>
        <w:t xml:space="preserve"> et al. </w:t>
      </w:r>
      <w:r w:rsidRPr="007B703E">
        <w:rPr>
          <w:rFonts w:ascii="Times New Roman" w:eastAsia="Times New Roman" w:hAnsi="Times New Roman" w:cs="Times New Roman"/>
          <w:sz w:val="24"/>
          <w:szCs w:val="24"/>
        </w:rPr>
        <w:t xml:space="preserve">“Discovery of Common Marburgvirus Protective Epitopes in a BALB/c Mouse Model.” </w:t>
      </w:r>
      <w:r w:rsidRPr="007B703E">
        <w:rPr>
          <w:rFonts w:ascii="Times New Roman" w:eastAsia="Times New Roman" w:hAnsi="Times New Roman" w:cs="Times New Roman"/>
          <w:i/>
          <w:iCs/>
          <w:sz w:val="24"/>
          <w:szCs w:val="24"/>
        </w:rPr>
        <w:t>Virology Journal</w:t>
      </w:r>
      <w:r w:rsidRPr="007B703E">
        <w:rPr>
          <w:rFonts w:ascii="Times New Roman" w:eastAsia="Times New Roman" w:hAnsi="Times New Roman" w:cs="Times New Roman"/>
          <w:sz w:val="24"/>
          <w:szCs w:val="24"/>
        </w:rPr>
        <w:t>, vol. 6, no. 1, 27 Aug. 2009, pmc.ncbi.nlm.nih.gov/articles/PMC2746211/, https://doi.org/10.1186/1743-422x-6-132. Accessed 26 Sept. 2025.</w:t>
      </w:r>
    </w:p>
    <w:p w14:paraId="305898DC"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Larsen, Jens,</w:t>
      </w:r>
      <w:r w:rsidRPr="007B703E">
        <w:rPr>
          <w:rFonts w:ascii="Times New Roman" w:eastAsia="Times New Roman" w:hAnsi="Times New Roman" w:cs="Times New Roman"/>
          <w:sz w:val="24"/>
          <w:szCs w:val="24"/>
        </w:rPr>
        <w:t xml:space="preserve"> et al. “Improved Method for Predicting Linear B-Cell Epitopes.” </w:t>
      </w:r>
      <w:r w:rsidRPr="007B703E">
        <w:rPr>
          <w:rFonts w:ascii="Times New Roman" w:eastAsia="Times New Roman" w:hAnsi="Times New Roman" w:cs="Times New Roman"/>
          <w:i/>
          <w:iCs/>
          <w:sz w:val="24"/>
          <w:szCs w:val="24"/>
        </w:rPr>
        <w:t>Immunome Research</w:t>
      </w:r>
      <w:r w:rsidRPr="007B703E">
        <w:rPr>
          <w:rFonts w:ascii="Times New Roman" w:eastAsia="Times New Roman" w:hAnsi="Times New Roman" w:cs="Times New Roman"/>
          <w:sz w:val="24"/>
          <w:szCs w:val="24"/>
        </w:rPr>
        <w:t>, vol. 2, no. 1, 2006, p. 2, https://doi.org/10.1186/1745-7580-2-2.</w:t>
      </w:r>
    </w:p>
    <w:p w14:paraId="51ECF6E1"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Pardi, Norbert, et al. “MRNA Vaccines — a New Era in Vaccinology.” </w:t>
      </w:r>
      <w:r w:rsidRPr="007B703E">
        <w:rPr>
          <w:rFonts w:ascii="Times New Roman" w:eastAsia="Times New Roman" w:hAnsi="Times New Roman" w:cs="Times New Roman"/>
          <w:i/>
          <w:iCs/>
          <w:sz w:val="24"/>
          <w:szCs w:val="24"/>
        </w:rPr>
        <w:t>Nature Reviews Drug Discovery</w:t>
      </w:r>
      <w:r w:rsidRPr="007B703E">
        <w:rPr>
          <w:rFonts w:ascii="Times New Roman" w:eastAsia="Times New Roman" w:hAnsi="Times New Roman" w:cs="Times New Roman"/>
          <w:sz w:val="24"/>
          <w:szCs w:val="24"/>
        </w:rPr>
        <w:t>, vol. 17,</w:t>
      </w:r>
      <w:r w:rsidRPr="007B703E">
        <w:rPr>
          <w:rFonts w:ascii="Times New Roman" w:eastAsia="Times New Roman" w:hAnsi="Times New Roman" w:cs="Times New Roman"/>
          <w:sz w:val="24"/>
          <w:szCs w:val="24"/>
        </w:rPr>
        <w:t xml:space="preserve"> no. 4, 12 Jan. 2018, pp. 261–279, www.nature.com/articles/nrd.2017.243.</w:t>
      </w:r>
    </w:p>
    <w:p w14:paraId="0AC7F01B"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lang w:val="de-DE"/>
        </w:rPr>
        <w:t xml:space="preserve">Parker, J. M. R., et al. </w:t>
      </w:r>
      <w:r w:rsidRPr="007B703E">
        <w:rPr>
          <w:rFonts w:ascii="Times New Roman" w:eastAsia="Times New Roman" w:hAnsi="Times New Roman" w:cs="Times New Roman"/>
          <w:sz w:val="24"/>
          <w:szCs w:val="24"/>
        </w:rPr>
        <w:t xml:space="preserve">“New Hydrophilicity Scale Derived from High-Performance Liquid Chromatography Peptide Retention Data: Correlation of Predicted Surface </w:t>
      </w:r>
      <w:r w:rsidRPr="007B703E">
        <w:rPr>
          <w:rFonts w:ascii="Times New Roman" w:eastAsia="Times New Roman" w:hAnsi="Times New Roman" w:cs="Times New Roman"/>
          <w:sz w:val="24"/>
          <w:szCs w:val="24"/>
        </w:rPr>
        <w:lastRenderedPageBreak/>
        <w:t>Residues with Antigenic</w:t>
      </w:r>
      <w:r w:rsidRPr="007B703E">
        <w:rPr>
          <w:rFonts w:ascii="Times New Roman" w:eastAsia="Times New Roman" w:hAnsi="Times New Roman" w:cs="Times New Roman"/>
          <w:sz w:val="24"/>
          <w:szCs w:val="24"/>
        </w:rPr>
        <w:t xml:space="preserve">ity and X-Ray-Derived Accessible Sites.” </w:t>
      </w:r>
      <w:r w:rsidRPr="007B703E">
        <w:rPr>
          <w:rFonts w:ascii="Times New Roman" w:eastAsia="Times New Roman" w:hAnsi="Times New Roman" w:cs="Times New Roman"/>
          <w:i/>
          <w:iCs/>
          <w:sz w:val="24"/>
          <w:szCs w:val="24"/>
        </w:rPr>
        <w:t>Biochemistry</w:t>
      </w:r>
      <w:r w:rsidRPr="007B703E">
        <w:rPr>
          <w:rFonts w:ascii="Times New Roman" w:eastAsia="Times New Roman" w:hAnsi="Times New Roman" w:cs="Times New Roman"/>
          <w:sz w:val="24"/>
          <w:szCs w:val="24"/>
        </w:rPr>
        <w:t>, vol. 25, no. 19, 23 Sept. 1986, pp. 5425–5432, https://doi.org/10.1021/bi00367a013.</w:t>
      </w:r>
    </w:p>
    <w:p w14:paraId="3352F189"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Penaloza-MacMaster, Pablo. “When More Isn’t Better: The Surprising Superiority of Glycoprotein-Only Marburg Vaccines.</w:t>
      </w:r>
      <w:r w:rsidRPr="007B703E">
        <w:rPr>
          <w:rFonts w:ascii="Times New Roman" w:eastAsia="Times New Roman" w:hAnsi="Times New Roman" w:cs="Times New Roman"/>
          <w:sz w:val="24"/>
          <w:szCs w:val="24"/>
        </w:rPr>
        <w:t xml:space="preserve">” </w:t>
      </w:r>
      <w:r w:rsidRPr="007B703E">
        <w:rPr>
          <w:rFonts w:ascii="Times New Roman" w:eastAsia="Times New Roman" w:hAnsi="Times New Roman" w:cs="Times New Roman"/>
          <w:i/>
          <w:iCs/>
          <w:sz w:val="24"/>
          <w:szCs w:val="24"/>
        </w:rPr>
        <w:t>Journal of Clinical Investigation</w:t>
      </w:r>
      <w:r w:rsidRPr="007B703E">
        <w:rPr>
          <w:rFonts w:ascii="Times New Roman" w:eastAsia="Times New Roman" w:hAnsi="Times New Roman" w:cs="Times New Roman"/>
          <w:sz w:val="24"/>
          <w:szCs w:val="24"/>
        </w:rPr>
        <w:t>, vol. 135, no. 17, 2 Sept. 2025, www.jci.org/articles/view/195933, https://doi.org/10.1172/jci195933. Accessed 26 Sept. 2025.</w:t>
      </w:r>
    </w:p>
    <w:p w14:paraId="1008D151"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lang w:val="de-DE"/>
        </w:rPr>
        <w:t xml:space="preserve">Rahim, Md Niaz, et al. </w:t>
      </w:r>
      <w:r w:rsidRPr="007B703E">
        <w:rPr>
          <w:rFonts w:ascii="Times New Roman" w:eastAsia="Times New Roman" w:hAnsi="Times New Roman" w:cs="Times New Roman"/>
          <w:sz w:val="24"/>
          <w:szCs w:val="24"/>
        </w:rPr>
        <w:t xml:space="preserve">“Complete Protection of the BALB/c and C57BL/6J Mice against Ebola and </w:t>
      </w:r>
      <w:r w:rsidRPr="007B703E">
        <w:rPr>
          <w:rFonts w:ascii="Times New Roman" w:eastAsia="Times New Roman" w:hAnsi="Times New Roman" w:cs="Times New Roman"/>
          <w:sz w:val="24"/>
          <w:szCs w:val="24"/>
        </w:rPr>
        <w:t xml:space="preserve">Marburg Virus Lethal Challenges by Pan-Filovirus T-Cell Epigraph Vaccine.” </w:t>
      </w:r>
      <w:r w:rsidRPr="007B703E">
        <w:rPr>
          <w:rFonts w:ascii="Times New Roman" w:eastAsia="Times New Roman" w:hAnsi="Times New Roman" w:cs="Times New Roman"/>
          <w:i/>
          <w:iCs/>
          <w:sz w:val="24"/>
          <w:szCs w:val="24"/>
        </w:rPr>
        <w:t>PLOS Pathogens</w:t>
      </w:r>
      <w:r w:rsidRPr="007B703E">
        <w:rPr>
          <w:rFonts w:ascii="Times New Roman" w:eastAsia="Times New Roman" w:hAnsi="Times New Roman" w:cs="Times New Roman"/>
          <w:sz w:val="24"/>
          <w:szCs w:val="24"/>
        </w:rPr>
        <w:t>, vol. 15, no. 2, 28 Feb. 2019, p. e1007564, https://doi.org/10.1371/journal.ppat.1007564. Accessed 5 Nov. 2020.</w:t>
      </w:r>
    </w:p>
    <w:p w14:paraId="3D52BAE9"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“Reverse Vaccinology - an Overview | ScienceDirect Top</w:t>
      </w:r>
      <w:r w:rsidRPr="007B703E">
        <w:rPr>
          <w:rFonts w:ascii="Times New Roman" w:eastAsia="Times New Roman" w:hAnsi="Times New Roman" w:cs="Times New Roman"/>
          <w:sz w:val="24"/>
          <w:szCs w:val="24"/>
        </w:rPr>
        <w:t xml:space="preserve">ics.” </w:t>
      </w:r>
      <w:r w:rsidRPr="007B703E">
        <w:rPr>
          <w:rFonts w:ascii="Times New Roman" w:eastAsia="Times New Roman" w:hAnsi="Times New Roman" w:cs="Times New Roman"/>
          <w:i/>
          <w:iCs/>
          <w:sz w:val="24"/>
          <w:szCs w:val="24"/>
        </w:rPr>
        <w:t>Sciencedirect.com</w:t>
      </w:r>
      <w:r w:rsidRPr="007B703E">
        <w:rPr>
          <w:rFonts w:ascii="Times New Roman" w:eastAsia="Times New Roman" w:hAnsi="Times New Roman" w:cs="Times New Roman"/>
          <w:sz w:val="24"/>
          <w:szCs w:val="24"/>
        </w:rPr>
        <w:t>, 2014, www.sciencedirect.com/topics/immunology-and-microbiology/reverse-vaccinology.</w:t>
      </w:r>
    </w:p>
    <w:p w14:paraId="29D9561C"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Rostad, Christina A., et al. “A Phase 1 Randomized Trial of Homologous and Heterologous Filovirus Vaccines with a Late Booster Dose.” </w:t>
      </w:r>
      <w:proofErr w:type="spellStart"/>
      <w:r w:rsidRPr="007B703E">
        <w:rPr>
          <w:rFonts w:ascii="Times New Roman" w:eastAsia="Times New Roman" w:hAnsi="Times New Roman" w:cs="Times New Roman"/>
          <w:i/>
          <w:iCs/>
          <w:sz w:val="24"/>
          <w:szCs w:val="24"/>
        </w:rPr>
        <w:t>Npj</w:t>
      </w:r>
      <w:proofErr w:type="spellEnd"/>
      <w:r w:rsidRPr="007B703E">
        <w:rPr>
          <w:rFonts w:ascii="Times New Roman" w:eastAsia="Times New Roman" w:hAnsi="Times New Roman" w:cs="Times New Roman"/>
          <w:i/>
          <w:iCs/>
          <w:sz w:val="24"/>
          <w:szCs w:val="24"/>
        </w:rPr>
        <w:t xml:space="preserve"> Vaccines</w:t>
      </w:r>
      <w:r w:rsidRPr="007B703E">
        <w:rPr>
          <w:rFonts w:ascii="Times New Roman" w:eastAsia="Times New Roman" w:hAnsi="Times New Roman" w:cs="Times New Roman"/>
          <w:sz w:val="24"/>
          <w:szCs w:val="24"/>
        </w:rPr>
        <w:t>,</w:t>
      </w:r>
      <w:r w:rsidRPr="007B703E">
        <w:rPr>
          <w:rFonts w:ascii="Times New Roman" w:eastAsia="Times New Roman" w:hAnsi="Times New Roman" w:cs="Times New Roman"/>
          <w:sz w:val="24"/>
          <w:szCs w:val="24"/>
        </w:rPr>
        <w:t xml:space="preserve"> vol. 9, no. 1, 23 Dec. 2024, https://doi.org/10.1038/s41541-024-01042-4. Accessed 20 Mar. 2025.</w:t>
      </w:r>
    </w:p>
    <w:p w14:paraId="11C9455E"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Sette, Alessandro, and Rino Rappuoli. “Reverse Vaccinology: Developing Vaccines in the Era of Genomics.” </w:t>
      </w:r>
      <w:r w:rsidRPr="007B703E">
        <w:rPr>
          <w:rFonts w:ascii="Times New Roman" w:eastAsia="Times New Roman" w:hAnsi="Times New Roman" w:cs="Times New Roman"/>
          <w:i/>
          <w:iCs/>
          <w:sz w:val="24"/>
          <w:szCs w:val="24"/>
        </w:rPr>
        <w:t>Immunity</w:t>
      </w:r>
      <w:r w:rsidRPr="007B703E">
        <w:rPr>
          <w:rFonts w:ascii="Times New Roman" w:eastAsia="Times New Roman" w:hAnsi="Times New Roman" w:cs="Times New Roman"/>
          <w:sz w:val="24"/>
          <w:szCs w:val="24"/>
        </w:rPr>
        <w:t xml:space="preserve">, vol. 33, no. 4, Oct. 2010, pp. 530–541, </w:t>
      </w:r>
      <w:r w:rsidRPr="007B703E">
        <w:rPr>
          <w:rFonts w:ascii="Times New Roman" w:eastAsia="Times New Roman" w:hAnsi="Times New Roman" w:cs="Times New Roman"/>
          <w:sz w:val="24"/>
          <w:szCs w:val="24"/>
        </w:rPr>
        <w:t>https://doi.org/10.1016/j.immuni.2010.09.017.</w:t>
      </w:r>
    </w:p>
    <w:p w14:paraId="7176EEC7"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 xml:space="preserve">Soltan, Mohamed A., et al. “Mining of Marburg Virus Proteome for Designing an Epitope-Based Vaccine.” </w:t>
      </w:r>
      <w:r w:rsidRPr="007B703E">
        <w:rPr>
          <w:rFonts w:ascii="Times New Roman" w:eastAsia="Times New Roman" w:hAnsi="Times New Roman" w:cs="Times New Roman"/>
          <w:i/>
          <w:iCs/>
          <w:sz w:val="24"/>
          <w:szCs w:val="24"/>
        </w:rPr>
        <w:t>Frontiers in Immunology</w:t>
      </w:r>
      <w:r w:rsidRPr="007B703E">
        <w:rPr>
          <w:rFonts w:ascii="Times New Roman" w:eastAsia="Times New Roman" w:hAnsi="Times New Roman" w:cs="Times New Roman"/>
          <w:sz w:val="24"/>
          <w:szCs w:val="24"/>
        </w:rPr>
        <w:t>, vol. 13, 2022, p. 907481, pubmed.ncbi.nlm.nih.gov/35911751/, https://doi.org/10.338</w:t>
      </w:r>
      <w:r w:rsidRPr="007B703E">
        <w:rPr>
          <w:rFonts w:ascii="Times New Roman" w:eastAsia="Times New Roman" w:hAnsi="Times New Roman" w:cs="Times New Roman"/>
          <w:sz w:val="24"/>
          <w:szCs w:val="24"/>
        </w:rPr>
        <w:t>9/fimmu.2022.907481. Accessed 12 Oct. 2022.</w:t>
      </w:r>
    </w:p>
    <w:p w14:paraId="7AB33B01"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lastRenderedPageBreak/>
        <w:t xml:space="preserve">Vita, Randi, et al. “The Immune Epitope Database (IEDB) 3.0.” </w:t>
      </w:r>
      <w:r w:rsidRPr="007B703E">
        <w:rPr>
          <w:rFonts w:ascii="Times New Roman" w:eastAsia="Times New Roman" w:hAnsi="Times New Roman" w:cs="Times New Roman"/>
          <w:i/>
          <w:iCs/>
          <w:sz w:val="24"/>
          <w:szCs w:val="24"/>
        </w:rPr>
        <w:t>Nucleic Acids Research</w:t>
      </w:r>
      <w:r w:rsidRPr="007B703E">
        <w:rPr>
          <w:rFonts w:ascii="Times New Roman" w:eastAsia="Times New Roman" w:hAnsi="Times New Roman" w:cs="Times New Roman"/>
          <w:sz w:val="24"/>
          <w:szCs w:val="24"/>
        </w:rPr>
        <w:t>, vol. 43, no. D1, 9 Oct. 2014, pp. D405–D412, https://doi.org/10.1093/nar/gku938. Accessed 11 Dec. 2019.</w:t>
      </w:r>
    </w:p>
    <w:p w14:paraId="48EB9929" w14:textId="77777777" w:rsidR="003A3F0C" w:rsidRPr="007B703E" w:rsidRDefault="001C164D">
      <w:pPr>
        <w:numPr>
          <w:ilvl w:val="0"/>
          <w:numId w:val="1"/>
        </w:numPr>
        <w:spacing w:line="480" w:lineRule="auto"/>
        <w:rPr>
          <w:rFonts w:ascii="Times New Roman" w:eastAsia="Times New Roman" w:hAnsi="Times New Roman" w:cs="Times New Roman"/>
          <w:sz w:val="24"/>
          <w:szCs w:val="24"/>
        </w:rPr>
      </w:pPr>
      <w:r w:rsidRPr="007B703E">
        <w:rPr>
          <w:rFonts w:ascii="Times New Roman" w:eastAsia="Times New Roman" w:hAnsi="Times New Roman" w:cs="Times New Roman"/>
          <w:sz w:val="24"/>
          <w:szCs w:val="24"/>
        </w:rPr>
        <w:t>World Health Organizat</w:t>
      </w:r>
      <w:r w:rsidRPr="007B703E">
        <w:rPr>
          <w:rFonts w:ascii="Times New Roman" w:eastAsia="Times New Roman" w:hAnsi="Times New Roman" w:cs="Times New Roman"/>
          <w:sz w:val="24"/>
          <w:szCs w:val="24"/>
        </w:rPr>
        <w:t xml:space="preserve">ion. “Marburg Virus Disease.” </w:t>
      </w:r>
      <w:r w:rsidRPr="007B703E">
        <w:rPr>
          <w:rFonts w:ascii="Times New Roman" w:eastAsia="Times New Roman" w:hAnsi="Times New Roman" w:cs="Times New Roman"/>
          <w:i/>
          <w:iCs/>
          <w:sz w:val="24"/>
          <w:szCs w:val="24"/>
        </w:rPr>
        <w:t>Who.int</w:t>
      </w:r>
      <w:r w:rsidRPr="007B703E">
        <w:rPr>
          <w:rFonts w:ascii="Times New Roman" w:eastAsia="Times New Roman" w:hAnsi="Times New Roman" w:cs="Times New Roman"/>
          <w:sz w:val="24"/>
          <w:szCs w:val="24"/>
        </w:rPr>
        <w:t>, World Health Organization: WHO, 20 Jan. 2025, www.who.int/news-room/fact-sheets/detail/marburg-virus-disease.</w:t>
      </w:r>
    </w:p>
    <w:p w14:paraId="115FA738" w14:textId="77777777" w:rsidR="003A3F0C" w:rsidRPr="007B703E" w:rsidRDefault="003A3F0C">
      <w:pPr>
        <w:spacing w:before="240" w:after="240"/>
        <w:rPr>
          <w:rFonts w:ascii="Times New Roman" w:eastAsia="Times New Roman" w:hAnsi="Times New Roman" w:cs="Times New Roman"/>
          <w:color w:val="1F1F1F"/>
          <w:sz w:val="24"/>
          <w:szCs w:val="24"/>
          <w:highlight w:val="white"/>
        </w:rPr>
      </w:pPr>
    </w:p>
    <w:p w14:paraId="1D9EC359" w14:textId="77777777" w:rsidR="003A3F0C" w:rsidRPr="007B703E" w:rsidRDefault="003A3F0C">
      <w:pPr>
        <w:spacing w:before="240" w:after="240"/>
        <w:jc w:val="both"/>
        <w:rPr>
          <w:rFonts w:ascii="Times New Roman" w:eastAsia="Times New Roman" w:hAnsi="Times New Roman" w:cs="Times New Roman"/>
          <w:sz w:val="24"/>
          <w:szCs w:val="24"/>
        </w:rPr>
      </w:pPr>
    </w:p>
    <w:p w14:paraId="6EB8E30E" w14:textId="77777777" w:rsidR="003A3F0C" w:rsidRPr="007B703E" w:rsidRDefault="003A3F0C">
      <w:pPr>
        <w:spacing w:before="240" w:after="240"/>
        <w:jc w:val="both"/>
        <w:rPr>
          <w:rFonts w:ascii="Times New Roman" w:eastAsia="Times New Roman" w:hAnsi="Times New Roman" w:cs="Times New Roman"/>
          <w:sz w:val="24"/>
          <w:szCs w:val="24"/>
        </w:rPr>
      </w:pPr>
    </w:p>
    <w:p w14:paraId="45EB72FE" w14:textId="77777777" w:rsidR="003A3F0C" w:rsidRPr="007B703E" w:rsidRDefault="003A3F0C">
      <w:pPr>
        <w:jc w:val="both"/>
        <w:rPr>
          <w:rFonts w:ascii="Times New Roman" w:eastAsia="Times New Roman" w:hAnsi="Times New Roman" w:cs="Times New Roman"/>
          <w:sz w:val="24"/>
          <w:szCs w:val="24"/>
        </w:rPr>
      </w:pPr>
    </w:p>
    <w:sectPr w:rsidR="003A3F0C" w:rsidRPr="007B70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517ED" w14:textId="77777777" w:rsidR="001C164D" w:rsidRDefault="001C164D" w:rsidP="0047433F">
      <w:pPr>
        <w:spacing w:line="240" w:lineRule="auto"/>
      </w:pPr>
      <w:r>
        <w:separator/>
      </w:r>
    </w:p>
  </w:endnote>
  <w:endnote w:type="continuationSeparator" w:id="0">
    <w:p w14:paraId="6FB40DB7" w14:textId="77777777" w:rsidR="001C164D" w:rsidRDefault="001C164D" w:rsidP="004743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udex">
    <w:charset w:val="00"/>
    <w:family w:val="auto"/>
    <w:pitch w:val="default"/>
    <w:embedRegular r:id="rId1" w:fontKey="{87D3C251-7BD6-40B2-9B99-0E6EA43EB300}"/>
  </w:font>
  <w:font w:name="Cambria Math">
    <w:panose1 w:val="02040503050406030204"/>
    <w:charset w:val="00"/>
    <w:family w:val="roman"/>
    <w:pitch w:val="variable"/>
    <w:sig w:usb0="E00006FF" w:usb1="420024FF" w:usb2="02000000" w:usb3="00000000" w:csb0="0000019F" w:csb1="00000000"/>
    <w:embedItalic r:id="rId2" w:fontKey="{9CE8AA98-9E4B-4973-A670-CE99082376FC}"/>
  </w:font>
  <w:font w:name="Calibri">
    <w:panose1 w:val="020F0502020204030204"/>
    <w:charset w:val="00"/>
    <w:family w:val="swiss"/>
    <w:pitch w:val="variable"/>
    <w:sig w:usb0="E4002EFF" w:usb1="C000247B" w:usb2="00000009" w:usb3="00000000" w:csb0="000001FF" w:csb1="00000000"/>
    <w:embedRegular r:id="rId3" w:fontKey="{C7B8A272-C60B-436B-BE31-97137FE98222}"/>
  </w:font>
  <w:font w:name="Cambria">
    <w:panose1 w:val="02040503050406030204"/>
    <w:charset w:val="00"/>
    <w:family w:val="roman"/>
    <w:pitch w:val="variable"/>
    <w:sig w:usb0="E00006FF" w:usb1="420024FF" w:usb2="02000000" w:usb3="00000000" w:csb0="0000019F" w:csb1="00000000"/>
    <w:embedRegular r:id="rId4" w:fontKey="{0D4552AE-25E2-4739-8706-D89880DC85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F0372" w14:textId="77777777" w:rsidR="0047433F" w:rsidRDefault="004743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C7C1" w14:textId="77777777" w:rsidR="0047433F" w:rsidRDefault="004743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88D9E" w14:textId="77777777" w:rsidR="0047433F" w:rsidRDefault="00474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88669" w14:textId="77777777" w:rsidR="001C164D" w:rsidRDefault="001C164D" w:rsidP="0047433F">
      <w:pPr>
        <w:spacing w:line="240" w:lineRule="auto"/>
      </w:pPr>
      <w:r>
        <w:separator/>
      </w:r>
    </w:p>
  </w:footnote>
  <w:footnote w:type="continuationSeparator" w:id="0">
    <w:p w14:paraId="26C82417" w14:textId="77777777" w:rsidR="001C164D" w:rsidRDefault="001C164D" w:rsidP="004743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BC7A9" w14:textId="0BABC3AB" w:rsidR="0047433F" w:rsidRDefault="0047433F">
    <w:pPr>
      <w:pStyle w:val="Header"/>
    </w:pPr>
    <w:r>
      <w:rPr>
        <w:noProof/>
      </w:rPr>
      <w:pict w14:anchorId="1717E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8979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B54B" w14:textId="02603C66" w:rsidR="0047433F" w:rsidRDefault="0047433F">
    <w:pPr>
      <w:pStyle w:val="Header"/>
    </w:pPr>
    <w:r>
      <w:rPr>
        <w:noProof/>
      </w:rPr>
      <w:pict w14:anchorId="453E4E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8979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0B2C5" w14:textId="4C72A2A0" w:rsidR="0047433F" w:rsidRDefault="0047433F">
    <w:pPr>
      <w:pStyle w:val="Header"/>
    </w:pPr>
    <w:r>
      <w:rPr>
        <w:noProof/>
      </w:rPr>
      <w:pict w14:anchorId="539D16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889796"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A6037"/>
    <w:multiLevelType w:val="hybridMultilevel"/>
    <w:tmpl w:val="E64EF8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185928"/>
    <w:multiLevelType w:val="multilevel"/>
    <w:tmpl w:val="E1982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DB6AD7"/>
    <w:multiLevelType w:val="multilevel"/>
    <w:tmpl w:val="775C7E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0383E2D"/>
    <w:multiLevelType w:val="hybridMultilevel"/>
    <w:tmpl w:val="EF8696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7E77528"/>
    <w:multiLevelType w:val="multilevel"/>
    <w:tmpl w:val="97587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F0C"/>
    <w:rsid w:val="001C164D"/>
    <w:rsid w:val="003A3F0C"/>
    <w:rsid w:val="0047433F"/>
    <w:rsid w:val="007438A2"/>
    <w:rsid w:val="007B703E"/>
    <w:rsid w:val="007E197C"/>
    <w:rsid w:val="00A03A73"/>
    <w:rsid w:val="00B1396A"/>
    <w:rsid w:val="00BC4686"/>
    <w:rsid w:val="00FC3EF8"/>
    <w:rsid w:val="00FD08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D8E7B8"/>
  <w15:docId w15:val="{B76AA987-31C8-4EAB-B7B9-095F1D01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styleId="TableGrid">
    <w:name w:val="Table Grid"/>
    <w:basedOn w:val="TableNormal"/>
    <w:uiPriority w:val="39"/>
    <w:rsid w:val="007B70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B703E"/>
    <w:pPr>
      <w:spacing w:after="200" w:line="240" w:lineRule="auto"/>
    </w:pPr>
    <w:rPr>
      <w:i/>
      <w:iCs/>
      <w:color w:val="1F497D" w:themeColor="text2"/>
      <w:sz w:val="18"/>
      <w:szCs w:val="18"/>
    </w:rPr>
  </w:style>
  <w:style w:type="character" w:styleId="Hyperlink">
    <w:name w:val="Hyperlink"/>
    <w:basedOn w:val="DefaultParagraphFont"/>
    <w:uiPriority w:val="99"/>
    <w:unhideWhenUsed/>
    <w:rsid w:val="00FD08BF"/>
    <w:rPr>
      <w:color w:val="0000FF" w:themeColor="hyperlink"/>
      <w:u w:val="single"/>
    </w:rPr>
  </w:style>
  <w:style w:type="paragraph" w:styleId="ListParagraph">
    <w:name w:val="List Paragraph"/>
    <w:basedOn w:val="Normal"/>
    <w:uiPriority w:val="34"/>
    <w:qFormat/>
    <w:rsid w:val="00FD08BF"/>
    <w:pPr>
      <w:ind w:left="720"/>
      <w:contextualSpacing/>
    </w:pPr>
  </w:style>
  <w:style w:type="paragraph" w:styleId="Header">
    <w:name w:val="header"/>
    <w:basedOn w:val="Normal"/>
    <w:link w:val="HeaderChar"/>
    <w:uiPriority w:val="99"/>
    <w:unhideWhenUsed/>
    <w:rsid w:val="0047433F"/>
    <w:pPr>
      <w:tabs>
        <w:tab w:val="center" w:pos="4680"/>
        <w:tab w:val="right" w:pos="9360"/>
      </w:tabs>
      <w:spacing w:line="240" w:lineRule="auto"/>
    </w:pPr>
  </w:style>
  <w:style w:type="character" w:customStyle="1" w:styleId="HeaderChar">
    <w:name w:val="Header Char"/>
    <w:basedOn w:val="DefaultParagraphFont"/>
    <w:link w:val="Header"/>
    <w:uiPriority w:val="99"/>
    <w:rsid w:val="0047433F"/>
  </w:style>
  <w:style w:type="paragraph" w:styleId="Footer">
    <w:name w:val="footer"/>
    <w:basedOn w:val="Normal"/>
    <w:link w:val="FooterChar"/>
    <w:uiPriority w:val="99"/>
    <w:unhideWhenUsed/>
    <w:rsid w:val="0047433F"/>
    <w:pPr>
      <w:tabs>
        <w:tab w:val="center" w:pos="4680"/>
        <w:tab w:val="right" w:pos="9360"/>
      </w:tabs>
      <w:spacing w:line="240" w:lineRule="auto"/>
    </w:pPr>
  </w:style>
  <w:style w:type="character" w:customStyle="1" w:styleId="FooterChar">
    <w:name w:val="Footer Char"/>
    <w:basedOn w:val="DefaultParagraphFont"/>
    <w:link w:val="Footer"/>
    <w:uiPriority w:val="99"/>
    <w:rsid w:val="00474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23</Pages>
  <Words>7532</Words>
  <Characters>42935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dc:creator>
  <cp:lastModifiedBy>SDI 1180</cp:lastModifiedBy>
  <cp:revision>9</cp:revision>
  <dcterms:created xsi:type="dcterms:W3CDTF">2025-11-20T02:54:00Z</dcterms:created>
  <dcterms:modified xsi:type="dcterms:W3CDTF">2025-11-20T11:05:00Z</dcterms:modified>
</cp:coreProperties>
</file>