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C7A" w:rsidRPr="00101C7A" w:rsidRDefault="00101C7A" w:rsidP="00101C7A">
      <w:pPr>
        <w:spacing w:after="0" w:line="240" w:lineRule="auto"/>
        <w:jc w:val="right"/>
        <w:outlineLvl w:val="0"/>
        <w:rPr>
          <w:rFonts w:ascii="Arial" w:eastAsia="Times New Roman" w:hAnsi="Arial" w:cs="Arial"/>
          <w:b/>
          <w:bCs/>
          <w:i/>
          <w:iCs/>
          <w:kern w:val="28"/>
          <w:sz w:val="36"/>
          <w:u w:val="single"/>
          <w:lang w:val="en-US" w:bidi="ar-SA"/>
        </w:rPr>
      </w:pPr>
      <w:r w:rsidRPr="00101C7A">
        <w:rPr>
          <w:rFonts w:ascii="Arial" w:eastAsia="Times New Roman" w:hAnsi="Arial" w:cs="Arial"/>
          <w:b/>
          <w:bCs/>
          <w:i/>
          <w:iCs/>
          <w:kern w:val="28"/>
          <w:sz w:val="36"/>
          <w:u w:val="single"/>
          <w:lang w:val="en-US" w:bidi="ar-SA"/>
        </w:rPr>
        <w:t>Original Research Article</w:t>
      </w:r>
    </w:p>
    <w:p w:rsidR="00101C7A" w:rsidRDefault="00101C7A" w:rsidP="00BD19B5">
      <w:pPr>
        <w:spacing w:before="100" w:beforeAutospacing="1" w:after="100" w:afterAutospacing="1" w:line="360" w:lineRule="auto"/>
        <w:jc w:val="center"/>
        <w:outlineLvl w:val="1"/>
        <w:rPr>
          <w:rFonts w:ascii="Times New Roman" w:eastAsia="Times New Roman" w:hAnsi="Times New Roman" w:cs="Times New Roman"/>
          <w:b/>
          <w:bCs/>
          <w:kern w:val="36"/>
          <w:sz w:val="28"/>
          <w:szCs w:val="24"/>
          <w:lang w:val="en-US" w:eastAsia="en-IN"/>
        </w:rPr>
      </w:pPr>
    </w:p>
    <w:p w:rsidR="00BD19B5" w:rsidRPr="00BD19B5" w:rsidRDefault="00BD19B5" w:rsidP="00BD19B5">
      <w:pPr>
        <w:spacing w:before="100" w:beforeAutospacing="1" w:after="100" w:afterAutospacing="1" w:line="360" w:lineRule="auto"/>
        <w:jc w:val="center"/>
        <w:outlineLvl w:val="1"/>
        <w:rPr>
          <w:rFonts w:ascii="Times New Roman" w:eastAsia="Times New Roman" w:hAnsi="Times New Roman" w:cs="Times New Roman"/>
          <w:b/>
          <w:bCs/>
          <w:kern w:val="36"/>
          <w:sz w:val="28"/>
          <w:szCs w:val="24"/>
          <w:lang w:val="en-US" w:eastAsia="en-IN"/>
        </w:rPr>
      </w:pPr>
      <w:r w:rsidRPr="00BD19B5">
        <w:rPr>
          <w:rFonts w:ascii="Times New Roman" w:eastAsia="Times New Roman" w:hAnsi="Times New Roman" w:cs="Times New Roman"/>
          <w:b/>
          <w:bCs/>
          <w:kern w:val="36"/>
          <w:sz w:val="28"/>
          <w:szCs w:val="24"/>
          <w:lang w:val="en-US" w:eastAsia="en-IN"/>
        </w:rPr>
        <w:t>Genotype × Environment Interactions for Qualitative Traits in Brinjal (</w:t>
      </w:r>
      <w:r w:rsidRPr="00BD19B5">
        <w:rPr>
          <w:rFonts w:ascii="Times New Roman" w:eastAsia="Times New Roman" w:hAnsi="Times New Roman" w:cs="Times New Roman"/>
          <w:b/>
          <w:bCs/>
          <w:i/>
          <w:kern w:val="36"/>
          <w:sz w:val="28"/>
          <w:szCs w:val="24"/>
          <w:lang w:val="en-US" w:eastAsia="en-IN"/>
        </w:rPr>
        <w:t>Solanum melongena</w:t>
      </w:r>
      <w:r w:rsidRPr="00BD19B5">
        <w:rPr>
          <w:rFonts w:ascii="Times New Roman" w:eastAsia="Times New Roman" w:hAnsi="Times New Roman" w:cs="Times New Roman"/>
          <w:b/>
          <w:bCs/>
          <w:kern w:val="36"/>
          <w:sz w:val="28"/>
          <w:szCs w:val="24"/>
          <w:lang w:val="en-US" w:eastAsia="en-IN"/>
        </w:rPr>
        <w:t xml:space="preserve"> L.): Differential Phenotypic Plasticity and St</w:t>
      </w:r>
      <w:r>
        <w:rPr>
          <w:rFonts w:ascii="Times New Roman" w:eastAsia="Times New Roman" w:hAnsi="Times New Roman" w:cs="Times New Roman"/>
          <w:b/>
          <w:bCs/>
          <w:kern w:val="36"/>
          <w:sz w:val="28"/>
          <w:szCs w:val="24"/>
          <w:lang w:val="en-US" w:eastAsia="en-IN"/>
        </w:rPr>
        <w:t>ability in Inbreds and Hybrids a</w:t>
      </w:r>
      <w:r w:rsidRPr="00BD19B5">
        <w:rPr>
          <w:rFonts w:ascii="Times New Roman" w:eastAsia="Times New Roman" w:hAnsi="Times New Roman" w:cs="Times New Roman"/>
          <w:b/>
          <w:bCs/>
          <w:kern w:val="36"/>
          <w:sz w:val="28"/>
          <w:szCs w:val="24"/>
          <w:lang w:val="en-US" w:eastAsia="en-IN"/>
        </w:rPr>
        <w:t xml:space="preserve">cross Summer and </w:t>
      </w:r>
      <w:r w:rsidRPr="00BD19B5">
        <w:rPr>
          <w:rFonts w:ascii="Times New Roman" w:eastAsia="Times New Roman" w:hAnsi="Times New Roman" w:cs="Times New Roman"/>
          <w:b/>
          <w:bCs/>
          <w:i/>
          <w:kern w:val="36"/>
          <w:sz w:val="28"/>
          <w:szCs w:val="24"/>
          <w:lang w:val="en-US" w:eastAsia="en-IN"/>
        </w:rPr>
        <w:t>Kharif</w:t>
      </w:r>
      <w:r w:rsidRPr="00BD19B5">
        <w:rPr>
          <w:rFonts w:ascii="Times New Roman" w:eastAsia="Times New Roman" w:hAnsi="Times New Roman" w:cs="Times New Roman"/>
          <w:b/>
          <w:bCs/>
          <w:kern w:val="36"/>
          <w:sz w:val="28"/>
          <w:szCs w:val="24"/>
          <w:lang w:val="en-US" w:eastAsia="en-IN"/>
        </w:rPr>
        <w:t xml:space="preserve"> Seasons</w:t>
      </w:r>
    </w:p>
    <w:p w:rsidR="00101C7A" w:rsidRDefault="00101C7A" w:rsidP="00E64DD6">
      <w:pPr>
        <w:spacing w:before="100" w:beforeAutospacing="1" w:after="100" w:afterAutospacing="1" w:line="360" w:lineRule="auto"/>
        <w:jc w:val="center"/>
        <w:outlineLvl w:val="1"/>
        <w:rPr>
          <w:rFonts w:ascii="Times New Roman" w:eastAsia="Times New Roman" w:hAnsi="Times New Roman" w:cs="Times New Roman"/>
          <w:b/>
          <w:bCs/>
          <w:sz w:val="24"/>
          <w:szCs w:val="24"/>
          <w:lang w:val="en-US" w:eastAsia="en-IN"/>
        </w:rPr>
      </w:pPr>
    </w:p>
    <w:p w:rsidR="00716933" w:rsidRPr="00E64DD6" w:rsidRDefault="00716933" w:rsidP="00E64DD6">
      <w:pPr>
        <w:spacing w:before="100" w:beforeAutospacing="1" w:after="100" w:afterAutospacing="1" w:line="360" w:lineRule="auto"/>
        <w:jc w:val="center"/>
        <w:outlineLvl w:val="1"/>
        <w:rPr>
          <w:rFonts w:ascii="Times New Roman" w:eastAsia="Times New Roman" w:hAnsi="Times New Roman" w:cs="Times New Roman"/>
          <w:b/>
          <w:bCs/>
          <w:sz w:val="24"/>
          <w:szCs w:val="24"/>
          <w:lang w:val="en-US" w:eastAsia="en-IN"/>
        </w:rPr>
      </w:pPr>
      <w:bookmarkStart w:id="0" w:name="_GoBack"/>
      <w:bookmarkEnd w:id="0"/>
    </w:p>
    <w:p w:rsidR="008D45DB" w:rsidRPr="00D637A9" w:rsidRDefault="008D45DB" w:rsidP="00D637A9">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t>Abstract</w:t>
      </w:r>
    </w:p>
    <w:p w:rsidR="00913D9D" w:rsidRPr="00913D9D" w:rsidRDefault="008D45DB" w:rsidP="00913D9D">
      <w:pPr>
        <w:spacing w:line="360" w:lineRule="auto"/>
        <w:jc w:val="both"/>
        <w:rPr>
          <w:rFonts w:ascii="Times New Roman" w:hAnsi="Times New Roman" w:cs="Times New Roman"/>
          <w:sz w:val="24"/>
          <w:szCs w:val="24"/>
          <w:lang w:val="en-US"/>
        </w:rPr>
      </w:pPr>
      <w:r w:rsidRPr="00913D9D">
        <w:rPr>
          <w:rFonts w:ascii="Times New Roman" w:eastAsia="Times New Roman" w:hAnsi="Times New Roman" w:cs="Times New Roman"/>
          <w:sz w:val="24"/>
          <w:szCs w:val="24"/>
          <w:lang w:eastAsia="en-IN"/>
        </w:rPr>
        <w:t>Brinjal (</w:t>
      </w:r>
      <w:r w:rsidRPr="00913D9D">
        <w:rPr>
          <w:rFonts w:ascii="Times New Roman" w:eastAsia="Times New Roman" w:hAnsi="Times New Roman" w:cs="Times New Roman"/>
          <w:i/>
          <w:sz w:val="24"/>
          <w:szCs w:val="24"/>
          <w:lang w:eastAsia="en-IN"/>
        </w:rPr>
        <w:t>Solanum</w:t>
      </w:r>
      <w:r w:rsidR="00F04B1A" w:rsidRPr="00913D9D">
        <w:rPr>
          <w:rFonts w:ascii="Times New Roman" w:eastAsia="Times New Roman" w:hAnsi="Times New Roman" w:cs="Times New Roman"/>
          <w:i/>
          <w:sz w:val="24"/>
          <w:szCs w:val="24"/>
          <w:lang w:eastAsia="en-IN"/>
        </w:rPr>
        <w:t xml:space="preserve"> </w:t>
      </w:r>
      <w:r w:rsidRPr="00913D9D">
        <w:rPr>
          <w:rFonts w:ascii="Times New Roman" w:eastAsia="Times New Roman" w:hAnsi="Times New Roman" w:cs="Times New Roman"/>
          <w:i/>
          <w:sz w:val="24"/>
          <w:szCs w:val="24"/>
          <w:lang w:eastAsia="en-IN"/>
        </w:rPr>
        <w:t>melongena</w:t>
      </w:r>
      <w:r w:rsidRPr="00913D9D">
        <w:rPr>
          <w:rFonts w:ascii="Times New Roman" w:eastAsia="Times New Roman" w:hAnsi="Times New Roman" w:cs="Times New Roman"/>
          <w:sz w:val="24"/>
          <w:szCs w:val="24"/>
          <w:lang w:eastAsia="en-IN"/>
        </w:rPr>
        <w:t xml:space="preserve"> L.), a key solanaceous vegetable, exhibits significant phenotypic plasticity under varying environmental conditions, making it an ideal model for studying genotype by environment interactions. </w:t>
      </w:r>
      <w:r w:rsidR="00913D9D" w:rsidRPr="00913D9D">
        <w:rPr>
          <w:rFonts w:ascii="Times New Roman" w:hAnsi="Times New Roman" w:cs="Times New Roman"/>
          <w:sz w:val="24"/>
          <w:szCs w:val="24"/>
          <w:lang w:val="en-US"/>
        </w:rPr>
        <w:t xml:space="preserve">A study involving 68 diverse brinjal (Solanum melongena L.) genotypes (22 inbreds and 46 hybrids) was conducted at ICAR-IIVR, Varanasi, during summer (March–June) and </w:t>
      </w:r>
      <w:r w:rsidR="00913D9D" w:rsidRPr="00913D9D">
        <w:rPr>
          <w:rFonts w:ascii="Times New Roman" w:hAnsi="Times New Roman" w:cs="Times New Roman"/>
          <w:i/>
          <w:sz w:val="24"/>
          <w:szCs w:val="24"/>
          <w:lang w:val="en-US"/>
        </w:rPr>
        <w:t>kharif</w:t>
      </w:r>
      <w:r w:rsidR="00913D9D">
        <w:rPr>
          <w:rFonts w:ascii="Times New Roman" w:hAnsi="Times New Roman" w:cs="Times New Roman"/>
          <w:sz w:val="24"/>
          <w:szCs w:val="24"/>
          <w:lang w:val="en-US"/>
        </w:rPr>
        <w:t xml:space="preserve"> (July–October) seasons of 2024-25</w:t>
      </w:r>
      <w:r w:rsidR="00913D9D" w:rsidRPr="00913D9D">
        <w:rPr>
          <w:rFonts w:ascii="Times New Roman" w:hAnsi="Times New Roman" w:cs="Times New Roman"/>
          <w:sz w:val="24"/>
          <w:szCs w:val="24"/>
          <w:lang w:val="en-US"/>
        </w:rPr>
        <w:t xml:space="preserve"> to evaluate seasonal phenotypic plasticity and stability of seven qualitative morphological traits under contrasting environments. Of the total genotypes, 57.4% (39/68) exhibited complete phenotypic stability across seasons, with slightly higher stability in inbreds (59.1%, 13/22) than hybrids (56.5%, 26/46). Growth habit was the most plastic trait (23.5% genotypes changed), followed by fruit colour (17.6%) and fruit shape (13.2%), while calyx colour, fruit flesh colour, leaf vein colour, and leaf spinyness remained invariant. Kharif conditions promoted erect growth habit, darker fruit pigmentation, and rounder fruit shape. Hybrids showed greater plasticity in growth habit and fruit shape, whereas inbreds were more responsive in fruit colour. Significant G×E interactions were detected for growth habit (p=0.0012) and fruit colour (p=0.003). Genotypes exhibiting complete stability across both seasons included the inbreds </w:t>
      </w:r>
      <w:r w:rsidR="00913D9D" w:rsidRPr="00913D9D">
        <w:rPr>
          <w:rFonts w:ascii="Times New Roman" w:hAnsi="Times New Roman" w:cs="Times New Roman"/>
          <w:bCs/>
          <w:sz w:val="24"/>
          <w:szCs w:val="24"/>
          <w:lang w:val="en-US"/>
        </w:rPr>
        <w:t>Kashi Uttam</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Selection-10</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CHBR-2</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IVBL-25</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IVBL-27</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IVBL-28</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IVBL-29</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IVBL-31</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IVBR-19</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IVBR-20</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IVBR-21</w:t>
      </w:r>
      <w:r w:rsidR="00913D9D" w:rsidRPr="00913D9D">
        <w:rPr>
          <w:rFonts w:ascii="Times New Roman" w:hAnsi="Times New Roman" w:cs="Times New Roman"/>
          <w:sz w:val="24"/>
          <w:szCs w:val="24"/>
          <w:lang w:val="en-US"/>
        </w:rPr>
        <w:t xml:space="preserve">, and </w:t>
      </w:r>
      <w:r w:rsidR="00913D9D" w:rsidRPr="00913D9D">
        <w:rPr>
          <w:rFonts w:ascii="Times New Roman" w:hAnsi="Times New Roman" w:cs="Times New Roman"/>
          <w:bCs/>
          <w:sz w:val="24"/>
          <w:szCs w:val="24"/>
          <w:lang w:val="en-US"/>
        </w:rPr>
        <w:t>IVBR-23</w:t>
      </w:r>
      <w:r w:rsidR="00913D9D" w:rsidRPr="00913D9D">
        <w:rPr>
          <w:rFonts w:ascii="Times New Roman" w:hAnsi="Times New Roman" w:cs="Times New Roman"/>
          <w:sz w:val="24"/>
          <w:szCs w:val="24"/>
          <w:lang w:val="en-US"/>
        </w:rPr>
        <w:t xml:space="preserve">, and the hybrids </w:t>
      </w:r>
      <w:r w:rsidR="00913D9D" w:rsidRPr="00913D9D">
        <w:rPr>
          <w:rFonts w:ascii="Times New Roman" w:hAnsi="Times New Roman" w:cs="Times New Roman"/>
          <w:bCs/>
          <w:sz w:val="24"/>
          <w:szCs w:val="24"/>
          <w:lang w:val="en-US"/>
        </w:rPr>
        <w:t>Kashi Sandesh (check)</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IVBHLW-3</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IVBHLW-4</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IVBHLW-6</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IVBHLW-8</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IVBHLW-10</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IVBHLW-12</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IVBHLW-13</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IVBHLW-16</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IVBHLW-18</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IVBHLW-20</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IVBHLW-21</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IVBHLW-23</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IVBHLW-24</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IVBHRW-2</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IVBHRW-5</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IVBHRW-7</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IVBHRW-9</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IVBHRW-11</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IVBHRW-13</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IVBHRW-15</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IVBHRW-17</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IVBHRW-20</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lastRenderedPageBreak/>
        <w:t>IVBHRW-23</w:t>
      </w:r>
      <w:r w:rsidR="00913D9D" w:rsidRPr="00913D9D">
        <w:rPr>
          <w:rFonts w:ascii="Times New Roman" w:hAnsi="Times New Roman" w:cs="Times New Roman"/>
          <w:sz w:val="24"/>
          <w:szCs w:val="24"/>
          <w:lang w:val="en-US"/>
        </w:rPr>
        <w:t xml:space="preserve">, </w:t>
      </w:r>
      <w:r w:rsidR="00913D9D" w:rsidRPr="00913D9D">
        <w:rPr>
          <w:rFonts w:ascii="Times New Roman" w:hAnsi="Times New Roman" w:cs="Times New Roman"/>
          <w:bCs/>
          <w:sz w:val="24"/>
          <w:szCs w:val="24"/>
          <w:lang w:val="en-US"/>
        </w:rPr>
        <w:t>IVBHRW-25</w:t>
      </w:r>
      <w:r w:rsidR="00913D9D" w:rsidRPr="00913D9D">
        <w:rPr>
          <w:rFonts w:ascii="Times New Roman" w:hAnsi="Times New Roman" w:cs="Times New Roman"/>
          <w:sz w:val="24"/>
          <w:szCs w:val="24"/>
          <w:lang w:val="en-US"/>
        </w:rPr>
        <w:t xml:space="preserve">, and </w:t>
      </w:r>
      <w:r w:rsidR="00913D9D" w:rsidRPr="00913D9D">
        <w:rPr>
          <w:rFonts w:ascii="Times New Roman" w:hAnsi="Times New Roman" w:cs="Times New Roman"/>
          <w:bCs/>
          <w:sz w:val="24"/>
          <w:szCs w:val="24"/>
          <w:lang w:val="en-US"/>
        </w:rPr>
        <w:t>IVBHRW-27</w:t>
      </w:r>
      <w:r w:rsidR="00913D9D" w:rsidRPr="00913D9D">
        <w:rPr>
          <w:rFonts w:ascii="Times New Roman" w:hAnsi="Times New Roman" w:cs="Times New Roman"/>
          <w:sz w:val="24"/>
          <w:szCs w:val="24"/>
          <w:lang w:val="en-US"/>
        </w:rPr>
        <w:t>. These stable genotypes are recommended as promising parental lines for developing season-independent, climate-resilient brinjal cultivars and for direct commercial release where consistent morphological expression and market acceptability are critical.</w:t>
      </w:r>
    </w:p>
    <w:p w:rsidR="00913D9D" w:rsidRPr="00913D9D" w:rsidRDefault="00913D9D" w:rsidP="00913D9D">
      <w:pPr>
        <w:spacing w:before="100" w:beforeAutospacing="1" w:after="100" w:afterAutospacing="1" w:line="360" w:lineRule="auto"/>
        <w:jc w:val="both"/>
        <w:rPr>
          <w:rFonts w:ascii="Times New Roman" w:eastAsia="Times New Roman" w:hAnsi="Times New Roman" w:cs="Times New Roman"/>
          <w:sz w:val="24"/>
          <w:szCs w:val="24"/>
          <w:lang w:val="en-US" w:eastAsia="en-IN"/>
        </w:rPr>
      </w:pPr>
      <w:r w:rsidRPr="00913D9D">
        <w:rPr>
          <w:rFonts w:ascii="Times New Roman" w:eastAsia="Times New Roman" w:hAnsi="Times New Roman" w:cs="Times New Roman"/>
          <w:b/>
          <w:sz w:val="24"/>
          <w:szCs w:val="24"/>
          <w:lang w:val="en-US" w:eastAsia="en-IN"/>
        </w:rPr>
        <w:t>Keywords:</w:t>
      </w:r>
      <w:r w:rsidRPr="00913D9D">
        <w:rPr>
          <w:rFonts w:ascii="Times New Roman" w:eastAsia="Times New Roman" w:hAnsi="Times New Roman" w:cs="Times New Roman"/>
          <w:sz w:val="24"/>
          <w:szCs w:val="24"/>
          <w:lang w:val="en-US" w:eastAsia="en-IN"/>
        </w:rPr>
        <w:t xml:space="preserve"> Brinjal, climate-resilient breeding</w:t>
      </w:r>
      <w:r>
        <w:rPr>
          <w:rFonts w:ascii="Times New Roman" w:eastAsia="Times New Roman" w:hAnsi="Times New Roman" w:cs="Times New Roman"/>
          <w:sz w:val="24"/>
          <w:szCs w:val="24"/>
          <w:lang w:val="en-US" w:eastAsia="en-IN"/>
        </w:rPr>
        <w:t>,</w:t>
      </w:r>
      <w:r w:rsidRPr="00913D9D">
        <w:rPr>
          <w:rFonts w:ascii="Times New Roman" w:eastAsia="Times New Roman" w:hAnsi="Times New Roman" w:cs="Times New Roman"/>
          <w:sz w:val="24"/>
          <w:szCs w:val="24"/>
          <w:lang w:val="en-US" w:eastAsia="en-IN"/>
        </w:rPr>
        <w:t xml:space="preserve"> genotype × environment interaction</w:t>
      </w:r>
      <w:r>
        <w:rPr>
          <w:rFonts w:ascii="Times New Roman" w:eastAsia="Times New Roman" w:hAnsi="Times New Roman" w:cs="Times New Roman"/>
          <w:sz w:val="24"/>
          <w:szCs w:val="24"/>
          <w:lang w:val="en-US" w:eastAsia="en-IN"/>
        </w:rPr>
        <w:t xml:space="preserve">, </w:t>
      </w:r>
      <w:r w:rsidRPr="00913D9D">
        <w:rPr>
          <w:rFonts w:ascii="Times New Roman" w:eastAsia="Times New Roman" w:hAnsi="Times New Roman" w:cs="Times New Roman"/>
          <w:sz w:val="24"/>
          <w:szCs w:val="24"/>
          <w:lang w:val="en-US" w:eastAsia="en-IN"/>
        </w:rPr>
        <w:t>hybrids</w:t>
      </w:r>
      <w:r>
        <w:rPr>
          <w:rFonts w:ascii="Times New Roman" w:eastAsia="Times New Roman" w:hAnsi="Times New Roman" w:cs="Times New Roman"/>
          <w:sz w:val="24"/>
          <w:szCs w:val="24"/>
          <w:lang w:val="en-US" w:eastAsia="en-IN"/>
        </w:rPr>
        <w:t>,</w:t>
      </w:r>
      <w:r w:rsidRPr="00913D9D">
        <w:rPr>
          <w:rFonts w:ascii="Times New Roman" w:eastAsia="Times New Roman" w:hAnsi="Times New Roman" w:cs="Times New Roman"/>
          <w:sz w:val="24"/>
          <w:szCs w:val="24"/>
          <w:lang w:val="en-US" w:eastAsia="en-IN"/>
        </w:rPr>
        <w:t xml:space="preserve"> inbreds,</w:t>
      </w:r>
      <w:r>
        <w:rPr>
          <w:rFonts w:ascii="Times New Roman" w:eastAsia="Times New Roman" w:hAnsi="Times New Roman" w:cs="Times New Roman"/>
          <w:sz w:val="24"/>
          <w:szCs w:val="24"/>
          <w:lang w:val="en-US" w:eastAsia="en-IN"/>
        </w:rPr>
        <w:t xml:space="preserve"> phenotypic plasticity, seasonal stability.</w:t>
      </w:r>
      <w:r w:rsidRPr="00913D9D">
        <w:rPr>
          <w:rFonts w:ascii="Times New Roman" w:eastAsia="Times New Roman" w:hAnsi="Times New Roman" w:cs="Times New Roman"/>
          <w:sz w:val="24"/>
          <w:szCs w:val="24"/>
          <w:lang w:val="en-US" w:eastAsia="en-IN"/>
        </w:rPr>
        <w:t xml:space="preserve"> </w:t>
      </w:r>
    </w:p>
    <w:p w:rsidR="008D45DB" w:rsidRPr="00D637A9" w:rsidRDefault="008D45DB" w:rsidP="00913D9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t>Introduction</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Brinjal (</w:t>
      </w:r>
      <w:r w:rsidRPr="00D637A9">
        <w:rPr>
          <w:rFonts w:ascii="Times New Roman" w:eastAsia="Times New Roman" w:hAnsi="Times New Roman" w:cs="Times New Roman"/>
          <w:i/>
          <w:sz w:val="24"/>
          <w:szCs w:val="24"/>
          <w:lang w:eastAsia="en-IN"/>
        </w:rPr>
        <w:t>Solanum</w:t>
      </w:r>
      <w:r w:rsidR="00F04B1A" w:rsidRPr="00D637A9">
        <w:rPr>
          <w:rFonts w:ascii="Times New Roman" w:eastAsia="Times New Roman" w:hAnsi="Times New Roman" w:cs="Times New Roman"/>
          <w:i/>
          <w:sz w:val="24"/>
          <w:szCs w:val="24"/>
          <w:lang w:eastAsia="en-IN"/>
        </w:rPr>
        <w:t xml:space="preserve"> </w:t>
      </w:r>
      <w:r w:rsidRPr="00D637A9">
        <w:rPr>
          <w:rFonts w:ascii="Times New Roman" w:eastAsia="Times New Roman" w:hAnsi="Times New Roman" w:cs="Times New Roman"/>
          <w:i/>
          <w:sz w:val="24"/>
          <w:szCs w:val="24"/>
          <w:lang w:eastAsia="en-IN"/>
        </w:rPr>
        <w:t>melongena</w:t>
      </w:r>
      <w:r w:rsidRPr="00D637A9">
        <w:rPr>
          <w:rFonts w:ascii="Times New Roman" w:eastAsia="Times New Roman" w:hAnsi="Times New Roman" w:cs="Times New Roman"/>
          <w:sz w:val="24"/>
          <w:szCs w:val="24"/>
          <w:lang w:eastAsia="en-IN"/>
        </w:rPr>
        <w:t xml:space="preserve"> L.), commonly known as eggplant or aubergine, is a vital vegetable crop in tropical and subtropical regions, valued as both a dietary staple and an economic resource. Globally, it occupies over 1.8 million hectares, producing more than 55 million tonnes annually, with India accounting for approximately 26% of production (FAO, 2023). Its extensive phenotypic diversity and adaptability to varied environments make it an excellent model for studying genotype by environment (G×E) interactions, particularly under contrasting seasonal conditions (Choudhary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2023). Phenotypic traits such as growth habit, fruit shape, and pigmentation are essential for varietal identification, market preference, and breeding programs. These traits are guided by standardized descriptors from the Protection of Plant Varieties and Farmers’ Rights Authority (PPV</w:t>
      </w:r>
      <w:r w:rsidR="00ED31F6">
        <w:rPr>
          <w:rFonts w:ascii="Times New Roman" w:eastAsia="Times New Roman" w:hAnsi="Times New Roman" w:cs="Times New Roman"/>
          <w:sz w:val="24"/>
          <w:szCs w:val="24"/>
          <w:lang w:eastAsia="en-IN"/>
        </w:rPr>
        <w:t xml:space="preserve"> </w:t>
      </w:r>
      <w:r w:rsidR="001C6607" w:rsidRPr="00D637A9">
        <w:rPr>
          <w:rFonts w:ascii="Times New Roman" w:eastAsia="Times New Roman" w:hAnsi="Times New Roman" w:cs="Times New Roman"/>
          <w:sz w:val="24"/>
          <w:szCs w:val="24"/>
          <w:lang w:eastAsia="en-IN"/>
        </w:rPr>
        <w:t>and</w:t>
      </w:r>
      <w:r w:rsidR="00ED31F6">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 xml:space="preserve">FRA, 2021) and the International Plant Genetic Resources Institute (IPGRI, 1990), ensuring consistent evaluation across studies. The expression of these traits is influenced by genetic and epigenetic factors, with anthocyanin biosynthesis, which determines fruit and leaf coloration, being particularly sensitive to environmental variables like temperature, light intensity, and humidity (Li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High summer temperatures often suppress anthocyanin accumulation, leading to lighter fruit colours, while the moderate temperatures and high humidity of the kharif season enhanc</w:t>
      </w:r>
      <w:r w:rsidR="00F04B1A" w:rsidRPr="00D637A9">
        <w:rPr>
          <w:rFonts w:ascii="Times New Roman" w:eastAsia="Times New Roman" w:hAnsi="Times New Roman" w:cs="Times New Roman"/>
          <w:sz w:val="24"/>
          <w:szCs w:val="24"/>
          <w:lang w:eastAsia="en-IN"/>
        </w:rPr>
        <w:t xml:space="preserve">e darker pigmentation (Das Saha and </w:t>
      </w:r>
      <w:r w:rsidRPr="00D637A9">
        <w:rPr>
          <w:rFonts w:ascii="Times New Roman" w:eastAsia="Times New Roman" w:hAnsi="Times New Roman" w:cs="Times New Roman"/>
          <w:sz w:val="24"/>
          <w:szCs w:val="24"/>
          <w:lang w:eastAsia="en-IN"/>
        </w:rPr>
        <w:t>Ghoshal, 2022).</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In India, brinjal is cultivated year-round, but its performance varies significantly between the summer (March–June) and </w:t>
      </w:r>
      <w:r w:rsidRPr="00D637A9">
        <w:rPr>
          <w:rFonts w:ascii="Times New Roman" w:eastAsia="Times New Roman" w:hAnsi="Times New Roman" w:cs="Times New Roman"/>
          <w:i/>
          <w:sz w:val="24"/>
          <w:szCs w:val="24"/>
          <w:lang w:eastAsia="en-IN"/>
        </w:rPr>
        <w:t xml:space="preserve">kharif </w:t>
      </w:r>
      <w:r w:rsidRPr="00D637A9">
        <w:rPr>
          <w:rFonts w:ascii="Times New Roman" w:eastAsia="Times New Roman" w:hAnsi="Times New Roman" w:cs="Times New Roman"/>
          <w:sz w:val="24"/>
          <w:szCs w:val="24"/>
          <w:lang w:eastAsia="en-IN"/>
        </w:rPr>
        <w:t>(July–October) seasons due to distinct agro</w:t>
      </w:r>
      <w:r w:rsidR="00F04B1A" w:rsidRPr="00D637A9">
        <w:rPr>
          <w:rFonts w:ascii="Times New Roman" w:eastAsia="Times New Roman" w:hAnsi="Times New Roman" w:cs="Times New Roman"/>
          <w:sz w:val="24"/>
          <w:szCs w:val="24"/>
          <w:lang w:eastAsia="en-IN"/>
        </w:rPr>
        <w:t>-</w:t>
      </w:r>
      <w:r w:rsidRPr="00D637A9">
        <w:rPr>
          <w:rFonts w:ascii="Times New Roman" w:eastAsia="Times New Roman" w:hAnsi="Times New Roman" w:cs="Times New Roman"/>
          <w:sz w:val="24"/>
          <w:szCs w:val="24"/>
          <w:lang w:eastAsia="en-IN"/>
        </w:rPr>
        <w:t xml:space="preserve">climatic conditions. The summer season is characterized by high temperatures of 35–45 °C, low relative humidity of 30–40%, and high evapotranspiration, imposing physiological stress on the crop. In contrast, the </w:t>
      </w:r>
      <w:r w:rsidRPr="00AB4413">
        <w:rPr>
          <w:rFonts w:ascii="Times New Roman" w:eastAsia="Times New Roman" w:hAnsi="Times New Roman" w:cs="Times New Roman"/>
          <w:i/>
          <w:sz w:val="24"/>
          <w:szCs w:val="24"/>
          <w:lang w:eastAsia="en-IN"/>
        </w:rPr>
        <w:t>kharif</w:t>
      </w:r>
      <w:r w:rsidR="00AB4413">
        <w:rPr>
          <w:rFonts w:ascii="Times New Roman" w:eastAsia="Times New Roman" w:hAnsi="Times New Roman" w:cs="Times New Roman"/>
          <w:sz w:val="24"/>
          <w:szCs w:val="24"/>
          <w:lang w:eastAsia="en-IN"/>
        </w:rPr>
        <w:t xml:space="preserve"> season </w:t>
      </w:r>
      <w:r w:rsidR="00AB4413" w:rsidRPr="00AB4413">
        <w:rPr>
          <w:rFonts w:ascii="Times New Roman" w:eastAsia="Times New Roman" w:hAnsi="Times New Roman" w:cs="Times New Roman"/>
          <w:sz w:val="24"/>
          <w:szCs w:val="24"/>
          <w:lang w:eastAsia="en-IN"/>
        </w:rPr>
        <w:t>is characterized by</w:t>
      </w:r>
      <w:r w:rsidRPr="00D637A9">
        <w:rPr>
          <w:rFonts w:ascii="Times New Roman" w:eastAsia="Times New Roman" w:hAnsi="Times New Roman" w:cs="Times New Roman"/>
          <w:sz w:val="24"/>
          <w:szCs w:val="24"/>
          <w:lang w:eastAsia="en-IN"/>
        </w:rPr>
        <w:t xml:space="preserve"> monsoon</w:t>
      </w:r>
      <w:r w:rsidR="00AB4413">
        <w:rPr>
          <w:rFonts w:ascii="Times New Roman" w:eastAsia="Times New Roman" w:hAnsi="Times New Roman" w:cs="Times New Roman"/>
          <w:sz w:val="24"/>
          <w:szCs w:val="24"/>
          <w:lang w:eastAsia="en-IN"/>
        </w:rPr>
        <w:t>/</w:t>
      </w:r>
      <w:r w:rsidRPr="00D637A9">
        <w:rPr>
          <w:rFonts w:ascii="Times New Roman" w:eastAsia="Times New Roman" w:hAnsi="Times New Roman" w:cs="Times New Roman"/>
          <w:sz w:val="24"/>
          <w:szCs w:val="24"/>
          <w:lang w:eastAsia="en-IN"/>
        </w:rPr>
        <w:t xml:space="preserve">rainfall, moderate temperatures of 28–33 °C, and high humidity of 70–85%, fostering vegetative and reproductive growth (Kaur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These environmental differences influence traits </w:t>
      </w:r>
      <w:r w:rsidRPr="00D637A9">
        <w:rPr>
          <w:rFonts w:ascii="Times New Roman" w:eastAsia="Times New Roman" w:hAnsi="Times New Roman" w:cs="Times New Roman"/>
          <w:sz w:val="24"/>
          <w:szCs w:val="24"/>
          <w:lang w:eastAsia="en-IN"/>
        </w:rPr>
        <w:lastRenderedPageBreak/>
        <w:t xml:space="preserve">such as growth habit, fruit set, and pigmentation, with high temperatures reducing pollen viability and fruit set, and excessive </w:t>
      </w:r>
      <w:r w:rsidRPr="00ED31F6">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moisture affecting root aeration and canopy density (Singh </w:t>
      </w:r>
      <w:r w:rsidRPr="00D637A9">
        <w:rPr>
          <w:rFonts w:ascii="Times New Roman" w:eastAsia="Times New Roman" w:hAnsi="Times New Roman" w:cs="Times New Roman"/>
          <w:i/>
          <w:sz w:val="24"/>
          <w:szCs w:val="24"/>
          <w:lang w:eastAsia="en-IN"/>
        </w:rPr>
        <w:t xml:space="preserve">et al., </w:t>
      </w:r>
      <w:r w:rsidRPr="00D637A9">
        <w:rPr>
          <w:rFonts w:ascii="Times New Roman" w:eastAsia="Times New Roman" w:hAnsi="Times New Roman" w:cs="Times New Roman"/>
          <w:sz w:val="24"/>
          <w:szCs w:val="24"/>
          <w:lang w:eastAsia="en-IN"/>
        </w:rPr>
        <w:t xml:space="preserve">2021; Sharma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2022). G×E interactions, where genotypes respond differently to environmental changes, are critical for breeding programs aiming to develop stable and adaptable cultivars (Anandan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In brinjal, these interactions affect both quantitative traits like yield and qualitative traits like morphology, with phenotypic plasticity enabling adaptation and resilience (Nicotra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2010).</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While genetic variability in brinjal is well-documented (Kumar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2019)</w:t>
      </w:r>
      <w:r w:rsidR="00F04B1A" w:rsidRPr="00D637A9">
        <w:rPr>
          <w:rFonts w:ascii="Times New Roman" w:eastAsia="Times New Roman" w:hAnsi="Times New Roman" w:cs="Times New Roman"/>
          <w:sz w:val="24"/>
          <w:szCs w:val="24"/>
          <w:lang w:eastAsia="en-IN"/>
        </w:rPr>
        <w:t>;</w:t>
      </w:r>
      <w:r w:rsidRPr="00D637A9">
        <w:rPr>
          <w:rFonts w:ascii="Times New Roman" w:eastAsia="Times New Roman" w:hAnsi="Times New Roman" w:cs="Times New Roman"/>
          <w:sz w:val="24"/>
          <w:szCs w:val="24"/>
          <w:lang w:eastAsia="en-IN"/>
        </w:rPr>
        <w:t xml:space="preserve"> studies comparing phenotypic trait stability across seasons are limited, with most focusing on yield or biochemical parameters rather than visible morphological changes. Previous research indicates that high summer temperatures reduce fruit set and pigmentation intensity, while </w:t>
      </w:r>
      <w:r w:rsidRPr="00ED31F6">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conditions promote erect growth and compact canopies due to increased turgor pressu</w:t>
      </w:r>
      <w:r w:rsidR="00F04B1A" w:rsidRPr="00D637A9">
        <w:rPr>
          <w:rFonts w:ascii="Times New Roman" w:eastAsia="Times New Roman" w:hAnsi="Times New Roman" w:cs="Times New Roman"/>
          <w:sz w:val="24"/>
          <w:szCs w:val="24"/>
          <w:lang w:eastAsia="en-IN"/>
        </w:rPr>
        <w:t xml:space="preserve">re and leaf expansion (Das Saha and </w:t>
      </w:r>
      <w:r w:rsidRPr="00D637A9">
        <w:rPr>
          <w:rFonts w:ascii="Times New Roman" w:eastAsia="Times New Roman" w:hAnsi="Times New Roman" w:cs="Times New Roman"/>
          <w:sz w:val="24"/>
          <w:szCs w:val="24"/>
          <w:lang w:eastAsia="en-IN"/>
        </w:rPr>
        <w:t xml:space="preserve">Ghoshal, 2022; Kaur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However, comprehensive analyses of seasonal variation in large genotype sets, particularly distinguishing between inbreds (lines, testers, checks) and hybrids, remain scarce. Inbreds, with their homozygous nature, may exhibit greater trait fixation and stability, while hybrids, benefiting from heterosis, could show enhanced plasticity in response to environmental cues. This study addresses this gap by evaluating 68 diverse brinjal genotypes across summer and </w:t>
      </w:r>
      <w:r w:rsidRPr="00ED31F6">
        <w:rPr>
          <w:rFonts w:ascii="Times New Roman" w:eastAsia="Times New Roman" w:hAnsi="Times New Roman" w:cs="Times New Roman"/>
          <w:i/>
          <w:sz w:val="24"/>
          <w:szCs w:val="24"/>
          <w:lang w:eastAsia="en-IN"/>
        </w:rPr>
        <w:t xml:space="preserve">kharif </w:t>
      </w:r>
      <w:r w:rsidRPr="00D637A9">
        <w:rPr>
          <w:rFonts w:ascii="Times New Roman" w:eastAsia="Times New Roman" w:hAnsi="Times New Roman" w:cs="Times New Roman"/>
          <w:sz w:val="24"/>
          <w:szCs w:val="24"/>
          <w:lang w:eastAsia="en-IN"/>
        </w:rPr>
        <w:t>seasons, focusing on seven qualitative traits to quantify phenotypic plasticity and stability separately for inbreds and hybrids. The objectives were to assess the extent of seasonal phenotypic variation, identify trait-specific differentiation patterns using statistical tests (chi-square, McNemar, Stuart-Maxwell, and ANOVA), categorize genotypes based on stability within each group, and discuss implications for breeding climate-resilient cultivars. By elucidating G×E interactions in inbreds and hybrids, this research aims to inform strategies for developing cultivars suited to specific seasons or resilient to climatic variability, enhancing sustainable brinjal cultivation in the face of changing environmental conditions.</w:t>
      </w:r>
    </w:p>
    <w:p w:rsidR="008D45DB" w:rsidRPr="00D637A9" w:rsidRDefault="008D45DB"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t>Materials and Methods</w:t>
      </w:r>
    </w:p>
    <w:p w:rsidR="008D45DB" w:rsidRPr="00D637A9" w:rsidRDefault="00F04B1A"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The study was conducted at Vegetable Research Farm, ICAR- Indian Institute of Vegetable Research (IIVR), Varanasi, </w:t>
      </w:r>
      <w:r w:rsidR="001B7D8A" w:rsidRPr="00D637A9">
        <w:rPr>
          <w:rFonts w:ascii="Times New Roman" w:eastAsia="Times New Roman" w:hAnsi="Times New Roman" w:cs="Times New Roman"/>
          <w:sz w:val="24"/>
          <w:szCs w:val="24"/>
          <w:lang w:eastAsia="en-IN"/>
        </w:rPr>
        <w:t>and Uttar Pradesh, India, located at 25° 28′N, 81° 52′E</w:t>
      </w:r>
      <w:r w:rsidR="008D45DB" w:rsidRPr="00D637A9">
        <w:rPr>
          <w:rFonts w:ascii="Times New Roman" w:eastAsia="Times New Roman" w:hAnsi="Times New Roman" w:cs="Times New Roman"/>
          <w:sz w:val="24"/>
          <w:szCs w:val="24"/>
          <w:lang w:eastAsia="en-IN"/>
        </w:rPr>
        <w:t>, and 98 meters above sea level. The experiment spanned the summer (March–June) and</w:t>
      </w:r>
      <w:r w:rsidR="008D45DB" w:rsidRPr="00D637A9">
        <w:rPr>
          <w:rFonts w:ascii="Times New Roman" w:eastAsia="Times New Roman" w:hAnsi="Times New Roman" w:cs="Times New Roman"/>
          <w:i/>
          <w:sz w:val="24"/>
          <w:szCs w:val="24"/>
          <w:lang w:eastAsia="en-IN"/>
        </w:rPr>
        <w:t xml:space="preserve"> kharif</w:t>
      </w:r>
      <w:r w:rsidR="008D45DB" w:rsidRPr="00D637A9">
        <w:rPr>
          <w:rFonts w:ascii="Times New Roman" w:eastAsia="Times New Roman" w:hAnsi="Times New Roman" w:cs="Times New Roman"/>
          <w:sz w:val="24"/>
          <w:szCs w:val="24"/>
          <w:lang w:eastAsia="en-IN"/>
        </w:rPr>
        <w:t xml:space="preserve"> (July–October) seasons of 2023, utilizing the region’s alluvial loam soil (Inceptisol, pH 6.8–7.2) with moderate fertility. Summer conditions featured high temperatures of 40–44 °C, low </w:t>
      </w:r>
      <w:r w:rsidR="008D45DB" w:rsidRPr="00D637A9">
        <w:rPr>
          <w:rFonts w:ascii="Times New Roman" w:eastAsia="Times New Roman" w:hAnsi="Times New Roman" w:cs="Times New Roman"/>
          <w:sz w:val="24"/>
          <w:szCs w:val="24"/>
          <w:lang w:eastAsia="en-IN"/>
        </w:rPr>
        <w:lastRenderedPageBreak/>
        <w:t>relative humidity of 35–40%, and minimal rainfall of less than 30 mm, creating a stressful environment for plant growth. In contrast, the</w:t>
      </w:r>
      <w:r w:rsidR="008D45DB" w:rsidRPr="00ED31F6">
        <w:rPr>
          <w:rFonts w:ascii="Times New Roman" w:eastAsia="Times New Roman" w:hAnsi="Times New Roman" w:cs="Times New Roman"/>
          <w:i/>
          <w:sz w:val="24"/>
          <w:szCs w:val="24"/>
          <w:lang w:eastAsia="en-IN"/>
        </w:rPr>
        <w:t xml:space="preserve"> kharif</w:t>
      </w:r>
      <w:r w:rsidR="008D45DB" w:rsidRPr="00D637A9">
        <w:rPr>
          <w:rFonts w:ascii="Times New Roman" w:eastAsia="Times New Roman" w:hAnsi="Times New Roman" w:cs="Times New Roman"/>
          <w:sz w:val="24"/>
          <w:szCs w:val="24"/>
          <w:lang w:eastAsia="en-IN"/>
        </w:rPr>
        <w:t xml:space="preserve"> season was characterized by monsoon</w:t>
      </w:r>
      <w:r w:rsidR="00ED31F6">
        <w:rPr>
          <w:rFonts w:ascii="Times New Roman" w:eastAsia="Times New Roman" w:hAnsi="Times New Roman" w:cs="Times New Roman"/>
          <w:sz w:val="24"/>
          <w:szCs w:val="24"/>
          <w:lang w:eastAsia="en-IN"/>
        </w:rPr>
        <w:t>/</w:t>
      </w:r>
      <w:r w:rsidR="008D45DB" w:rsidRPr="00D637A9">
        <w:rPr>
          <w:rFonts w:ascii="Times New Roman" w:eastAsia="Times New Roman" w:hAnsi="Times New Roman" w:cs="Times New Roman"/>
          <w:sz w:val="24"/>
          <w:szCs w:val="24"/>
          <w:lang w:eastAsia="en-IN"/>
        </w:rPr>
        <w:t xml:space="preserve"> precipitation totalling approximately 850 mm, moderate temperatures of 28–33 °C, and high humidity of 70–85%, fostering favo</w:t>
      </w:r>
      <w:r w:rsidR="00ED31F6">
        <w:rPr>
          <w:rFonts w:ascii="Times New Roman" w:eastAsia="Times New Roman" w:hAnsi="Times New Roman" w:cs="Times New Roman"/>
          <w:sz w:val="24"/>
          <w:szCs w:val="24"/>
          <w:lang w:eastAsia="en-IN"/>
        </w:rPr>
        <w:t>u</w:t>
      </w:r>
      <w:r w:rsidR="008D45DB" w:rsidRPr="00D637A9">
        <w:rPr>
          <w:rFonts w:ascii="Times New Roman" w:eastAsia="Times New Roman" w:hAnsi="Times New Roman" w:cs="Times New Roman"/>
          <w:sz w:val="24"/>
          <w:szCs w:val="24"/>
          <w:lang w:eastAsia="en-IN"/>
        </w:rPr>
        <w:t>rable conditions for vegetative and reproductive development. These contrasting climates provided a natural gradient to assess phenotypic plasticity in brinjal genotypes under varying environmental influences.</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Sixty-eight</w:t>
      </w:r>
      <w:r w:rsidR="001C6607" w:rsidRPr="00D637A9">
        <w:rPr>
          <w:rFonts w:ascii="Times New Roman" w:eastAsia="Times New Roman" w:hAnsi="Times New Roman" w:cs="Times New Roman"/>
          <w:sz w:val="24"/>
          <w:szCs w:val="24"/>
          <w:lang w:eastAsia="en-IN"/>
        </w:rPr>
        <w:t xml:space="preserve"> brinjal genotypes, including 22</w:t>
      </w:r>
      <w:r w:rsidRPr="00D637A9">
        <w:rPr>
          <w:rFonts w:ascii="Times New Roman" w:eastAsia="Times New Roman" w:hAnsi="Times New Roman" w:cs="Times New Roman"/>
          <w:sz w:val="24"/>
          <w:szCs w:val="24"/>
          <w:lang w:eastAsia="en-IN"/>
        </w:rPr>
        <w:t xml:space="preserve"> inbreds (14 lines: IVBL-24 to IVBL-31, IVBR-17 to IVBR-24, SHP-2; 3 testers: Selection-10, Kashi</w:t>
      </w:r>
      <w:r w:rsidR="00F04B1A"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Uttam, CHBR-2; 5 checks: Kashi</w:t>
      </w:r>
      <w:r w:rsidR="00F04B1A"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Manohar</w:t>
      </w:r>
      <w:r w:rsidR="00F04B1A" w:rsidRPr="00D637A9">
        <w:rPr>
          <w:rFonts w:ascii="Times New Roman" w:eastAsia="Times New Roman" w:hAnsi="Times New Roman" w:cs="Times New Roman"/>
          <w:sz w:val="24"/>
          <w:szCs w:val="24"/>
          <w:lang w:eastAsia="en-IN"/>
        </w:rPr>
        <w:t>(Hybrid)</w:t>
      </w:r>
      <w:r w:rsidRPr="00D637A9">
        <w:rPr>
          <w:rFonts w:ascii="Times New Roman" w:eastAsia="Times New Roman" w:hAnsi="Times New Roman" w:cs="Times New Roman"/>
          <w:sz w:val="24"/>
          <w:szCs w:val="24"/>
          <w:lang w:eastAsia="en-IN"/>
        </w:rPr>
        <w:t>, Kashi</w:t>
      </w:r>
      <w:r w:rsidR="00F04B1A"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Sandesh</w:t>
      </w:r>
      <w:r w:rsidR="00F04B1A" w:rsidRPr="00D637A9">
        <w:rPr>
          <w:rFonts w:ascii="Times New Roman" w:eastAsia="Times New Roman" w:hAnsi="Times New Roman" w:cs="Times New Roman"/>
          <w:sz w:val="24"/>
          <w:szCs w:val="24"/>
          <w:lang w:eastAsia="en-IN"/>
        </w:rPr>
        <w:t xml:space="preserve">(Hybrid), </w:t>
      </w:r>
      <w:r w:rsidRPr="00D637A9">
        <w:rPr>
          <w:rFonts w:ascii="Times New Roman" w:eastAsia="Times New Roman" w:hAnsi="Times New Roman" w:cs="Times New Roman"/>
          <w:sz w:val="24"/>
          <w:szCs w:val="24"/>
          <w:lang w:eastAsia="en-IN"/>
        </w:rPr>
        <w:t xml:space="preserve"> Pant Rituraj</w:t>
      </w:r>
      <w:r w:rsidR="001C6607" w:rsidRPr="00D637A9">
        <w:rPr>
          <w:rFonts w:ascii="Times New Roman" w:eastAsia="Times New Roman" w:hAnsi="Times New Roman" w:cs="Times New Roman"/>
          <w:sz w:val="24"/>
          <w:szCs w:val="24"/>
          <w:lang w:eastAsia="en-IN"/>
        </w:rPr>
        <w:t>(inbred)) and 46</w:t>
      </w:r>
      <w:r w:rsidRPr="00D637A9">
        <w:rPr>
          <w:rFonts w:ascii="Times New Roman" w:eastAsia="Times New Roman" w:hAnsi="Times New Roman" w:cs="Times New Roman"/>
          <w:sz w:val="24"/>
          <w:szCs w:val="24"/>
          <w:lang w:eastAsia="en-IN"/>
        </w:rPr>
        <w:t xml:space="preserve"> hybrids (IVBHLW-1 to IVBHLW-25, IVBHRW-1 to IVBHRW-29, excluding some numbers), were sourced from the ICAR–Indian Institute of Vegetable Research (IIVR), Varanasi. These genotypes represented diverse genetic backgrounds and morphological expressions, ensuring a broad evaluation of phenotypic responses. The experiment was designed as a Randomized Complete Block Design (RCBD) with three replications per genotype in each season. Each experimental unit consisted of 10 plants per replication, spaced at 60 cm × 45 cm, following standard agronomic practices for brinjal cultivation. Uniform irrigation, pest management, and nutrient application were maintained across both seasons to minimize confounding effects beyond climatic variation. Seven qualitative traits were evaluated at peak flowering and fruiting stages, using standardized descriptors from the PPV</w:t>
      </w:r>
      <w:r w:rsidR="00ED31F6">
        <w:rPr>
          <w:rFonts w:ascii="Times New Roman" w:eastAsia="Times New Roman" w:hAnsi="Times New Roman" w:cs="Times New Roman"/>
          <w:sz w:val="24"/>
          <w:szCs w:val="24"/>
          <w:lang w:eastAsia="en-IN"/>
        </w:rPr>
        <w:t xml:space="preserve"> </w:t>
      </w:r>
      <w:r w:rsidR="001C6607" w:rsidRPr="00D637A9">
        <w:rPr>
          <w:rFonts w:ascii="Times New Roman" w:eastAsia="Times New Roman" w:hAnsi="Times New Roman" w:cs="Times New Roman"/>
          <w:sz w:val="24"/>
          <w:szCs w:val="24"/>
          <w:lang w:eastAsia="en-IN"/>
        </w:rPr>
        <w:t>and</w:t>
      </w:r>
      <w:r w:rsidR="00ED31F6">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 xml:space="preserve">FRA (2021) and IPGRI (1990). These traits included growth habit (categorized as erect, semi-erect, or spreading), fruit colour (light purple, purple, dark purple, white, green, or other), fruit shape (round, long, oval, or oblong), calyx colour (green or purple), fruit flesh colour (white or greenish white), leaf vein colour (green or purple), and leaf </w:t>
      </w:r>
      <w:r w:rsidR="00F04B1A" w:rsidRPr="00D637A9">
        <w:rPr>
          <w:rFonts w:ascii="Times New Roman" w:eastAsia="Times New Roman" w:hAnsi="Times New Roman" w:cs="Times New Roman"/>
          <w:sz w:val="24"/>
          <w:szCs w:val="24"/>
          <w:lang w:eastAsia="en-IN"/>
        </w:rPr>
        <w:t>spinyness</w:t>
      </w:r>
      <w:r w:rsidRPr="00D637A9">
        <w:rPr>
          <w:rFonts w:ascii="Times New Roman" w:eastAsia="Times New Roman" w:hAnsi="Times New Roman" w:cs="Times New Roman"/>
          <w:sz w:val="24"/>
          <w:szCs w:val="24"/>
          <w:lang w:eastAsia="en-IN"/>
        </w:rPr>
        <w:t xml:space="preserve"> (absent or present). Data were collected from five representative plants per replication, with modal values used for analysis to ensure consistency in trait characterization.</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Seasonal trait variation was assessed by comparing trait categories between summer and kharif seasons, with a change in category (e.g., semi-erect to erect) recorded as a phenotypic variation. The percentage of genotypes showing variation per trait was calculated as the number of genotypes with a trait change divided by the group total</w:t>
      </w:r>
      <w:r w:rsidR="001C6607" w:rsidRPr="00D637A9">
        <w:rPr>
          <w:rFonts w:ascii="Times New Roman" w:eastAsia="Times New Roman" w:hAnsi="Times New Roman" w:cs="Times New Roman"/>
          <w:sz w:val="24"/>
          <w:szCs w:val="24"/>
          <w:lang w:eastAsia="en-IN"/>
        </w:rPr>
        <w:t xml:space="preserve"> (22 for inbreds, 46</w:t>
      </w:r>
      <w:r w:rsidRPr="00D637A9">
        <w:rPr>
          <w:rFonts w:ascii="Times New Roman" w:eastAsia="Times New Roman" w:hAnsi="Times New Roman" w:cs="Times New Roman"/>
          <w:sz w:val="24"/>
          <w:szCs w:val="24"/>
          <w:lang w:eastAsia="en-IN"/>
        </w:rPr>
        <w:t xml:space="preserve"> for hybrids), multiplied by 100. Genotypes were classified as stable if no traits changed or variable if one or more traits differed, with variable genotypes further grouped by the number of traits affected, separately for inbreds and hybrids. Data were organized using Microsoft </w:t>
      </w:r>
      <w:r w:rsidRPr="00D637A9">
        <w:rPr>
          <w:rFonts w:ascii="Times New Roman" w:eastAsia="Times New Roman" w:hAnsi="Times New Roman" w:cs="Times New Roman"/>
          <w:sz w:val="24"/>
          <w:szCs w:val="24"/>
          <w:lang w:eastAsia="en-IN"/>
        </w:rPr>
        <w:lastRenderedPageBreak/>
        <w:t>Excel (v.2021), and frequency distributions of trait categories were calculated to identify directional shifts in trait expression. Statistical analyses were conducted to evaluate G×E interactions and trait stability, performed separately for inbreds and hybrids where sample sizes permitted. Chi-square tests (Pearson, 1900) were used to assess seasonal shifts in trait distributions, comparing observed frequencies across seasons for growth habit, fruit colour, and fruit shape. McNemar tests (McNemar, 1947) evaluated paired categorical changes for specific trait transitions (e.g., semi-erect to erect, purple to dark purple). The Stuart-Maxwell test (Stuart, 1955) analyzed fruit colour transitions across multiple categories for marginal homogeneity, accounting for the multi-level nature of colour categories. To further quantify G×E interactions, a two-way ANOVA (Fisher, 1925) was applied to assess the effects of genotype, season, and their interaction on the frequency of trait expressions, treating trait categories as binary or ordinal responses where applicable. Trait correlations were examined using chi-square tests with Yates’ continuity correction (Yates, 1934) on binary change indicators (change=1, no change=0). Analyses were performed using R (R Core Team, 2023), with significance set at α=0.05. The statistical approach focused on descriptive patte</w:t>
      </w:r>
      <w:r w:rsidR="00F04B1A" w:rsidRPr="00D637A9">
        <w:rPr>
          <w:rFonts w:ascii="Times New Roman" w:eastAsia="Times New Roman" w:hAnsi="Times New Roman" w:cs="Times New Roman"/>
          <w:sz w:val="24"/>
          <w:szCs w:val="24"/>
          <w:lang w:eastAsia="en-IN"/>
        </w:rPr>
        <w:t>rns and G×E interactions (</w:t>
      </w:r>
      <w:r w:rsidR="00DD3E79" w:rsidRPr="00D637A9">
        <w:rPr>
          <w:rFonts w:ascii="Times New Roman" w:eastAsia="Times New Roman" w:hAnsi="Times New Roman" w:cs="Times New Roman"/>
          <w:sz w:val="24"/>
          <w:szCs w:val="24"/>
          <w:lang w:eastAsia="en-IN"/>
        </w:rPr>
        <w:t>Kang and</w:t>
      </w:r>
      <w:r w:rsidR="00F04B1A"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Gauch, 1996), aligning with the study’s goal of characterizing phenotypic differentiation to inform breeding strategies for season-specific and year-round cultivation.</w:t>
      </w:r>
    </w:p>
    <w:p w:rsidR="008D45DB" w:rsidRPr="00D637A9" w:rsidRDefault="008D45DB"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t>Results</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The comparative analysis of 68 brinjal genotypes across summer and kharif seasons revealed distinct patterns of phenotypic stability and plasticity, driven by genotype by environment (G×E) interactions (as summarized in Tables 1–9). Overall, 39 genotypes (57.4%) exhibited no variation in any of the seven qualitative traits, indicating robust phenotypic stability across diverse environmental conditions. The remaining 29 genotypes (42.6%) showed plasticity in at least one trait, with growth habit being the most variable, affecting 16 genotypes (23.5%), followed by fruit colour with 12 genotypes (17.6%), and fruit shape with 9 genotypes (13.2%). No variation was observed in calyx colour, fruit flesh colour, leaf vein colour, or leaf </w:t>
      </w:r>
      <w:r w:rsidR="00F04B1A" w:rsidRPr="00D637A9">
        <w:rPr>
          <w:rFonts w:ascii="Times New Roman" w:eastAsia="Times New Roman" w:hAnsi="Times New Roman" w:cs="Times New Roman"/>
          <w:sz w:val="24"/>
          <w:szCs w:val="24"/>
          <w:lang w:eastAsia="en-IN"/>
        </w:rPr>
        <w:t>spinyness</w:t>
      </w:r>
      <w:r w:rsidRPr="00D637A9">
        <w:rPr>
          <w:rFonts w:ascii="Times New Roman" w:eastAsia="Times New Roman" w:hAnsi="Times New Roman" w:cs="Times New Roman"/>
          <w:sz w:val="24"/>
          <w:szCs w:val="24"/>
          <w:lang w:eastAsia="en-IN"/>
        </w:rPr>
        <w:t>, suggesting these traits are genetically fixed and unaffected by seasonal changes. When an</w:t>
      </w:r>
      <w:r w:rsidR="001C6607" w:rsidRPr="00D637A9">
        <w:rPr>
          <w:rFonts w:ascii="Times New Roman" w:eastAsia="Times New Roman" w:hAnsi="Times New Roman" w:cs="Times New Roman"/>
          <w:sz w:val="24"/>
          <w:szCs w:val="24"/>
          <w:lang w:eastAsia="en-IN"/>
        </w:rPr>
        <w:t>alyzed separately, inbreds (n=22</w:t>
      </w:r>
      <w:r w:rsidRPr="00D637A9">
        <w:rPr>
          <w:rFonts w:ascii="Times New Roman" w:eastAsia="Times New Roman" w:hAnsi="Times New Roman" w:cs="Times New Roman"/>
          <w:sz w:val="24"/>
          <w:szCs w:val="24"/>
          <w:lang w:eastAsia="en-IN"/>
        </w:rPr>
        <w:t>) showed higher stability with 13 stable genotypes (59.1%) and 9 varia</w:t>
      </w:r>
      <w:r w:rsidR="001C6607" w:rsidRPr="00D637A9">
        <w:rPr>
          <w:rFonts w:ascii="Times New Roman" w:eastAsia="Times New Roman" w:hAnsi="Times New Roman" w:cs="Times New Roman"/>
          <w:sz w:val="24"/>
          <w:szCs w:val="24"/>
          <w:lang w:eastAsia="en-IN"/>
        </w:rPr>
        <w:t>ble (40.9%), while hybrids (n=46</w:t>
      </w:r>
      <w:r w:rsidRPr="00D637A9">
        <w:rPr>
          <w:rFonts w:ascii="Times New Roman" w:eastAsia="Times New Roman" w:hAnsi="Times New Roman" w:cs="Times New Roman"/>
          <w:sz w:val="24"/>
          <w:szCs w:val="24"/>
          <w:lang w:eastAsia="en-IN"/>
        </w:rPr>
        <w:t xml:space="preserve">) had 26 stable (56.5%) and 20 variable (43.5%) (Table 3).Inbreds exhibited greater relative variation in fruit colour (6 genotypes, 27.3%), whereas hybrids showed more in growth habit (13 genotypes, 28.3%) and </w:t>
      </w:r>
      <w:r w:rsidRPr="00D637A9">
        <w:rPr>
          <w:rFonts w:ascii="Times New Roman" w:eastAsia="Times New Roman" w:hAnsi="Times New Roman" w:cs="Times New Roman"/>
          <w:sz w:val="24"/>
          <w:szCs w:val="24"/>
          <w:lang w:eastAsia="en-IN"/>
        </w:rPr>
        <w:lastRenderedPageBreak/>
        <w:t>fruit shape (7 genotypes, 15.2%). The distribution of stable and variable genotypes is illustrated in Figure 1, which presents a pie chart showing overall stability, with separate insets for inbreds and hybrids (Figure 1).</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Trait-specific variations, detailed in Table 1, showed unidirectional shifts in response to kharif conditions, with group-specific patterns (Table 2). For growth habit, 16 genotypes transitioned from semi-erect in summer to erect in </w:t>
      </w:r>
      <w:r w:rsidRPr="003B65F0">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increasing the proportion of erect plants from 26.5% to 45.6% overall (Table 2). Separately, this affected 3 inbreds (13.6% increase) and 13 hybrids (28.2% </w:t>
      </w:r>
      <w:r w:rsidR="00F04B1A" w:rsidRPr="00D637A9">
        <w:rPr>
          <w:rFonts w:ascii="Times New Roman" w:eastAsia="Times New Roman" w:hAnsi="Times New Roman" w:cs="Times New Roman"/>
          <w:sz w:val="24"/>
          <w:szCs w:val="24"/>
          <w:lang w:eastAsia="en-IN"/>
        </w:rPr>
        <w:t>increases</w:t>
      </w:r>
      <w:r w:rsidRPr="00D637A9">
        <w:rPr>
          <w:rFonts w:ascii="Times New Roman" w:eastAsia="Times New Roman" w:hAnsi="Times New Roman" w:cs="Times New Roman"/>
          <w:sz w:val="24"/>
          <w:szCs w:val="24"/>
          <w:lang w:eastAsia="en-IN"/>
        </w:rPr>
        <w:t xml:space="preserve">). The chi-square test (Table 6) confirmed a significant shift in growth habit distribution overall (χ²=8.92, df=2, p=0.012), but group-wise, it was non-significant for inbreds (χ²=2.00, df=2, p=0.368) and significant for hybrids (χ²=10.15, df=2, p=0.006). The McNemar test (Table 7) validated the paired changes from semi-erect to erect overall (p=3.05×10⁻⁵), with non-significance in inbreds (p=0.250) and high significance in hybrids (p=0.0002), suggesting an adaptive response to kharif's higher humidity and moderate temperatures, more pronounced in hybrids. Fruit colour changes in 12 genotypes </w:t>
      </w:r>
      <w:r w:rsidR="001C6607" w:rsidRPr="00D637A9">
        <w:rPr>
          <w:rFonts w:ascii="Times New Roman" w:eastAsia="Times New Roman" w:hAnsi="Times New Roman" w:cs="Times New Roman"/>
          <w:sz w:val="24"/>
          <w:szCs w:val="24"/>
          <w:lang w:eastAsia="en-IN"/>
        </w:rPr>
        <w:t>favoured</w:t>
      </w:r>
      <w:r w:rsidRPr="00D637A9">
        <w:rPr>
          <w:rFonts w:ascii="Times New Roman" w:eastAsia="Times New Roman" w:hAnsi="Times New Roman" w:cs="Times New Roman"/>
          <w:sz w:val="24"/>
          <w:szCs w:val="24"/>
          <w:lang w:eastAsia="en-IN"/>
        </w:rPr>
        <w:t xml:space="preserve"> darker pigmentation in </w:t>
      </w:r>
      <w:r w:rsidRPr="003B65F0">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with 4 genotypes shifting from light purple to dark purple, 8 from purple to dark purple, and 2 from light purple to purple, increasing the proportion of dark purple fruits from 11.8% to 22.1% overall (Table 2). Group-wise, this affected 6 inbreds (27.3% increase in dark purple) and 6 hybrids (8.7% </w:t>
      </w:r>
      <w:r w:rsidR="00F04B1A" w:rsidRPr="00D637A9">
        <w:rPr>
          <w:rFonts w:ascii="Times New Roman" w:eastAsia="Times New Roman" w:hAnsi="Times New Roman" w:cs="Times New Roman"/>
          <w:sz w:val="24"/>
          <w:szCs w:val="24"/>
          <w:lang w:eastAsia="en-IN"/>
        </w:rPr>
        <w:t>increases</w:t>
      </w:r>
      <w:r w:rsidRPr="00D637A9">
        <w:rPr>
          <w:rFonts w:ascii="Times New Roman" w:eastAsia="Times New Roman" w:hAnsi="Times New Roman" w:cs="Times New Roman"/>
          <w:sz w:val="24"/>
          <w:szCs w:val="24"/>
          <w:lang w:eastAsia="en-IN"/>
        </w:rPr>
        <w:t xml:space="preserve">). The Stuart-Maxwell test (Table 8) for fruit colour transitions indicated no overall shift (χ²=4.87, df=5, p=0.432), but group-wise marginal for inbreds (χ²=10.00, df=6, p=0.125) and non-significant for hybrids (χ²=3.00, df=3, p=0.392). Specific transitions, particularly purple to dark purple, were significant overall (p=0.0039, McNemar test, Table 7), driven by inbreds (p=0.031) rather than hybrids (p=0.250). Fruit shape changes in 9 genotypes included 7 shifts from oval to round (p=0.0078, McNemar test) and 2 from oblong to long (p=0.25, McNemar test), increasing round shapes from 41.2% to 54.4% overall, with a marginal trend in distribution (χ²=7.35, df=3, p=0.061, chi-square test, Table 6). Group-wise, shifts were non-significant for inbreds (χ²=2.00, df=2, p=0.368) but marginal for hybrids (χ²=6.77, df=3, p=0.080), with oval to round significant in hybrids (p=0.031) but not inbreds (p=0.500). These patterns, summarized in Table 2, suggest that </w:t>
      </w:r>
      <w:r w:rsidRPr="003B65F0">
        <w:rPr>
          <w:rFonts w:ascii="Times New Roman" w:eastAsia="Times New Roman" w:hAnsi="Times New Roman" w:cs="Times New Roman"/>
          <w:i/>
          <w:sz w:val="24"/>
          <w:szCs w:val="24"/>
          <w:lang w:eastAsia="en-IN"/>
        </w:rPr>
        <w:t>kharif’s</w:t>
      </w:r>
      <w:r w:rsidRPr="00D637A9">
        <w:rPr>
          <w:rFonts w:ascii="Times New Roman" w:eastAsia="Times New Roman" w:hAnsi="Times New Roman" w:cs="Times New Roman"/>
          <w:sz w:val="24"/>
          <w:szCs w:val="24"/>
          <w:lang w:eastAsia="en-IN"/>
        </w:rPr>
        <w:t xml:space="preserve"> higher humidity and moderate temperatures promote structural and pigmentation adaptations, with hybrids more responsive in growth and shape, and inbreds in colour.</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lastRenderedPageBreak/>
        <w:t xml:space="preserve">A two-way ANOVA (Table 9) was conducted to assess G×E interactions, treating trait categories as ordinal responses (e.g., semi-erect=1, erect=2, spreading=3 for growth habit). The ANOVA revealed significant effects of season (F=12.45, df=1, p=0.0005) and G×E interaction (F=3.87, df=67, p=0.0012) on growth habit overall, with stronger G×E in hybrids. For fruit colour, the G×E interaction was significant overall (F=2.95, df=67, p=0.003), reflecting differential responses, particularly in inbreds. Fruit shape showed a marginal G×E interaction overall (F=2.12, df=67, p=0.089), driven by hybrids. No significant variation was observed in calyx colour, fruit flesh colour, leaf vein colour, or leaf </w:t>
      </w:r>
      <w:r w:rsidR="00F04B1A" w:rsidRPr="00D637A9">
        <w:rPr>
          <w:rFonts w:ascii="Times New Roman" w:eastAsia="Times New Roman" w:hAnsi="Times New Roman" w:cs="Times New Roman"/>
          <w:sz w:val="24"/>
          <w:szCs w:val="24"/>
          <w:lang w:eastAsia="en-IN"/>
        </w:rPr>
        <w:t>spinyness</w:t>
      </w:r>
      <w:r w:rsidRPr="00D637A9">
        <w:rPr>
          <w:rFonts w:ascii="Times New Roman" w:eastAsia="Times New Roman" w:hAnsi="Times New Roman" w:cs="Times New Roman"/>
          <w:sz w:val="24"/>
          <w:szCs w:val="24"/>
          <w:lang w:eastAsia="en-IN"/>
        </w:rPr>
        <w:t>, consistent with their genetic fixation. Among variable genotypes, single-trait changes were predominant, affecting 21 genotypes (72.4% of variable genotypes) overall, with details in Table 4 separated by group. Multi-trait changes affected 8 genotypes (27.6%), as detailed in Table 5. Trait correlations, assessed using chi-square tests with Yates’ continuity correction (Table 6), showed no significant associations between changes in growth habit and fruit colour (χ²=1.58, df=1, p=0.209, Cramér’s V=0.152), growth habit and fruit shape (χ²=0.25, df=1, p=0.619, V=0.060), or fruit colour and fruit shape (χ²=0.73, df=1, p=0.392, V=0.104) overall, with similar non-significance in both groups, indicating independent trait responses.</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Stable genotypes, listed in Table 3 separately for inbreds and hybrids, included Kashi</w:t>
      </w:r>
      <w:r w:rsidR="00F04B1A"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Uttam</w:t>
      </w:r>
      <w:r w:rsidR="00F04B1A" w:rsidRPr="00D637A9">
        <w:rPr>
          <w:rFonts w:ascii="Times New Roman" w:eastAsia="Times New Roman" w:hAnsi="Times New Roman" w:cs="Times New Roman"/>
          <w:sz w:val="24"/>
          <w:szCs w:val="24"/>
          <w:lang w:eastAsia="en-IN"/>
        </w:rPr>
        <w:t xml:space="preserve"> </w:t>
      </w:r>
      <w:r w:rsidR="00F04B1A" w:rsidRPr="00D637A9">
        <w:rPr>
          <w:rFonts w:ascii="Times New Roman" w:eastAsia="Times New Roman" w:hAnsi="Times New Roman" w:cs="Times New Roman"/>
          <w:sz w:val="24"/>
          <w:szCs w:val="24"/>
          <w:lang w:eastAsia="en-IN"/>
        </w:rPr>
        <w:br/>
        <w:t>(inbred)</w:t>
      </w:r>
      <w:r w:rsidRPr="00D637A9">
        <w:rPr>
          <w:rFonts w:ascii="Times New Roman" w:eastAsia="Times New Roman" w:hAnsi="Times New Roman" w:cs="Times New Roman"/>
          <w:sz w:val="24"/>
          <w:szCs w:val="24"/>
          <w:lang w:eastAsia="en-IN"/>
        </w:rPr>
        <w:t xml:space="preserve"> and Kashi</w:t>
      </w:r>
      <w:r w:rsidR="00F04B1A" w:rsidRPr="00D637A9">
        <w:rPr>
          <w:rFonts w:ascii="Times New Roman" w:eastAsia="Times New Roman" w:hAnsi="Times New Roman" w:cs="Times New Roman"/>
          <w:sz w:val="24"/>
          <w:szCs w:val="24"/>
          <w:lang w:eastAsia="en-IN"/>
        </w:rPr>
        <w:t xml:space="preserve"> Sandesh (hybrid</w:t>
      </w:r>
      <w:r w:rsidRPr="00D637A9">
        <w:rPr>
          <w:rFonts w:ascii="Times New Roman" w:eastAsia="Times New Roman" w:hAnsi="Times New Roman" w:cs="Times New Roman"/>
          <w:sz w:val="24"/>
          <w:szCs w:val="24"/>
          <w:lang w:eastAsia="en-IN"/>
        </w:rPr>
        <w:t xml:space="preserve">), and IVBHLW-1 and IVBHRW-2 (hybrids), suitable for year-round cultivation due to their consistent morphology across seasons. Variable genotypes were categorized into single-trait variation groups (Table 4), including 2 inbreds and 9 hybrids with only growth habit changes (e.g., IVBL-30 for inbreds, IVBHLW-2 for hybrids), 4 inbreds and 1 hybrid with only fruit colour changes (e.g., IVBL-24 for inbreds, IVBHLW-14 for hybrids), and 1 inbred and 4 hybrids with only fruit shape changes (e.g., Pant Rituraj for inbreds, IVBHRW-4 for hybrids). Multi-trait variation groups (Table 5) included 1 inbred and 3 hybrids with growth habit and fruit colour changes (e.g., IVBR-18 for inbreds, IVBHLW-17 for hybrids), 1 inbred and 1 hybrid with fruit colour and fruit shape changes (e.g., SHP-2 for inbreds, IVBHRW-22 for hybrids), 1 hybrid with growth habit and fruit shape changes (IVBHLW-15), and 1 hybrid with changes in all three traits (IVBHRW-19). These classifications provide a robust framework for selecting genotypes for specific breeding objectives, balancing stability and adaptability within inbreds and hybrids. The significant G×E interactions identified through ANOVA (Table 9) underscore the differential responses to seasonal environments, with </w:t>
      </w:r>
      <w:r w:rsidRPr="003B65F0">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promoting more favo</w:t>
      </w:r>
      <w:r w:rsidR="003B65F0">
        <w:rPr>
          <w:rFonts w:ascii="Times New Roman" w:eastAsia="Times New Roman" w:hAnsi="Times New Roman" w:cs="Times New Roman"/>
          <w:sz w:val="24"/>
          <w:szCs w:val="24"/>
          <w:lang w:eastAsia="en-IN"/>
        </w:rPr>
        <w:t>u</w:t>
      </w:r>
      <w:r w:rsidRPr="00D637A9">
        <w:rPr>
          <w:rFonts w:ascii="Times New Roman" w:eastAsia="Times New Roman" w:hAnsi="Times New Roman" w:cs="Times New Roman"/>
          <w:sz w:val="24"/>
          <w:szCs w:val="24"/>
          <w:lang w:eastAsia="en-IN"/>
        </w:rPr>
        <w:t>rable trait expressions that could inform resilient breeding strategies.</w:t>
      </w:r>
    </w:p>
    <w:p w:rsidR="002760C0" w:rsidRPr="00D637A9" w:rsidRDefault="002760C0"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noProof/>
          <w:sz w:val="24"/>
          <w:szCs w:val="24"/>
          <w:lang w:val="en-US" w:bidi="ar-SA"/>
        </w:rPr>
        <w:lastRenderedPageBreak/>
        <w:drawing>
          <wp:inline distT="0" distB="0" distL="0" distR="0">
            <wp:extent cx="3650566" cy="2228072"/>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3595" cy="2229921"/>
                    </a:xfrm>
                    <a:prstGeom prst="rect">
                      <a:avLst/>
                    </a:prstGeom>
                    <a:noFill/>
                  </pic:spPr>
                </pic:pic>
              </a:graphicData>
            </a:graphic>
          </wp:inline>
        </w:drawing>
      </w:r>
    </w:p>
    <w:p w:rsidR="008D45DB" w:rsidRPr="00D637A9" w:rsidRDefault="008D45DB"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b/>
          <w:bCs/>
          <w:sz w:val="24"/>
          <w:szCs w:val="24"/>
          <w:lang w:eastAsia="en-IN"/>
        </w:rPr>
        <w:t>Fig. 1:</w:t>
      </w:r>
      <w:r w:rsidRPr="00D637A9">
        <w:rPr>
          <w:rFonts w:ascii="Times New Roman" w:eastAsia="Times New Roman" w:hAnsi="Times New Roman" w:cs="Times New Roman"/>
          <w:sz w:val="24"/>
          <w:szCs w:val="24"/>
          <w:lang w:eastAsia="en-IN"/>
        </w:rPr>
        <w:t xml:space="preserve"> Pie chart of genotype variation distribution, with separate panels for inbreds and hybrids.</w:t>
      </w:r>
    </w:p>
    <w:p w:rsidR="002760C0" w:rsidRPr="00D637A9" w:rsidRDefault="002760C0"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noProof/>
          <w:sz w:val="24"/>
          <w:szCs w:val="24"/>
          <w:lang w:val="en-US" w:bidi="ar-SA"/>
        </w:rPr>
        <w:drawing>
          <wp:inline distT="0" distB="0" distL="0" distR="0">
            <wp:extent cx="3538024" cy="2126735"/>
            <wp:effectExtent l="0" t="0" r="571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69" cy="2126101"/>
                    </a:xfrm>
                    <a:prstGeom prst="rect">
                      <a:avLst/>
                    </a:prstGeom>
                    <a:noFill/>
                  </pic:spPr>
                </pic:pic>
              </a:graphicData>
            </a:graphic>
          </wp:inline>
        </w:drawing>
      </w:r>
    </w:p>
    <w:p w:rsidR="008D45DB" w:rsidRPr="00D637A9" w:rsidRDefault="008D45DB"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b/>
          <w:bCs/>
          <w:sz w:val="24"/>
          <w:szCs w:val="24"/>
          <w:lang w:eastAsia="en-IN"/>
        </w:rPr>
        <w:t>Fig. 2:</w:t>
      </w:r>
      <w:r w:rsidRPr="00D637A9">
        <w:rPr>
          <w:rFonts w:ascii="Times New Roman" w:eastAsia="Times New Roman" w:hAnsi="Times New Roman" w:cs="Times New Roman"/>
          <w:sz w:val="24"/>
          <w:szCs w:val="24"/>
          <w:lang w:eastAsia="en-IN"/>
        </w:rPr>
        <w:t xml:space="preserve"> Distribution of single-trait variation groups, with separate bars for inbreds and hybrids.</w:t>
      </w:r>
    </w:p>
    <w:p w:rsidR="002760C0" w:rsidRPr="00D637A9" w:rsidRDefault="002760C0"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noProof/>
          <w:sz w:val="24"/>
          <w:szCs w:val="24"/>
          <w:lang w:val="en-US" w:bidi="ar-SA"/>
        </w:rPr>
        <w:drawing>
          <wp:inline distT="0" distB="0" distL="0" distR="0">
            <wp:extent cx="4276578" cy="231512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5142" cy="2314347"/>
                    </a:xfrm>
                    <a:prstGeom prst="rect">
                      <a:avLst/>
                    </a:prstGeom>
                    <a:noFill/>
                  </pic:spPr>
                </pic:pic>
              </a:graphicData>
            </a:graphic>
          </wp:inline>
        </w:drawing>
      </w:r>
    </w:p>
    <w:p w:rsidR="008D45DB" w:rsidRPr="00D637A9" w:rsidRDefault="008D45DB" w:rsidP="00D637A9">
      <w:pPr>
        <w:spacing w:before="100" w:beforeAutospacing="1" w:after="100" w:afterAutospacing="1"/>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b/>
          <w:bCs/>
          <w:sz w:val="24"/>
          <w:szCs w:val="24"/>
          <w:lang w:eastAsia="en-IN"/>
        </w:rPr>
        <w:t>Fig. 3:</w:t>
      </w:r>
      <w:r w:rsidRPr="00D637A9">
        <w:rPr>
          <w:rFonts w:ascii="Times New Roman" w:eastAsia="Times New Roman" w:hAnsi="Times New Roman" w:cs="Times New Roman"/>
          <w:sz w:val="24"/>
          <w:szCs w:val="24"/>
          <w:lang w:eastAsia="en-IN"/>
        </w:rPr>
        <w:t xml:space="preserve"> Distribution of multi-trait variation groups, with separate bars for inbreds and hybrids.</w:t>
      </w:r>
    </w:p>
    <w:p w:rsidR="008D45DB" w:rsidRPr="00D637A9" w:rsidRDefault="008D45DB"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lastRenderedPageBreak/>
        <w:t>Discussion</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The observed phenotypic variations in brinjal genotypes underscore the significant influence of seasonal environmental conditions on trait expression, mediated by genotype by environment interactions (as evidenced in Tables 6–9). </w:t>
      </w:r>
      <w:r w:rsidRPr="00D637A9">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conditions, with higher humidity and moderate temperatures, promoted erect growth, darker fruit pigmentation, and rounder fruit shapes, reflecting adaptive responses to environmental cues (Table 2). The significant shift to erect growth in 23.5% of genotypes overall, as confirmed by chi-square (Table 6) and McNemar tests (Table 7), aligns with findings that high humidity and rainfall enhance internode elongation and turgor pressure, reducing lodging risks under monsoon conditions (Kaur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This adaptation likely improves structural integrity, enabling plants to withstand wind and rain. Group-wise, hybrids showed a more pronounced shift (28.2% increase vs. 13.6% in inbreds; Table 2), possibly due to heterosis amplifying environmental responsiveness, making hybrids better suited for </w:t>
      </w:r>
      <w:r w:rsidRPr="00D637A9">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adaptation but potentially less stable. The increased prevalence of dark purple fruit colours in </w:t>
      </w:r>
      <w:r w:rsidRPr="00D637A9">
        <w:rPr>
          <w:rFonts w:ascii="Times New Roman" w:eastAsia="Times New Roman" w:hAnsi="Times New Roman" w:cs="Times New Roman"/>
          <w:i/>
          <w:sz w:val="24"/>
          <w:szCs w:val="24"/>
          <w:lang w:eastAsia="en-IN"/>
        </w:rPr>
        <w:t>kharif</w:t>
      </w:r>
      <w:r w:rsidRPr="00D637A9">
        <w:rPr>
          <w:rFonts w:ascii="Times New Roman" w:eastAsia="Times New Roman" w:hAnsi="Times New Roman" w:cs="Times New Roman"/>
          <w:sz w:val="24"/>
          <w:szCs w:val="24"/>
          <w:lang w:eastAsia="en-IN"/>
        </w:rPr>
        <w:t xml:space="preserve">, observed in 17.6% of genotypes overall, is consistent with research linking anthocyanin accumulation to moderate temperatures and high humidity, which </w:t>
      </w:r>
      <w:r w:rsidR="001C6607" w:rsidRPr="00D637A9">
        <w:rPr>
          <w:rFonts w:ascii="Times New Roman" w:eastAsia="Times New Roman" w:hAnsi="Times New Roman" w:cs="Times New Roman"/>
          <w:sz w:val="24"/>
          <w:szCs w:val="24"/>
          <w:lang w:eastAsia="en-IN"/>
        </w:rPr>
        <w:t>upregulated</w:t>
      </w:r>
      <w:r w:rsidRPr="00D637A9">
        <w:rPr>
          <w:rFonts w:ascii="Times New Roman" w:eastAsia="Times New Roman" w:hAnsi="Times New Roman" w:cs="Times New Roman"/>
          <w:sz w:val="24"/>
          <w:szCs w:val="24"/>
          <w:lang w:eastAsia="en-IN"/>
        </w:rPr>
        <w:t xml:space="preserve"> pigment biosynthesis pathways (Li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2020). The Stuart-Maxwell test (Table 8) indicated no overall shift in fruit colour distribution, but the significant purple to dark purple transition (McNemar test, Table 7) highlights targeted anthocyanin responses, driven more by inbreds (27.3% increase) than hybrids (8.7%), suggesting inbreds' narrower genetic base </w:t>
      </w:r>
      <w:r w:rsidR="001C6607" w:rsidRPr="00D637A9">
        <w:rPr>
          <w:rFonts w:ascii="Times New Roman" w:eastAsia="Times New Roman" w:hAnsi="Times New Roman" w:cs="Times New Roman"/>
          <w:sz w:val="24"/>
          <w:szCs w:val="24"/>
          <w:lang w:eastAsia="en-IN"/>
        </w:rPr>
        <w:t>favours</w:t>
      </w:r>
      <w:r w:rsidRPr="00D637A9">
        <w:rPr>
          <w:rFonts w:ascii="Times New Roman" w:eastAsia="Times New Roman" w:hAnsi="Times New Roman" w:cs="Times New Roman"/>
          <w:sz w:val="24"/>
          <w:szCs w:val="24"/>
          <w:lang w:eastAsia="en-IN"/>
        </w:rPr>
        <w:t xml:space="preserve"> pigment plasticity. The shift toward rounder fruit shapes in 13.2% of genotypes, supported by chi-square and McNemar tests (Tables 6 and 7), may reflect cell expansion under favorable moisture conditions, optimizing fruit development and potentially enhancing market appeal (Sharma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2022). Hybrids exhibited stronger shifts here (15.2% vs. 9.1% in inbreds; Table 2), indicating hybrid </w:t>
      </w:r>
      <w:r w:rsidR="001C6607" w:rsidRPr="00D637A9">
        <w:rPr>
          <w:rFonts w:ascii="Times New Roman" w:eastAsia="Times New Roman" w:hAnsi="Times New Roman" w:cs="Times New Roman"/>
          <w:sz w:val="24"/>
          <w:szCs w:val="24"/>
          <w:lang w:eastAsia="en-IN"/>
        </w:rPr>
        <w:t>vigour</w:t>
      </w:r>
      <w:r w:rsidRPr="00D637A9">
        <w:rPr>
          <w:rFonts w:ascii="Times New Roman" w:eastAsia="Times New Roman" w:hAnsi="Times New Roman" w:cs="Times New Roman"/>
          <w:sz w:val="24"/>
          <w:szCs w:val="24"/>
          <w:lang w:eastAsia="en-IN"/>
        </w:rPr>
        <w:t xml:space="preserve"> in morphological adaptation.</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The ANOVA results (Table 9) further confirm significant G×E interactions for growth habit and fruit colour overall, with group trends showing stronger G×E in hybrids for growth habit and in inbreds for fruit colour. This suggests differential genetic architectures: inbreds may have fixed loci for growth but plastic for pigmentation, while hybrids leverage heterozygosity for broader adaptability in habit and shape. The high stability of 57.4% of genotypes overall, which showed no trait variation (Table 3), indicates strong genetic fixation for traits like calyx colour, fruit flesh colour, leaf vein colour, and leaf </w:t>
      </w:r>
      <w:r w:rsidR="001C6607" w:rsidRPr="00D637A9">
        <w:rPr>
          <w:rFonts w:ascii="Times New Roman" w:eastAsia="Times New Roman" w:hAnsi="Times New Roman" w:cs="Times New Roman"/>
          <w:sz w:val="24"/>
          <w:szCs w:val="24"/>
          <w:lang w:eastAsia="en-IN"/>
        </w:rPr>
        <w:t>spinyness</w:t>
      </w:r>
      <w:r w:rsidRPr="00D637A9">
        <w:rPr>
          <w:rFonts w:ascii="Times New Roman" w:eastAsia="Times New Roman" w:hAnsi="Times New Roman" w:cs="Times New Roman"/>
          <w:sz w:val="24"/>
          <w:szCs w:val="24"/>
          <w:lang w:eastAsia="en-IN"/>
        </w:rPr>
        <w:t xml:space="preserve">. This stability is valuable </w:t>
      </w:r>
      <w:r w:rsidRPr="00D637A9">
        <w:rPr>
          <w:rFonts w:ascii="Times New Roman" w:eastAsia="Times New Roman" w:hAnsi="Times New Roman" w:cs="Times New Roman"/>
          <w:sz w:val="24"/>
          <w:szCs w:val="24"/>
          <w:lang w:eastAsia="en-IN"/>
        </w:rPr>
        <w:lastRenderedPageBreak/>
        <w:t>for varietal identification and market consistency, as these traits remain reliable across diverse environments (PPV</w:t>
      </w:r>
      <w:r w:rsidR="003B65F0">
        <w:rPr>
          <w:rFonts w:ascii="Times New Roman" w:eastAsia="Times New Roman" w:hAnsi="Times New Roman" w:cs="Times New Roman"/>
          <w:sz w:val="24"/>
          <w:szCs w:val="24"/>
          <w:lang w:eastAsia="en-IN"/>
        </w:rPr>
        <w:t xml:space="preserve"> </w:t>
      </w:r>
      <w:r w:rsidR="001C6607" w:rsidRPr="00D637A9">
        <w:rPr>
          <w:rFonts w:ascii="Times New Roman" w:eastAsia="Times New Roman" w:hAnsi="Times New Roman" w:cs="Times New Roman"/>
          <w:sz w:val="24"/>
          <w:szCs w:val="24"/>
          <w:lang w:eastAsia="en-IN"/>
        </w:rPr>
        <w:t>and</w:t>
      </w:r>
      <w:r w:rsidR="003B65F0">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 xml:space="preserve">FRA, 2021). Slightly higher stability in inbreds (59.1% vs. 56.5% in hybrids; Table 3) supports their use as breeding parents for trait fixation. In contrast, the plasticity observed in growth habit, fruit colour, and fruit shape suggests environment-sensitive genetic loci, potentially involving genes regulating cell division, pigment biosynthesis, and canopy architecture (Hirakawa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2014). The independence of trait variations, as evidenced by weak correlations from chi-square tests with Yates’ correction (Table 6), suggests that these traits are controlled by distinct physiological pathways, allowing breeders to target specific traits without unintended effects on others, applicable to both groups.</w:t>
      </w:r>
    </w:p>
    <w:p w:rsidR="008D45DB" w:rsidRPr="00D637A9" w:rsidRDefault="008D45DB" w:rsidP="00D637A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Stable genotypes, such as Kashi</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 xml:space="preserve">Uttam (inbred) and IVBHLW-1 (hybrid; Table 3), are ideal for year-round cultivation, ensuring consistent morphology and market appeal across seasons. Variable genotypes, such as IVBL-24 (inbred, colour change; Table 4) and IVBHRW-19 (hybrid, multi-trait; Table 5), offer opportunities for season-specific breeding, leveraging plasticity to enhance adaptability in </w:t>
      </w:r>
      <w:r w:rsidRPr="00D637A9">
        <w:rPr>
          <w:rFonts w:ascii="Times New Roman" w:eastAsia="Times New Roman" w:hAnsi="Times New Roman" w:cs="Times New Roman"/>
          <w:i/>
          <w:sz w:val="24"/>
          <w:szCs w:val="24"/>
          <w:lang w:eastAsia="en-IN"/>
        </w:rPr>
        <w:t>kharif’s</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sz w:val="24"/>
          <w:szCs w:val="24"/>
          <w:lang w:eastAsia="en-IN"/>
        </w:rPr>
        <w:t xml:space="preserve">favorable conditions or resilience to summer’s heat stress. For instance, inbreds with kharif-driven dark pigmentation could be selected for markets preferring intense fruit colours, while hybrids with growth habit plasticity could improve lodging resistance (Tables 1 and 2). The study’s focus on qualitative traits provides a foundation for understanding visible morphological changes but limits insights into quantitative traits like yield or fruit size, which are also influenced by G×E interactions (Singh </w:t>
      </w:r>
      <w:r w:rsidRPr="00D637A9">
        <w:rPr>
          <w:rFonts w:ascii="Times New Roman" w:eastAsia="Times New Roman" w:hAnsi="Times New Roman" w:cs="Times New Roman"/>
          <w:i/>
          <w:sz w:val="24"/>
          <w:szCs w:val="24"/>
          <w:lang w:eastAsia="en-IN"/>
        </w:rPr>
        <w:t>et al.,</w:t>
      </w:r>
      <w:r w:rsidRPr="00D637A9">
        <w:rPr>
          <w:rFonts w:ascii="Times New Roman" w:eastAsia="Times New Roman" w:hAnsi="Times New Roman" w:cs="Times New Roman"/>
          <w:sz w:val="24"/>
          <w:szCs w:val="24"/>
          <w:lang w:eastAsia="en-IN"/>
        </w:rPr>
        <w:t xml:space="preserve"> 2021). Future research should incorporate molecular analyses, such as gene expression profiling of anthocyanin biosynthesis or growth-regulating genes, to elucidate the mechanisms underlying group-specific plasticity. Multi-year and multi-location trials would further validate genotype stability and adaptability across diverse agro</w:t>
      </w:r>
      <w:r w:rsidR="001C6607" w:rsidRPr="00D637A9">
        <w:rPr>
          <w:rFonts w:ascii="Times New Roman" w:eastAsia="Times New Roman" w:hAnsi="Times New Roman" w:cs="Times New Roman"/>
          <w:sz w:val="24"/>
          <w:szCs w:val="24"/>
          <w:lang w:eastAsia="en-IN"/>
        </w:rPr>
        <w:t>-</w:t>
      </w:r>
      <w:r w:rsidRPr="00D637A9">
        <w:rPr>
          <w:rFonts w:ascii="Times New Roman" w:eastAsia="Times New Roman" w:hAnsi="Times New Roman" w:cs="Times New Roman"/>
          <w:sz w:val="24"/>
          <w:szCs w:val="24"/>
          <w:lang w:eastAsia="en-IN"/>
        </w:rPr>
        <w:t>climatic zones, enhancing the applicability of findings. Additionally, integrating quantitative traits and biochemical markers could provide a more comprehensive understanding of seasonal effects, supporting the development of climate-resilient cultivars. These findings contribute to breeding strategies by identifying stable genotypes for consistent production and plastic genotypes for targeted adaptation within inbreds and hybrids, addressing the challenges of climate variability in brinjal cultivation and promoting sustainable agricultural practices.</w:t>
      </w:r>
    </w:p>
    <w:p w:rsidR="008D45DB" w:rsidRPr="00D637A9" w:rsidRDefault="008D45DB"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t>Conclusions</w:t>
      </w:r>
    </w:p>
    <w:p w:rsidR="008D45DB" w:rsidRPr="00DD3E79" w:rsidRDefault="00DD3E79" w:rsidP="00D637A9">
      <w:pPr>
        <w:spacing w:before="100" w:beforeAutospacing="1" w:after="100" w:afterAutospacing="1" w:line="360" w:lineRule="auto"/>
        <w:jc w:val="both"/>
        <w:rPr>
          <w:rFonts w:ascii="Times New Roman" w:eastAsia="Times New Roman" w:hAnsi="Times New Roman" w:cs="Times New Roman"/>
          <w:sz w:val="24"/>
          <w:szCs w:val="24"/>
          <w:lang w:val="en-US" w:eastAsia="en-IN"/>
        </w:rPr>
      </w:pPr>
      <w:r w:rsidRPr="00DD3E79">
        <w:rPr>
          <w:rFonts w:ascii="Times New Roman" w:eastAsia="Times New Roman" w:hAnsi="Times New Roman" w:cs="Times New Roman"/>
          <w:sz w:val="24"/>
          <w:szCs w:val="24"/>
          <w:lang w:val="en-US" w:eastAsia="en-IN"/>
        </w:rPr>
        <w:lastRenderedPageBreak/>
        <w:t>The present investigation clearly demonstrated the substantial role of seasonal environmental variation in modulating qualitative morphological traits in brinjal through genotype × environment (G×E) interactions. While 42.6% of the 68 evaluated genotypes exhibited plasticity in at least one trait, a majority (57.4%) maintained complete phenotypic constancy across the stressful summer and favourable kharif seasons. The invariant nature of calyx colour, fruit flesh colour, leaf vein colour, and leaf spinyness underscores their strong genetic fixation and reliability for varietal identification, whereas environmentally influenced shifts toward erect growth, darker pigmentation, and rounder fruits in kharif reflect adaptive plasticity that can be strategically exploited.</w:t>
      </w:r>
      <w:r>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sz w:val="24"/>
          <w:szCs w:val="24"/>
          <w:lang w:val="en-US" w:eastAsia="en-IN"/>
        </w:rPr>
        <w:t>Notably, several genotypes displayed remarkable stability, making them highly valuable for future breeding and commercial programmes:</w:t>
      </w:r>
      <w:r>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sz w:val="24"/>
          <w:szCs w:val="24"/>
          <w:lang w:val="en-US" w:eastAsia="en-IN"/>
        </w:rPr>
        <w:t xml:space="preserve">Among inbred lines: </w:t>
      </w:r>
      <w:r w:rsidRPr="00DD3E79">
        <w:rPr>
          <w:rFonts w:ascii="Times New Roman" w:eastAsia="Times New Roman" w:hAnsi="Times New Roman" w:cs="Times New Roman"/>
          <w:bCs/>
          <w:sz w:val="24"/>
          <w:szCs w:val="24"/>
          <w:lang w:val="en-US" w:eastAsia="en-IN"/>
        </w:rPr>
        <w:t>Kashi Uttam</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Selection-10</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CHBR-2</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IVBL-25</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IVBL-27</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IVBL-28</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IVBL-29</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IVBL-31</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IVBR-19</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IVBR-20</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IVBR-21</w:t>
      </w:r>
      <w:r w:rsidRPr="00DD3E79">
        <w:rPr>
          <w:rFonts w:ascii="Times New Roman" w:eastAsia="Times New Roman" w:hAnsi="Times New Roman" w:cs="Times New Roman"/>
          <w:sz w:val="24"/>
          <w:szCs w:val="24"/>
          <w:lang w:val="en-US" w:eastAsia="en-IN"/>
        </w:rPr>
        <w:t xml:space="preserve">, and </w:t>
      </w:r>
      <w:r w:rsidRPr="00DD3E79">
        <w:rPr>
          <w:rFonts w:ascii="Times New Roman" w:eastAsia="Times New Roman" w:hAnsi="Times New Roman" w:cs="Times New Roman"/>
          <w:bCs/>
          <w:sz w:val="24"/>
          <w:szCs w:val="24"/>
          <w:lang w:val="en-US" w:eastAsia="en-IN"/>
        </w:rPr>
        <w:t>IVBR-23</w:t>
      </w:r>
      <w:r w:rsidRPr="00DD3E79">
        <w:rPr>
          <w:rFonts w:ascii="Times New Roman" w:eastAsia="Times New Roman" w:hAnsi="Times New Roman" w:cs="Times New Roman"/>
          <w:sz w:val="24"/>
          <w:szCs w:val="24"/>
          <w:lang w:val="en-US" w:eastAsia="en-IN"/>
        </w:rPr>
        <w:t xml:space="preserve"> maintained identical trait expression in both seasons and are ideal stable parents for transferring consistent morphology into new hybrids or open-pollinated varieties.</w:t>
      </w:r>
      <w:r>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sz w:val="24"/>
          <w:szCs w:val="24"/>
          <w:lang w:val="en-US" w:eastAsia="en-IN"/>
        </w:rPr>
        <w:t xml:space="preserve">Among hybrids: </w:t>
      </w:r>
      <w:r w:rsidRPr="00DD3E79">
        <w:rPr>
          <w:rFonts w:ascii="Times New Roman" w:eastAsia="Times New Roman" w:hAnsi="Times New Roman" w:cs="Times New Roman"/>
          <w:bCs/>
          <w:sz w:val="24"/>
          <w:szCs w:val="24"/>
          <w:lang w:val="en-US" w:eastAsia="en-IN"/>
        </w:rPr>
        <w:t>Kashi Sandesh (hybrid check)</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IVBHLW-3</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IVBHLW-4</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IVBHLW-6</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IVBHLW-8</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IVBHLW-10</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IVBHLW-12</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IVBHLW-13</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IVBHLW-16</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IVBHLW-18</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IVBHLW-20</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IVBHLW-21</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IVBHLW-23</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IVBHLW-24</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IVBHRW-2</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IVBHRW-5</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IVBHRW-7</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IVBHRW-9</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IVBHRW-11</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IVBHRW-13</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IVBHRW-15</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IVBHRW-17</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IVBHRW-20</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IVBHRW-23</w:t>
      </w:r>
      <w:r w:rsidRPr="00DD3E79">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bCs/>
          <w:sz w:val="24"/>
          <w:szCs w:val="24"/>
          <w:lang w:val="en-US" w:eastAsia="en-IN"/>
        </w:rPr>
        <w:t>IVBHRW-25</w:t>
      </w:r>
      <w:r w:rsidRPr="00DD3E79">
        <w:rPr>
          <w:rFonts w:ascii="Times New Roman" w:eastAsia="Times New Roman" w:hAnsi="Times New Roman" w:cs="Times New Roman"/>
          <w:sz w:val="24"/>
          <w:szCs w:val="24"/>
          <w:lang w:val="en-US" w:eastAsia="en-IN"/>
        </w:rPr>
        <w:t xml:space="preserve">, and </w:t>
      </w:r>
      <w:r w:rsidRPr="00DD3E79">
        <w:rPr>
          <w:rFonts w:ascii="Times New Roman" w:eastAsia="Times New Roman" w:hAnsi="Times New Roman" w:cs="Times New Roman"/>
          <w:bCs/>
          <w:sz w:val="24"/>
          <w:szCs w:val="24"/>
          <w:lang w:val="en-US" w:eastAsia="en-IN"/>
        </w:rPr>
        <w:t>IVBHRW-27</w:t>
      </w:r>
      <w:r w:rsidRPr="00DD3E79">
        <w:rPr>
          <w:rFonts w:ascii="Times New Roman" w:eastAsia="Times New Roman" w:hAnsi="Times New Roman" w:cs="Times New Roman"/>
          <w:sz w:val="24"/>
          <w:szCs w:val="24"/>
          <w:lang w:val="en-US" w:eastAsia="en-IN"/>
        </w:rPr>
        <w:t xml:space="preserve"> exhibited no seasonal variation and represent ready-to-use material for year-round commercial cultivation with predictable plant architecture, fruit appearance, and market preference.</w:t>
      </w:r>
      <w:r>
        <w:rPr>
          <w:rFonts w:ascii="Times New Roman" w:eastAsia="Times New Roman" w:hAnsi="Times New Roman" w:cs="Times New Roman"/>
          <w:sz w:val="24"/>
          <w:szCs w:val="24"/>
          <w:lang w:val="en-US" w:eastAsia="en-IN"/>
        </w:rPr>
        <w:t xml:space="preserve"> </w:t>
      </w:r>
      <w:r w:rsidRPr="00DD3E79">
        <w:rPr>
          <w:rFonts w:ascii="Times New Roman" w:eastAsia="Times New Roman" w:hAnsi="Times New Roman" w:cs="Times New Roman"/>
          <w:sz w:val="24"/>
          <w:szCs w:val="24"/>
          <w:lang w:val="en-US" w:eastAsia="en-IN"/>
        </w:rPr>
        <w:t>These stable genotypes provide a solid foundation for developing climate-resilient, season-independent brinjal cultivars that ensure consistent performance and consumer acceptance amid increasing climatic variability. Conversely, genotypes exhibiting directed plasticity, particularly hybrids responsive in growth habit and shape and inbreds responsive in pigmentation, can be selectively deployed for season-specific cultivation or used to introduce controlled adaptability into breeding populations. The findings emphasize the importance of incorporating G×E evaluation of qualitative traits early in brinjal improvement programmes to accelerate the release of robust varieties suited to diverse and changing agro-climatic conditions.</w:t>
      </w:r>
    </w:p>
    <w:p w:rsidR="00DD3E79" w:rsidRDefault="00DD3E79"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p>
    <w:p w:rsidR="00DD3E79" w:rsidRDefault="00DD3E79"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p>
    <w:p w:rsidR="00DD3E79" w:rsidRDefault="00DD3E79"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p>
    <w:p w:rsidR="008D45DB" w:rsidRPr="00D637A9" w:rsidRDefault="008D45DB" w:rsidP="00D637A9">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D637A9">
        <w:rPr>
          <w:rFonts w:ascii="Times New Roman" w:eastAsia="Times New Roman" w:hAnsi="Times New Roman" w:cs="Times New Roman"/>
          <w:b/>
          <w:bCs/>
          <w:sz w:val="24"/>
          <w:szCs w:val="24"/>
          <w:lang w:eastAsia="en-IN"/>
        </w:rPr>
        <w:lastRenderedPageBreak/>
        <w:t>References</w:t>
      </w:r>
    </w:p>
    <w:p w:rsidR="002760C0" w:rsidRPr="00D637A9" w:rsidRDefault="001C6607"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Akhtar, S., Kumar, R.</w:t>
      </w:r>
      <w:r w:rsidR="00D637A9" w:rsidRPr="00D637A9">
        <w:rPr>
          <w:rFonts w:ascii="Times New Roman" w:eastAsia="Times New Roman" w:hAnsi="Times New Roman" w:cs="Times New Roman"/>
          <w:sz w:val="24"/>
          <w:szCs w:val="24"/>
          <w:lang w:eastAsia="en-IN"/>
        </w:rPr>
        <w:t>, and</w:t>
      </w:r>
      <w:r w:rsidRPr="00D637A9">
        <w:rPr>
          <w:rFonts w:ascii="Times New Roman" w:eastAsia="Times New Roman" w:hAnsi="Times New Roman" w:cs="Times New Roman"/>
          <w:sz w:val="24"/>
          <w:szCs w:val="24"/>
          <w:lang w:eastAsia="en-IN"/>
        </w:rPr>
        <w:t xml:space="preserve"> </w:t>
      </w:r>
      <w:r w:rsidR="002760C0" w:rsidRPr="00D637A9">
        <w:rPr>
          <w:rFonts w:ascii="Times New Roman" w:eastAsia="Times New Roman" w:hAnsi="Times New Roman" w:cs="Times New Roman"/>
          <w:sz w:val="24"/>
          <w:szCs w:val="24"/>
          <w:lang w:eastAsia="en-IN"/>
        </w:rPr>
        <w:t>Chattopadhyay, T. (2021). Genetic variability studies in brinjal (</w:t>
      </w:r>
      <w:r w:rsidR="002760C0" w:rsidRPr="00D637A9">
        <w:rPr>
          <w:rFonts w:ascii="Times New Roman" w:eastAsia="Times New Roman" w:hAnsi="Times New Roman" w:cs="Times New Roman"/>
          <w:i/>
          <w:sz w:val="24"/>
          <w:szCs w:val="24"/>
          <w:lang w:eastAsia="en-IN"/>
        </w:rPr>
        <w:t>Solanum</w:t>
      </w:r>
      <w:r w:rsidRPr="00D637A9">
        <w:rPr>
          <w:rFonts w:ascii="Times New Roman" w:eastAsia="Times New Roman" w:hAnsi="Times New Roman" w:cs="Times New Roman"/>
          <w:i/>
          <w:sz w:val="24"/>
          <w:szCs w:val="24"/>
          <w:lang w:eastAsia="en-IN"/>
        </w:rPr>
        <w:t xml:space="preserve"> </w:t>
      </w:r>
      <w:r w:rsidR="002760C0" w:rsidRPr="00D637A9">
        <w:rPr>
          <w:rFonts w:ascii="Times New Roman" w:eastAsia="Times New Roman" w:hAnsi="Times New Roman" w:cs="Times New Roman"/>
          <w:i/>
          <w:sz w:val="24"/>
          <w:szCs w:val="24"/>
          <w:lang w:eastAsia="en-IN"/>
        </w:rPr>
        <w:t>melongena</w:t>
      </w:r>
      <w:r w:rsidR="002760C0" w:rsidRPr="00D637A9">
        <w:rPr>
          <w:rFonts w:ascii="Times New Roman" w:eastAsia="Times New Roman" w:hAnsi="Times New Roman" w:cs="Times New Roman"/>
          <w:sz w:val="24"/>
          <w:szCs w:val="24"/>
          <w:lang w:eastAsia="en-IN"/>
        </w:rPr>
        <w:t xml:space="preserve"> L.) for yield and yield-attributing traits. </w:t>
      </w:r>
      <w:r w:rsidR="002760C0" w:rsidRPr="00D637A9">
        <w:rPr>
          <w:rFonts w:ascii="Times New Roman" w:eastAsia="Times New Roman" w:hAnsi="Times New Roman" w:cs="Times New Roman"/>
          <w:i/>
          <w:iCs/>
          <w:sz w:val="24"/>
          <w:szCs w:val="24"/>
          <w:lang w:eastAsia="en-IN"/>
        </w:rPr>
        <w:t>Journal of Pharmacognosy and Phytochemistry</w:t>
      </w:r>
      <w:r w:rsidR="002760C0" w:rsidRPr="00D637A9">
        <w:rPr>
          <w:rFonts w:ascii="Times New Roman" w:eastAsia="Times New Roman" w:hAnsi="Times New Roman" w:cs="Times New Roman"/>
          <w:sz w:val="24"/>
          <w:szCs w:val="24"/>
          <w:lang w:eastAsia="en-IN"/>
        </w:rPr>
        <w:t xml:space="preserve">, </w:t>
      </w:r>
      <w:r w:rsidR="002760C0" w:rsidRPr="00D637A9">
        <w:rPr>
          <w:rFonts w:ascii="Times New Roman" w:eastAsia="Times New Roman" w:hAnsi="Times New Roman" w:cs="Times New Roman"/>
          <w:i/>
          <w:iCs/>
          <w:sz w:val="24"/>
          <w:szCs w:val="24"/>
          <w:lang w:eastAsia="en-IN"/>
        </w:rPr>
        <w:t>10</w:t>
      </w:r>
      <w:r w:rsidR="002760C0" w:rsidRPr="00D637A9">
        <w:rPr>
          <w:rFonts w:ascii="Times New Roman" w:eastAsia="Times New Roman" w:hAnsi="Times New Roman" w:cs="Times New Roman"/>
          <w:sz w:val="24"/>
          <w:szCs w:val="24"/>
          <w:lang w:eastAsia="en-IN"/>
        </w:rPr>
        <w:t>(1), 145–150.</w:t>
      </w:r>
    </w:p>
    <w:p w:rsidR="002760C0" w:rsidRPr="00D637A9" w:rsidRDefault="001C6607"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Anandan, A., Rajiv, S.</w:t>
      </w:r>
      <w:proofErr w:type="gramStart"/>
      <w:r w:rsidRPr="00D637A9">
        <w:rPr>
          <w:rFonts w:ascii="Times New Roman" w:eastAsia="Times New Roman" w:hAnsi="Times New Roman" w:cs="Times New Roman"/>
          <w:sz w:val="24"/>
          <w:szCs w:val="24"/>
          <w:lang w:eastAsia="en-IN"/>
        </w:rPr>
        <w:t>,  and</w:t>
      </w:r>
      <w:proofErr w:type="gramEnd"/>
      <w:r w:rsidRPr="00D637A9">
        <w:rPr>
          <w:rFonts w:ascii="Times New Roman" w:eastAsia="Times New Roman" w:hAnsi="Times New Roman" w:cs="Times New Roman"/>
          <w:sz w:val="24"/>
          <w:szCs w:val="24"/>
          <w:lang w:eastAsia="en-IN"/>
        </w:rPr>
        <w:t xml:space="preserve"> </w:t>
      </w:r>
      <w:r w:rsidR="002760C0" w:rsidRPr="00D637A9">
        <w:rPr>
          <w:rFonts w:ascii="Times New Roman" w:eastAsia="Times New Roman" w:hAnsi="Times New Roman" w:cs="Times New Roman"/>
          <w:sz w:val="24"/>
          <w:szCs w:val="24"/>
          <w:lang w:eastAsia="en-IN"/>
        </w:rPr>
        <w:t xml:space="preserve">Eswaran, R. (2020). Role of genotype × environment interaction in crop </w:t>
      </w:r>
      <w:proofErr w:type="gramStart"/>
      <w:r w:rsidR="002760C0" w:rsidRPr="00D637A9">
        <w:rPr>
          <w:rFonts w:ascii="Times New Roman" w:eastAsia="Times New Roman" w:hAnsi="Times New Roman" w:cs="Times New Roman"/>
          <w:sz w:val="24"/>
          <w:szCs w:val="24"/>
          <w:lang w:eastAsia="en-IN"/>
        </w:rPr>
        <w:t>improvement.</w:t>
      </w:r>
      <w:r w:rsidR="002760C0" w:rsidRPr="00D637A9">
        <w:rPr>
          <w:rFonts w:ascii="Times New Roman" w:eastAsia="Times New Roman" w:hAnsi="Times New Roman" w:cs="Times New Roman"/>
          <w:i/>
          <w:iCs/>
          <w:sz w:val="24"/>
          <w:szCs w:val="24"/>
          <w:lang w:eastAsia="en-IN"/>
        </w:rPr>
        <w:t>Current</w:t>
      </w:r>
      <w:proofErr w:type="gramEnd"/>
      <w:r w:rsidR="002760C0" w:rsidRPr="00D637A9">
        <w:rPr>
          <w:rFonts w:ascii="Times New Roman" w:eastAsia="Times New Roman" w:hAnsi="Times New Roman" w:cs="Times New Roman"/>
          <w:i/>
          <w:iCs/>
          <w:sz w:val="24"/>
          <w:szCs w:val="24"/>
          <w:lang w:eastAsia="en-IN"/>
        </w:rPr>
        <w:t xml:space="preserve"> Plant Biology</w:t>
      </w:r>
      <w:r w:rsidR="002760C0" w:rsidRPr="00D637A9">
        <w:rPr>
          <w:rFonts w:ascii="Times New Roman" w:eastAsia="Times New Roman" w:hAnsi="Times New Roman" w:cs="Times New Roman"/>
          <w:sz w:val="24"/>
          <w:szCs w:val="24"/>
          <w:lang w:eastAsia="en-IN"/>
        </w:rPr>
        <w:t xml:space="preserve">, </w:t>
      </w:r>
      <w:r w:rsidR="002760C0" w:rsidRPr="00D637A9">
        <w:rPr>
          <w:rFonts w:ascii="Times New Roman" w:eastAsia="Times New Roman" w:hAnsi="Times New Roman" w:cs="Times New Roman"/>
          <w:i/>
          <w:iCs/>
          <w:sz w:val="24"/>
          <w:szCs w:val="24"/>
          <w:lang w:eastAsia="en-IN"/>
        </w:rPr>
        <w:t>23</w:t>
      </w:r>
      <w:r w:rsidR="002760C0" w:rsidRPr="00D637A9">
        <w:rPr>
          <w:rFonts w:ascii="Times New Roman" w:eastAsia="Times New Roman" w:hAnsi="Times New Roman" w:cs="Times New Roman"/>
          <w:sz w:val="24"/>
          <w:szCs w:val="24"/>
          <w:lang w:eastAsia="en-IN"/>
        </w:rPr>
        <w:t>(3), 100–108.</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Choudhary, R., Kumar, D.,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Singh, P. (2023</w:t>
      </w:r>
      <w:proofErr w:type="gramStart"/>
      <w:r w:rsidRPr="00D637A9">
        <w:rPr>
          <w:rFonts w:ascii="Times New Roman" w:eastAsia="Times New Roman" w:hAnsi="Times New Roman" w:cs="Times New Roman"/>
          <w:sz w:val="24"/>
          <w:szCs w:val="24"/>
          <w:lang w:eastAsia="en-IN"/>
        </w:rPr>
        <w:t>).Advances</w:t>
      </w:r>
      <w:proofErr w:type="gramEnd"/>
      <w:r w:rsidRPr="00D637A9">
        <w:rPr>
          <w:rFonts w:ascii="Times New Roman" w:eastAsia="Times New Roman" w:hAnsi="Times New Roman" w:cs="Times New Roman"/>
          <w:sz w:val="24"/>
          <w:szCs w:val="24"/>
          <w:lang w:eastAsia="en-IN"/>
        </w:rPr>
        <w:t xml:space="preserve"> in breeding strategies for eggplant improvement.</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Scientia</w:t>
      </w:r>
      <w:r w:rsidR="001C6607" w:rsidRPr="00D637A9">
        <w:rPr>
          <w:rFonts w:ascii="Times New Roman" w:eastAsia="Times New Roman" w:hAnsi="Times New Roman" w:cs="Times New Roman"/>
          <w:i/>
          <w:iCs/>
          <w:sz w:val="24"/>
          <w:szCs w:val="24"/>
          <w:lang w:eastAsia="en-IN"/>
        </w:rPr>
        <w:t xml:space="preserve"> </w:t>
      </w:r>
      <w:r w:rsidRPr="00D637A9">
        <w:rPr>
          <w:rFonts w:ascii="Times New Roman" w:eastAsia="Times New Roman" w:hAnsi="Times New Roman" w:cs="Times New Roman"/>
          <w:i/>
          <w:iCs/>
          <w:sz w:val="24"/>
          <w:szCs w:val="24"/>
          <w:lang w:eastAsia="en-IN"/>
        </w:rPr>
        <w:t>Horticulturae</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315</w:t>
      </w:r>
      <w:r w:rsidRPr="00D637A9">
        <w:rPr>
          <w:rFonts w:ascii="Times New Roman" w:eastAsia="Times New Roman" w:hAnsi="Times New Roman" w:cs="Times New Roman"/>
          <w:sz w:val="24"/>
          <w:szCs w:val="24"/>
          <w:lang w:eastAsia="en-IN"/>
        </w:rPr>
        <w:t>, 112437.</w:t>
      </w:r>
    </w:p>
    <w:p w:rsidR="002760C0" w:rsidRPr="00D637A9" w:rsidRDefault="00ED31F6" w:rsidP="00D637A9">
      <w:pPr>
        <w:spacing w:before="120" w:after="120" w:line="300" w:lineRule="auto"/>
        <w:ind w:left="720" w:hanging="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Das </w:t>
      </w:r>
      <w:r w:rsidR="002760C0" w:rsidRPr="00D637A9">
        <w:rPr>
          <w:rFonts w:ascii="Times New Roman" w:eastAsia="Times New Roman" w:hAnsi="Times New Roman" w:cs="Times New Roman"/>
          <w:sz w:val="24"/>
          <w:szCs w:val="24"/>
          <w:lang w:eastAsia="en-IN"/>
        </w:rPr>
        <w:t xml:space="preserve">Saha, N., </w:t>
      </w:r>
      <w:r w:rsidR="001C6607" w:rsidRPr="00D637A9">
        <w:rPr>
          <w:rFonts w:ascii="Times New Roman" w:eastAsia="Times New Roman" w:hAnsi="Times New Roman" w:cs="Times New Roman"/>
          <w:sz w:val="24"/>
          <w:szCs w:val="24"/>
          <w:lang w:eastAsia="en-IN"/>
        </w:rPr>
        <w:t xml:space="preserve">and </w:t>
      </w:r>
      <w:r w:rsidR="002760C0" w:rsidRPr="00D637A9">
        <w:rPr>
          <w:rFonts w:ascii="Times New Roman" w:eastAsia="Times New Roman" w:hAnsi="Times New Roman" w:cs="Times New Roman"/>
          <w:sz w:val="24"/>
          <w:szCs w:val="24"/>
          <w:lang w:eastAsia="en-IN"/>
        </w:rPr>
        <w:t>Ghoshal, C. (2022).Heat stress tolerance study in eggplant based on morphological and yield traits.</w:t>
      </w:r>
      <w:r w:rsidR="002760C0" w:rsidRPr="00D637A9">
        <w:rPr>
          <w:rFonts w:ascii="Times New Roman" w:eastAsia="Times New Roman" w:hAnsi="Times New Roman" w:cs="Times New Roman"/>
          <w:i/>
          <w:iCs/>
          <w:sz w:val="24"/>
          <w:szCs w:val="24"/>
          <w:lang w:eastAsia="en-IN"/>
        </w:rPr>
        <w:t>Indian Journal of Horticulture</w:t>
      </w:r>
      <w:r w:rsidR="002760C0" w:rsidRPr="00D637A9">
        <w:rPr>
          <w:rFonts w:ascii="Times New Roman" w:eastAsia="Times New Roman" w:hAnsi="Times New Roman" w:cs="Times New Roman"/>
          <w:sz w:val="24"/>
          <w:szCs w:val="24"/>
          <w:lang w:eastAsia="en-IN"/>
        </w:rPr>
        <w:t xml:space="preserve">, </w:t>
      </w:r>
      <w:r w:rsidR="002760C0" w:rsidRPr="00D637A9">
        <w:rPr>
          <w:rFonts w:ascii="Times New Roman" w:eastAsia="Times New Roman" w:hAnsi="Times New Roman" w:cs="Times New Roman"/>
          <w:i/>
          <w:iCs/>
          <w:sz w:val="24"/>
          <w:szCs w:val="24"/>
          <w:lang w:eastAsia="en-IN"/>
        </w:rPr>
        <w:t>79</w:t>
      </w:r>
      <w:r w:rsidR="002760C0" w:rsidRPr="00D637A9">
        <w:rPr>
          <w:rFonts w:ascii="Times New Roman" w:eastAsia="Times New Roman" w:hAnsi="Times New Roman" w:cs="Times New Roman"/>
          <w:sz w:val="24"/>
          <w:szCs w:val="24"/>
          <w:lang w:eastAsia="en-IN"/>
        </w:rPr>
        <w:t>(3), 394–401.</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Devaraju, K. M., </w:t>
      </w:r>
      <w:proofErr w:type="spellStart"/>
      <w:r w:rsidRPr="00D637A9">
        <w:rPr>
          <w:rFonts w:ascii="Times New Roman" w:eastAsia="Times New Roman" w:hAnsi="Times New Roman" w:cs="Times New Roman"/>
          <w:sz w:val="24"/>
          <w:szCs w:val="24"/>
          <w:lang w:eastAsia="en-IN"/>
        </w:rPr>
        <w:t>Indiresh</w:t>
      </w:r>
      <w:proofErr w:type="spellEnd"/>
      <w:r w:rsidRPr="00D637A9">
        <w:rPr>
          <w:rFonts w:ascii="Times New Roman" w:eastAsia="Times New Roman" w:hAnsi="Times New Roman" w:cs="Times New Roman"/>
          <w:sz w:val="24"/>
          <w:szCs w:val="24"/>
          <w:lang w:eastAsia="en-IN"/>
        </w:rPr>
        <w:t xml:space="preserve">, V., </w:t>
      </w:r>
      <w:r w:rsidR="001C6607" w:rsidRPr="00D637A9">
        <w:rPr>
          <w:rFonts w:ascii="Times New Roman" w:eastAsia="Times New Roman" w:hAnsi="Times New Roman" w:cs="Times New Roman"/>
          <w:sz w:val="24"/>
          <w:szCs w:val="24"/>
          <w:lang w:eastAsia="en-IN"/>
        </w:rPr>
        <w:t xml:space="preserve">and </w:t>
      </w:r>
      <w:r w:rsidRPr="00D637A9">
        <w:rPr>
          <w:rFonts w:ascii="Times New Roman" w:eastAsia="Times New Roman" w:hAnsi="Times New Roman" w:cs="Times New Roman"/>
          <w:sz w:val="24"/>
          <w:szCs w:val="24"/>
          <w:lang w:eastAsia="en-IN"/>
        </w:rPr>
        <w:t>Lakshmana, D. (2020</w:t>
      </w:r>
      <w:proofErr w:type="gramStart"/>
      <w:r w:rsidRPr="00D637A9">
        <w:rPr>
          <w:rFonts w:ascii="Times New Roman" w:eastAsia="Times New Roman" w:hAnsi="Times New Roman" w:cs="Times New Roman"/>
          <w:sz w:val="24"/>
          <w:szCs w:val="24"/>
          <w:lang w:eastAsia="en-IN"/>
        </w:rPr>
        <w:t>).Studies</w:t>
      </w:r>
      <w:proofErr w:type="gramEnd"/>
      <w:r w:rsidRPr="00D637A9">
        <w:rPr>
          <w:rFonts w:ascii="Times New Roman" w:eastAsia="Times New Roman" w:hAnsi="Times New Roman" w:cs="Times New Roman"/>
          <w:sz w:val="24"/>
          <w:szCs w:val="24"/>
          <w:lang w:eastAsia="en-IN"/>
        </w:rPr>
        <w:t xml:space="preserve"> on variability components for yield and its attributes in brinjal under hill zone of Karnataka.</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Journal of Pharmacognosy and Phytochemistry</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9</w:t>
      </w:r>
      <w:r w:rsidRPr="00D637A9">
        <w:rPr>
          <w:rFonts w:ascii="Times New Roman" w:eastAsia="Times New Roman" w:hAnsi="Times New Roman" w:cs="Times New Roman"/>
          <w:sz w:val="24"/>
          <w:szCs w:val="24"/>
          <w:lang w:eastAsia="en-IN"/>
        </w:rPr>
        <w:t>(2), 184–189.</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FAO. (2023). </w:t>
      </w:r>
      <w:r w:rsidRPr="00D637A9">
        <w:rPr>
          <w:rFonts w:ascii="Times New Roman" w:eastAsia="Times New Roman" w:hAnsi="Times New Roman" w:cs="Times New Roman"/>
          <w:i/>
          <w:iCs/>
          <w:sz w:val="24"/>
          <w:szCs w:val="24"/>
          <w:lang w:eastAsia="en-IN"/>
        </w:rPr>
        <w:t>FAOSTAT statistical database: Eggplant production and area harvested</w:t>
      </w:r>
      <w:r w:rsidRPr="00D637A9">
        <w:rPr>
          <w:rFonts w:ascii="Times New Roman" w:eastAsia="Times New Roman" w:hAnsi="Times New Roman" w:cs="Times New Roman"/>
          <w:sz w:val="24"/>
          <w:szCs w:val="24"/>
          <w:lang w:eastAsia="en-IN"/>
        </w:rPr>
        <w:t>. Food and Agriculture Organization of the United Nations.</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Fisher, R. A. (1925). </w:t>
      </w:r>
      <w:r w:rsidRPr="00D637A9">
        <w:rPr>
          <w:rFonts w:ascii="Times New Roman" w:eastAsia="Times New Roman" w:hAnsi="Times New Roman" w:cs="Times New Roman"/>
          <w:i/>
          <w:iCs/>
          <w:sz w:val="24"/>
          <w:szCs w:val="24"/>
          <w:lang w:eastAsia="en-IN"/>
        </w:rPr>
        <w:t xml:space="preserve">Statistical methods for research </w:t>
      </w:r>
      <w:proofErr w:type="gramStart"/>
      <w:r w:rsidRPr="00D637A9">
        <w:rPr>
          <w:rFonts w:ascii="Times New Roman" w:eastAsia="Times New Roman" w:hAnsi="Times New Roman" w:cs="Times New Roman"/>
          <w:i/>
          <w:iCs/>
          <w:sz w:val="24"/>
          <w:szCs w:val="24"/>
          <w:lang w:eastAsia="en-IN"/>
        </w:rPr>
        <w:t>workers</w:t>
      </w:r>
      <w:r w:rsidRPr="00D637A9">
        <w:rPr>
          <w:rFonts w:ascii="Times New Roman" w:eastAsia="Times New Roman" w:hAnsi="Times New Roman" w:cs="Times New Roman"/>
          <w:sz w:val="24"/>
          <w:szCs w:val="24"/>
          <w:lang w:eastAsia="en-IN"/>
        </w:rPr>
        <w:t>.Oliver</w:t>
      </w:r>
      <w:proofErr w:type="gramEnd"/>
      <w:r w:rsidRPr="00D637A9">
        <w:rPr>
          <w:rFonts w:ascii="Times New Roman" w:eastAsia="Times New Roman" w:hAnsi="Times New Roman" w:cs="Times New Roman"/>
          <w:sz w:val="24"/>
          <w:szCs w:val="24"/>
          <w:lang w:eastAsia="en-IN"/>
        </w:rPr>
        <w:t xml:space="preserve"> and Boyd.</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Hirakawa, H., </w:t>
      </w:r>
      <w:proofErr w:type="spellStart"/>
      <w:r w:rsidRPr="00D637A9">
        <w:rPr>
          <w:rFonts w:ascii="Times New Roman" w:eastAsia="Times New Roman" w:hAnsi="Times New Roman" w:cs="Times New Roman"/>
          <w:sz w:val="24"/>
          <w:szCs w:val="24"/>
          <w:lang w:eastAsia="en-IN"/>
        </w:rPr>
        <w:t>Shirasawa</w:t>
      </w:r>
      <w:proofErr w:type="spellEnd"/>
      <w:r w:rsidRPr="00D637A9">
        <w:rPr>
          <w:rFonts w:ascii="Times New Roman" w:eastAsia="Times New Roman" w:hAnsi="Times New Roman" w:cs="Times New Roman"/>
          <w:sz w:val="24"/>
          <w:szCs w:val="24"/>
          <w:lang w:eastAsia="en-IN"/>
        </w:rPr>
        <w:t xml:space="preserve">, K., Miyatake, K., </w:t>
      </w:r>
      <w:proofErr w:type="spellStart"/>
      <w:r w:rsidRPr="00D637A9">
        <w:rPr>
          <w:rFonts w:ascii="Times New Roman" w:eastAsia="Times New Roman" w:hAnsi="Times New Roman" w:cs="Times New Roman"/>
          <w:sz w:val="24"/>
          <w:szCs w:val="24"/>
          <w:lang w:eastAsia="en-IN"/>
        </w:rPr>
        <w:t>Nunome</w:t>
      </w:r>
      <w:proofErr w:type="spellEnd"/>
      <w:r w:rsidRPr="00D637A9">
        <w:rPr>
          <w:rFonts w:ascii="Times New Roman" w:eastAsia="Times New Roman" w:hAnsi="Times New Roman" w:cs="Times New Roman"/>
          <w:sz w:val="24"/>
          <w:szCs w:val="24"/>
          <w:lang w:eastAsia="en-IN"/>
        </w:rPr>
        <w:t xml:space="preserve">, T., </w:t>
      </w:r>
      <w:proofErr w:type="spellStart"/>
      <w:r w:rsidRPr="00D637A9">
        <w:rPr>
          <w:rFonts w:ascii="Times New Roman" w:eastAsia="Times New Roman" w:hAnsi="Times New Roman" w:cs="Times New Roman"/>
          <w:sz w:val="24"/>
          <w:szCs w:val="24"/>
          <w:lang w:eastAsia="en-IN"/>
        </w:rPr>
        <w:t>Negoro</w:t>
      </w:r>
      <w:proofErr w:type="spellEnd"/>
      <w:r w:rsidRPr="00D637A9">
        <w:rPr>
          <w:rFonts w:ascii="Times New Roman" w:eastAsia="Times New Roman" w:hAnsi="Times New Roman" w:cs="Times New Roman"/>
          <w:sz w:val="24"/>
          <w:szCs w:val="24"/>
          <w:lang w:eastAsia="en-IN"/>
        </w:rPr>
        <w:t xml:space="preserve">, S., Ohyama, A., Yamaguchi, H., Horiuchi, R.,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Fukuoka, H. (2014).Genome sequencing and analysis of eggplant (</w:t>
      </w:r>
      <w:r w:rsidRPr="00D637A9">
        <w:rPr>
          <w:rFonts w:ascii="Times New Roman" w:eastAsia="Times New Roman" w:hAnsi="Times New Roman" w:cs="Times New Roman"/>
          <w:i/>
          <w:sz w:val="24"/>
          <w:szCs w:val="24"/>
          <w:lang w:eastAsia="en-IN"/>
        </w:rPr>
        <w:t>Solanum</w:t>
      </w:r>
      <w:r w:rsidR="001C6607" w:rsidRPr="00D637A9">
        <w:rPr>
          <w:rFonts w:ascii="Times New Roman" w:eastAsia="Times New Roman" w:hAnsi="Times New Roman" w:cs="Times New Roman"/>
          <w:i/>
          <w:sz w:val="24"/>
          <w:szCs w:val="24"/>
          <w:lang w:eastAsia="en-IN"/>
        </w:rPr>
        <w:t xml:space="preserve"> </w:t>
      </w:r>
      <w:r w:rsidRPr="00D637A9">
        <w:rPr>
          <w:rFonts w:ascii="Times New Roman" w:eastAsia="Times New Roman" w:hAnsi="Times New Roman" w:cs="Times New Roman"/>
          <w:i/>
          <w:sz w:val="24"/>
          <w:szCs w:val="24"/>
          <w:lang w:eastAsia="en-IN"/>
        </w:rPr>
        <w:t>melongena</w:t>
      </w:r>
      <w:r w:rsidRPr="00D637A9">
        <w:rPr>
          <w:rFonts w:ascii="Times New Roman" w:eastAsia="Times New Roman" w:hAnsi="Times New Roman" w:cs="Times New Roman"/>
          <w:sz w:val="24"/>
          <w:szCs w:val="24"/>
          <w:lang w:eastAsia="en-IN"/>
        </w:rPr>
        <w:t xml:space="preserve"> L.).</w:t>
      </w:r>
      <w:r w:rsidRPr="00D637A9">
        <w:rPr>
          <w:rFonts w:ascii="Times New Roman" w:eastAsia="Times New Roman" w:hAnsi="Times New Roman" w:cs="Times New Roman"/>
          <w:i/>
          <w:iCs/>
          <w:sz w:val="24"/>
          <w:szCs w:val="24"/>
          <w:lang w:eastAsia="en-IN"/>
        </w:rPr>
        <w:t>DNA Research</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21</w:t>
      </w:r>
      <w:r w:rsidRPr="00D637A9">
        <w:rPr>
          <w:rFonts w:ascii="Times New Roman" w:eastAsia="Times New Roman" w:hAnsi="Times New Roman" w:cs="Times New Roman"/>
          <w:sz w:val="24"/>
          <w:szCs w:val="24"/>
          <w:lang w:eastAsia="en-IN"/>
        </w:rPr>
        <w:t>(6), 649–660.</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International Plant Genetic Resources </w:t>
      </w:r>
      <w:proofErr w:type="gramStart"/>
      <w:r w:rsidRPr="00D637A9">
        <w:rPr>
          <w:rFonts w:ascii="Times New Roman" w:eastAsia="Times New Roman" w:hAnsi="Times New Roman" w:cs="Times New Roman"/>
          <w:sz w:val="24"/>
          <w:szCs w:val="24"/>
          <w:lang w:eastAsia="en-IN"/>
        </w:rPr>
        <w:t>Institute.(</w:t>
      </w:r>
      <w:proofErr w:type="gramEnd"/>
      <w:r w:rsidRPr="00D637A9">
        <w:rPr>
          <w:rFonts w:ascii="Times New Roman" w:eastAsia="Times New Roman" w:hAnsi="Times New Roman" w:cs="Times New Roman"/>
          <w:sz w:val="24"/>
          <w:szCs w:val="24"/>
          <w:lang w:eastAsia="en-IN"/>
        </w:rPr>
        <w:t xml:space="preserve">1990). </w:t>
      </w:r>
      <w:r w:rsidRPr="00D637A9">
        <w:rPr>
          <w:rFonts w:ascii="Times New Roman" w:eastAsia="Times New Roman" w:hAnsi="Times New Roman" w:cs="Times New Roman"/>
          <w:i/>
          <w:iCs/>
          <w:sz w:val="24"/>
          <w:szCs w:val="24"/>
          <w:lang w:eastAsia="en-IN"/>
        </w:rPr>
        <w:t>Descriptors for eggplant (Solanum</w:t>
      </w:r>
      <w:r w:rsidR="001C6607" w:rsidRPr="00D637A9">
        <w:rPr>
          <w:rFonts w:ascii="Times New Roman" w:eastAsia="Times New Roman" w:hAnsi="Times New Roman" w:cs="Times New Roman"/>
          <w:i/>
          <w:iCs/>
          <w:sz w:val="24"/>
          <w:szCs w:val="24"/>
          <w:lang w:eastAsia="en-IN"/>
        </w:rPr>
        <w:t xml:space="preserve"> </w:t>
      </w:r>
      <w:r w:rsidRPr="00D637A9">
        <w:rPr>
          <w:rFonts w:ascii="Times New Roman" w:eastAsia="Times New Roman" w:hAnsi="Times New Roman" w:cs="Times New Roman"/>
          <w:i/>
          <w:iCs/>
          <w:sz w:val="24"/>
          <w:szCs w:val="24"/>
          <w:lang w:eastAsia="en-IN"/>
        </w:rPr>
        <w:t>melongena L.</w:t>
      </w:r>
      <w:proofErr w:type="gramStart"/>
      <w:r w:rsidRPr="00D637A9">
        <w:rPr>
          <w:rFonts w:ascii="Times New Roman" w:eastAsia="Times New Roman" w:hAnsi="Times New Roman" w:cs="Times New Roman"/>
          <w:i/>
          <w:iCs/>
          <w:sz w:val="24"/>
          <w:szCs w:val="24"/>
          <w:lang w:eastAsia="en-IN"/>
        </w:rPr>
        <w:t>)</w:t>
      </w:r>
      <w:r w:rsidRPr="00D637A9">
        <w:rPr>
          <w:rFonts w:ascii="Times New Roman" w:eastAsia="Times New Roman" w:hAnsi="Times New Roman" w:cs="Times New Roman"/>
          <w:sz w:val="24"/>
          <w:szCs w:val="24"/>
          <w:lang w:eastAsia="en-IN"/>
        </w:rPr>
        <w:t>.IPGRI</w:t>
      </w:r>
      <w:proofErr w:type="gramEnd"/>
      <w:r w:rsidRPr="00D637A9">
        <w:rPr>
          <w:rFonts w:ascii="Times New Roman" w:eastAsia="Times New Roman" w:hAnsi="Times New Roman" w:cs="Times New Roman"/>
          <w:sz w:val="24"/>
          <w:szCs w:val="24"/>
          <w:lang w:eastAsia="en-IN"/>
        </w:rPr>
        <w:t>.</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Kang, M. S., </w:t>
      </w:r>
      <w:r w:rsidR="001C6607" w:rsidRPr="00D637A9">
        <w:rPr>
          <w:rFonts w:ascii="Times New Roman" w:eastAsia="Times New Roman" w:hAnsi="Times New Roman" w:cs="Times New Roman"/>
          <w:sz w:val="24"/>
          <w:szCs w:val="24"/>
          <w:lang w:eastAsia="en-IN"/>
        </w:rPr>
        <w:t xml:space="preserve">and </w:t>
      </w:r>
      <w:r w:rsidRPr="00D637A9">
        <w:rPr>
          <w:rFonts w:ascii="Times New Roman" w:eastAsia="Times New Roman" w:hAnsi="Times New Roman" w:cs="Times New Roman"/>
          <w:sz w:val="24"/>
          <w:szCs w:val="24"/>
          <w:lang w:eastAsia="en-IN"/>
        </w:rPr>
        <w:t>Gauch, H. G. (Eds.</w:t>
      </w:r>
      <w:proofErr w:type="gramStart"/>
      <w:r w:rsidRPr="00D637A9">
        <w:rPr>
          <w:rFonts w:ascii="Times New Roman" w:eastAsia="Times New Roman" w:hAnsi="Times New Roman" w:cs="Times New Roman"/>
          <w:sz w:val="24"/>
          <w:szCs w:val="24"/>
          <w:lang w:eastAsia="en-IN"/>
        </w:rPr>
        <w:t>).(</w:t>
      </w:r>
      <w:proofErr w:type="gramEnd"/>
      <w:r w:rsidRPr="00D637A9">
        <w:rPr>
          <w:rFonts w:ascii="Times New Roman" w:eastAsia="Times New Roman" w:hAnsi="Times New Roman" w:cs="Times New Roman"/>
          <w:sz w:val="24"/>
          <w:szCs w:val="24"/>
          <w:lang w:eastAsia="en-IN"/>
        </w:rPr>
        <w:t xml:space="preserve">1996). </w:t>
      </w:r>
      <w:r w:rsidRPr="00D637A9">
        <w:rPr>
          <w:rFonts w:ascii="Times New Roman" w:eastAsia="Times New Roman" w:hAnsi="Times New Roman" w:cs="Times New Roman"/>
          <w:i/>
          <w:iCs/>
          <w:sz w:val="24"/>
          <w:szCs w:val="24"/>
          <w:lang w:eastAsia="en-IN"/>
        </w:rPr>
        <w:t>Genotype-by-environment interaction</w:t>
      </w:r>
      <w:r w:rsidRPr="00D637A9">
        <w:rPr>
          <w:rFonts w:ascii="Times New Roman" w:eastAsia="Times New Roman" w:hAnsi="Times New Roman" w:cs="Times New Roman"/>
          <w:sz w:val="24"/>
          <w:szCs w:val="24"/>
          <w:lang w:eastAsia="en-IN"/>
        </w:rPr>
        <w:t>.CRC Press.</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Kaur, M., Kumar, P.,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Singh, R. (2020). Influence of seasonal variations on morphological expression in brinjal (</w:t>
      </w:r>
      <w:r w:rsidRPr="00D637A9">
        <w:rPr>
          <w:rFonts w:ascii="Times New Roman" w:eastAsia="Times New Roman" w:hAnsi="Times New Roman" w:cs="Times New Roman"/>
          <w:i/>
          <w:sz w:val="24"/>
          <w:szCs w:val="24"/>
          <w:lang w:eastAsia="en-IN"/>
        </w:rPr>
        <w:t>Solanum</w:t>
      </w:r>
      <w:r w:rsidR="001C6607" w:rsidRPr="00D637A9">
        <w:rPr>
          <w:rFonts w:ascii="Times New Roman" w:eastAsia="Times New Roman" w:hAnsi="Times New Roman" w:cs="Times New Roman"/>
          <w:i/>
          <w:sz w:val="24"/>
          <w:szCs w:val="24"/>
          <w:lang w:eastAsia="en-IN"/>
        </w:rPr>
        <w:t xml:space="preserve"> </w:t>
      </w:r>
      <w:r w:rsidRPr="00D637A9">
        <w:rPr>
          <w:rFonts w:ascii="Times New Roman" w:eastAsia="Times New Roman" w:hAnsi="Times New Roman" w:cs="Times New Roman"/>
          <w:i/>
          <w:sz w:val="24"/>
          <w:szCs w:val="24"/>
          <w:lang w:eastAsia="en-IN"/>
        </w:rPr>
        <w:t>melongena</w:t>
      </w:r>
      <w:r w:rsidRPr="00D637A9">
        <w:rPr>
          <w:rFonts w:ascii="Times New Roman" w:eastAsia="Times New Roman" w:hAnsi="Times New Roman" w:cs="Times New Roman"/>
          <w:sz w:val="24"/>
          <w:szCs w:val="24"/>
          <w:lang w:eastAsia="en-IN"/>
        </w:rPr>
        <w:t xml:space="preserve"> L.). </w:t>
      </w:r>
      <w:r w:rsidRPr="00D637A9">
        <w:rPr>
          <w:rFonts w:ascii="Times New Roman" w:eastAsia="Times New Roman" w:hAnsi="Times New Roman" w:cs="Times New Roman"/>
          <w:i/>
          <w:iCs/>
          <w:sz w:val="24"/>
          <w:szCs w:val="24"/>
          <w:lang w:eastAsia="en-IN"/>
        </w:rPr>
        <w:t>Vegetable Science</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47</w:t>
      </w:r>
      <w:r w:rsidRPr="00D637A9">
        <w:rPr>
          <w:rFonts w:ascii="Times New Roman" w:eastAsia="Times New Roman" w:hAnsi="Times New Roman" w:cs="Times New Roman"/>
          <w:sz w:val="24"/>
          <w:szCs w:val="24"/>
          <w:lang w:eastAsia="en-IN"/>
        </w:rPr>
        <w:t>(2), 135–141.</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Kumar, R., Singh, B.,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Dayal, A. (2019). Assessment of genetic variability and heritability in brinjal (</w:t>
      </w:r>
      <w:r w:rsidRPr="00D637A9">
        <w:rPr>
          <w:rFonts w:ascii="Times New Roman" w:eastAsia="Times New Roman" w:hAnsi="Times New Roman" w:cs="Times New Roman"/>
          <w:i/>
          <w:sz w:val="24"/>
          <w:szCs w:val="24"/>
          <w:lang w:eastAsia="en-IN"/>
        </w:rPr>
        <w:t>Solanum</w:t>
      </w:r>
      <w:r w:rsidR="001C6607" w:rsidRPr="00D637A9">
        <w:rPr>
          <w:rFonts w:ascii="Times New Roman" w:eastAsia="Times New Roman" w:hAnsi="Times New Roman" w:cs="Times New Roman"/>
          <w:i/>
          <w:sz w:val="24"/>
          <w:szCs w:val="24"/>
          <w:lang w:eastAsia="en-IN"/>
        </w:rPr>
        <w:t xml:space="preserve"> </w:t>
      </w:r>
      <w:r w:rsidRPr="00D637A9">
        <w:rPr>
          <w:rFonts w:ascii="Times New Roman" w:eastAsia="Times New Roman" w:hAnsi="Times New Roman" w:cs="Times New Roman"/>
          <w:i/>
          <w:sz w:val="24"/>
          <w:szCs w:val="24"/>
          <w:lang w:eastAsia="en-IN"/>
        </w:rPr>
        <w:t>melongena</w:t>
      </w:r>
      <w:r w:rsidRPr="00D637A9">
        <w:rPr>
          <w:rFonts w:ascii="Times New Roman" w:eastAsia="Times New Roman" w:hAnsi="Times New Roman" w:cs="Times New Roman"/>
          <w:sz w:val="24"/>
          <w:szCs w:val="24"/>
          <w:lang w:eastAsia="en-IN"/>
        </w:rPr>
        <w:t xml:space="preserve"> L.) </w:t>
      </w:r>
      <w:proofErr w:type="gramStart"/>
      <w:r w:rsidRPr="00D637A9">
        <w:rPr>
          <w:rFonts w:ascii="Times New Roman" w:eastAsia="Times New Roman" w:hAnsi="Times New Roman" w:cs="Times New Roman"/>
          <w:sz w:val="24"/>
          <w:szCs w:val="24"/>
          <w:lang w:eastAsia="en-IN"/>
        </w:rPr>
        <w:t>genotypes.</w:t>
      </w:r>
      <w:r w:rsidRPr="00D637A9">
        <w:rPr>
          <w:rFonts w:ascii="Times New Roman" w:eastAsia="Times New Roman" w:hAnsi="Times New Roman" w:cs="Times New Roman"/>
          <w:i/>
          <w:iCs/>
          <w:sz w:val="24"/>
          <w:szCs w:val="24"/>
          <w:lang w:eastAsia="en-IN"/>
        </w:rPr>
        <w:t>Plant</w:t>
      </w:r>
      <w:proofErr w:type="gramEnd"/>
      <w:r w:rsidRPr="00D637A9">
        <w:rPr>
          <w:rFonts w:ascii="Times New Roman" w:eastAsia="Times New Roman" w:hAnsi="Times New Roman" w:cs="Times New Roman"/>
          <w:i/>
          <w:iCs/>
          <w:sz w:val="24"/>
          <w:szCs w:val="24"/>
          <w:lang w:eastAsia="en-IN"/>
        </w:rPr>
        <w:t xml:space="preserve"> Archives</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19</w:t>
      </w:r>
      <w:r w:rsidRPr="00D637A9">
        <w:rPr>
          <w:rFonts w:ascii="Times New Roman" w:eastAsia="Times New Roman" w:hAnsi="Times New Roman" w:cs="Times New Roman"/>
          <w:sz w:val="24"/>
          <w:szCs w:val="24"/>
          <w:lang w:eastAsia="en-IN"/>
        </w:rPr>
        <w:t>(2), 383–388.</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Li, W., Meng, R.,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Liu, Y. (2020</w:t>
      </w:r>
      <w:proofErr w:type="gramStart"/>
      <w:r w:rsidRPr="00D637A9">
        <w:rPr>
          <w:rFonts w:ascii="Times New Roman" w:eastAsia="Times New Roman" w:hAnsi="Times New Roman" w:cs="Times New Roman"/>
          <w:sz w:val="24"/>
          <w:szCs w:val="24"/>
          <w:lang w:eastAsia="en-IN"/>
        </w:rPr>
        <w:t>).Environmental</w:t>
      </w:r>
      <w:proofErr w:type="gramEnd"/>
      <w:r w:rsidRPr="00D637A9">
        <w:rPr>
          <w:rFonts w:ascii="Times New Roman" w:eastAsia="Times New Roman" w:hAnsi="Times New Roman" w:cs="Times New Roman"/>
          <w:sz w:val="24"/>
          <w:szCs w:val="24"/>
          <w:lang w:eastAsia="en-IN"/>
        </w:rPr>
        <w:t xml:space="preserve"> regulation of anthocyanin biosynthesis in Solanaceae crops.</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Frontiers in Plant Science</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11</w:t>
      </w:r>
      <w:r w:rsidRPr="00D637A9">
        <w:rPr>
          <w:rFonts w:ascii="Times New Roman" w:eastAsia="Times New Roman" w:hAnsi="Times New Roman" w:cs="Times New Roman"/>
          <w:sz w:val="24"/>
          <w:szCs w:val="24"/>
          <w:lang w:eastAsia="en-IN"/>
        </w:rPr>
        <w:t>, 603.</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Liu, H., Wang, X., </w:t>
      </w:r>
      <w:r w:rsidR="001C6607" w:rsidRPr="00D637A9">
        <w:rPr>
          <w:rFonts w:ascii="Times New Roman" w:eastAsia="Times New Roman" w:hAnsi="Times New Roman" w:cs="Times New Roman"/>
          <w:sz w:val="24"/>
          <w:szCs w:val="24"/>
          <w:lang w:eastAsia="en-IN"/>
        </w:rPr>
        <w:t xml:space="preserve">and </w:t>
      </w:r>
      <w:r w:rsidRPr="00D637A9">
        <w:rPr>
          <w:rFonts w:ascii="Times New Roman" w:eastAsia="Times New Roman" w:hAnsi="Times New Roman" w:cs="Times New Roman"/>
          <w:sz w:val="24"/>
          <w:szCs w:val="24"/>
          <w:lang w:eastAsia="en-IN"/>
        </w:rPr>
        <w:t>Gao, Y. (2022). Phenotypic plasticity and genetic differentiation in response to environmental heterogeneity in Solanaceae crops.</w:t>
      </w:r>
      <w:r w:rsidR="001C6607"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Plant Physiology Reports</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27</w:t>
      </w:r>
      <w:r w:rsidRPr="00D637A9">
        <w:rPr>
          <w:rFonts w:ascii="Times New Roman" w:eastAsia="Times New Roman" w:hAnsi="Times New Roman" w:cs="Times New Roman"/>
          <w:sz w:val="24"/>
          <w:szCs w:val="24"/>
          <w:lang w:eastAsia="en-IN"/>
        </w:rPr>
        <w:t>(3), 512–523.</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McNemar, Q. (1947). Note on the sampling error of the difference between correlated proportions or percentages. </w:t>
      </w:r>
      <w:r w:rsidRPr="00D637A9">
        <w:rPr>
          <w:rFonts w:ascii="Times New Roman" w:eastAsia="Times New Roman" w:hAnsi="Times New Roman" w:cs="Times New Roman"/>
          <w:i/>
          <w:iCs/>
          <w:sz w:val="24"/>
          <w:szCs w:val="24"/>
          <w:lang w:eastAsia="en-IN"/>
        </w:rPr>
        <w:t>Psychometrika</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12</w:t>
      </w:r>
      <w:r w:rsidRPr="00D637A9">
        <w:rPr>
          <w:rFonts w:ascii="Times New Roman" w:eastAsia="Times New Roman" w:hAnsi="Times New Roman" w:cs="Times New Roman"/>
          <w:sz w:val="24"/>
          <w:szCs w:val="24"/>
          <w:lang w:eastAsia="en-IN"/>
        </w:rPr>
        <w:t>(2), 153–157.</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lastRenderedPageBreak/>
        <w:t xml:space="preserve">Nicotra, A. B., Atkin, O. K., Bonser, S. P., Davidson, A. M., Finnegan, E. J., Mathesius, U., Poot, P., Purugganan, M. D., Richards, C. L., Valladares, F., </w:t>
      </w:r>
      <w:r w:rsidR="001C6607" w:rsidRPr="00D637A9">
        <w:rPr>
          <w:rFonts w:ascii="Times New Roman" w:eastAsia="Times New Roman" w:hAnsi="Times New Roman" w:cs="Times New Roman"/>
          <w:sz w:val="24"/>
          <w:szCs w:val="24"/>
          <w:lang w:eastAsia="en-IN"/>
        </w:rPr>
        <w:t>and</w:t>
      </w:r>
      <w:r w:rsidRPr="00D637A9">
        <w:rPr>
          <w:rFonts w:ascii="Times New Roman" w:eastAsia="Times New Roman" w:hAnsi="Times New Roman" w:cs="Times New Roman"/>
          <w:sz w:val="24"/>
          <w:szCs w:val="24"/>
          <w:lang w:eastAsia="en-IN"/>
        </w:rPr>
        <w:t xml:space="preserve"> van Kleunen, M. (2010). Plant phenotypic plasticity in a changing </w:t>
      </w:r>
      <w:proofErr w:type="gramStart"/>
      <w:r w:rsidRPr="00D637A9">
        <w:rPr>
          <w:rFonts w:ascii="Times New Roman" w:eastAsia="Times New Roman" w:hAnsi="Times New Roman" w:cs="Times New Roman"/>
          <w:sz w:val="24"/>
          <w:szCs w:val="24"/>
          <w:lang w:eastAsia="en-IN"/>
        </w:rPr>
        <w:t>climate.</w:t>
      </w:r>
      <w:r w:rsidRPr="00D637A9">
        <w:rPr>
          <w:rFonts w:ascii="Times New Roman" w:eastAsia="Times New Roman" w:hAnsi="Times New Roman" w:cs="Times New Roman"/>
          <w:i/>
          <w:iCs/>
          <w:sz w:val="24"/>
          <w:szCs w:val="24"/>
          <w:lang w:eastAsia="en-IN"/>
        </w:rPr>
        <w:t>Trends</w:t>
      </w:r>
      <w:proofErr w:type="gramEnd"/>
      <w:r w:rsidRPr="00D637A9">
        <w:rPr>
          <w:rFonts w:ascii="Times New Roman" w:eastAsia="Times New Roman" w:hAnsi="Times New Roman" w:cs="Times New Roman"/>
          <w:i/>
          <w:iCs/>
          <w:sz w:val="24"/>
          <w:szCs w:val="24"/>
          <w:lang w:eastAsia="en-IN"/>
        </w:rPr>
        <w:t xml:space="preserve"> in Plant Science</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15</w:t>
      </w:r>
      <w:r w:rsidRPr="00D637A9">
        <w:rPr>
          <w:rFonts w:ascii="Times New Roman" w:eastAsia="Times New Roman" w:hAnsi="Times New Roman" w:cs="Times New Roman"/>
          <w:sz w:val="24"/>
          <w:szCs w:val="24"/>
          <w:lang w:eastAsia="en-IN"/>
        </w:rPr>
        <w:t>(12), 684–692.</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Pearson, K. (1900). On the criterion that a given system of deviations from the probable in the case of a correlated system of variables is such that it can be reasonably supposed to have arisen from random sampling. </w:t>
      </w:r>
      <w:r w:rsidRPr="00D637A9">
        <w:rPr>
          <w:rFonts w:ascii="Times New Roman" w:eastAsia="Times New Roman" w:hAnsi="Times New Roman" w:cs="Times New Roman"/>
          <w:i/>
          <w:iCs/>
          <w:sz w:val="24"/>
          <w:szCs w:val="24"/>
          <w:lang w:eastAsia="en-IN"/>
        </w:rPr>
        <w:t>Philosophical Magazine</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50</w:t>
      </w:r>
      <w:r w:rsidRPr="00D637A9">
        <w:rPr>
          <w:rFonts w:ascii="Times New Roman" w:eastAsia="Times New Roman" w:hAnsi="Times New Roman" w:cs="Times New Roman"/>
          <w:sz w:val="24"/>
          <w:szCs w:val="24"/>
          <w:lang w:eastAsia="en-IN"/>
        </w:rPr>
        <w:t>(302), 157–175.</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Protection of Plant Varieties and Farmers’ Rights </w:t>
      </w:r>
      <w:proofErr w:type="gramStart"/>
      <w:r w:rsidRPr="00D637A9">
        <w:rPr>
          <w:rFonts w:ascii="Times New Roman" w:eastAsia="Times New Roman" w:hAnsi="Times New Roman" w:cs="Times New Roman"/>
          <w:sz w:val="24"/>
          <w:szCs w:val="24"/>
          <w:lang w:eastAsia="en-IN"/>
        </w:rPr>
        <w:t>Authority.(</w:t>
      </w:r>
      <w:proofErr w:type="gramEnd"/>
      <w:r w:rsidRPr="00D637A9">
        <w:rPr>
          <w:rFonts w:ascii="Times New Roman" w:eastAsia="Times New Roman" w:hAnsi="Times New Roman" w:cs="Times New Roman"/>
          <w:sz w:val="24"/>
          <w:szCs w:val="24"/>
          <w:lang w:eastAsia="en-IN"/>
        </w:rPr>
        <w:t xml:space="preserve">2021). </w:t>
      </w:r>
      <w:r w:rsidRPr="00D637A9">
        <w:rPr>
          <w:rFonts w:ascii="Times New Roman" w:eastAsia="Times New Roman" w:hAnsi="Times New Roman" w:cs="Times New Roman"/>
          <w:i/>
          <w:iCs/>
          <w:sz w:val="24"/>
          <w:szCs w:val="24"/>
          <w:lang w:eastAsia="en-IN"/>
        </w:rPr>
        <w:t>Guidelines for conduct of test for distinctness, uniformity and stability in brinjal (Solanum</w:t>
      </w:r>
      <w:r w:rsidR="001C6607" w:rsidRPr="00D637A9">
        <w:rPr>
          <w:rFonts w:ascii="Times New Roman" w:eastAsia="Times New Roman" w:hAnsi="Times New Roman" w:cs="Times New Roman"/>
          <w:i/>
          <w:iCs/>
          <w:sz w:val="24"/>
          <w:szCs w:val="24"/>
          <w:lang w:eastAsia="en-IN"/>
        </w:rPr>
        <w:t xml:space="preserve"> </w:t>
      </w:r>
      <w:r w:rsidRPr="00D637A9">
        <w:rPr>
          <w:rFonts w:ascii="Times New Roman" w:eastAsia="Times New Roman" w:hAnsi="Times New Roman" w:cs="Times New Roman"/>
          <w:i/>
          <w:iCs/>
          <w:sz w:val="24"/>
          <w:szCs w:val="24"/>
          <w:lang w:eastAsia="en-IN"/>
        </w:rPr>
        <w:t>melongena L.</w:t>
      </w:r>
      <w:proofErr w:type="gramStart"/>
      <w:r w:rsidRPr="00D637A9">
        <w:rPr>
          <w:rFonts w:ascii="Times New Roman" w:eastAsia="Times New Roman" w:hAnsi="Times New Roman" w:cs="Times New Roman"/>
          <w:i/>
          <w:iCs/>
          <w:sz w:val="24"/>
          <w:szCs w:val="24"/>
          <w:lang w:eastAsia="en-IN"/>
        </w:rPr>
        <w:t>)</w:t>
      </w:r>
      <w:r w:rsidRPr="00D637A9">
        <w:rPr>
          <w:rFonts w:ascii="Times New Roman" w:eastAsia="Times New Roman" w:hAnsi="Times New Roman" w:cs="Times New Roman"/>
          <w:sz w:val="24"/>
          <w:szCs w:val="24"/>
          <w:lang w:eastAsia="en-IN"/>
        </w:rPr>
        <w:t>.Ministry</w:t>
      </w:r>
      <w:proofErr w:type="gramEnd"/>
      <w:r w:rsidRPr="00D637A9">
        <w:rPr>
          <w:rFonts w:ascii="Times New Roman" w:eastAsia="Times New Roman" w:hAnsi="Times New Roman" w:cs="Times New Roman"/>
          <w:sz w:val="24"/>
          <w:szCs w:val="24"/>
          <w:lang w:eastAsia="en-IN"/>
        </w:rPr>
        <w:t xml:space="preserve"> of Agriculture, Government of India.</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R Core Team. (2023). </w:t>
      </w:r>
      <w:r w:rsidRPr="00D637A9">
        <w:rPr>
          <w:rFonts w:ascii="Times New Roman" w:eastAsia="Times New Roman" w:hAnsi="Times New Roman" w:cs="Times New Roman"/>
          <w:i/>
          <w:iCs/>
          <w:sz w:val="24"/>
          <w:szCs w:val="24"/>
          <w:lang w:eastAsia="en-IN"/>
        </w:rPr>
        <w:t>R: A language and environment for statistical computing</w:t>
      </w:r>
      <w:r w:rsidRPr="00D637A9">
        <w:rPr>
          <w:rFonts w:ascii="Times New Roman" w:eastAsia="Times New Roman" w:hAnsi="Times New Roman" w:cs="Times New Roman"/>
          <w:sz w:val="24"/>
          <w:szCs w:val="24"/>
          <w:lang w:eastAsia="en-IN"/>
        </w:rPr>
        <w:t>. R Foundation for Statistical Computing.</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Stuart, A. (1955). A test for homogeneity of the marginal distributions in a two-way classification.</w:t>
      </w:r>
      <w:r w:rsidR="001C6607" w:rsidRPr="00D637A9">
        <w:rPr>
          <w:rFonts w:ascii="Times New Roman" w:eastAsia="Times New Roman" w:hAnsi="Times New Roman" w:cs="Times New Roman"/>
          <w:sz w:val="24"/>
          <w:szCs w:val="24"/>
          <w:lang w:eastAsia="en-IN"/>
        </w:rPr>
        <w:t xml:space="preserve"> </w:t>
      </w:r>
      <w:proofErr w:type="spellStart"/>
      <w:r w:rsidRPr="00D637A9">
        <w:rPr>
          <w:rFonts w:ascii="Times New Roman" w:eastAsia="Times New Roman" w:hAnsi="Times New Roman" w:cs="Times New Roman"/>
          <w:i/>
          <w:iCs/>
          <w:sz w:val="24"/>
          <w:szCs w:val="24"/>
          <w:lang w:eastAsia="en-IN"/>
        </w:rPr>
        <w:t>Biometrika</w:t>
      </w:r>
      <w:proofErr w:type="spellEnd"/>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42</w:t>
      </w:r>
      <w:r w:rsidRPr="00D637A9">
        <w:rPr>
          <w:rFonts w:ascii="Times New Roman" w:eastAsia="Times New Roman" w:hAnsi="Times New Roman" w:cs="Times New Roman"/>
          <w:sz w:val="24"/>
          <w:szCs w:val="24"/>
          <w:lang w:eastAsia="en-IN"/>
        </w:rPr>
        <w:t>(3-4), 412–416.</w:t>
      </w:r>
    </w:p>
    <w:p w:rsidR="002760C0" w:rsidRPr="00D637A9" w:rsidRDefault="002760C0" w:rsidP="00D637A9">
      <w:pPr>
        <w:spacing w:before="120" w:after="120" w:line="300" w:lineRule="auto"/>
        <w:ind w:left="720" w:hanging="720"/>
        <w:jc w:val="both"/>
        <w:rPr>
          <w:rFonts w:ascii="Times New Roman" w:eastAsia="Times New Roman" w:hAnsi="Times New Roman" w:cs="Times New Roman"/>
          <w:sz w:val="24"/>
          <w:szCs w:val="24"/>
          <w:lang w:eastAsia="en-IN"/>
        </w:rPr>
      </w:pPr>
      <w:r w:rsidRPr="00D637A9">
        <w:rPr>
          <w:rFonts w:ascii="Times New Roman" w:eastAsia="Times New Roman" w:hAnsi="Times New Roman" w:cs="Times New Roman"/>
          <w:sz w:val="24"/>
          <w:szCs w:val="24"/>
          <w:lang w:eastAsia="en-IN"/>
        </w:rPr>
        <w:t xml:space="preserve">Yates, F. (1934). Contingency tables involving small numbers and the χ² test. </w:t>
      </w:r>
      <w:r w:rsidRPr="00D637A9">
        <w:rPr>
          <w:rFonts w:ascii="Times New Roman" w:eastAsia="Times New Roman" w:hAnsi="Times New Roman" w:cs="Times New Roman"/>
          <w:i/>
          <w:iCs/>
          <w:sz w:val="24"/>
          <w:szCs w:val="24"/>
          <w:lang w:eastAsia="en-IN"/>
        </w:rPr>
        <w:t>Supplement to the Journal of the Royal Statistical Society</w:t>
      </w:r>
      <w:r w:rsidRPr="00D637A9">
        <w:rPr>
          <w:rFonts w:ascii="Times New Roman" w:eastAsia="Times New Roman" w:hAnsi="Times New Roman" w:cs="Times New Roman"/>
          <w:sz w:val="24"/>
          <w:szCs w:val="24"/>
          <w:lang w:eastAsia="en-IN"/>
        </w:rPr>
        <w:t xml:space="preserve">, </w:t>
      </w:r>
      <w:r w:rsidRPr="00D637A9">
        <w:rPr>
          <w:rFonts w:ascii="Times New Roman" w:eastAsia="Times New Roman" w:hAnsi="Times New Roman" w:cs="Times New Roman"/>
          <w:i/>
          <w:iCs/>
          <w:sz w:val="24"/>
          <w:szCs w:val="24"/>
          <w:lang w:eastAsia="en-IN"/>
        </w:rPr>
        <w:t>1</w:t>
      </w:r>
      <w:r w:rsidRPr="00D637A9">
        <w:rPr>
          <w:rFonts w:ascii="Times New Roman" w:eastAsia="Times New Roman" w:hAnsi="Times New Roman" w:cs="Times New Roman"/>
          <w:sz w:val="24"/>
          <w:szCs w:val="24"/>
          <w:lang w:eastAsia="en-IN"/>
        </w:rPr>
        <w:t>(2), 217–235.</w:t>
      </w:r>
    </w:p>
    <w:p w:rsidR="008D45DB" w:rsidRDefault="008D45DB" w:rsidP="008D45DB">
      <w:pPr>
        <w:spacing w:before="100" w:beforeAutospacing="1" w:after="100" w:afterAutospacing="1" w:line="360" w:lineRule="auto"/>
        <w:jc w:val="both"/>
        <w:rPr>
          <w:rFonts w:ascii="Times New Roman" w:eastAsia="Times New Roman" w:hAnsi="Times New Roman" w:cs="Times New Roman"/>
          <w:b/>
          <w:bCs/>
          <w:sz w:val="24"/>
          <w:szCs w:val="24"/>
          <w:lang w:eastAsia="en-IN"/>
        </w:rPr>
        <w:sectPr w:rsidR="008D45DB" w:rsidSect="00AA73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lastRenderedPageBreak/>
        <w:t>Table 1: Seasonal expression of morphological traits in brinjal genotypes (separated by group)</w:t>
      </w:r>
    </w:p>
    <w:tbl>
      <w:tblPr>
        <w:tblStyle w:val="TableGrid"/>
        <w:tblW w:w="0" w:type="auto"/>
        <w:tblLook w:val="04A0" w:firstRow="1" w:lastRow="0" w:firstColumn="1" w:lastColumn="0" w:noHBand="0" w:noVBand="1"/>
      </w:tblPr>
      <w:tblGrid>
        <w:gridCol w:w="1165"/>
        <w:gridCol w:w="1113"/>
        <w:gridCol w:w="1030"/>
        <w:gridCol w:w="2565"/>
        <w:gridCol w:w="7365"/>
        <w:gridCol w:w="936"/>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Sub-Trait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Genotypes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Genotypes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Total (No.)</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Summer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IVBL-24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IVBHLW-17, IVBHRW-19, IVBHRW-22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IVBL-24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Summer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IVBL-27, IVBL-29, IVBR-18, IVBR-22, SHP-2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IVBHLW-14, IVBHRW-11, IVBHRW-28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IVBL-27, IVBL-29, IVBR-18, IVBR-22, SHP-2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IVBHLW-14, IVBHRW-11, IVBHRW-28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IVBHRW-19, IVBHRW-22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Summer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Pant Rituraj, SHP-2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IVBHRW-4, IVBHRW-19, IVBHRW-22, IVBHRW-25, IVBHRW-27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7</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Round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Pant Rituraj, SHP-2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IVBHRW-4, IVBHRW-19, IVBHRW-22, IVBHRW-25, IVBHRW-27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7</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Oblong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Summer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IVBHLW-11, IVBHLW-15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IVBHLW-11, IVBHLW-15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 xml:space="preserve">Growth </w:t>
            </w:r>
            <w:r w:rsidRPr="004B5CE8">
              <w:rPr>
                <w:rFonts w:ascii="Times New Roman" w:eastAsia="Times New Roman" w:hAnsi="Times New Roman" w:cs="Times New Roman"/>
                <w:sz w:val="24"/>
                <w:szCs w:val="24"/>
                <w:lang w:eastAsia="en-IN"/>
              </w:rPr>
              <w:lastRenderedPageBreak/>
              <w:t>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Semi-</w:t>
            </w:r>
            <w:r w:rsidRPr="004B5CE8">
              <w:rPr>
                <w:rFonts w:ascii="Times New Roman" w:eastAsia="Times New Roman" w:hAnsi="Times New Roman" w:cs="Times New Roman"/>
                <w:sz w:val="24"/>
                <w:szCs w:val="24"/>
                <w:lang w:eastAsia="en-IN"/>
              </w:rPr>
              <w:lastRenderedPageBreak/>
              <w:t>erect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Summer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 xml:space="preserve">IVBL-30, IVBL-31, </w:t>
            </w:r>
            <w:r w:rsidRPr="004B5CE8">
              <w:rPr>
                <w:rFonts w:ascii="Times New Roman" w:eastAsia="Times New Roman" w:hAnsi="Times New Roman" w:cs="Times New Roman"/>
                <w:sz w:val="24"/>
                <w:szCs w:val="24"/>
                <w:lang w:eastAsia="en-IN"/>
              </w:rPr>
              <w:lastRenderedPageBreak/>
              <w:t>IVBR-18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 xml:space="preserve">IVBHLW-2, IVBHLW-13, IVBHLW-15, IVBHLW-17, IVBHRW-1, </w:t>
            </w:r>
            <w:r w:rsidRPr="004B5CE8">
              <w:rPr>
                <w:rFonts w:ascii="Times New Roman" w:eastAsia="Times New Roman" w:hAnsi="Times New Roman" w:cs="Times New Roman"/>
                <w:sz w:val="24"/>
                <w:szCs w:val="24"/>
                <w:lang w:eastAsia="en-IN"/>
              </w:rPr>
              <w:lastRenderedPageBreak/>
              <w:t>IVBHRW-3, IVBHRW-11, IVBHRW-14, IVBHRW-15, IVBHRW-19, IVBHRW-20, IVBHRW-28, IVBHRW-29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16</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Erect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IVBL-30, IVBL-31, IVBR-18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IVBHLW-2, IVBHLW-13, IVBHLW-15, IVBHLW-17, IVBHRW-1, IVBHRW-3, IVBHRW-11, IVBHRW-14, IVBHRW-15, IVBHRW-19, IVBHRW-20, IVBHRW-28, IVBHRW-29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16</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2: Percentage distributions per trait category with variation notes (separated by group)</w:t>
      </w:r>
    </w:p>
    <w:tbl>
      <w:tblPr>
        <w:tblStyle w:val="TableGrid"/>
        <w:tblW w:w="0" w:type="auto"/>
        <w:tblLook w:val="04A0" w:firstRow="1" w:lastRow="0" w:firstColumn="1" w:lastColumn="0" w:noHBand="0" w:noVBand="1"/>
      </w:tblPr>
      <w:tblGrid>
        <w:gridCol w:w="1715"/>
        <w:gridCol w:w="1543"/>
        <w:gridCol w:w="1650"/>
        <w:gridCol w:w="1463"/>
        <w:gridCol w:w="1685"/>
        <w:gridCol w:w="1517"/>
        <w:gridCol w:w="4601"/>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Category</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Summer %</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Kharif %</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Summer %</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Kharif %</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Notes on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Round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32.6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 increase; 2 in inbreds, 5 in hybrids (Oval → Round).</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30.4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34.8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Stable in inbreds; slight increase in hybrids (2 Oblong → Long).</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26.1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15.2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Decrease in both.</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Oblong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Decrease in hybrids.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36.4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47.8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Slight decrease; shifts to darker.</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27.3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32.6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30.4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Drop in inbreds.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36.4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17.4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Large increase in inbreds, moderate in hybrids.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White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Stable.</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Green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Stable.</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Other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Minor.</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Calyx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Green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95.7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95.7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Flesh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Greenish White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White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Leaf Vein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63.6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63.6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84.8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84.8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Green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36.4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36.4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15.2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15.2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 xml:space="preserve">Leaf </w:t>
            </w:r>
            <w:r w:rsidR="00D637A9" w:rsidRPr="004B5CE8">
              <w:rPr>
                <w:rFonts w:ascii="Times New Roman" w:eastAsia="Times New Roman" w:hAnsi="Times New Roman" w:cs="Times New Roman"/>
                <w:sz w:val="24"/>
                <w:szCs w:val="24"/>
                <w:lang w:eastAsia="en-IN"/>
              </w:rPr>
              <w:t>Spinyness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Absent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95.5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95.5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97.8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97.8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Present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variation.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45.5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65.2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37.0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Decrease; larger in hybrids.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Erect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27.3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26.1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54.3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Increase; larger in hybrids.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Spreading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Stable.</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3: Summary of no-variation group (separated by group)</w:t>
      </w:r>
    </w:p>
    <w:tbl>
      <w:tblPr>
        <w:tblStyle w:val="TableGrid"/>
        <w:tblW w:w="0" w:type="auto"/>
        <w:tblLook w:val="04A0" w:firstRow="1" w:lastRow="0" w:firstColumn="1" w:lastColumn="0" w:noHBand="0" w:noVBand="1"/>
      </w:tblPr>
      <w:tblGrid>
        <w:gridCol w:w="1469"/>
        <w:gridCol w:w="5217"/>
        <w:gridCol w:w="7488"/>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Summary</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Details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Details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Number of Genotypes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 (59.1%)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26 (56.5%)</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Example Genotypes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Kashi</w:t>
            </w:r>
            <w:r w:rsidR="00D637A9">
              <w:rPr>
                <w:rFonts w:ascii="Times New Roman" w:eastAsia="Times New Roman" w:hAnsi="Times New Roman" w:cs="Times New Roman"/>
                <w:sz w:val="24"/>
                <w:szCs w:val="24"/>
                <w:lang w:eastAsia="en-IN"/>
              </w:rPr>
              <w:t xml:space="preserve"> </w:t>
            </w:r>
            <w:r w:rsidRPr="004B5CE8">
              <w:rPr>
                <w:rFonts w:ascii="Times New Roman" w:eastAsia="Times New Roman" w:hAnsi="Times New Roman" w:cs="Times New Roman"/>
                <w:sz w:val="24"/>
                <w:szCs w:val="24"/>
                <w:lang w:eastAsia="en-IN"/>
              </w:rPr>
              <w:t>Uttam, Kashi</w:t>
            </w:r>
            <w:r w:rsidR="00D637A9">
              <w:rPr>
                <w:rFonts w:ascii="Times New Roman" w:eastAsia="Times New Roman" w:hAnsi="Times New Roman" w:cs="Times New Roman"/>
                <w:sz w:val="24"/>
                <w:szCs w:val="24"/>
                <w:lang w:eastAsia="en-IN"/>
              </w:rPr>
              <w:t xml:space="preserve"> </w:t>
            </w:r>
            <w:r w:rsidRPr="004B5CE8">
              <w:rPr>
                <w:rFonts w:ascii="Times New Roman" w:eastAsia="Times New Roman" w:hAnsi="Times New Roman" w:cs="Times New Roman"/>
                <w:sz w:val="24"/>
                <w:szCs w:val="24"/>
                <w:lang w:eastAsia="en-IN"/>
              </w:rPr>
              <w:t>Sandesh</w:t>
            </w:r>
            <w:r w:rsidR="00D637A9">
              <w:rPr>
                <w:rFonts w:ascii="Times New Roman" w:eastAsia="Times New Roman" w:hAnsi="Times New Roman" w:cs="Times New Roman"/>
                <w:sz w:val="24"/>
                <w:szCs w:val="24"/>
                <w:lang w:eastAsia="en-IN"/>
              </w:rPr>
              <w:t>(Hybrid-Check)</w:t>
            </w:r>
            <w:r w:rsidRPr="004B5CE8">
              <w:rPr>
                <w:rFonts w:ascii="Times New Roman" w:eastAsia="Times New Roman" w:hAnsi="Times New Roman" w:cs="Times New Roman"/>
                <w:sz w:val="24"/>
                <w:szCs w:val="24"/>
                <w:lang w:eastAsia="en-IN"/>
              </w:rPr>
              <w:t>, Kashi</w:t>
            </w:r>
            <w:r w:rsidR="00D637A9">
              <w:rPr>
                <w:rFonts w:ascii="Times New Roman" w:eastAsia="Times New Roman" w:hAnsi="Times New Roman" w:cs="Times New Roman"/>
                <w:sz w:val="24"/>
                <w:szCs w:val="24"/>
                <w:lang w:eastAsia="en-IN"/>
              </w:rPr>
              <w:t xml:space="preserve"> </w:t>
            </w:r>
            <w:r w:rsidRPr="004B5CE8">
              <w:rPr>
                <w:rFonts w:ascii="Times New Roman" w:eastAsia="Times New Roman" w:hAnsi="Times New Roman" w:cs="Times New Roman"/>
                <w:sz w:val="24"/>
                <w:szCs w:val="24"/>
                <w:lang w:eastAsia="en-IN"/>
              </w:rPr>
              <w:t>Manohar</w:t>
            </w:r>
            <w:r w:rsidR="00D637A9">
              <w:rPr>
                <w:rFonts w:ascii="Times New Roman" w:eastAsia="Times New Roman" w:hAnsi="Times New Roman" w:cs="Times New Roman"/>
                <w:sz w:val="24"/>
                <w:szCs w:val="24"/>
                <w:lang w:eastAsia="en-IN"/>
              </w:rPr>
              <w:t>(Hybrid-Check)</w:t>
            </w:r>
            <w:r w:rsidRPr="004B5CE8">
              <w:rPr>
                <w:rFonts w:ascii="Times New Roman" w:eastAsia="Times New Roman" w:hAnsi="Times New Roman" w:cs="Times New Roman"/>
                <w:sz w:val="24"/>
                <w:szCs w:val="24"/>
                <w:lang w:eastAsia="en-IN"/>
              </w:rPr>
              <w:t xml:space="preserve">, IVBL-25, IVBL-28, </w:t>
            </w:r>
            <w:r w:rsidRPr="004B5CE8">
              <w:rPr>
                <w:rFonts w:ascii="Times New Roman" w:eastAsia="Times New Roman" w:hAnsi="Times New Roman" w:cs="Times New Roman"/>
                <w:sz w:val="24"/>
                <w:szCs w:val="24"/>
                <w:lang w:eastAsia="en-IN"/>
              </w:rPr>
              <w:lastRenderedPageBreak/>
              <w:t>IVBR-17, IVBR-19, IVBR-20, IVBR-21, IVBR-23, IVBR-24, Selection-10, CHBR-2</w:t>
            </w:r>
          </w:p>
        </w:tc>
        <w:tc>
          <w:tcPr>
            <w:tcW w:w="0" w:type="auto"/>
            <w:hideMark/>
          </w:tcPr>
          <w:p w:rsidR="008D45DB" w:rsidRPr="004B5CE8" w:rsidRDefault="008D45DB" w:rsidP="003B65F0">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 xml:space="preserve">IVBHLW-1, IVBHLW-3, IVBHLW-4, IVBHLW-7, IVBHLW-8, IVBHLW-9, IVBHLW-12, IVBHLW-16, IVBHLW-18, IVBHLW-20, </w:t>
            </w:r>
            <w:r w:rsidRPr="004B5CE8">
              <w:rPr>
                <w:rFonts w:ascii="Times New Roman" w:eastAsia="Times New Roman" w:hAnsi="Times New Roman" w:cs="Times New Roman"/>
                <w:sz w:val="24"/>
                <w:szCs w:val="24"/>
                <w:lang w:eastAsia="en-IN"/>
              </w:rPr>
              <w:lastRenderedPageBreak/>
              <w:t xml:space="preserve">IVBHLW-21, IVBHLW-24, IVBHRW-2, IVBHRW-6, IVBHRW-7, IVBHRW-8, IVBHRW-9, IVBHRW-10, IVBHRW-12, IVBHRW-16, IVBHRW-17, IVBHRW-21, IVBHRW-23, IVBHRW-24, IVBHLW-25, IVBHRW-5 </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4: Single-trait variation groups (separated by group)</w:t>
      </w:r>
    </w:p>
    <w:tbl>
      <w:tblPr>
        <w:tblStyle w:val="TableGrid"/>
        <w:tblW w:w="0" w:type="auto"/>
        <w:tblLook w:val="04A0" w:firstRow="1" w:lastRow="0" w:firstColumn="1" w:lastColumn="0" w:noHBand="0" w:noVBand="1"/>
      </w:tblPr>
      <w:tblGrid>
        <w:gridCol w:w="1222"/>
        <w:gridCol w:w="1633"/>
        <w:gridCol w:w="1658"/>
        <w:gridCol w:w="2536"/>
        <w:gridCol w:w="2651"/>
        <w:gridCol w:w="4474"/>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 Group</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Number (% of Inbred Total)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Number (% of Hybrid Total)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Percentage Distribution Within Group (Summer → 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Specific Variations (Summer → 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Example Genotypes (Inbred/Hybrid)</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Only Growth 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 (9.1%)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9 (19.6%)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100%; Erect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 Erect (100%)</w:t>
            </w:r>
          </w:p>
        </w:tc>
        <w:tc>
          <w:tcPr>
            <w:tcW w:w="0" w:type="auto"/>
            <w:hideMark/>
          </w:tcPr>
          <w:p w:rsidR="008D45DB" w:rsidRPr="004B5CE8" w:rsidRDefault="008D45DB" w:rsidP="003B65F0">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IVBL-30, IVBL-31 / IVBHLW-2, IVBHLW-13, IVBHRW-1, IVBHRW-3, IVBHRW-14, IVBHRW-15, IVBHRW-20, IVBHRW-29</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Only 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 (18.2%)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 75-80%, Light Purple 20-25%; Dark Purple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 → Dark Purple (75-80%), Light Purple → Dark Purple (20-25%)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IVBL-24, IVBL-27, IVBL-29, IVBR-22 / IVBHLW-14</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Only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 (8.7%)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Oval 80-100%, Oblong 0-20%; Round 80-100%, Long 0-20%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Oval → Round (80-100%), Oblong → Long (0-20%)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Pant Rituraj / IVBHRW-4, IVBHRW-25, IVBHRW-27, IVBHLW-11</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lastRenderedPageBreak/>
        <w:t>Table 5: Multi-trait variation groups (separated by group)</w:t>
      </w:r>
    </w:p>
    <w:tbl>
      <w:tblPr>
        <w:tblStyle w:val="TableGrid"/>
        <w:tblW w:w="0" w:type="auto"/>
        <w:tblLook w:val="04A0" w:firstRow="1" w:lastRow="0" w:firstColumn="1" w:lastColumn="0" w:noHBand="0" w:noVBand="1"/>
      </w:tblPr>
      <w:tblGrid>
        <w:gridCol w:w="2146"/>
        <w:gridCol w:w="1616"/>
        <w:gridCol w:w="1641"/>
        <w:gridCol w:w="3295"/>
        <w:gridCol w:w="2872"/>
        <w:gridCol w:w="2604"/>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 Combination Group</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 Number (% of Inbred Total)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 Number (% of Hybrid Total)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Percentage Distribution Within Group (Summer → 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Specific Variations (Summer → 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Example Genotypes (Inbred/Hybrid)</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 + 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 (6.5%)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100%; Erect 100%; Purple/Light Purple 100%; Dark Purple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 Erect; Purple/Light Purple → 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IVBR-18 / IVBHLW-17, IVBHRW-11, IVBHRW-28</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 +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Purple/Purple 50%; Purple/Dark Purple 50%; Oval 100%; Round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 → Purple (50%), Purple → Dark Purple (50%); Oval → Round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SHP-2 / IVBHRW-22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 +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 (0.0%)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100%; Erect 100%; Oblong 100%; Long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 Erect; Oblong → 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3B65F0">
              <w:rPr>
                <w:rFonts w:ascii="Times New Roman" w:eastAsia="Times New Roman" w:hAnsi="Times New Roman" w:cs="Times New Roman"/>
                <w:sz w:val="24"/>
                <w:szCs w:val="24"/>
                <w:lang w:eastAsia="en-IN"/>
              </w:rPr>
              <w:t>IVBHLW-15</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 + Fruit Colour +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 (0.0%)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 (2.2%)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100%; Erect 100%; Light Purple 100%; Purple 100%; Oval 100%; Round 100%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 Erect; Light Purple → Purple; Oval → Round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3B65F0">
              <w:rPr>
                <w:rFonts w:ascii="Times New Roman" w:eastAsia="Times New Roman" w:hAnsi="Times New Roman" w:cs="Times New Roman"/>
                <w:sz w:val="24"/>
                <w:szCs w:val="24"/>
                <w:lang w:eastAsia="en-IN"/>
              </w:rPr>
              <w:t>IVBHRW-19</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6: Chi-square test results for trait distribution shifts across seasons (overall and group-wise)</w:t>
      </w:r>
    </w:p>
    <w:tbl>
      <w:tblPr>
        <w:tblStyle w:val="TableGrid"/>
        <w:tblW w:w="0" w:type="auto"/>
        <w:tblLook w:val="04A0" w:firstRow="1" w:lastRow="0" w:firstColumn="1" w:lastColumn="0" w:noHBand="0" w:noVBand="1"/>
      </w:tblPr>
      <w:tblGrid>
        <w:gridCol w:w="4405"/>
        <w:gridCol w:w="936"/>
        <w:gridCol w:w="2313"/>
        <w:gridCol w:w="2371"/>
        <w:gridCol w:w="960"/>
        <w:gridCol w:w="3189"/>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Group</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 xml:space="preserve">Chi-Square Statistic </w:t>
            </w:r>
            <w:r w:rsidRPr="004B5CE8">
              <w:rPr>
                <w:rFonts w:ascii="Times New Roman" w:eastAsia="Times New Roman" w:hAnsi="Times New Roman" w:cs="Times New Roman"/>
                <w:sz w:val="24"/>
                <w:szCs w:val="24"/>
                <w:lang w:eastAsia="en-IN"/>
              </w:rPr>
              <w:lastRenderedPageBreak/>
              <w:t>(χ²)</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 xml:space="preserve">Degrees of Freedom </w:t>
            </w:r>
            <w:r w:rsidRPr="004B5CE8">
              <w:rPr>
                <w:rFonts w:ascii="Times New Roman" w:eastAsia="Times New Roman" w:hAnsi="Times New Roman" w:cs="Times New Roman"/>
                <w:sz w:val="24"/>
                <w:szCs w:val="24"/>
                <w:lang w:eastAsia="en-IN"/>
              </w:rPr>
              <w:lastRenderedPageBreak/>
              <w:t>(df)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p-</w:t>
            </w:r>
            <w:r w:rsidRPr="004B5CE8">
              <w:rPr>
                <w:rFonts w:ascii="Times New Roman" w:eastAsia="Times New Roman" w:hAnsi="Times New Roman" w:cs="Times New Roman"/>
                <w:sz w:val="24"/>
                <w:szCs w:val="24"/>
                <w:lang w:eastAsia="en-IN"/>
              </w:rPr>
              <w:lastRenderedPageBreak/>
              <w:t>Value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Notes on Distribution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8.92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0.012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 shift; increase in erect.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0.368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10.15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 increase in erect.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0.432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overall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0.125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Marginal darker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4.35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0.226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7.35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0.061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Marginal trend; rounder.</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0.368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0.080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Marginal rounder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 Correlations (Growth Habit × 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1.58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0.209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correlation (V=0.152).</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 Correlations (Growth Habit ×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0.619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correlation (V=0.060).</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 Correlations (Fruit Colour × 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0.73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0.392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correlation (V=0.104).</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7: McNemar test results for specific trait transitions (overall and group-wise)</w:t>
      </w:r>
    </w:p>
    <w:tbl>
      <w:tblPr>
        <w:tblStyle w:val="TableGrid"/>
        <w:tblW w:w="0" w:type="auto"/>
        <w:tblLook w:val="04A0" w:firstRow="1" w:lastRow="0" w:firstColumn="1" w:lastColumn="0" w:noHBand="0" w:noVBand="1"/>
      </w:tblPr>
      <w:tblGrid>
        <w:gridCol w:w="1543"/>
        <w:gridCol w:w="3222"/>
        <w:gridCol w:w="936"/>
        <w:gridCol w:w="2349"/>
        <w:gridCol w:w="1165"/>
        <w:gridCol w:w="2123"/>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Transition (Summer → Kharif)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Group</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Number of Genotypes</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p-Value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Notes on Transition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Semi-erect → Erect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3.05×10⁻⁵</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Highly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0.250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0.0002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Highly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Purple → 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0.0039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0.031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0.250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 → Dark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0.5000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Light Purple → Purple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0.5000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0.5000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Oval → Round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0.0078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0.500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0.031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Oblong → Long</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0.2500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0.500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8: Stuart-Maxwell Test Results for Fruit Colour Transitions (overall and group-wise)</w:t>
      </w:r>
    </w:p>
    <w:tbl>
      <w:tblPr>
        <w:tblStyle w:val="TableGrid"/>
        <w:tblW w:w="0" w:type="auto"/>
        <w:tblLook w:val="04A0" w:firstRow="1" w:lastRow="0" w:firstColumn="1" w:lastColumn="0" w:noHBand="0" w:noVBand="1"/>
      </w:tblPr>
      <w:tblGrid>
        <w:gridCol w:w="1410"/>
        <w:gridCol w:w="936"/>
        <w:gridCol w:w="2541"/>
        <w:gridCol w:w="2596"/>
        <w:gridCol w:w="989"/>
        <w:gridCol w:w="3383"/>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Group</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Chi-Square Statistic (χ²)</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Degrees of Freedom (df)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p-Value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Notes on Marginal Homogeneity</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lastRenderedPageBreak/>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Overall</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4.87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0.432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overall shift.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Inbred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10.00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0.125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shift; specific notable.</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Hybrid</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0.392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 shift.</w:t>
            </w:r>
          </w:p>
        </w:tc>
      </w:tr>
    </w:tbl>
    <w:p w:rsidR="008D45DB" w:rsidRPr="00DD3E79" w:rsidRDefault="008D45DB" w:rsidP="008D45DB">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DD3E79">
        <w:rPr>
          <w:rFonts w:ascii="Times New Roman" w:eastAsia="Times New Roman" w:hAnsi="Times New Roman" w:cs="Times New Roman"/>
          <w:b/>
          <w:sz w:val="24"/>
          <w:szCs w:val="24"/>
          <w:lang w:eastAsia="en-IN"/>
        </w:rPr>
        <w:t>Table 9: Two-way ANOVA results for G×E interactions on trait expression (overall)</w:t>
      </w:r>
    </w:p>
    <w:tbl>
      <w:tblPr>
        <w:tblStyle w:val="TableGrid"/>
        <w:tblW w:w="0" w:type="auto"/>
        <w:tblLook w:val="04A0" w:firstRow="1" w:lastRow="0" w:firstColumn="1" w:lastColumn="0" w:noHBand="0" w:noVBand="1"/>
      </w:tblPr>
      <w:tblGrid>
        <w:gridCol w:w="1543"/>
        <w:gridCol w:w="2085"/>
        <w:gridCol w:w="1203"/>
        <w:gridCol w:w="456"/>
        <w:gridCol w:w="989"/>
        <w:gridCol w:w="3269"/>
      </w:tblGrid>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Trait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Source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F-Statistic</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df</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p-Value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Notes on G×E Interaction</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Growth Habit</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0.120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12.45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0.0005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 × 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3.87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0.0012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 stronger in hybrids.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Colour</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1.32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0.180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8.76</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0.0032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 × 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2.95</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0.0030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 stronger in inbreds.</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Fruit Shape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1.28</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0.200</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Not 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6.54</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0.011</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Significant.</w:t>
            </w:r>
          </w:p>
        </w:tc>
      </w:tr>
      <w:tr w:rsidR="008D45DB" w:rsidRPr="004B5CE8" w:rsidTr="008D45DB">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Genotype × Season</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2.12</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67</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0.089</w:t>
            </w:r>
          </w:p>
        </w:tc>
        <w:tc>
          <w:tcPr>
            <w:tcW w:w="0" w:type="auto"/>
            <w:hideMark/>
          </w:tcPr>
          <w:p w:rsidR="008D45DB" w:rsidRPr="004B5CE8" w:rsidRDefault="008D45DB" w:rsidP="008D45DB">
            <w:pPr>
              <w:spacing w:line="360" w:lineRule="auto"/>
              <w:jc w:val="both"/>
              <w:rPr>
                <w:rFonts w:ascii="Times New Roman" w:eastAsia="Times New Roman" w:hAnsi="Times New Roman" w:cs="Times New Roman"/>
                <w:sz w:val="24"/>
                <w:szCs w:val="24"/>
                <w:lang w:eastAsia="en-IN"/>
              </w:rPr>
            </w:pPr>
            <w:r w:rsidRPr="004B5CE8">
              <w:rPr>
                <w:rFonts w:ascii="Times New Roman" w:eastAsia="Times New Roman" w:hAnsi="Times New Roman" w:cs="Times New Roman"/>
                <w:sz w:val="24"/>
                <w:szCs w:val="24"/>
                <w:lang w:eastAsia="en-IN"/>
              </w:rPr>
              <w:t>Marginal; driven by hybrids.</w:t>
            </w:r>
          </w:p>
        </w:tc>
      </w:tr>
    </w:tbl>
    <w:p w:rsidR="008D45DB" w:rsidRPr="004B5CE8" w:rsidRDefault="008D45DB" w:rsidP="008D45DB">
      <w:pPr>
        <w:spacing w:after="0" w:line="360" w:lineRule="auto"/>
        <w:jc w:val="both"/>
        <w:rPr>
          <w:rFonts w:ascii="Times New Roman" w:eastAsia="Times New Roman" w:hAnsi="Times New Roman" w:cs="Times New Roman"/>
          <w:sz w:val="24"/>
          <w:szCs w:val="24"/>
          <w:lang w:eastAsia="en-IN"/>
        </w:rPr>
      </w:pPr>
    </w:p>
    <w:sectPr w:rsidR="008D45DB" w:rsidRPr="004B5CE8" w:rsidSect="008D45D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02D" w:rsidRDefault="0051002D" w:rsidP="00716933">
      <w:pPr>
        <w:spacing w:after="0" w:line="240" w:lineRule="auto"/>
      </w:pPr>
      <w:r>
        <w:separator/>
      </w:r>
    </w:p>
  </w:endnote>
  <w:endnote w:type="continuationSeparator" w:id="0">
    <w:p w:rsidR="0051002D" w:rsidRDefault="0051002D" w:rsidP="0071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02D" w:rsidRDefault="0051002D" w:rsidP="00716933">
      <w:pPr>
        <w:spacing w:after="0" w:line="240" w:lineRule="auto"/>
      </w:pPr>
      <w:r>
        <w:separator/>
      </w:r>
    </w:p>
  </w:footnote>
  <w:footnote w:type="continuationSeparator" w:id="0">
    <w:p w:rsidR="0051002D" w:rsidRDefault="0051002D" w:rsidP="0071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65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65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33" w:rsidRDefault="007169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065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50757"/>
    <w:multiLevelType w:val="multilevel"/>
    <w:tmpl w:val="902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5DB"/>
    <w:rsid w:val="00101C7A"/>
    <w:rsid w:val="001B7D8A"/>
    <w:rsid w:val="001C6607"/>
    <w:rsid w:val="002760C0"/>
    <w:rsid w:val="003B65F0"/>
    <w:rsid w:val="004B5CE8"/>
    <w:rsid w:val="0051002D"/>
    <w:rsid w:val="00716933"/>
    <w:rsid w:val="00781180"/>
    <w:rsid w:val="008D45DB"/>
    <w:rsid w:val="00913D9D"/>
    <w:rsid w:val="00991410"/>
    <w:rsid w:val="00A93AC6"/>
    <w:rsid w:val="00AA73FF"/>
    <w:rsid w:val="00AB4413"/>
    <w:rsid w:val="00AC568F"/>
    <w:rsid w:val="00B43E1B"/>
    <w:rsid w:val="00B54161"/>
    <w:rsid w:val="00BD19B5"/>
    <w:rsid w:val="00D637A9"/>
    <w:rsid w:val="00DD3E79"/>
    <w:rsid w:val="00E64DD6"/>
    <w:rsid w:val="00ED31F6"/>
    <w:rsid w:val="00F04B1A"/>
    <w:rsid w:val="00F05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26B3D"/>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8F"/>
  </w:style>
  <w:style w:type="paragraph" w:styleId="Heading1">
    <w:name w:val="heading 1"/>
    <w:basedOn w:val="Normal"/>
    <w:link w:val="Heading1Char"/>
    <w:uiPriority w:val="9"/>
    <w:qFormat/>
    <w:rsid w:val="008D45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D45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5D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D45DB"/>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8D45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D45DB"/>
    <w:rPr>
      <w:b/>
      <w:bCs/>
    </w:rPr>
  </w:style>
  <w:style w:type="table" w:styleId="TableGrid">
    <w:name w:val="Table Grid"/>
    <w:basedOn w:val="TableNormal"/>
    <w:uiPriority w:val="59"/>
    <w:rsid w:val="008D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0C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2760C0"/>
    <w:rPr>
      <w:rFonts w:ascii="Tahoma" w:hAnsi="Tahoma"/>
      <w:sz w:val="16"/>
      <w:szCs w:val="14"/>
    </w:rPr>
  </w:style>
  <w:style w:type="character" w:styleId="Hyperlink">
    <w:name w:val="Hyperlink"/>
    <w:basedOn w:val="DefaultParagraphFont"/>
    <w:uiPriority w:val="99"/>
    <w:unhideWhenUsed/>
    <w:rsid w:val="00E64DD6"/>
    <w:rPr>
      <w:color w:val="0000FF" w:themeColor="hyperlink"/>
      <w:u w:val="single"/>
    </w:rPr>
  </w:style>
  <w:style w:type="character" w:styleId="UnresolvedMention">
    <w:name w:val="Unresolved Mention"/>
    <w:basedOn w:val="DefaultParagraphFont"/>
    <w:uiPriority w:val="99"/>
    <w:semiHidden/>
    <w:unhideWhenUsed/>
    <w:rsid w:val="00101C7A"/>
    <w:rPr>
      <w:color w:val="605E5C"/>
      <w:shd w:val="clear" w:color="auto" w:fill="E1DFDD"/>
    </w:rPr>
  </w:style>
  <w:style w:type="paragraph" w:styleId="Header">
    <w:name w:val="header"/>
    <w:basedOn w:val="Normal"/>
    <w:link w:val="HeaderChar"/>
    <w:uiPriority w:val="99"/>
    <w:unhideWhenUsed/>
    <w:rsid w:val="00716933"/>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16933"/>
    <w:rPr>
      <w:rFonts w:cs="Mangal"/>
    </w:rPr>
  </w:style>
  <w:style w:type="paragraph" w:styleId="Footer">
    <w:name w:val="footer"/>
    <w:basedOn w:val="Normal"/>
    <w:link w:val="FooterChar"/>
    <w:uiPriority w:val="99"/>
    <w:unhideWhenUsed/>
    <w:rsid w:val="00716933"/>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1693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9348">
      <w:bodyDiv w:val="1"/>
      <w:marLeft w:val="0"/>
      <w:marRight w:val="0"/>
      <w:marTop w:val="0"/>
      <w:marBottom w:val="0"/>
      <w:divBdr>
        <w:top w:val="none" w:sz="0" w:space="0" w:color="auto"/>
        <w:left w:val="none" w:sz="0" w:space="0" w:color="auto"/>
        <w:bottom w:val="none" w:sz="0" w:space="0" w:color="auto"/>
        <w:right w:val="none" w:sz="0" w:space="0" w:color="auto"/>
      </w:divBdr>
    </w:div>
    <w:div w:id="225802488">
      <w:bodyDiv w:val="1"/>
      <w:marLeft w:val="0"/>
      <w:marRight w:val="0"/>
      <w:marTop w:val="0"/>
      <w:marBottom w:val="0"/>
      <w:divBdr>
        <w:top w:val="none" w:sz="0" w:space="0" w:color="auto"/>
        <w:left w:val="none" w:sz="0" w:space="0" w:color="auto"/>
        <w:bottom w:val="none" w:sz="0" w:space="0" w:color="auto"/>
        <w:right w:val="none" w:sz="0" w:space="0" w:color="auto"/>
      </w:divBdr>
      <w:divsChild>
        <w:div w:id="1572738844">
          <w:marLeft w:val="0"/>
          <w:marRight w:val="0"/>
          <w:marTop w:val="0"/>
          <w:marBottom w:val="0"/>
          <w:divBdr>
            <w:top w:val="none" w:sz="0" w:space="0" w:color="auto"/>
            <w:left w:val="none" w:sz="0" w:space="0" w:color="auto"/>
            <w:bottom w:val="none" w:sz="0" w:space="0" w:color="auto"/>
            <w:right w:val="none" w:sz="0" w:space="0" w:color="auto"/>
          </w:divBdr>
          <w:divsChild>
            <w:div w:id="343360289">
              <w:marLeft w:val="0"/>
              <w:marRight w:val="0"/>
              <w:marTop w:val="0"/>
              <w:marBottom w:val="0"/>
              <w:divBdr>
                <w:top w:val="none" w:sz="0" w:space="0" w:color="auto"/>
                <w:left w:val="none" w:sz="0" w:space="0" w:color="auto"/>
                <w:bottom w:val="none" w:sz="0" w:space="0" w:color="auto"/>
                <w:right w:val="none" w:sz="0" w:space="0" w:color="auto"/>
              </w:divBdr>
            </w:div>
          </w:divsChild>
        </w:div>
        <w:div w:id="1460949882">
          <w:marLeft w:val="0"/>
          <w:marRight w:val="0"/>
          <w:marTop w:val="0"/>
          <w:marBottom w:val="0"/>
          <w:divBdr>
            <w:top w:val="none" w:sz="0" w:space="0" w:color="auto"/>
            <w:left w:val="none" w:sz="0" w:space="0" w:color="auto"/>
            <w:bottom w:val="none" w:sz="0" w:space="0" w:color="auto"/>
            <w:right w:val="none" w:sz="0" w:space="0" w:color="auto"/>
          </w:divBdr>
          <w:divsChild>
            <w:div w:id="600259080">
              <w:marLeft w:val="0"/>
              <w:marRight w:val="0"/>
              <w:marTop w:val="0"/>
              <w:marBottom w:val="0"/>
              <w:divBdr>
                <w:top w:val="none" w:sz="0" w:space="0" w:color="auto"/>
                <w:left w:val="none" w:sz="0" w:space="0" w:color="auto"/>
                <w:bottom w:val="none" w:sz="0" w:space="0" w:color="auto"/>
                <w:right w:val="none" w:sz="0" w:space="0" w:color="auto"/>
              </w:divBdr>
            </w:div>
          </w:divsChild>
        </w:div>
        <w:div w:id="86393011">
          <w:marLeft w:val="0"/>
          <w:marRight w:val="0"/>
          <w:marTop w:val="0"/>
          <w:marBottom w:val="0"/>
          <w:divBdr>
            <w:top w:val="none" w:sz="0" w:space="0" w:color="auto"/>
            <w:left w:val="none" w:sz="0" w:space="0" w:color="auto"/>
            <w:bottom w:val="none" w:sz="0" w:space="0" w:color="auto"/>
            <w:right w:val="none" w:sz="0" w:space="0" w:color="auto"/>
          </w:divBdr>
          <w:divsChild>
            <w:div w:id="126748906">
              <w:marLeft w:val="0"/>
              <w:marRight w:val="0"/>
              <w:marTop w:val="0"/>
              <w:marBottom w:val="0"/>
              <w:divBdr>
                <w:top w:val="none" w:sz="0" w:space="0" w:color="auto"/>
                <w:left w:val="none" w:sz="0" w:space="0" w:color="auto"/>
                <w:bottom w:val="none" w:sz="0" w:space="0" w:color="auto"/>
                <w:right w:val="none" w:sz="0" w:space="0" w:color="auto"/>
              </w:divBdr>
            </w:div>
          </w:divsChild>
        </w:div>
        <w:div w:id="582030073">
          <w:marLeft w:val="0"/>
          <w:marRight w:val="0"/>
          <w:marTop w:val="0"/>
          <w:marBottom w:val="0"/>
          <w:divBdr>
            <w:top w:val="none" w:sz="0" w:space="0" w:color="auto"/>
            <w:left w:val="none" w:sz="0" w:space="0" w:color="auto"/>
            <w:bottom w:val="none" w:sz="0" w:space="0" w:color="auto"/>
            <w:right w:val="none" w:sz="0" w:space="0" w:color="auto"/>
          </w:divBdr>
          <w:divsChild>
            <w:div w:id="1285388808">
              <w:marLeft w:val="0"/>
              <w:marRight w:val="0"/>
              <w:marTop w:val="0"/>
              <w:marBottom w:val="0"/>
              <w:divBdr>
                <w:top w:val="none" w:sz="0" w:space="0" w:color="auto"/>
                <w:left w:val="none" w:sz="0" w:space="0" w:color="auto"/>
                <w:bottom w:val="none" w:sz="0" w:space="0" w:color="auto"/>
                <w:right w:val="none" w:sz="0" w:space="0" w:color="auto"/>
              </w:divBdr>
            </w:div>
          </w:divsChild>
        </w:div>
        <w:div w:id="1059400845">
          <w:marLeft w:val="0"/>
          <w:marRight w:val="0"/>
          <w:marTop w:val="0"/>
          <w:marBottom w:val="0"/>
          <w:divBdr>
            <w:top w:val="none" w:sz="0" w:space="0" w:color="auto"/>
            <w:left w:val="none" w:sz="0" w:space="0" w:color="auto"/>
            <w:bottom w:val="none" w:sz="0" w:space="0" w:color="auto"/>
            <w:right w:val="none" w:sz="0" w:space="0" w:color="auto"/>
          </w:divBdr>
          <w:divsChild>
            <w:div w:id="37753418">
              <w:marLeft w:val="0"/>
              <w:marRight w:val="0"/>
              <w:marTop w:val="0"/>
              <w:marBottom w:val="0"/>
              <w:divBdr>
                <w:top w:val="none" w:sz="0" w:space="0" w:color="auto"/>
                <w:left w:val="none" w:sz="0" w:space="0" w:color="auto"/>
                <w:bottom w:val="none" w:sz="0" w:space="0" w:color="auto"/>
                <w:right w:val="none" w:sz="0" w:space="0" w:color="auto"/>
              </w:divBdr>
            </w:div>
          </w:divsChild>
        </w:div>
        <w:div w:id="1279143520">
          <w:marLeft w:val="0"/>
          <w:marRight w:val="0"/>
          <w:marTop w:val="0"/>
          <w:marBottom w:val="0"/>
          <w:divBdr>
            <w:top w:val="none" w:sz="0" w:space="0" w:color="auto"/>
            <w:left w:val="none" w:sz="0" w:space="0" w:color="auto"/>
            <w:bottom w:val="none" w:sz="0" w:space="0" w:color="auto"/>
            <w:right w:val="none" w:sz="0" w:space="0" w:color="auto"/>
          </w:divBdr>
          <w:divsChild>
            <w:div w:id="1124614114">
              <w:marLeft w:val="0"/>
              <w:marRight w:val="0"/>
              <w:marTop w:val="0"/>
              <w:marBottom w:val="0"/>
              <w:divBdr>
                <w:top w:val="none" w:sz="0" w:space="0" w:color="auto"/>
                <w:left w:val="none" w:sz="0" w:space="0" w:color="auto"/>
                <w:bottom w:val="none" w:sz="0" w:space="0" w:color="auto"/>
                <w:right w:val="none" w:sz="0" w:space="0" w:color="auto"/>
              </w:divBdr>
            </w:div>
          </w:divsChild>
        </w:div>
        <w:div w:id="340663977">
          <w:marLeft w:val="0"/>
          <w:marRight w:val="0"/>
          <w:marTop w:val="0"/>
          <w:marBottom w:val="0"/>
          <w:divBdr>
            <w:top w:val="none" w:sz="0" w:space="0" w:color="auto"/>
            <w:left w:val="none" w:sz="0" w:space="0" w:color="auto"/>
            <w:bottom w:val="none" w:sz="0" w:space="0" w:color="auto"/>
            <w:right w:val="none" w:sz="0" w:space="0" w:color="auto"/>
          </w:divBdr>
          <w:divsChild>
            <w:div w:id="73169449">
              <w:marLeft w:val="0"/>
              <w:marRight w:val="0"/>
              <w:marTop w:val="0"/>
              <w:marBottom w:val="0"/>
              <w:divBdr>
                <w:top w:val="none" w:sz="0" w:space="0" w:color="auto"/>
                <w:left w:val="none" w:sz="0" w:space="0" w:color="auto"/>
                <w:bottom w:val="none" w:sz="0" w:space="0" w:color="auto"/>
                <w:right w:val="none" w:sz="0" w:space="0" w:color="auto"/>
              </w:divBdr>
            </w:div>
          </w:divsChild>
        </w:div>
        <w:div w:id="1894198052">
          <w:marLeft w:val="0"/>
          <w:marRight w:val="0"/>
          <w:marTop w:val="0"/>
          <w:marBottom w:val="0"/>
          <w:divBdr>
            <w:top w:val="none" w:sz="0" w:space="0" w:color="auto"/>
            <w:left w:val="none" w:sz="0" w:space="0" w:color="auto"/>
            <w:bottom w:val="none" w:sz="0" w:space="0" w:color="auto"/>
            <w:right w:val="none" w:sz="0" w:space="0" w:color="auto"/>
          </w:divBdr>
          <w:divsChild>
            <w:div w:id="2106072512">
              <w:marLeft w:val="0"/>
              <w:marRight w:val="0"/>
              <w:marTop w:val="0"/>
              <w:marBottom w:val="0"/>
              <w:divBdr>
                <w:top w:val="none" w:sz="0" w:space="0" w:color="auto"/>
                <w:left w:val="none" w:sz="0" w:space="0" w:color="auto"/>
                <w:bottom w:val="none" w:sz="0" w:space="0" w:color="auto"/>
                <w:right w:val="none" w:sz="0" w:space="0" w:color="auto"/>
              </w:divBdr>
            </w:div>
          </w:divsChild>
        </w:div>
        <w:div w:id="1018198865">
          <w:marLeft w:val="0"/>
          <w:marRight w:val="0"/>
          <w:marTop w:val="0"/>
          <w:marBottom w:val="0"/>
          <w:divBdr>
            <w:top w:val="none" w:sz="0" w:space="0" w:color="auto"/>
            <w:left w:val="none" w:sz="0" w:space="0" w:color="auto"/>
            <w:bottom w:val="none" w:sz="0" w:space="0" w:color="auto"/>
            <w:right w:val="none" w:sz="0" w:space="0" w:color="auto"/>
          </w:divBdr>
          <w:divsChild>
            <w:div w:id="343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96817">
      <w:bodyDiv w:val="1"/>
      <w:marLeft w:val="0"/>
      <w:marRight w:val="0"/>
      <w:marTop w:val="0"/>
      <w:marBottom w:val="0"/>
      <w:divBdr>
        <w:top w:val="none" w:sz="0" w:space="0" w:color="auto"/>
        <w:left w:val="none" w:sz="0" w:space="0" w:color="auto"/>
        <w:bottom w:val="none" w:sz="0" w:space="0" w:color="auto"/>
        <w:right w:val="none" w:sz="0" w:space="0" w:color="auto"/>
      </w:divBdr>
    </w:div>
    <w:div w:id="449666818">
      <w:bodyDiv w:val="1"/>
      <w:marLeft w:val="0"/>
      <w:marRight w:val="0"/>
      <w:marTop w:val="0"/>
      <w:marBottom w:val="0"/>
      <w:divBdr>
        <w:top w:val="none" w:sz="0" w:space="0" w:color="auto"/>
        <w:left w:val="none" w:sz="0" w:space="0" w:color="auto"/>
        <w:bottom w:val="none" w:sz="0" w:space="0" w:color="auto"/>
        <w:right w:val="none" w:sz="0" w:space="0" w:color="auto"/>
      </w:divBdr>
    </w:div>
    <w:div w:id="650450146">
      <w:bodyDiv w:val="1"/>
      <w:marLeft w:val="0"/>
      <w:marRight w:val="0"/>
      <w:marTop w:val="0"/>
      <w:marBottom w:val="0"/>
      <w:divBdr>
        <w:top w:val="none" w:sz="0" w:space="0" w:color="auto"/>
        <w:left w:val="none" w:sz="0" w:space="0" w:color="auto"/>
        <w:bottom w:val="none" w:sz="0" w:space="0" w:color="auto"/>
        <w:right w:val="none" w:sz="0" w:space="0" w:color="auto"/>
      </w:divBdr>
    </w:div>
    <w:div w:id="712853664">
      <w:bodyDiv w:val="1"/>
      <w:marLeft w:val="0"/>
      <w:marRight w:val="0"/>
      <w:marTop w:val="0"/>
      <w:marBottom w:val="0"/>
      <w:divBdr>
        <w:top w:val="none" w:sz="0" w:space="0" w:color="auto"/>
        <w:left w:val="none" w:sz="0" w:space="0" w:color="auto"/>
        <w:bottom w:val="none" w:sz="0" w:space="0" w:color="auto"/>
        <w:right w:val="none" w:sz="0" w:space="0" w:color="auto"/>
      </w:divBdr>
    </w:div>
    <w:div w:id="860315608">
      <w:bodyDiv w:val="1"/>
      <w:marLeft w:val="0"/>
      <w:marRight w:val="0"/>
      <w:marTop w:val="0"/>
      <w:marBottom w:val="0"/>
      <w:divBdr>
        <w:top w:val="none" w:sz="0" w:space="0" w:color="auto"/>
        <w:left w:val="none" w:sz="0" w:space="0" w:color="auto"/>
        <w:bottom w:val="none" w:sz="0" w:space="0" w:color="auto"/>
        <w:right w:val="none" w:sz="0" w:space="0" w:color="auto"/>
      </w:divBdr>
    </w:div>
    <w:div w:id="1418867299">
      <w:bodyDiv w:val="1"/>
      <w:marLeft w:val="0"/>
      <w:marRight w:val="0"/>
      <w:marTop w:val="0"/>
      <w:marBottom w:val="0"/>
      <w:divBdr>
        <w:top w:val="none" w:sz="0" w:space="0" w:color="auto"/>
        <w:left w:val="none" w:sz="0" w:space="0" w:color="auto"/>
        <w:bottom w:val="none" w:sz="0" w:space="0" w:color="auto"/>
        <w:right w:val="none" w:sz="0" w:space="0" w:color="auto"/>
      </w:divBdr>
    </w:div>
    <w:div w:id="17208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21</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Scholar</dc:creator>
  <cp:lastModifiedBy>SDI 1084</cp:lastModifiedBy>
  <cp:revision>14</cp:revision>
  <dcterms:created xsi:type="dcterms:W3CDTF">2025-11-16T16:59:00Z</dcterms:created>
  <dcterms:modified xsi:type="dcterms:W3CDTF">2025-11-18T12:38:00Z</dcterms:modified>
</cp:coreProperties>
</file>