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7D3F5" w14:textId="77777777" w:rsidR="00AC68F5" w:rsidRPr="00740E03" w:rsidRDefault="00BF649C">
      <w:pPr>
        <w:spacing w:after="160" w:line="259" w:lineRule="auto"/>
        <w:rPr>
          <w:rFonts w:ascii="Times New Roman" w:eastAsia="Times New Roman" w:hAnsi="Times New Roman" w:cs="Times New Roman"/>
          <w:b/>
          <w:sz w:val="24"/>
          <w:szCs w:val="24"/>
        </w:rPr>
      </w:pPr>
      <w:r w:rsidRPr="00740E03">
        <w:rPr>
          <w:rFonts w:ascii="Times New Roman" w:eastAsia="Times New Roman" w:hAnsi="Times New Roman" w:cs="Times New Roman"/>
          <w:b/>
          <w:sz w:val="24"/>
          <w:szCs w:val="24"/>
        </w:rPr>
        <w:t xml:space="preserve">In Silico Identification of Conserved Hypothetical Proteins as Drug Targets in </w:t>
      </w:r>
      <w:r w:rsidRPr="00740E03">
        <w:rPr>
          <w:rFonts w:ascii="Times New Roman" w:eastAsia="Times New Roman" w:hAnsi="Times New Roman" w:cs="Times New Roman"/>
          <w:b/>
          <w:i/>
          <w:sz w:val="24"/>
          <w:szCs w:val="24"/>
        </w:rPr>
        <w:t>Clostridium perfringens</w:t>
      </w:r>
      <w:r w:rsidRPr="00740E03">
        <w:rPr>
          <w:rFonts w:ascii="Times New Roman" w:eastAsia="Times New Roman" w:hAnsi="Times New Roman" w:cs="Times New Roman"/>
          <w:b/>
          <w:sz w:val="24"/>
          <w:szCs w:val="24"/>
        </w:rPr>
        <w:tab/>
      </w:r>
    </w:p>
    <w:p w14:paraId="66C8AE65" w14:textId="77777777" w:rsidR="00AC68F5" w:rsidRDefault="00AC68F5">
      <w:pPr>
        <w:jc w:val="both"/>
        <w:rPr>
          <w:rFonts w:ascii="Times New Roman" w:eastAsia="Times New Roman" w:hAnsi="Times New Roman" w:cs="Times New Roman"/>
          <w:b/>
          <w:sz w:val="24"/>
          <w:szCs w:val="24"/>
        </w:rPr>
      </w:pPr>
    </w:p>
    <w:p w14:paraId="3BD7383A"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A94D34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global threat of antimicrobial resistance (AMR) necessitates the urgent identification of new drug targets against pathogens like the Gram-positive, spore-forming anaerobe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a major cause of diarrhea, enterotoxemia, and m</w:t>
      </w:r>
      <w:r>
        <w:rPr>
          <w:rFonts w:ascii="Times New Roman" w:eastAsia="Times New Roman" w:hAnsi="Times New Roman" w:cs="Times New Roman"/>
          <w:sz w:val="24"/>
          <w:szCs w:val="24"/>
        </w:rPr>
        <w:t xml:space="preserve">yonecrosis. We propose that conserved hypothetical proteins (HPs)—a largely uncharacterized component of the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proteome—represent an overlooked resource for novel therapeutics. Using a stringent subtractive proteomics and in silico pipeline, w</w:t>
      </w:r>
      <w:r>
        <w:rPr>
          <w:rFonts w:ascii="Times New Roman" w:eastAsia="Times New Roman" w:hAnsi="Times New Roman" w:cs="Times New Roman"/>
          <w:sz w:val="24"/>
          <w:szCs w:val="24"/>
        </w:rPr>
        <w:t>e analyzed 266</w:t>
      </w:r>
      <w:bookmarkStart w:id="0" w:name="_GoBack"/>
      <w:bookmarkEnd w:id="0"/>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proteins. We focused on 1179 HPs, identifying 496 conserved across strains. Sequential filtering based on physicochemical properties, subcellular localization, and non-homology to the human gut microbiome yielded 22 promising</w:t>
      </w:r>
      <w:r>
        <w:rPr>
          <w:rFonts w:ascii="Times New Roman" w:eastAsia="Times New Roman" w:hAnsi="Times New Roman" w:cs="Times New Roman"/>
          <w:sz w:val="24"/>
          <w:szCs w:val="24"/>
        </w:rPr>
        <w:t xml:space="preserve"> non-homologous HPs suitable as drug targets. To identify lead compounds, we screened 69 drug-like phytochemical ligands with known antibacterial activity. Molecular docking revealed strong inhibitory interactions for multiple ligand-protein pairs, with bi</w:t>
      </w:r>
      <w:r>
        <w:rPr>
          <w:rFonts w:ascii="Times New Roman" w:eastAsia="Times New Roman" w:hAnsi="Times New Roman" w:cs="Times New Roman"/>
          <w:sz w:val="24"/>
          <w:szCs w:val="24"/>
        </w:rPr>
        <w:t>nding energies as low as –10.6 kcal/mol (e.g., (+)-</w:t>
      </w:r>
      <w:proofErr w:type="spellStart"/>
      <w:r>
        <w:rPr>
          <w:rFonts w:ascii="Times New Roman" w:eastAsia="Times New Roman" w:hAnsi="Times New Roman" w:cs="Times New Roman"/>
          <w:sz w:val="24"/>
          <w:szCs w:val="24"/>
        </w:rPr>
        <w:t>galbacin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tuberosin</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asarinin</w:t>
      </w:r>
      <w:proofErr w:type="spellEnd"/>
      <w:r>
        <w:rPr>
          <w:rFonts w:ascii="Times New Roman" w:eastAsia="Times New Roman" w:hAnsi="Times New Roman" w:cs="Times New Roman"/>
          <w:sz w:val="24"/>
          <w:szCs w:val="24"/>
        </w:rPr>
        <w:t xml:space="preserve"> against specific HPs). These findings strongly support the utility of conserved hypothetical proteins as a rich, untapped source for new antimicrobial targets. Our stu</w:t>
      </w:r>
      <w:r>
        <w:rPr>
          <w:rFonts w:ascii="Times New Roman" w:eastAsia="Times New Roman" w:hAnsi="Times New Roman" w:cs="Times New Roman"/>
          <w:sz w:val="24"/>
          <w:szCs w:val="24"/>
        </w:rPr>
        <w:t>dy demonstrates that in silico analyses can rapidly accelerate drug discovery against fast-evolving pathogens by prioritizing novel targets and corresponding lead compounds for subsequent experimental validation.</w:t>
      </w:r>
    </w:p>
    <w:p w14:paraId="4A791158" w14:textId="77777777" w:rsidR="00AC68F5" w:rsidRDefault="00AC68F5">
      <w:pPr>
        <w:jc w:val="both"/>
        <w:rPr>
          <w:rFonts w:ascii="Times New Roman" w:eastAsia="Times New Roman" w:hAnsi="Times New Roman" w:cs="Times New Roman"/>
          <w:sz w:val="24"/>
          <w:szCs w:val="24"/>
        </w:rPr>
      </w:pPr>
    </w:p>
    <w:p w14:paraId="219B47A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Antimic</w:t>
      </w:r>
      <w:r>
        <w:rPr>
          <w:rFonts w:ascii="Times New Roman" w:eastAsia="Times New Roman" w:hAnsi="Times New Roman" w:cs="Times New Roman"/>
          <w:sz w:val="24"/>
          <w:szCs w:val="24"/>
        </w:rPr>
        <w:t>robial resistance (AMR), Hypothetical proteins, Subtractive proteomics, In-silico drug discovery</w:t>
      </w:r>
    </w:p>
    <w:p w14:paraId="5D1937C5" w14:textId="77777777" w:rsidR="00AC68F5" w:rsidRDefault="00AC68F5">
      <w:pPr>
        <w:jc w:val="both"/>
        <w:rPr>
          <w:rFonts w:ascii="Times New Roman" w:eastAsia="Times New Roman" w:hAnsi="Times New Roman" w:cs="Times New Roman"/>
          <w:sz w:val="24"/>
          <w:szCs w:val="24"/>
        </w:rPr>
      </w:pPr>
    </w:p>
    <w:p w14:paraId="2B7D79C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07B6834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global rise of Antimicrobial Resistance (AMR) constitutes an urgent public health crisis, demanding the discovery of therapeutics with</w:t>
      </w:r>
      <w:r>
        <w:rPr>
          <w:rFonts w:ascii="Times New Roman" w:eastAsia="Times New Roman" w:hAnsi="Times New Roman" w:cs="Times New Roman"/>
          <w:sz w:val="24"/>
          <w:szCs w:val="24"/>
        </w:rPr>
        <w:t xml:space="preserve"> novel mechanisms of action [7][16]. The Gram-positive, spore-forming anaerobe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is a critical pathogen in this context, causing a spectrum of severe conditions including food poisoning, enterotoxemia, and rapidly progressing myonecro</w:t>
      </w:r>
      <w:r>
        <w:rPr>
          <w:rFonts w:ascii="Times New Roman" w:eastAsia="Times New Roman" w:hAnsi="Times New Roman" w:cs="Times New Roman"/>
          <w:sz w:val="24"/>
          <w:szCs w:val="24"/>
        </w:rPr>
        <w:t xml:space="preserve">sis (gas gangrene) via potent toxins like alpha toxin [1][2][3][4]. The increasing prevalence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resistant to frontline antibiotics, such as clindamycin and penicillin, severely threatens the long-term efficacy of current treatments </w:t>
      </w:r>
      <w:r>
        <w:rPr>
          <w:rFonts w:ascii="Times New Roman" w:eastAsia="Times New Roman" w:hAnsi="Times New Roman" w:cs="Times New Roman"/>
          <w:sz w:val="24"/>
          <w:szCs w:val="24"/>
        </w:rPr>
        <w:t>[7][8][9]. The limited diversity of existing drug targets—often focused on a narrow subset of well-characterized essential proteins—exacerbates this challenge, driving cross-resistance and slowing the development of new anti-infectives. An expansion of the</w:t>
      </w:r>
      <w:r>
        <w:rPr>
          <w:rFonts w:ascii="Times New Roman" w:eastAsia="Times New Roman" w:hAnsi="Times New Roman" w:cs="Times New Roman"/>
          <w:sz w:val="24"/>
          <w:szCs w:val="24"/>
        </w:rPr>
        <w:t xml:space="preserve"> druggable proteome is critically needed to combat rapidly evolving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w:t>
      </w:r>
    </w:p>
    <w:p w14:paraId="7FD6A0B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propose that conserved hypothetical proteins (HPs) represent a vast, untapped reservoir of novel drug targets. Hypothetical proteins are computationally p</w:t>
      </w:r>
      <w:r>
        <w:rPr>
          <w:rFonts w:ascii="Times New Roman" w:eastAsia="Times New Roman" w:hAnsi="Times New Roman" w:cs="Times New Roman"/>
          <w:sz w:val="24"/>
          <w:szCs w:val="24"/>
        </w:rPr>
        <w:t xml:space="preserve">redicted gene products lacking experimental validation, yet they constitute a significant fraction of bacterial proteomes (e.g., 1179 of 2661 proteins in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are HPs) [5][6]. While historically overlooked in drug discovery, </w:t>
      </w:r>
      <w:r>
        <w:rPr>
          <w:rFonts w:ascii="Times New Roman" w:eastAsia="Times New Roman" w:hAnsi="Times New Roman" w:cs="Times New Roman"/>
          <w:sz w:val="24"/>
          <w:szCs w:val="24"/>
        </w:rPr>
        <w:lastRenderedPageBreak/>
        <w:t>the presence of a con</w:t>
      </w:r>
      <w:r>
        <w:rPr>
          <w:rFonts w:ascii="Times New Roman" w:eastAsia="Times New Roman" w:hAnsi="Times New Roman" w:cs="Times New Roman"/>
          <w:sz w:val="24"/>
          <w:szCs w:val="24"/>
        </w:rPr>
        <w:t>served subset of these HPs across bacterial strains strongly implies their functional importance and possible essentiality for survival or pathogenesis [18]. Targeting these conserved HPs offers a distinct, dual advantage: it dramatically broadens the arra</w:t>
      </w:r>
      <w:r>
        <w:rPr>
          <w:rFonts w:ascii="Times New Roman" w:eastAsia="Times New Roman" w:hAnsi="Times New Roman" w:cs="Times New Roman"/>
          <w:sz w:val="24"/>
          <w:szCs w:val="24"/>
        </w:rPr>
        <w:t>y of potential drug targets and allows for the identification of Achilles' heels unique to the pathogen [5]. Crucially, non-homology to human host proteins means targeting these HPs carries a significantly reduced risk of off-target toxicity.</w:t>
      </w:r>
    </w:p>
    <w:p w14:paraId="67E0849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bottlenec</w:t>
      </w:r>
      <w:r>
        <w:rPr>
          <w:rFonts w:ascii="Times New Roman" w:eastAsia="Times New Roman" w:hAnsi="Times New Roman" w:cs="Times New Roman"/>
          <w:sz w:val="24"/>
          <w:szCs w:val="24"/>
        </w:rPr>
        <w:t>k in characterizing and drugging novel targets can be overcome by leveraging advanced methodologies. Traditional experimental validation is often resource-intensive and time-consuming, particularly for poorly studied proteins. A computational pipeline util</w:t>
      </w:r>
      <w:r>
        <w:rPr>
          <w:rFonts w:ascii="Times New Roman" w:eastAsia="Times New Roman" w:hAnsi="Times New Roman" w:cs="Times New Roman"/>
          <w:sz w:val="24"/>
          <w:szCs w:val="24"/>
        </w:rPr>
        <w:t>izing a subtractive proteomics and comparative genomics approach is a rapid, cost-effective, and scalable alternative [13][14][17][19]. These techniques allow for the initial prioritization of proteins based on essentiality, subcellular localization, physi</w:t>
      </w:r>
      <w:r>
        <w:rPr>
          <w:rFonts w:ascii="Times New Roman" w:eastAsia="Times New Roman" w:hAnsi="Times New Roman" w:cs="Times New Roman"/>
          <w:sz w:val="24"/>
          <w:szCs w:val="24"/>
        </w:rPr>
        <w:t>cochemical stability, and critically, non-homology to the human gut microbiome to maximize target specificity. Furthermore, modern molecular docking is a powerful tool that bridges the gap between target identification and lead compound development [15]. I</w:t>
      </w:r>
      <w:r>
        <w:rPr>
          <w:rFonts w:ascii="Times New Roman" w:eastAsia="Times New Roman" w:hAnsi="Times New Roman" w:cs="Times New Roman"/>
          <w:sz w:val="24"/>
          <w:szCs w:val="24"/>
        </w:rPr>
        <w:t>t allows for the high-throughput virtual screening of potential ligands, predicting their binding affinity and orientation with high accuracy (e.g., against key functional sites involved in toxin secretion or proliferation).</w:t>
      </w:r>
    </w:p>
    <w:p w14:paraId="2B4B754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fast-progressing and unders</w:t>
      </w:r>
      <w:r>
        <w:rPr>
          <w:rFonts w:ascii="Times New Roman" w:eastAsia="Times New Roman" w:hAnsi="Times New Roman" w:cs="Times New Roman"/>
          <w:sz w:val="24"/>
          <w:szCs w:val="24"/>
        </w:rPr>
        <w:t xml:space="preserve">tudied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an integrated strategy offers a highly efficient route to novel therapies. Here, we describe a comprehensive computational analysis employing subtractive proteomics and molecular docking, focusing on the conserved hypo</w:t>
      </w:r>
      <w:r>
        <w:rPr>
          <w:rFonts w:ascii="Times New Roman" w:eastAsia="Times New Roman" w:hAnsi="Times New Roman" w:cs="Times New Roman"/>
          <w:sz w:val="24"/>
          <w:szCs w:val="24"/>
        </w:rPr>
        <w:t xml:space="preserve">thetical proteome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The aim of this study is to identify and characterize a set of highly promising, non-host-homologous hypothetical protein targets and to predict potent small-molecule phytochemical ligands that inhibit their function, t</w:t>
      </w:r>
      <w:r>
        <w:rPr>
          <w:rFonts w:ascii="Times New Roman" w:eastAsia="Times New Roman" w:hAnsi="Times New Roman" w:cs="Times New Roman"/>
          <w:sz w:val="24"/>
          <w:szCs w:val="24"/>
        </w:rPr>
        <w:t>hereby accelerating the pipeline for developing new antibiotics.</w:t>
      </w:r>
    </w:p>
    <w:p w14:paraId="08DF68F5" w14:textId="77777777" w:rsidR="00AC68F5" w:rsidRDefault="00AC68F5">
      <w:pPr>
        <w:rPr>
          <w:rFonts w:ascii="Times New Roman" w:eastAsia="Times New Roman" w:hAnsi="Times New Roman" w:cs="Times New Roman"/>
          <w:sz w:val="24"/>
          <w:szCs w:val="24"/>
        </w:rPr>
      </w:pPr>
    </w:p>
    <w:p w14:paraId="7DCA4702" w14:textId="77777777" w:rsidR="00AC68F5" w:rsidRDefault="00BF64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541306EB" w14:textId="77777777" w:rsidR="00AC68F5" w:rsidRDefault="00AC68F5">
      <w:pPr>
        <w:rPr>
          <w:rFonts w:ascii="Times New Roman" w:eastAsia="Times New Roman" w:hAnsi="Times New Roman" w:cs="Times New Roman"/>
          <w:sz w:val="24"/>
          <w:szCs w:val="24"/>
        </w:rPr>
      </w:pPr>
    </w:p>
    <w:p w14:paraId="78FD547D"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Sequence Retrieval</w:t>
      </w:r>
    </w:p>
    <w:p w14:paraId="299F279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amino acid sequences, along with the corresponding genome data for the Clostridium perfringens hypothetical proteins were retri</w:t>
      </w:r>
      <w:r>
        <w:rPr>
          <w:rFonts w:ascii="Times New Roman" w:eastAsia="Times New Roman" w:hAnsi="Times New Roman" w:cs="Times New Roman"/>
          <w:sz w:val="24"/>
          <w:szCs w:val="24"/>
        </w:rPr>
        <w:t>eved from the National Center for Biotechnology Information (NCBI) GenBank database. (</w:t>
      </w:r>
      <w:hyperlink r:id="rId7">
        <w:r>
          <w:rPr>
            <w:rFonts w:ascii="Times New Roman" w:eastAsia="Times New Roman" w:hAnsi="Times New Roman" w:cs="Times New Roman"/>
            <w:sz w:val="24"/>
            <w:szCs w:val="24"/>
            <w:u w:val="single"/>
          </w:rPr>
          <w:t>https://www.ncbi.nlm.nih.gov/genbank/</w:t>
        </w:r>
      </w:hyperlink>
      <w:r>
        <w:rPr>
          <w:rFonts w:ascii="Times New Roman" w:eastAsia="Times New Roman" w:hAnsi="Times New Roman" w:cs="Times New Roman"/>
          <w:sz w:val="24"/>
          <w:szCs w:val="24"/>
        </w:rPr>
        <w:t>) [21].</w:t>
      </w:r>
    </w:p>
    <w:p w14:paraId="59BD855F" w14:textId="77777777" w:rsidR="00AC68F5" w:rsidRDefault="00AC68F5">
      <w:pPr>
        <w:jc w:val="both"/>
        <w:rPr>
          <w:rFonts w:ascii="Times New Roman" w:eastAsia="Times New Roman" w:hAnsi="Times New Roman" w:cs="Times New Roman"/>
          <w:sz w:val="24"/>
          <w:szCs w:val="24"/>
        </w:rPr>
      </w:pPr>
    </w:p>
    <w:p w14:paraId="56B260FB"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Physicochemical Characterization</w:t>
      </w:r>
    </w:p>
    <w:p w14:paraId="143F645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physicochemical properties of </w:t>
      </w:r>
      <w:r>
        <w:rPr>
          <w:rFonts w:ascii="Times New Roman" w:eastAsia="Times New Roman" w:hAnsi="Times New Roman" w:cs="Times New Roman"/>
          <w:sz w:val="24"/>
          <w:szCs w:val="24"/>
        </w:rPr>
        <w:t>each protein sequence, including molecular weight, theoretical isoelectric point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amino acid composition, instability index, aliphatic index, and grand average of hydropathicity (GRAVY), were discerned using the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xml:space="preserve"> tool available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server (</w:t>
      </w:r>
      <w:hyperlink r:id="rId8">
        <w:r>
          <w:rPr>
            <w:rFonts w:ascii="Times New Roman" w:eastAsia="Times New Roman" w:hAnsi="Times New Roman" w:cs="Times New Roman"/>
            <w:sz w:val="24"/>
            <w:szCs w:val="24"/>
            <w:u w:val="single"/>
          </w:rPr>
          <w:t>https://web.expasy.org/protparam/</w:t>
        </w:r>
      </w:hyperlink>
      <w:r>
        <w:rPr>
          <w:rFonts w:ascii="Times New Roman" w:eastAsia="Times New Roman" w:hAnsi="Times New Roman" w:cs="Times New Roman"/>
          <w:sz w:val="24"/>
          <w:szCs w:val="24"/>
        </w:rPr>
        <w:t>) [25].</w:t>
      </w:r>
    </w:p>
    <w:p w14:paraId="5EF9FBD4" w14:textId="77777777" w:rsidR="00AC68F5" w:rsidRDefault="00AC68F5">
      <w:pPr>
        <w:jc w:val="both"/>
        <w:rPr>
          <w:rFonts w:ascii="Times New Roman" w:eastAsia="Times New Roman" w:hAnsi="Times New Roman" w:cs="Times New Roman"/>
          <w:sz w:val="24"/>
          <w:szCs w:val="24"/>
        </w:rPr>
      </w:pPr>
    </w:p>
    <w:p w14:paraId="373EEF2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Antigenicity Prediction</w:t>
      </w:r>
    </w:p>
    <w:p w14:paraId="046862D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Antigenicity of the selected proteins was determined using the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v2.0 server (</w:t>
      </w:r>
      <w:hyperlink r:id="rId9">
        <w:r>
          <w:rPr>
            <w:rFonts w:ascii="Times New Roman" w:eastAsia="Times New Roman" w:hAnsi="Times New Roman" w:cs="Times New Roman"/>
            <w:sz w:val="24"/>
            <w:szCs w:val="24"/>
            <w:u w:val="single"/>
          </w:rPr>
          <w:t>http://www.ddg-pharmfac.net/vaxijen/</w:t>
        </w:r>
      </w:hyperlink>
      <w:r>
        <w:rPr>
          <w:rFonts w:ascii="Times New Roman" w:eastAsia="Times New Roman" w:hAnsi="Times New Roman" w:cs="Times New Roman"/>
          <w:sz w:val="24"/>
          <w:szCs w:val="24"/>
        </w:rPr>
        <w:t>), using the bacterial model and the default threshold values [23].</w:t>
      </w:r>
    </w:p>
    <w:p w14:paraId="33A38447" w14:textId="77777777" w:rsidR="00AC68F5" w:rsidRDefault="00AC68F5">
      <w:pPr>
        <w:jc w:val="both"/>
        <w:rPr>
          <w:rFonts w:ascii="Times New Roman" w:eastAsia="Times New Roman" w:hAnsi="Times New Roman" w:cs="Times New Roman"/>
          <w:sz w:val="24"/>
          <w:szCs w:val="24"/>
        </w:rPr>
      </w:pPr>
    </w:p>
    <w:p w14:paraId="231672E8"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Homology Analysis</w:t>
      </w:r>
    </w:p>
    <w:p w14:paraId="2F430354"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which bacterial proteins were considered non-homologous relative to human proteins, each sequence was subjecte</w:t>
      </w:r>
      <w:r>
        <w:rPr>
          <w:rFonts w:ascii="Times New Roman" w:eastAsia="Times New Roman" w:hAnsi="Times New Roman" w:cs="Times New Roman"/>
          <w:sz w:val="24"/>
          <w:szCs w:val="24"/>
        </w:rPr>
        <w:t xml:space="preserve">d to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t>
      </w:r>
      <w:hyperlink r:id="rId10">
        <w:r>
          <w:rPr>
            <w:rFonts w:ascii="Times New Roman" w:eastAsia="Times New Roman" w:hAnsi="Times New Roman" w:cs="Times New Roman"/>
            <w:sz w:val="24"/>
            <w:szCs w:val="24"/>
            <w:u w:val="single"/>
          </w:rPr>
          <w:t>https://blast.ncbi.nlm.nih.gov/Blast.cgi</w:t>
        </w:r>
      </w:hyperlink>
      <w:r>
        <w:rPr>
          <w:rFonts w:ascii="Times New Roman" w:eastAsia="Times New Roman" w:hAnsi="Times New Roman" w:cs="Times New Roman"/>
          <w:sz w:val="24"/>
          <w:szCs w:val="24"/>
        </w:rPr>
        <w:t>) against the set of bacteria within the human gut flora with an E-value cutoff of 1e-5 [20].</w:t>
      </w:r>
    </w:p>
    <w:p w14:paraId="38E36736" w14:textId="77777777" w:rsidR="00AC68F5" w:rsidRDefault="00AC68F5">
      <w:pPr>
        <w:jc w:val="both"/>
        <w:rPr>
          <w:rFonts w:ascii="Times New Roman" w:eastAsia="Times New Roman" w:hAnsi="Times New Roman" w:cs="Times New Roman"/>
          <w:sz w:val="24"/>
          <w:szCs w:val="24"/>
        </w:rPr>
      </w:pPr>
    </w:p>
    <w:p w14:paraId="06FB5737"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Tertiary Structure Modeling</w:t>
      </w:r>
    </w:p>
    <w:p w14:paraId="734D8F3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tertiar</w:t>
      </w:r>
      <w:r>
        <w:rPr>
          <w:rFonts w:ascii="Times New Roman" w:eastAsia="Times New Roman" w:hAnsi="Times New Roman" w:cs="Times New Roman"/>
          <w:sz w:val="24"/>
          <w:szCs w:val="24"/>
        </w:rPr>
        <w:t>y structures of the non-homologous proteins were generated using SWISS-MODEL (</w:t>
      </w:r>
      <w:hyperlink r:id="rId11">
        <w:r>
          <w:rPr>
            <w:rFonts w:ascii="Times New Roman" w:eastAsia="Times New Roman" w:hAnsi="Times New Roman" w:cs="Times New Roman"/>
            <w:sz w:val="24"/>
            <w:szCs w:val="24"/>
            <w:u w:val="single"/>
          </w:rPr>
          <w:t>https://swissmodel.expasy.org/</w:t>
        </w:r>
      </w:hyperlink>
      <w:r>
        <w:rPr>
          <w:rFonts w:ascii="Times New Roman" w:eastAsia="Times New Roman" w:hAnsi="Times New Roman" w:cs="Times New Roman"/>
          <w:sz w:val="24"/>
          <w:szCs w:val="24"/>
        </w:rPr>
        <w:t xml:space="preserve">) [22][29]. The best scoring models were selected based on Global Model Quality Estimation (GMQE) </w:t>
      </w:r>
      <w:r>
        <w:rPr>
          <w:rFonts w:ascii="Times New Roman" w:eastAsia="Times New Roman" w:hAnsi="Times New Roman" w:cs="Times New Roman"/>
          <w:sz w:val="24"/>
          <w:szCs w:val="24"/>
        </w:rPr>
        <w:t>and QMEAN scores.</w:t>
      </w:r>
    </w:p>
    <w:p w14:paraId="017C9165" w14:textId="77777777" w:rsidR="00AC68F5" w:rsidRDefault="00AC68F5">
      <w:pPr>
        <w:jc w:val="both"/>
        <w:rPr>
          <w:rFonts w:ascii="Times New Roman" w:eastAsia="Times New Roman" w:hAnsi="Times New Roman" w:cs="Times New Roman"/>
          <w:sz w:val="24"/>
          <w:szCs w:val="24"/>
        </w:rPr>
      </w:pPr>
    </w:p>
    <w:p w14:paraId="22E283C5"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Ligand Selection and Preparation</w:t>
      </w:r>
    </w:p>
    <w:p w14:paraId="66E5D94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 ligands were selected from phytochemical compounds listed in Dr. Duke’s Phytochemical and Ethnobotanical Databases (</w:t>
      </w:r>
      <w:hyperlink r:id="rId12">
        <w:r>
          <w:rPr>
            <w:rFonts w:ascii="Times New Roman" w:eastAsia="Times New Roman" w:hAnsi="Times New Roman" w:cs="Times New Roman"/>
            <w:sz w:val="24"/>
            <w:szCs w:val="24"/>
            <w:u w:val="single"/>
          </w:rPr>
          <w:t>https://phytochem.nal.usda.</w:t>
        </w:r>
        <w:r>
          <w:rPr>
            <w:rFonts w:ascii="Times New Roman" w:eastAsia="Times New Roman" w:hAnsi="Times New Roman" w:cs="Times New Roman"/>
            <w:sz w:val="24"/>
            <w:szCs w:val="24"/>
            <w:u w:val="single"/>
          </w:rPr>
          <w:t>gov/</w:t>
        </w:r>
      </w:hyperlink>
      <w:r>
        <w:rPr>
          <w:rFonts w:ascii="Times New Roman" w:eastAsia="Times New Roman" w:hAnsi="Times New Roman" w:cs="Times New Roman"/>
          <w:sz w:val="24"/>
          <w:szCs w:val="24"/>
        </w:rPr>
        <w:t>). The SMILES for each phytochemical were retrieved from the PubChem database (</w:t>
      </w:r>
      <w:hyperlink r:id="rId13">
        <w:r>
          <w:rPr>
            <w:rFonts w:ascii="Times New Roman" w:eastAsia="Times New Roman" w:hAnsi="Times New Roman" w:cs="Times New Roman"/>
            <w:sz w:val="24"/>
            <w:szCs w:val="24"/>
            <w:u w:val="single"/>
          </w:rPr>
          <w:t>https://pubchem.ncbi.nlm.nih.gov/</w:t>
        </w:r>
      </w:hyperlink>
      <w:r>
        <w:rPr>
          <w:rFonts w:ascii="Times New Roman" w:eastAsia="Times New Roman" w:hAnsi="Times New Roman" w:cs="Times New Roman"/>
          <w:sz w:val="24"/>
          <w:szCs w:val="24"/>
        </w:rPr>
        <w:t>) for further processing. Pharmacokinetics and drug-likeness of each of the selected co</w:t>
      </w:r>
      <w:r>
        <w:rPr>
          <w:rFonts w:ascii="Times New Roman" w:eastAsia="Times New Roman" w:hAnsi="Times New Roman" w:cs="Times New Roman"/>
          <w:sz w:val="24"/>
          <w:szCs w:val="24"/>
        </w:rPr>
        <w:t xml:space="preserve">mpounds were evaluated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w:t>
      </w:r>
      <w:hyperlink r:id="rId14">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Protein structures were then prepared for docking using UCSF Chimera (</w:t>
      </w:r>
      <w:hyperlink r:id="rId15">
        <w:r>
          <w:rPr>
            <w:rFonts w:ascii="Times New Roman" w:eastAsia="Times New Roman" w:hAnsi="Times New Roman" w:cs="Times New Roman"/>
            <w:sz w:val="24"/>
            <w:szCs w:val="24"/>
            <w:u w:val="single"/>
          </w:rPr>
          <w:t>https://www.c</w:t>
        </w:r>
        <w:r>
          <w:rPr>
            <w:rFonts w:ascii="Times New Roman" w:eastAsia="Times New Roman" w:hAnsi="Times New Roman" w:cs="Times New Roman"/>
            <w:sz w:val="24"/>
            <w:szCs w:val="24"/>
            <w:u w:val="single"/>
          </w:rPr>
          <w:t>gl.ucsf.edu/chimera/</w:t>
        </w:r>
      </w:hyperlink>
      <w:r>
        <w:rPr>
          <w:rFonts w:ascii="Times New Roman" w:eastAsia="Times New Roman" w:hAnsi="Times New Roman" w:cs="Times New Roman"/>
          <w:sz w:val="24"/>
          <w:szCs w:val="24"/>
        </w:rPr>
        <w:t xml:space="preserve">) [27], and energy minimization of ligands was performed using Babel in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w:t>
      </w:r>
    </w:p>
    <w:p w14:paraId="1ACCA344" w14:textId="77777777" w:rsidR="00AC68F5" w:rsidRDefault="00AC68F5">
      <w:pPr>
        <w:jc w:val="both"/>
        <w:rPr>
          <w:rFonts w:ascii="Times New Roman" w:eastAsia="Times New Roman" w:hAnsi="Times New Roman" w:cs="Times New Roman"/>
          <w:sz w:val="24"/>
          <w:szCs w:val="24"/>
        </w:rPr>
      </w:pPr>
    </w:p>
    <w:p w14:paraId="37A0214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Docking</w:t>
      </w:r>
    </w:p>
    <w:p w14:paraId="15285AE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was performed using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[28], part of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to predict the binding energy and interaction between each phytochemical and the modeled proteins. The docked complexes were evaluated based on binding energy scores, and interaction visualization was performed using UCSF Chimera.</w:t>
      </w:r>
    </w:p>
    <w:p w14:paraId="48345B22"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bookmarkStart w:id="1" w:name="_heading=h.3mwl4q1pam2" w:colFirst="0" w:colLast="0"/>
      <w:bookmarkEnd w:id="1"/>
      <w:r>
        <w:rPr>
          <w:rFonts w:ascii="Times New Roman" w:eastAsia="Times New Roman" w:hAnsi="Times New Roman" w:cs="Times New Roman"/>
          <w:b/>
          <w:color w:val="000000"/>
          <w:sz w:val="24"/>
          <w:szCs w:val="24"/>
        </w:rPr>
        <w:t>Results</w:t>
      </w:r>
    </w:p>
    <w:p w14:paraId="5C4DBEA8" w14:textId="6CFBE028" w:rsidR="00740E03" w:rsidRDefault="00BF649C" w:rsidP="00740E03">
      <w:pPr>
        <w:pStyle w:val="Heading3"/>
        <w:keepNext w:val="0"/>
        <w:keepLines w:val="0"/>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w:t>
      </w:r>
      <w:r>
        <w:rPr>
          <w:rFonts w:ascii="Times New Roman" w:eastAsia="Times New Roman" w:hAnsi="Times New Roman" w:cs="Times New Roman"/>
          <w:b/>
          <w:sz w:val="24"/>
          <w:szCs w:val="24"/>
        </w:rPr>
        <w:t>fication and Characterization of Novel Drug Targets</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primary objective of this study was to employ a subtractive proteomics pipeline to identify novel, non-host-homologous drug targets within the uncharacterized portion of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roteome. The complete proteome was retrieved from NCBI, yielding 2,661 total proteins. A substantial fraction, 1,179 proteins, were initially annotated as hypothetical proteins (HPs), underscoring the gap in functional annotation for this pathogen.</w:t>
      </w:r>
    </w:p>
    <w:p w14:paraId="1FFEA367" w14:textId="77777777" w:rsidR="00740E03" w:rsidRDefault="00BF649C" w:rsidP="00740E03">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prio</w:t>
      </w:r>
      <w:r>
        <w:rPr>
          <w:rFonts w:ascii="Times New Roman" w:eastAsia="Times New Roman" w:hAnsi="Times New Roman" w:cs="Times New Roman"/>
          <w:sz w:val="24"/>
          <w:szCs w:val="24"/>
        </w:rPr>
        <w:t xml:space="preserve">ritized targets by selecting the subset of HPs considered conserved hypothetical proteins (CHPs) across clinically relevant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This filtering step yielded 496 candidate CHPs, which were hypothesized to be essential for basic cell biolo</w:t>
      </w:r>
      <w:r>
        <w:rPr>
          <w:rFonts w:ascii="Times New Roman" w:eastAsia="Times New Roman" w:hAnsi="Times New Roman" w:cs="Times New Roman"/>
          <w:sz w:val="24"/>
          <w:szCs w:val="24"/>
        </w:rPr>
        <w:t>gy or virulence.</w:t>
      </w:r>
    </w:p>
    <w:p w14:paraId="21A97968" w14:textId="143B2E15"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Silico Filtering and Target </w:t>
      </w:r>
      <w:proofErr w:type="gramStart"/>
      <w:r>
        <w:rPr>
          <w:rFonts w:ascii="Times New Roman" w:eastAsia="Times New Roman" w:hAnsi="Times New Roman" w:cs="Times New Roman"/>
          <w:b/>
          <w:sz w:val="24"/>
          <w:szCs w:val="24"/>
        </w:rPr>
        <w:t>Prioritization</w:t>
      </w:r>
      <w:r w:rsidR="00740E03">
        <w:rPr>
          <w:rFonts w:ascii="Times New Roman" w:eastAsia="Times New Roman" w:hAnsi="Times New Roman" w:cs="Times New Roman"/>
          <w:b/>
          <w:sz w:val="24"/>
          <w:szCs w:val="24"/>
        </w:rPr>
        <w:t xml:space="preserve"> :</w:t>
      </w:r>
      <w:proofErr w:type="gramEnd"/>
    </w:p>
    <w:p w14:paraId="73AD3D8C" w14:textId="77777777"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496 CHPs were subjected to sequential filtering based on pharmacological and biological criteria:</w:t>
      </w:r>
    </w:p>
    <w:p w14:paraId="0D9C83D1" w14:textId="4F5BEA5F" w:rsidR="00AC68F5" w:rsidRDefault="00BF649C" w:rsidP="00740E03">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Physicochemical Filtering</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stability and feasibility of the 496 CHPs for therapeutic </w:t>
      </w:r>
      <w:r>
        <w:rPr>
          <w:rFonts w:ascii="Times New Roman" w:eastAsia="Times New Roman" w:hAnsi="Times New Roman" w:cs="Times New Roman"/>
          <w:sz w:val="24"/>
          <w:szCs w:val="24"/>
        </w:rPr>
        <w:t xml:space="preserve">development were assessed using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Based on the Instability Index (II) threshold, 390 proteins were retained, exhibiting predicted physiochemical stability required for persistence and drug binding under physiological conditions.</w:t>
      </w:r>
    </w:p>
    <w:p w14:paraId="7F436CA0" w14:textId="2B45367B"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Subcellular Locali</w:t>
      </w:r>
      <w:r>
        <w:rPr>
          <w:rFonts w:ascii="Times New Roman" w:eastAsia="Times New Roman" w:hAnsi="Times New Roman" w:cs="Times New Roman"/>
          <w:b/>
          <w:sz w:val="24"/>
          <w:szCs w:val="24"/>
        </w:rPr>
        <w:t>zation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Drug targets must be accessible to therapeutic agents. Subcellular localization prediction was performed using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which identified 313 proteins situated in the cytoplasmic or cell membrane regions. To increase confidence in these crucial predi</w:t>
      </w:r>
      <w:r>
        <w:rPr>
          <w:rFonts w:ascii="Times New Roman" w:eastAsia="Times New Roman" w:hAnsi="Times New Roman" w:cs="Times New Roman"/>
          <w:sz w:val="24"/>
          <w:szCs w:val="24"/>
        </w:rPr>
        <w:t>ctions, cross-validation was performed using CELLO v2.5, confirming 291 proteins within these accessible compartments.</w:t>
      </w:r>
    </w:p>
    <w:p w14:paraId="3B756482" w14:textId="1F05CA9C"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Non-Homology Subtraction (Pathogen Specificity</w:t>
      </w:r>
      <w:proofErr w:type="gramStart"/>
      <w:r>
        <w:rPr>
          <w:rFonts w:ascii="Times New Roman" w:eastAsia="Times New Roman" w:hAnsi="Times New Roman" w:cs="Times New Roman"/>
          <w:b/>
          <w:sz w:val="24"/>
          <w:szCs w:val="24"/>
        </w:rPr>
        <w:t>)</w:t>
      </w:r>
      <w:r w:rsidR="00740E03">
        <w:rPr>
          <w:rFonts w:ascii="Times New Roman" w:eastAsia="Times New Roman" w:hAnsi="Times New Roman" w:cs="Times New Roman"/>
          <w:b/>
          <w:sz w:val="24"/>
          <w:szCs w:val="24"/>
        </w:rPr>
        <w:t>:</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ensure high specificity and minimize the risk of off-target toxicity to the human host and the crucial gut microbiota, the 291 candidates were subjected to rigorous non-homology analysis.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was conducted against a comprehensive set of refere</w:t>
      </w:r>
      <w:r>
        <w:rPr>
          <w:rFonts w:ascii="Times New Roman" w:eastAsia="Times New Roman" w:hAnsi="Times New Roman" w:cs="Times New Roman"/>
          <w:sz w:val="24"/>
          <w:szCs w:val="24"/>
        </w:rPr>
        <w:t xml:space="preserve">nce proteomes from the human gut flora, including </w:t>
      </w:r>
      <w:r>
        <w:rPr>
          <w:rFonts w:ascii="Times New Roman" w:eastAsia="Times New Roman" w:hAnsi="Times New Roman" w:cs="Times New Roman"/>
          <w:i/>
          <w:sz w:val="24"/>
          <w:szCs w:val="24"/>
        </w:rPr>
        <w:t>Bacteroides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Klebsiella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Bifidobacterium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Lactobacillus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Proteus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Peptostreptococcus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Peptococcus</w:t>
      </w:r>
      <w:proofErr w:type="spellEnd"/>
      <w:r>
        <w:rPr>
          <w:rFonts w:ascii="Times New Roman" w:eastAsia="Times New Roman" w:hAnsi="Times New Roman" w:cs="Times New Roman"/>
          <w:sz w:val="24"/>
          <w:szCs w:val="24"/>
        </w:rPr>
        <w:t>.</w:t>
      </w:r>
    </w:p>
    <w:p w14:paraId="219D9968" w14:textId="77777777" w:rsidR="00AC68F5" w:rsidRDefault="00BF649C">
      <w:pPr>
        <w:pStyle w:val="Heading3"/>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protein was classified as homologous and subsequently removed if it displayed sequence identity with query coverage. This highly selective subtractive process reduced the pool to 22 final, non-homologous hypothetical protein targets. The detailed physioche</w:t>
      </w:r>
      <w:r>
        <w:rPr>
          <w:rFonts w:ascii="Times New Roman" w:eastAsia="Times New Roman" w:hAnsi="Times New Roman" w:cs="Times New Roman"/>
          <w:sz w:val="24"/>
          <w:szCs w:val="24"/>
        </w:rPr>
        <w:t>mical properties and predicted subcellular locations for these 22 most promising drug candidates are summarized in Table 1.</w:t>
      </w:r>
    </w:p>
    <w:p w14:paraId="3612FDE1" w14:textId="77777777" w:rsidR="00AC68F5" w:rsidRDefault="00AC68F5">
      <w:pPr>
        <w:rPr>
          <w:rFonts w:ascii="Times New Roman" w:eastAsia="Times New Roman" w:hAnsi="Times New Roman" w:cs="Times New Roman"/>
        </w:rPr>
      </w:pPr>
    </w:p>
    <w:p w14:paraId="11A26513"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1 </w:t>
      </w:r>
      <w:r>
        <w:rPr>
          <w:rFonts w:ascii="Times New Roman" w:eastAsia="Times New Roman" w:hAnsi="Times New Roman" w:cs="Times New Roman"/>
          <w:b/>
          <w:i/>
          <w:color w:val="1F497D"/>
          <w:sz w:val="18"/>
          <w:szCs w:val="18"/>
        </w:rPr>
        <w:t>Physicochemical characterization and antigenicity prediction of conserved hypothetical proteins of Clostridium perfringens.</w:t>
      </w:r>
      <w:r>
        <w:rPr>
          <w:rFonts w:ascii="Times New Roman" w:eastAsia="Times New Roman" w:hAnsi="Times New Roman" w:cs="Times New Roman"/>
          <w:i/>
          <w:color w:val="1F497D"/>
          <w:sz w:val="18"/>
          <w:szCs w:val="18"/>
        </w:rPr>
        <w:br/>
        <w:t>Physicochemical and immunological properties of 22 non-homologous hypothetical proteins identified through subtractive proteomics analysis. Parameters include subcellular localization, amino acid length, molecular weight, theoretical isoelectric point (</w:t>
      </w:r>
      <w:proofErr w:type="spellStart"/>
      <w:r>
        <w:rPr>
          <w:rFonts w:ascii="Times New Roman" w:eastAsia="Times New Roman" w:hAnsi="Times New Roman" w:cs="Times New Roman"/>
          <w:i/>
          <w:color w:val="1F497D"/>
          <w:sz w:val="18"/>
          <w:szCs w:val="18"/>
        </w:rPr>
        <w:t>pI</w:t>
      </w:r>
      <w:proofErr w:type="spellEnd"/>
      <w:r>
        <w:rPr>
          <w:rFonts w:ascii="Times New Roman" w:eastAsia="Times New Roman" w:hAnsi="Times New Roman" w:cs="Times New Roman"/>
          <w:i/>
          <w:color w:val="1F497D"/>
          <w:sz w:val="18"/>
          <w:szCs w:val="18"/>
        </w:rPr>
        <w:t>), instability index (II), aliphatic index, grand average of hydropathicity (GRAVY), and antigenicity prediction scores. Proteins predicted as probable antigens are highlighted as potential vaccine or drug target candidates.</w:t>
      </w:r>
    </w:p>
    <w:tbl>
      <w:tblPr>
        <w:tblStyle w:val="a1"/>
        <w:tblW w:w="11415"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350"/>
        <w:gridCol w:w="1065"/>
        <w:gridCol w:w="1260"/>
        <w:gridCol w:w="1545"/>
        <w:gridCol w:w="1350"/>
        <w:gridCol w:w="1545"/>
        <w:gridCol w:w="1110"/>
        <w:gridCol w:w="1245"/>
      </w:tblGrid>
      <w:tr w:rsidR="00AC68F5" w14:paraId="7A921C25" w14:textId="77777777">
        <w:tc>
          <w:tcPr>
            <w:tcW w:w="945" w:type="dxa"/>
            <w:tcMar>
              <w:top w:w="100" w:type="dxa"/>
              <w:left w:w="100" w:type="dxa"/>
              <w:bottom w:w="100" w:type="dxa"/>
              <w:right w:w="100" w:type="dxa"/>
            </w:tcMar>
          </w:tcPr>
          <w:p w14:paraId="1E0C568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Protein Name</w:t>
            </w:r>
          </w:p>
        </w:tc>
        <w:tc>
          <w:tcPr>
            <w:tcW w:w="1350" w:type="dxa"/>
            <w:tcMar>
              <w:top w:w="0" w:type="dxa"/>
              <w:left w:w="40" w:type="dxa"/>
              <w:bottom w:w="0" w:type="dxa"/>
              <w:right w:w="40" w:type="dxa"/>
            </w:tcMar>
            <w:vAlign w:val="bottom"/>
          </w:tcPr>
          <w:p w14:paraId="5A6158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Subcellular Locali</w:t>
            </w:r>
            <w:r>
              <w:rPr>
                <w:rFonts w:ascii="Times New Roman" w:eastAsia="Times New Roman" w:hAnsi="Times New Roman" w:cs="Times New Roman"/>
                <w:sz w:val="20"/>
                <w:szCs w:val="20"/>
              </w:rPr>
              <w:t xml:space="preserve">zation </w:t>
            </w:r>
          </w:p>
        </w:tc>
        <w:tc>
          <w:tcPr>
            <w:tcW w:w="1065" w:type="dxa"/>
            <w:tcMar>
              <w:top w:w="0" w:type="dxa"/>
              <w:left w:w="40" w:type="dxa"/>
              <w:bottom w:w="0" w:type="dxa"/>
              <w:right w:w="40" w:type="dxa"/>
            </w:tcMar>
            <w:vAlign w:val="bottom"/>
          </w:tcPr>
          <w:p w14:paraId="638B564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Amino Acids</w:t>
            </w:r>
          </w:p>
        </w:tc>
        <w:tc>
          <w:tcPr>
            <w:tcW w:w="1260" w:type="dxa"/>
            <w:tcMar>
              <w:top w:w="0" w:type="dxa"/>
              <w:left w:w="40" w:type="dxa"/>
              <w:bottom w:w="0" w:type="dxa"/>
              <w:right w:w="40" w:type="dxa"/>
            </w:tcMar>
            <w:vAlign w:val="bottom"/>
          </w:tcPr>
          <w:p w14:paraId="737A7A9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Molecular Weight</w:t>
            </w:r>
          </w:p>
        </w:tc>
        <w:tc>
          <w:tcPr>
            <w:tcW w:w="1545" w:type="dxa"/>
            <w:tcMar>
              <w:top w:w="0" w:type="dxa"/>
              <w:left w:w="40" w:type="dxa"/>
              <w:bottom w:w="0" w:type="dxa"/>
              <w:right w:w="40" w:type="dxa"/>
            </w:tcMar>
            <w:vAlign w:val="bottom"/>
          </w:tcPr>
          <w:p w14:paraId="3CBF1DD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Theoretical </w:t>
            </w:r>
            <w:proofErr w:type="spellStart"/>
            <w:r>
              <w:rPr>
                <w:rFonts w:ascii="Times New Roman" w:eastAsia="Times New Roman" w:hAnsi="Times New Roman" w:cs="Times New Roman"/>
                <w:sz w:val="20"/>
                <w:szCs w:val="20"/>
              </w:rPr>
              <w:t>pI</w:t>
            </w:r>
            <w:proofErr w:type="spellEnd"/>
          </w:p>
        </w:tc>
        <w:tc>
          <w:tcPr>
            <w:tcW w:w="1350" w:type="dxa"/>
            <w:tcMar>
              <w:top w:w="0" w:type="dxa"/>
              <w:left w:w="40" w:type="dxa"/>
              <w:bottom w:w="0" w:type="dxa"/>
              <w:right w:w="40" w:type="dxa"/>
            </w:tcMar>
            <w:vAlign w:val="bottom"/>
          </w:tcPr>
          <w:p w14:paraId="0AE9D47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Instability Index (II)</w:t>
            </w:r>
          </w:p>
        </w:tc>
        <w:tc>
          <w:tcPr>
            <w:tcW w:w="1545" w:type="dxa"/>
            <w:tcMar>
              <w:top w:w="0" w:type="dxa"/>
              <w:left w:w="40" w:type="dxa"/>
              <w:bottom w:w="0" w:type="dxa"/>
              <w:right w:w="40" w:type="dxa"/>
            </w:tcMar>
            <w:vAlign w:val="bottom"/>
          </w:tcPr>
          <w:p w14:paraId="4787EA7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Aliphatic Index</w:t>
            </w:r>
          </w:p>
        </w:tc>
        <w:tc>
          <w:tcPr>
            <w:tcW w:w="1110" w:type="dxa"/>
            <w:tcMar>
              <w:top w:w="0" w:type="dxa"/>
              <w:left w:w="40" w:type="dxa"/>
              <w:bottom w:w="0" w:type="dxa"/>
              <w:right w:w="40" w:type="dxa"/>
            </w:tcMar>
            <w:vAlign w:val="bottom"/>
          </w:tcPr>
          <w:p w14:paraId="443B856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GRAVY</w:t>
            </w:r>
          </w:p>
        </w:tc>
        <w:tc>
          <w:tcPr>
            <w:tcW w:w="1245" w:type="dxa"/>
            <w:tcMar>
              <w:top w:w="0" w:type="dxa"/>
              <w:left w:w="0" w:type="dxa"/>
              <w:bottom w:w="0" w:type="dxa"/>
              <w:right w:w="0" w:type="dxa"/>
            </w:tcMar>
            <w:vAlign w:val="bottom"/>
          </w:tcPr>
          <w:p w14:paraId="3A7A22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Antigen Prediction Score</w:t>
            </w:r>
          </w:p>
        </w:tc>
      </w:tr>
      <w:tr w:rsidR="00AC68F5" w14:paraId="35D9AF82" w14:textId="77777777">
        <w:tc>
          <w:tcPr>
            <w:tcW w:w="945" w:type="dxa"/>
            <w:tcMar>
              <w:top w:w="100" w:type="dxa"/>
              <w:left w:w="100" w:type="dxa"/>
              <w:bottom w:w="100" w:type="dxa"/>
              <w:right w:w="100" w:type="dxa"/>
            </w:tcMar>
          </w:tcPr>
          <w:p w14:paraId="524E9F97"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CPE0133</w:t>
            </w:r>
          </w:p>
        </w:tc>
        <w:tc>
          <w:tcPr>
            <w:tcW w:w="1350" w:type="dxa"/>
            <w:tcMar>
              <w:top w:w="0" w:type="dxa"/>
              <w:left w:w="40" w:type="dxa"/>
              <w:bottom w:w="0" w:type="dxa"/>
              <w:right w:w="40" w:type="dxa"/>
            </w:tcMar>
            <w:vAlign w:val="bottom"/>
          </w:tcPr>
          <w:p w14:paraId="2D4D50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0A0D874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308</w:t>
            </w:r>
          </w:p>
        </w:tc>
        <w:tc>
          <w:tcPr>
            <w:tcW w:w="1260" w:type="dxa"/>
            <w:tcMar>
              <w:top w:w="0" w:type="dxa"/>
              <w:left w:w="40" w:type="dxa"/>
              <w:bottom w:w="0" w:type="dxa"/>
              <w:right w:w="40" w:type="dxa"/>
            </w:tcMar>
            <w:vAlign w:val="bottom"/>
          </w:tcPr>
          <w:p w14:paraId="440AFC8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34914.36</w:t>
            </w:r>
          </w:p>
        </w:tc>
        <w:tc>
          <w:tcPr>
            <w:tcW w:w="1545" w:type="dxa"/>
            <w:tcMar>
              <w:top w:w="0" w:type="dxa"/>
              <w:left w:w="40" w:type="dxa"/>
              <w:bottom w:w="0" w:type="dxa"/>
              <w:right w:w="40" w:type="dxa"/>
            </w:tcMar>
            <w:vAlign w:val="bottom"/>
          </w:tcPr>
          <w:p w14:paraId="7486325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p>
        </w:tc>
        <w:tc>
          <w:tcPr>
            <w:tcW w:w="1350" w:type="dxa"/>
            <w:tcMar>
              <w:top w:w="0" w:type="dxa"/>
              <w:left w:w="40" w:type="dxa"/>
              <w:bottom w:w="0" w:type="dxa"/>
              <w:right w:w="40" w:type="dxa"/>
            </w:tcMar>
            <w:vAlign w:val="bottom"/>
          </w:tcPr>
          <w:p w14:paraId="5B46EE8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22.74</w:t>
            </w:r>
          </w:p>
        </w:tc>
        <w:tc>
          <w:tcPr>
            <w:tcW w:w="1545" w:type="dxa"/>
            <w:tcMar>
              <w:top w:w="0" w:type="dxa"/>
              <w:left w:w="40" w:type="dxa"/>
              <w:bottom w:w="0" w:type="dxa"/>
              <w:right w:w="40" w:type="dxa"/>
            </w:tcMar>
            <w:vAlign w:val="bottom"/>
          </w:tcPr>
          <w:p w14:paraId="4B399BA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137.27</w:t>
            </w:r>
          </w:p>
        </w:tc>
        <w:tc>
          <w:tcPr>
            <w:tcW w:w="1110" w:type="dxa"/>
            <w:tcMar>
              <w:top w:w="0" w:type="dxa"/>
              <w:left w:w="40" w:type="dxa"/>
              <w:bottom w:w="0" w:type="dxa"/>
              <w:right w:w="40" w:type="dxa"/>
            </w:tcMar>
            <w:vAlign w:val="bottom"/>
          </w:tcPr>
          <w:p w14:paraId="7C15B4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0.975</w:t>
            </w:r>
          </w:p>
        </w:tc>
        <w:tc>
          <w:tcPr>
            <w:tcW w:w="1245" w:type="dxa"/>
            <w:tcMar>
              <w:top w:w="0" w:type="dxa"/>
              <w:left w:w="0" w:type="dxa"/>
              <w:bottom w:w="0" w:type="dxa"/>
              <w:right w:w="0" w:type="dxa"/>
            </w:tcMar>
            <w:vAlign w:val="bottom"/>
          </w:tcPr>
          <w:p w14:paraId="67C619D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0.7249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592232F8" w14:textId="77777777">
        <w:tc>
          <w:tcPr>
            <w:tcW w:w="945" w:type="dxa"/>
            <w:tcMar>
              <w:top w:w="100" w:type="dxa"/>
              <w:left w:w="100" w:type="dxa"/>
              <w:bottom w:w="100" w:type="dxa"/>
              <w:right w:w="100" w:type="dxa"/>
            </w:tcMar>
          </w:tcPr>
          <w:p w14:paraId="7B2EF1B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CPE0245</w:t>
            </w:r>
          </w:p>
        </w:tc>
        <w:tc>
          <w:tcPr>
            <w:tcW w:w="1350" w:type="dxa"/>
            <w:tcMar>
              <w:top w:w="0" w:type="dxa"/>
              <w:left w:w="40" w:type="dxa"/>
              <w:bottom w:w="0" w:type="dxa"/>
              <w:right w:w="40" w:type="dxa"/>
            </w:tcMar>
            <w:vAlign w:val="bottom"/>
          </w:tcPr>
          <w:p w14:paraId="52FC752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27AB3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775</w:t>
            </w:r>
          </w:p>
        </w:tc>
        <w:tc>
          <w:tcPr>
            <w:tcW w:w="1260" w:type="dxa"/>
            <w:tcMar>
              <w:top w:w="0" w:type="dxa"/>
              <w:left w:w="40" w:type="dxa"/>
              <w:bottom w:w="0" w:type="dxa"/>
              <w:right w:w="40" w:type="dxa"/>
            </w:tcMar>
            <w:vAlign w:val="bottom"/>
          </w:tcPr>
          <w:p w14:paraId="1EDF55F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89675.9</w:t>
            </w:r>
          </w:p>
        </w:tc>
        <w:tc>
          <w:tcPr>
            <w:tcW w:w="1545" w:type="dxa"/>
            <w:tcMar>
              <w:top w:w="0" w:type="dxa"/>
              <w:left w:w="40" w:type="dxa"/>
              <w:bottom w:w="0" w:type="dxa"/>
              <w:right w:w="40" w:type="dxa"/>
            </w:tcMar>
            <w:vAlign w:val="bottom"/>
          </w:tcPr>
          <w:p w14:paraId="78F18C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8.93</w:t>
            </w:r>
          </w:p>
        </w:tc>
        <w:tc>
          <w:tcPr>
            <w:tcW w:w="1350" w:type="dxa"/>
            <w:tcMar>
              <w:top w:w="0" w:type="dxa"/>
              <w:left w:w="40" w:type="dxa"/>
              <w:bottom w:w="0" w:type="dxa"/>
              <w:right w:w="40" w:type="dxa"/>
            </w:tcMar>
            <w:vAlign w:val="bottom"/>
          </w:tcPr>
          <w:p w14:paraId="65974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27.69</w:t>
            </w:r>
          </w:p>
        </w:tc>
        <w:tc>
          <w:tcPr>
            <w:tcW w:w="1545" w:type="dxa"/>
            <w:tcMar>
              <w:top w:w="0" w:type="dxa"/>
              <w:left w:w="40" w:type="dxa"/>
              <w:bottom w:w="0" w:type="dxa"/>
              <w:right w:w="40" w:type="dxa"/>
            </w:tcMar>
            <w:vAlign w:val="bottom"/>
          </w:tcPr>
          <w:p w14:paraId="78E02D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125.87</w:t>
            </w:r>
          </w:p>
        </w:tc>
        <w:tc>
          <w:tcPr>
            <w:tcW w:w="1110" w:type="dxa"/>
            <w:tcMar>
              <w:top w:w="0" w:type="dxa"/>
              <w:left w:w="40" w:type="dxa"/>
              <w:bottom w:w="0" w:type="dxa"/>
              <w:right w:w="40" w:type="dxa"/>
            </w:tcMar>
            <w:vAlign w:val="bottom"/>
          </w:tcPr>
          <w:p w14:paraId="4B32DB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245" w:type="dxa"/>
            <w:tcMar>
              <w:top w:w="0" w:type="dxa"/>
              <w:left w:w="0" w:type="dxa"/>
              <w:bottom w:w="0" w:type="dxa"/>
              <w:right w:w="0" w:type="dxa"/>
            </w:tcMar>
            <w:vAlign w:val="bottom"/>
          </w:tcPr>
          <w:p w14:paraId="79269B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0.4851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86FF9BF" w14:textId="77777777">
        <w:tc>
          <w:tcPr>
            <w:tcW w:w="945" w:type="dxa"/>
            <w:tcMar>
              <w:top w:w="100" w:type="dxa"/>
              <w:left w:w="100" w:type="dxa"/>
              <w:bottom w:w="100" w:type="dxa"/>
              <w:right w:w="100" w:type="dxa"/>
            </w:tcMar>
          </w:tcPr>
          <w:p w14:paraId="100A305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CPE0246</w:t>
            </w:r>
          </w:p>
        </w:tc>
        <w:tc>
          <w:tcPr>
            <w:tcW w:w="1350" w:type="dxa"/>
            <w:tcMar>
              <w:top w:w="0" w:type="dxa"/>
              <w:left w:w="40" w:type="dxa"/>
              <w:bottom w:w="0" w:type="dxa"/>
              <w:right w:w="40" w:type="dxa"/>
            </w:tcMar>
            <w:vAlign w:val="bottom"/>
          </w:tcPr>
          <w:p w14:paraId="71ECF75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ADA4D0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260" w:type="dxa"/>
            <w:tcMar>
              <w:top w:w="0" w:type="dxa"/>
              <w:left w:w="40" w:type="dxa"/>
              <w:bottom w:w="0" w:type="dxa"/>
              <w:right w:w="40" w:type="dxa"/>
            </w:tcMar>
            <w:vAlign w:val="bottom"/>
          </w:tcPr>
          <w:p w14:paraId="13C9DFD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50266.98</w:t>
            </w:r>
          </w:p>
        </w:tc>
        <w:tc>
          <w:tcPr>
            <w:tcW w:w="1545" w:type="dxa"/>
            <w:tcMar>
              <w:top w:w="0" w:type="dxa"/>
              <w:left w:w="40" w:type="dxa"/>
              <w:bottom w:w="0" w:type="dxa"/>
              <w:right w:w="40" w:type="dxa"/>
            </w:tcMar>
            <w:vAlign w:val="bottom"/>
          </w:tcPr>
          <w:p w14:paraId="429CC3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1350" w:type="dxa"/>
            <w:tcMar>
              <w:top w:w="0" w:type="dxa"/>
              <w:left w:w="40" w:type="dxa"/>
              <w:bottom w:w="0" w:type="dxa"/>
              <w:right w:w="40" w:type="dxa"/>
            </w:tcMar>
            <w:vAlign w:val="bottom"/>
          </w:tcPr>
          <w:p w14:paraId="1304C6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29.01</w:t>
            </w:r>
          </w:p>
        </w:tc>
        <w:tc>
          <w:tcPr>
            <w:tcW w:w="1545" w:type="dxa"/>
            <w:tcMar>
              <w:top w:w="0" w:type="dxa"/>
              <w:left w:w="40" w:type="dxa"/>
              <w:bottom w:w="0" w:type="dxa"/>
              <w:right w:w="40" w:type="dxa"/>
            </w:tcMar>
            <w:vAlign w:val="bottom"/>
          </w:tcPr>
          <w:p w14:paraId="393309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95.81</w:t>
            </w:r>
          </w:p>
        </w:tc>
        <w:tc>
          <w:tcPr>
            <w:tcW w:w="1110" w:type="dxa"/>
            <w:tcMar>
              <w:top w:w="0" w:type="dxa"/>
              <w:left w:w="40" w:type="dxa"/>
              <w:bottom w:w="0" w:type="dxa"/>
              <w:right w:w="40" w:type="dxa"/>
            </w:tcMar>
            <w:vAlign w:val="bottom"/>
          </w:tcPr>
          <w:p w14:paraId="760927E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245" w:type="dxa"/>
            <w:tcMar>
              <w:top w:w="0" w:type="dxa"/>
              <w:left w:w="0" w:type="dxa"/>
              <w:bottom w:w="0" w:type="dxa"/>
              <w:right w:w="0" w:type="dxa"/>
            </w:tcMar>
            <w:vAlign w:val="bottom"/>
          </w:tcPr>
          <w:p w14:paraId="584D4C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0.3871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13F04582" w14:textId="77777777">
        <w:tc>
          <w:tcPr>
            <w:tcW w:w="945" w:type="dxa"/>
            <w:tcMar>
              <w:top w:w="100" w:type="dxa"/>
              <w:left w:w="100" w:type="dxa"/>
              <w:bottom w:w="100" w:type="dxa"/>
              <w:right w:w="100" w:type="dxa"/>
            </w:tcMar>
          </w:tcPr>
          <w:p w14:paraId="6ACCCBFB"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CPE0657</w:t>
            </w:r>
          </w:p>
        </w:tc>
        <w:tc>
          <w:tcPr>
            <w:tcW w:w="1350" w:type="dxa"/>
            <w:tcMar>
              <w:top w:w="0" w:type="dxa"/>
              <w:left w:w="40" w:type="dxa"/>
              <w:bottom w:w="0" w:type="dxa"/>
              <w:right w:w="40" w:type="dxa"/>
            </w:tcMar>
            <w:vAlign w:val="bottom"/>
          </w:tcPr>
          <w:p w14:paraId="4DBA53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02F62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w:t>
            </w:r>
          </w:p>
        </w:tc>
        <w:tc>
          <w:tcPr>
            <w:tcW w:w="1260" w:type="dxa"/>
            <w:tcMar>
              <w:top w:w="0" w:type="dxa"/>
              <w:left w:w="40" w:type="dxa"/>
              <w:bottom w:w="0" w:type="dxa"/>
              <w:right w:w="40" w:type="dxa"/>
            </w:tcMar>
            <w:vAlign w:val="bottom"/>
          </w:tcPr>
          <w:p w14:paraId="34E0E5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52081.29</w:t>
            </w:r>
          </w:p>
        </w:tc>
        <w:tc>
          <w:tcPr>
            <w:tcW w:w="1545" w:type="dxa"/>
            <w:tcMar>
              <w:top w:w="0" w:type="dxa"/>
              <w:left w:w="40" w:type="dxa"/>
              <w:bottom w:w="0" w:type="dxa"/>
              <w:right w:w="40" w:type="dxa"/>
            </w:tcMar>
            <w:vAlign w:val="bottom"/>
          </w:tcPr>
          <w:p w14:paraId="32E2145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tc>
        <w:tc>
          <w:tcPr>
            <w:tcW w:w="1350" w:type="dxa"/>
            <w:tcMar>
              <w:top w:w="0" w:type="dxa"/>
              <w:left w:w="40" w:type="dxa"/>
              <w:bottom w:w="0" w:type="dxa"/>
              <w:right w:w="40" w:type="dxa"/>
            </w:tcMar>
            <w:vAlign w:val="bottom"/>
          </w:tcPr>
          <w:p w14:paraId="263207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39.58</w:t>
            </w:r>
          </w:p>
        </w:tc>
        <w:tc>
          <w:tcPr>
            <w:tcW w:w="1545" w:type="dxa"/>
            <w:tcMar>
              <w:top w:w="0" w:type="dxa"/>
              <w:left w:w="40" w:type="dxa"/>
              <w:bottom w:w="0" w:type="dxa"/>
              <w:right w:w="40" w:type="dxa"/>
            </w:tcMar>
            <w:vAlign w:val="bottom"/>
          </w:tcPr>
          <w:p w14:paraId="684523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91.57</w:t>
            </w:r>
          </w:p>
        </w:tc>
        <w:tc>
          <w:tcPr>
            <w:tcW w:w="1110" w:type="dxa"/>
            <w:tcMar>
              <w:top w:w="0" w:type="dxa"/>
              <w:left w:w="40" w:type="dxa"/>
              <w:bottom w:w="0" w:type="dxa"/>
              <w:right w:w="40" w:type="dxa"/>
            </w:tcMar>
            <w:vAlign w:val="bottom"/>
          </w:tcPr>
          <w:p w14:paraId="3F7D9A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-0.583</w:t>
            </w:r>
          </w:p>
        </w:tc>
        <w:tc>
          <w:tcPr>
            <w:tcW w:w="1245" w:type="dxa"/>
            <w:tcMar>
              <w:top w:w="0" w:type="dxa"/>
              <w:left w:w="0" w:type="dxa"/>
              <w:bottom w:w="0" w:type="dxa"/>
              <w:right w:w="0" w:type="dxa"/>
            </w:tcMar>
            <w:vAlign w:val="bottom"/>
          </w:tcPr>
          <w:p w14:paraId="509234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0.4922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65220E9" w14:textId="77777777">
        <w:tc>
          <w:tcPr>
            <w:tcW w:w="945" w:type="dxa"/>
            <w:tcMar>
              <w:top w:w="100" w:type="dxa"/>
              <w:left w:w="100" w:type="dxa"/>
              <w:bottom w:w="100" w:type="dxa"/>
              <w:right w:w="100" w:type="dxa"/>
            </w:tcMar>
          </w:tcPr>
          <w:p w14:paraId="03A73E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CPE0662</w:t>
            </w:r>
          </w:p>
        </w:tc>
        <w:tc>
          <w:tcPr>
            <w:tcW w:w="1350" w:type="dxa"/>
            <w:tcMar>
              <w:top w:w="0" w:type="dxa"/>
              <w:left w:w="40" w:type="dxa"/>
              <w:bottom w:w="0" w:type="dxa"/>
              <w:right w:w="40" w:type="dxa"/>
            </w:tcMar>
            <w:vAlign w:val="bottom"/>
          </w:tcPr>
          <w:p w14:paraId="421B6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19FAAB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1260" w:type="dxa"/>
            <w:tcMar>
              <w:top w:w="0" w:type="dxa"/>
              <w:left w:w="40" w:type="dxa"/>
              <w:bottom w:w="0" w:type="dxa"/>
              <w:right w:w="40" w:type="dxa"/>
            </w:tcMar>
            <w:vAlign w:val="bottom"/>
          </w:tcPr>
          <w:p w14:paraId="5565B7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31159.99</w:t>
            </w:r>
          </w:p>
        </w:tc>
        <w:tc>
          <w:tcPr>
            <w:tcW w:w="1545" w:type="dxa"/>
            <w:tcMar>
              <w:top w:w="0" w:type="dxa"/>
              <w:left w:w="40" w:type="dxa"/>
              <w:bottom w:w="0" w:type="dxa"/>
              <w:right w:w="40" w:type="dxa"/>
            </w:tcMar>
            <w:vAlign w:val="bottom"/>
          </w:tcPr>
          <w:p w14:paraId="3A34F5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8.22</w:t>
            </w:r>
          </w:p>
        </w:tc>
        <w:tc>
          <w:tcPr>
            <w:tcW w:w="1350" w:type="dxa"/>
            <w:tcMar>
              <w:top w:w="0" w:type="dxa"/>
              <w:left w:w="40" w:type="dxa"/>
              <w:bottom w:w="0" w:type="dxa"/>
              <w:right w:w="40" w:type="dxa"/>
            </w:tcMar>
            <w:vAlign w:val="bottom"/>
          </w:tcPr>
          <w:p w14:paraId="1CBA75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36.04</w:t>
            </w:r>
          </w:p>
        </w:tc>
        <w:tc>
          <w:tcPr>
            <w:tcW w:w="1545" w:type="dxa"/>
            <w:tcMar>
              <w:top w:w="0" w:type="dxa"/>
              <w:left w:w="40" w:type="dxa"/>
              <w:bottom w:w="0" w:type="dxa"/>
              <w:right w:w="40" w:type="dxa"/>
            </w:tcMar>
            <w:vAlign w:val="bottom"/>
          </w:tcPr>
          <w:p w14:paraId="384BFEA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101.65</w:t>
            </w:r>
          </w:p>
        </w:tc>
        <w:tc>
          <w:tcPr>
            <w:tcW w:w="1110" w:type="dxa"/>
            <w:tcMar>
              <w:top w:w="0" w:type="dxa"/>
              <w:left w:w="40" w:type="dxa"/>
              <w:bottom w:w="0" w:type="dxa"/>
              <w:right w:w="40" w:type="dxa"/>
            </w:tcMar>
            <w:vAlign w:val="bottom"/>
          </w:tcPr>
          <w:p w14:paraId="56757E3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-0.291</w:t>
            </w:r>
          </w:p>
        </w:tc>
        <w:tc>
          <w:tcPr>
            <w:tcW w:w="1245" w:type="dxa"/>
            <w:tcMar>
              <w:top w:w="0" w:type="dxa"/>
              <w:left w:w="0" w:type="dxa"/>
              <w:bottom w:w="0" w:type="dxa"/>
              <w:right w:w="0" w:type="dxa"/>
            </w:tcMar>
            <w:vAlign w:val="bottom"/>
          </w:tcPr>
          <w:p w14:paraId="7479237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0.4799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F146F8D" w14:textId="77777777">
        <w:tc>
          <w:tcPr>
            <w:tcW w:w="945" w:type="dxa"/>
            <w:tcMar>
              <w:top w:w="100" w:type="dxa"/>
              <w:left w:w="100" w:type="dxa"/>
              <w:bottom w:w="100" w:type="dxa"/>
              <w:right w:w="100" w:type="dxa"/>
            </w:tcMar>
          </w:tcPr>
          <w:p w14:paraId="77C5699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CPE0708</w:t>
            </w:r>
          </w:p>
        </w:tc>
        <w:tc>
          <w:tcPr>
            <w:tcW w:w="1350" w:type="dxa"/>
            <w:tcMar>
              <w:top w:w="0" w:type="dxa"/>
              <w:left w:w="40" w:type="dxa"/>
              <w:bottom w:w="0" w:type="dxa"/>
              <w:right w:w="40" w:type="dxa"/>
            </w:tcMar>
            <w:vAlign w:val="bottom"/>
          </w:tcPr>
          <w:p w14:paraId="6B7031E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4A381E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c>
          <w:tcPr>
            <w:tcW w:w="1260" w:type="dxa"/>
            <w:tcMar>
              <w:top w:w="0" w:type="dxa"/>
              <w:left w:w="40" w:type="dxa"/>
              <w:bottom w:w="0" w:type="dxa"/>
              <w:right w:w="40" w:type="dxa"/>
            </w:tcMar>
            <w:vAlign w:val="bottom"/>
          </w:tcPr>
          <w:p w14:paraId="66081FA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44804.82</w:t>
            </w:r>
          </w:p>
        </w:tc>
        <w:tc>
          <w:tcPr>
            <w:tcW w:w="1545" w:type="dxa"/>
            <w:tcMar>
              <w:top w:w="0" w:type="dxa"/>
              <w:left w:w="40" w:type="dxa"/>
              <w:bottom w:w="0" w:type="dxa"/>
              <w:right w:w="40" w:type="dxa"/>
            </w:tcMar>
            <w:vAlign w:val="bottom"/>
          </w:tcPr>
          <w:p w14:paraId="60B224A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8.25</w:t>
            </w:r>
          </w:p>
        </w:tc>
        <w:tc>
          <w:tcPr>
            <w:tcW w:w="1350" w:type="dxa"/>
            <w:tcMar>
              <w:top w:w="0" w:type="dxa"/>
              <w:left w:w="40" w:type="dxa"/>
              <w:bottom w:w="0" w:type="dxa"/>
              <w:right w:w="40" w:type="dxa"/>
            </w:tcMar>
            <w:vAlign w:val="bottom"/>
          </w:tcPr>
          <w:p w14:paraId="2D35DBB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29.12</w:t>
            </w:r>
          </w:p>
        </w:tc>
        <w:tc>
          <w:tcPr>
            <w:tcW w:w="1545" w:type="dxa"/>
            <w:tcMar>
              <w:top w:w="0" w:type="dxa"/>
              <w:left w:w="40" w:type="dxa"/>
              <w:bottom w:w="0" w:type="dxa"/>
              <w:right w:w="40" w:type="dxa"/>
            </w:tcMar>
            <w:vAlign w:val="bottom"/>
          </w:tcPr>
          <w:p w14:paraId="063BA1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111.49</w:t>
            </w:r>
          </w:p>
        </w:tc>
        <w:tc>
          <w:tcPr>
            <w:tcW w:w="1110" w:type="dxa"/>
            <w:tcMar>
              <w:top w:w="0" w:type="dxa"/>
              <w:left w:w="40" w:type="dxa"/>
              <w:bottom w:w="0" w:type="dxa"/>
              <w:right w:w="40" w:type="dxa"/>
            </w:tcMar>
            <w:vAlign w:val="bottom"/>
          </w:tcPr>
          <w:p w14:paraId="38BAFB8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245" w:type="dxa"/>
            <w:tcMar>
              <w:top w:w="0" w:type="dxa"/>
              <w:left w:w="0" w:type="dxa"/>
              <w:bottom w:w="0" w:type="dxa"/>
              <w:right w:w="0" w:type="dxa"/>
            </w:tcMar>
            <w:vAlign w:val="bottom"/>
          </w:tcPr>
          <w:p w14:paraId="785063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0.3974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24C7E6DC" w14:textId="77777777">
        <w:tc>
          <w:tcPr>
            <w:tcW w:w="945" w:type="dxa"/>
            <w:tcMar>
              <w:top w:w="100" w:type="dxa"/>
              <w:left w:w="100" w:type="dxa"/>
              <w:bottom w:w="100" w:type="dxa"/>
              <w:right w:w="100" w:type="dxa"/>
            </w:tcMar>
          </w:tcPr>
          <w:p w14:paraId="0E0852B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CPE0836</w:t>
            </w:r>
          </w:p>
        </w:tc>
        <w:tc>
          <w:tcPr>
            <w:tcW w:w="1350" w:type="dxa"/>
            <w:tcMar>
              <w:top w:w="0" w:type="dxa"/>
              <w:left w:w="40" w:type="dxa"/>
              <w:bottom w:w="0" w:type="dxa"/>
              <w:right w:w="40" w:type="dxa"/>
            </w:tcMar>
            <w:vAlign w:val="bottom"/>
          </w:tcPr>
          <w:p w14:paraId="7059C57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EF94C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1260" w:type="dxa"/>
            <w:tcMar>
              <w:top w:w="0" w:type="dxa"/>
              <w:left w:w="40" w:type="dxa"/>
              <w:bottom w:w="0" w:type="dxa"/>
              <w:right w:w="40" w:type="dxa"/>
            </w:tcMar>
            <w:vAlign w:val="bottom"/>
          </w:tcPr>
          <w:p w14:paraId="7CFEAE8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62333.93</w:t>
            </w:r>
          </w:p>
        </w:tc>
        <w:tc>
          <w:tcPr>
            <w:tcW w:w="1545" w:type="dxa"/>
            <w:tcMar>
              <w:top w:w="0" w:type="dxa"/>
              <w:left w:w="40" w:type="dxa"/>
              <w:bottom w:w="0" w:type="dxa"/>
              <w:right w:w="40" w:type="dxa"/>
            </w:tcMar>
            <w:vAlign w:val="bottom"/>
          </w:tcPr>
          <w:p w14:paraId="517B828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9.16</w:t>
            </w:r>
          </w:p>
        </w:tc>
        <w:tc>
          <w:tcPr>
            <w:tcW w:w="1350" w:type="dxa"/>
            <w:tcMar>
              <w:top w:w="0" w:type="dxa"/>
              <w:left w:w="40" w:type="dxa"/>
              <w:bottom w:w="0" w:type="dxa"/>
              <w:right w:w="40" w:type="dxa"/>
            </w:tcMar>
            <w:vAlign w:val="bottom"/>
          </w:tcPr>
          <w:p w14:paraId="0A4A98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1545" w:type="dxa"/>
            <w:tcMar>
              <w:top w:w="0" w:type="dxa"/>
              <w:left w:w="40" w:type="dxa"/>
              <w:bottom w:w="0" w:type="dxa"/>
              <w:right w:w="40" w:type="dxa"/>
            </w:tcMar>
            <w:vAlign w:val="bottom"/>
          </w:tcPr>
          <w:p w14:paraId="6AB8415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114.87</w:t>
            </w:r>
          </w:p>
        </w:tc>
        <w:tc>
          <w:tcPr>
            <w:tcW w:w="1110" w:type="dxa"/>
            <w:tcMar>
              <w:top w:w="0" w:type="dxa"/>
              <w:left w:w="40" w:type="dxa"/>
              <w:bottom w:w="0" w:type="dxa"/>
              <w:right w:w="40" w:type="dxa"/>
            </w:tcMar>
            <w:vAlign w:val="bottom"/>
          </w:tcPr>
          <w:p w14:paraId="39AF11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-0.024</w:t>
            </w:r>
          </w:p>
        </w:tc>
        <w:tc>
          <w:tcPr>
            <w:tcW w:w="1245" w:type="dxa"/>
            <w:tcMar>
              <w:top w:w="0" w:type="dxa"/>
              <w:left w:w="0" w:type="dxa"/>
              <w:bottom w:w="0" w:type="dxa"/>
              <w:right w:w="0" w:type="dxa"/>
            </w:tcMar>
            <w:vAlign w:val="bottom"/>
          </w:tcPr>
          <w:p w14:paraId="0C2FE7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0.5817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4F1CCA4" w14:textId="77777777">
        <w:tc>
          <w:tcPr>
            <w:tcW w:w="945" w:type="dxa"/>
            <w:tcMar>
              <w:top w:w="100" w:type="dxa"/>
              <w:left w:w="100" w:type="dxa"/>
              <w:bottom w:w="100" w:type="dxa"/>
              <w:right w:w="100" w:type="dxa"/>
            </w:tcMar>
          </w:tcPr>
          <w:p w14:paraId="23F0408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CPE0969</w:t>
            </w:r>
          </w:p>
        </w:tc>
        <w:tc>
          <w:tcPr>
            <w:tcW w:w="1350" w:type="dxa"/>
            <w:tcMar>
              <w:top w:w="0" w:type="dxa"/>
              <w:left w:w="40" w:type="dxa"/>
              <w:bottom w:w="0" w:type="dxa"/>
              <w:right w:w="40" w:type="dxa"/>
            </w:tcMar>
            <w:vAlign w:val="bottom"/>
          </w:tcPr>
          <w:p w14:paraId="52E7E37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50D379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tc>
        <w:tc>
          <w:tcPr>
            <w:tcW w:w="1260" w:type="dxa"/>
            <w:tcMar>
              <w:top w:w="0" w:type="dxa"/>
              <w:left w:w="40" w:type="dxa"/>
              <w:bottom w:w="0" w:type="dxa"/>
              <w:right w:w="40" w:type="dxa"/>
            </w:tcMar>
            <w:vAlign w:val="bottom"/>
          </w:tcPr>
          <w:p w14:paraId="0719CD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74092.36</w:t>
            </w:r>
          </w:p>
        </w:tc>
        <w:tc>
          <w:tcPr>
            <w:tcW w:w="1545" w:type="dxa"/>
            <w:tcMar>
              <w:top w:w="0" w:type="dxa"/>
              <w:left w:w="40" w:type="dxa"/>
              <w:bottom w:w="0" w:type="dxa"/>
              <w:right w:w="40" w:type="dxa"/>
            </w:tcMar>
            <w:vAlign w:val="bottom"/>
          </w:tcPr>
          <w:p w14:paraId="03FB21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8.82</w:t>
            </w:r>
          </w:p>
        </w:tc>
        <w:tc>
          <w:tcPr>
            <w:tcW w:w="1350" w:type="dxa"/>
            <w:tcMar>
              <w:top w:w="0" w:type="dxa"/>
              <w:left w:w="40" w:type="dxa"/>
              <w:bottom w:w="0" w:type="dxa"/>
              <w:right w:w="40" w:type="dxa"/>
            </w:tcMar>
            <w:vAlign w:val="bottom"/>
          </w:tcPr>
          <w:p w14:paraId="542ED48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32.43</w:t>
            </w:r>
          </w:p>
        </w:tc>
        <w:tc>
          <w:tcPr>
            <w:tcW w:w="1545" w:type="dxa"/>
            <w:tcMar>
              <w:top w:w="0" w:type="dxa"/>
              <w:left w:w="40" w:type="dxa"/>
              <w:bottom w:w="0" w:type="dxa"/>
              <w:right w:w="40" w:type="dxa"/>
            </w:tcMar>
            <w:vAlign w:val="bottom"/>
          </w:tcPr>
          <w:p w14:paraId="239CD1E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117.37</w:t>
            </w:r>
          </w:p>
        </w:tc>
        <w:tc>
          <w:tcPr>
            <w:tcW w:w="1110" w:type="dxa"/>
            <w:tcMar>
              <w:top w:w="0" w:type="dxa"/>
              <w:left w:w="40" w:type="dxa"/>
              <w:bottom w:w="0" w:type="dxa"/>
              <w:right w:w="40" w:type="dxa"/>
            </w:tcMar>
            <w:vAlign w:val="bottom"/>
          </w:tcPr>
          <w:p w14:paraId="522C88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245" w:type="dxa"/>
            <w:tcMar>
              <w:top w:w="0" w:type="dxa"/>
              <w:left w:w="0" w:type="dxa"/>
              <w:bottom w:w="0" w:type="dxa"/>
              <w:right w:w="0" w:type="dxa"/>
            </w:tcMar>
            <w:vAlign w:val="bottom"/>
          </w:tcPr>
          <w:p w14:paraId="117C345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0.4892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97FC381" w14:textId="77777777">
        <w:tc>
          <w:tcPr>
            <w:tcW w:w="945" w:type="dxa"/>
            <w:tcMar>
              <w:top w:w="100" w:type="dxa"/>
              <w:left w:w="100" w:type="dxa"/>
              <w:bottom w:w="100" w:type="dxa"/>
              <w:right w:w="100" w:type="dxa"/>
            </w:tcMar>
          </w:tcPr>
          <w:p w14:paraId="2B44AF4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CPE1094</w:t>
            </w:r>
          </w:p>
        </w:tc>
        <w:tc>
          <w:tcPr>
            <w:tcW w:w="1350" w:type="dxa"/>
            <w:tcMar>
              <w:top w:w="0" w:type="dxa"/>
              <w:left w:w="40" w:type="dxa"/>
              <w:bottom w:w="0" w:type="dxa"/>
              <w:right w:w="40" w:type="dxa"/>
            </w:tcMar>
            <w:vAlign w:val="bottom"/>
          </w:tcPr>
          <w:p w14:paraId="05043E3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ED453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c>
          <w:tcPr>
            <w:tcW w:w="1260" w:type="dxa"/>
            <w:tcMar>
              <w:top w:w="0" w:type="dxa"/>
              <w:left w:w="40" w:type="dxa"/>
              <w:bottom w:w="0" w:type="dxa"/>
              <w:right w:w="40" w:type="dxa"/>
            </w:tcMar>
            <w:vAlign w:val="bottom"/>
          </w:tcPr>
          <w:p w14:paraId="029AB9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60493.66</w:t>
            </w:r>
          </w:p>
        </w:tc>
        <w:tc>
          <w:tcPr>
            <w:tcW w:w="1545" w:type="dxa"/>
            <w:tcMar>
              <w:top w:w="0" w:type="dxa"/>
              <w:left w:w="40" w:type="dxa"/>
              <w:bottom w:w="0" w:type="dxa"/>
              <w:right w:w="40" w:type="dxa"/>
            </w:tcMar>
            <w:vAlign w:val="bottom"/>
          </w:tcPr>
          <w:p w14:paraId="04BB656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5.52</w:t>
            </w:r>
          </w:p>
        </w:tc>
        <w:tc>
          <w:tcPr>
            <w:tcW w:w="1350" w:type="dxa"/>
            <w:tcMar>
              <w:top w:w="0" w:type="dxa"/>
              <w:left w:w="40" w:type="dxa"/>
              <w:bottom w:w="0" w:type="dxa"/>
              <w:right w:w="40" w:type="dxa"/>
            </w:tcMar>
            <w:vAlign w:val="bottom"/>
          </w:tcPr>
          <w:p w14:paraId="242DBC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39.63</w:t>
            </w:r>
          </w:p>
        </w:tc>
        <w:tc>
          <w:tcPr>
            <w:tcW w:w="1545" w:type="dxa"/>
            <w:tcMar>
              <w:top w:w="0" w:type="dxa"/>
              <w:left w:w="40" w:type="dxa"/>
              <w:bottom w:w="0" w:type="dxa"/>
              <w:right w:w="40" w:type="dxa"/>
            </w:tcMar>
            <w:vAlign w:val="bottom"/>
          </w:tcPr>
          <w:p w14:paraId="09B188B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94.93</w:t>
            </w:r>
          </w:p>
        </w:tc>
        <w:tc>
          <w:tcPr>
            <w:tcW w:w="1110" w:type="dxa"/>
            <w:tcMar>
              <w:top w:w="0" w:type="dxa"/>
              <w:left w:w="40" w:type="dxa"/>
              <w:bottom w:w="0" w:type="dxa"/>
              <w:right w:w="40" w:type="dxa"/>
            </w:tcMar>
            <w:vAlign w:val="bottom"/>
          </w:tcPr>
          <w:p w14:paraId="7AD5B2A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c>
          <w:tcPr>
            <w:tcW w:w="1245" w:type="dxa"/>
            <w:tcMar>
              <w:top w:w="0" w:type="dxa"/>
              <w:left w:w="0" w:type="dxa"/>
              <w:bottom w:w="0" w:type="dxa"/>
              <w:right w:w="0" w:type="dxa"/>
            </w:tcMar>
            <w:vAlign w:val="bottom"/>
          </w:tcPr>
          <w:p w14:paraId="733453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0.3218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3220A83E" w14:textId="77777777">
        <w:tc>
          <w:tcPr>
            <w:tcW w:w="945" w:type="dxa"/>
            <w:tcMar>
              <w:top w:w="100" w:type="dxa"/>
              <w:left w:w="100" w:type="dxa"/>
              <w:bottom w:w="100" w:type="dxa"/>
              <w:right w:w="100" w:type="dxa"/>
            </w:tcMar>
          </w:tcPr>
          <w:p w14:paraId="757BF23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CPE1362</w:t>
            </w:r>
          </w:p>
        </w:tc>
        <w:tc>
          <w:tcPr>
            <w:tcW w:w="1350" w:type="dxa"/>
            <w:tcMar>
              <w:top w:w="0" w:type="dxa"/>
              <w:left w:w="40" w:type="dxa"/>
              <w:bottom w:w="0" w:type="dxa"/>
              <w:right w:w="40" w:type="dxa"/>
            </w:tcMar>
            <w:vAlign w:val="bottom"/>
          </w:tcPr>
          <w:p w14:paraId="2F083DB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6A335FC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1260" w:type="dxa"/>
            <w:tcMar>
              <w:top w:w="0" w:type="dxa"/>
              <w:left w:w="40" w:type="dxa"/>
              <w:bottom w:w="0" w:type="dxa"/>
              <w:right w:w="40" w:type="dxa"/>
            </w:tcMar>
            <w:vAlign w:val="bottom"/>
          </w:tcPr>
          <w:p w14:paraId="4FEE432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21543.62</w:t>
            </w:r>
          </w:p>
        </w:tc>
        <w:tc>
          <w:tcPr>
            <w:tcW w:w="1545" w:type="dxa"/>
            <w:tcMar>
              <w:top w:w="0" w:type="dxa"/>
              <w:left w:w="40" w:type="dxa"/>
              <w:bottom w:w="0" w:type="dxa"/>
              <w:right w:w="40" w:type="dxa"/>
            </w:tcMar>
            <w:vAlign w:val="bottom"/>
          </w:tcPr>
          <w:p w14:paraId="02927A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5.77</w:t>
            </w:r>
          </w:p>
        </w:tc>
        <w:tc>
          <w:tcPr>
            <w:tcW w:w="1350" w:type="dxa"/>
            <w:tcMar>
              <w:top w:w="0" w:type="dxa"/>
              <w:left w:w="40" w:type="dxa"/>
              <w:bottom w:w="0" w:type="dxa"/>
              <w:right w:w="40" w:type="dxa"/>
            </w:tcMar>
            <w:vAlign w:val="bottom"/>
          </w:tcPr>
          <w:p w14:paraId="4872196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16.78</w:t>
            </w:r>
          </w:p>
        </w:tc>
        <w:tc>
          <w:tcPr>
            <w:tcW w:w="1545" w:type="dxa"/>
            <w:tcMar>
              <w:top w:w="0" w:type="dxa"/>
              <w:left w:w="40" w:type="dxa"/>
              <w:bottom w:w="0" w:type="dxa"/>
              <w:right w:w="40" w:type="dxa"/>
            </w:tcMar>
            <w:vAlign w:val="bottom"/>
          </w:tcPr>
          <w:p w14:paraId="5C445D6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80.59</w:t>
            </w:r>
          </w:p>
        </w:tc>
        <w:tc>
          <w:tcPr>
            <w:tcW w:w="1110" w:type="dxa"/>
            <w:tcMar>
              <w:top w:w="0" w:type="dxa"/>
              <w:left w:w="40" w:type="dxa"/>
              <w:bottom w:w="0" w:type="dxa"/>
              <w:right w:w="40" w:type="dxa"/>
            </w:tcMar>
            <w:vAlign w:val="bottom"/>
          </w:tcPr>
          <w:p w14:paraId="45C02DF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1245" w:type="dxa"/>
            <w:tcMar>
              <w:top w:w="0" w:type="dxa"/>
              <w:left w:w="0" w:type="dxa"/>
              <w:bottom w:w="0" w:type="dxa"/>
              <w:right w:w="0" w:type="dxa"/>
            </w:tcMar>
            <w:vAlign w:val="bottom"/>
          </w:tcPr>
          <w:p w14:paraId="78B0CFC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0.2306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18E80EBF" w14:textId="77777777">
        <w:tc>
          <w:tcPr>
            <w:tcW w:w="945" w:type="dxa"/>
            <w:tcMar>
              <w:top w:w="100" w:type="dxa"/>
              <w:left w:w="100" w:type="dxa"/>
              <w:bottom w:w="100" w:type="dxa"/>
              <w:right w:w="100" w:type="dxa"/>
            </w:tcMar>
          </w:tcPr>
          <w:p w14:paraId="29E311FD"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CPE1509</w:t>
            </w:r>
          </w:p>
        </w:tc>
        <w:tc>
          <w:tcPr>
            <w:tcW w:w="1350" w:type="dxa"/>
            <w:tcMar>
              <w:top w:w="0" w:type="dxa"/>
              <w:left w:w="40" w:type="dxa"/>
              <w:bottom w:w="0" w:type="dxa"/>
              <w:right w:w="40" w:type="dxa"/>
            </w:tcMar>
            <w:vAlign w:val="bottom"/>
          </w:tcPr>
          <w:p w14:paraId="0735EAF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8471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1260" w:type="dxa"/>
            <w:tcMar>
              <w:top w:w="0" w:type="dxa"/>
              <w:left w:w="40" w:type="dxa"/>
              <w:bottom w:w="0" w:type="dxa"/>
              <w:right w:w="40" w:type="dxa"/>
            </w:tcMar>
            <w:vAlign w:val="bottom"/>
          </w:tcPr>
          <w:p w14:paraId="05FE7A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56004.71</w:t>
            </w:r>
          </w:p>
        </w:tc>
        <w:tc>
          <w:tcPr>
            <w:tcW w:w="1545" w:type="dxa"/>
            <w:tcMar>
              <w:top w:w="0" w:type="dxa"/>
              <w:left w:w="40" w:type="dxa"/>
              <w:bottom w:w="0" w:type="dxa"/>
              <w:right w:w="40" w:type="dxa"/>
            </w:tcMar>
            <w:vAlign w:val="bottom"/>
          </w:tcPr>
          <w:p w14:paraId="0E9CCFB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c>
          <w:tcPr>
            <w:tcW w:w="1350" w:type="dxa"/>
            <w:tcMar>
              <w:top w:w="0" w:type="dxa"/>
              <w:left w:w="40" w:type="dxa"/>
              <w:bottom w:w="0" w:type="dxa"/>
              <w:right w:w="40" w:type="dxa"/>
            </w:tcMar>
            <w:vAlign w:val="bottom"/>
          </w:tcPr>
          <w:p w14:paraId="30DA54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34.75</w:t>
            </w:r>
          </w:p>
        </w:tc>
        <w:tc>
          <w:tcPr>
            <w:tcW w:w="1545" w:type="dxa"/>
            <w:tcMar>
              <w:top w:w="0" w:type="dxa"/>
              <w:left w:w="40" w:type="dxa"/>
              <w:bottom w:w="0" w:type="dxa"/>
              <w:right w:w="40" w:type="dxa"/>
            </w:tcMar>
            <w:vAlign w:val="bottom"/>
          </w:tcPr>
          <w:p w14:paraId="42D6B6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124.07</w:t>
            </w:r>
          </w:p>
        </w:tc>
        <w:tc>
          <w:tcPr>
            <w:tcW w:w="1110" w:type="dxa"/>
            <w:tcMar>
              <w:top w:w="0" w:type="dxa"/>
              <w:left w:w="40" w:type="dxa"/>
              <w:bottom w:w="0" w:type="dxa"/>
              <w:right w:w="40" w:type="dxa"/>
            </w:tcMar>
            <w:vAlign w:val="bottom"/>
          </w:tcPr>
          <w:p w14:paraId="4235BF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0.187</w:t>
            </w:r>
          </w:p>
        </w:tc>
        <w:tc>
          <w:tcPr>
            <w:tcW w:w="1245" w:type="dxa"/>
            <w:tcMar>
              <w:top w:w="0" w:type="dxa"/>
              <w:left w:w="0" w:type="dxa"/>
              <w:bottom w:w="0" w:type="dxa"/>
              <w:right w:w="0" w:type="dxa"/>
            </w:tcMar>
            <w:vAlign w:val="bottom"/>
          </w:tcPr>
          <w:p w14:paraId="22F12A1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0.3616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04E1BC55" w14:textId="77777777">
        <w:tc>
          <w:tcPr>
            <w:tcW w:w="945" w:type="dxa"/>
            <w:tcMar>
              <w:top w:w="100" w:type="dxa"/>
              <w:left w:w="100" w:type="dxa"/>
              <w:bottom w:w="100" w:type="dxa"/>
              <w:right w:w="100" w:type="dxa"/>
            </w:tcMar>
          </w:tcPr>
          <w:p w14:paraId="198A61D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CPE1510</w:t>
            </w:r>
          </w:p>
        </w:tc>
        <w:tc>
          <w:tcPr>
            <w:tcW w:w="1350" w:type="dxa"/>
            <w:tcMar>
              <w:top w:w="0" w:type="dxa"/>
              <w:left w:w="40" w:type="dxa"/>
              <w:bottom w:w="0" w:type="dxa"/>
              <w:right w:w="40" w:type="dxa"/>
            </w:tcMar>
            <w:vAlign w:val="bottom"/>
          </w:tcPr>
          <w:p w14:paraId="6CD7841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2F429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1260" w:type="dxa"/>
            <w:tcMar>
              <w:top w:w="0" w:type="dxa"/>
              <w:left w:w="40" w:type="dxa"/>
              <w:bottom w:w="0" w:type="dxa"/>
              <w:right w:w="40" w:type="dxa"/>
            </w:tcMar>
            <w:vAlign w:val="bottom"/>
          </w:tcPr>
          <w:p w14:paraId="0BEF7CE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18327.12</w:t>
            </w:r>
          </w:p>
        </w:tc>
        <w:tc>
          <w:tcPr>
            <w:tcW w:w="1545" w:type="dxa"/>
            <w:tcMar>
              <w:top w:w="0" w:type="dxa"/>
              <w:left w:w="40" w:type="dxa"/>
              <w:bottom w:w="0" w:type="dxa"/>
              <w:right w:w="40" w:type="dxa"/>
            </w:tcMar>
            <w:vAlign w:val="bottom"/>
          </w:tcPr>
          <w:p w14:paraId="7D98A14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9.63</w:t>
            </w:r>
          </w:p>
        </w:tc>
        <w:tc>
          <w:tcPr>
            <w:tcW w:w="1350" w:type="dxa"/>
            <w:tcMar>
              <w:top w:w="0" w:type="dxa"/>
              <w:left w:w="40" w:type="dxa"/>
              <w:bottom w:w="0" w:type="dxa"/>
              <w:right w:w="40" w:type="dxa"/>
            </w:tcMar>
            <w:vAlign w:val="bottom"/>
          </w:tcPr>
          <w:p w14:paraId="63712E4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30.51</w:t>
            </w:r>
          </w:p>
        </w:tc>
        <w:tc>
          <w:tcPr>
            <w:tcW w:w="1545" w:type="dxa"/>
            <w:tcMar>
              <w:top w:w="0" w:type="dxa"/>
              <w:left w:w="40" w:type="dxa"/>
              <w:bottom w:w="0" w:type="dxa"/>
              <w:right w:w="40" w:type="dxa"/>
            </w:tcMar>
            <w:vAlign w:val="bottom"/>
          </w:tcPr>
          <w:p w14:paraId="0809979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135.74</w:t>
            </w:r>
          </w:p>
        </w:tc>
        <w:tc>
          <w:tcPr>
            <w:tcW w:w="1110" w:type="dxa"/>
            <w:tcMar>
              <w:top w:w="0" w:type="dxa"/>
              <w:left w:w="40" w:type="dxa"/>
              <w:bottom w:w="0" w:type="dxa"/>
              <w:right w:w="40" w:type="dxa"/>
            </w:tcMar>
            <w:vAlign w:val="bottom"/>
          </w:tcPr>
          <w:p w14:paraId="7309330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0.692</w:t>
            </w:r>
          </w:p>
        </w:tc>
        <w:tc>
          <w:tcPr>
            <w:tcW w:w="1245" w:type="dxa"/>
            <w:tcMar>
              <w:top w:w="0" w:type="dxa"/>
              <w:left w:w="0" w:type="dxa"/>
              <w:bottom w:w="0" w:type="dxa"/>
              <w:right w:w="0" w:type="dxa"/>
            </w:tcMar>
            <w:vAlign w:val="bottom"/>
          </w:tcPr>
          <w:p w14:paraId="42F67B3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0.5600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7955FFA" w14:textId="77777777">
        <w:tc>
          <w:tcPr>
            <w:tcW w:w="945" w:type="dxa"/>
            <w:tcMar>
              <w:top w:w="100" w:type="dxa"/>
              <w:left w:w="100" w:type="dxa"/>
              <w:bottom w:w="100" w:type="dxa"/>
              <w:right w:w="100" w:type="dxa"/>
            </w:tcMar>
          </w:tcPr>
          <w:p w14:paraId="6302CA1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CPE1576</w:t>
            </w:r>
          </w:p>
        </w:tc>
        <w:tc>
          <w:tcPr>
            <w:tcW w:w="1350" w:type="dxa"/>
            <w:tcMar>
              <w:top w:w="0" w:type="dxa"/>
              <w:left w:w="40" w:type="dxa"/>
              <w:bottom w:w="0" w:type="dxa"/>
              <w:right w:w="40" w:type="dxa"/>
            </w:tcMar>
            <w:vAlign w:val="bottom"/>
          </w:tcPr>
          <w:p w14:paraId="7D0EC90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3B44515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c>
          <w:tcPr>
            <w:tcW w:w="1260" w:type="dxa"/>
            <w:tcMar>
              <w:top w:w="0" w:type="dxa"/>
              <w:left w:w="40" w:type="dxa"/>
              <w:bottom w:w="0" w:type="dxa"/>
              <w:right w:w="40" w:type="dxa"/>
            </w:tcMar>
            <w:vAlign w:val="bottom"/>
          </w:tcPr>
          <w:p w14:paraId="46F056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13713.03</w:t>
            </w:r>
          </w:p>
        </w:tc>
        <w:tc>
          <w:tcPr>
            <w:tcW w:w="1545" w:type="dxa"/>
            <w:tcMar>
              <w:top w:w="0" w:type="dxa"/>
              <w:left w:w="40" w:type="dxa"/>
              <w:bottom w:w="0" w:type="dxa"/>
              <w:right w:w="40" w:type="dxa"/>
            </w:tcMar>
            <w:vAlign w:val="bottom"/>
          </w:tcPr>
          <w:p w14:paraId="0D32A6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6.34</w:t>
            </w:r>
          </w:p>
        </w:tc>
        <w:tc>
          <w:tcPr>
            <w:tcW w:w="1350" w:type="dxa"/>
            <w:tcMar>
              <w:top w:w="0" w:type="dxa"/>
              <w:left w:w="40" w:type="dxa"/>
              <w:bottom w:w="0" w:type="dxa"/>
              <w:right w:w="40" w:type="dxa"/>
            </w:tcMar>
            <w:vAlign w:val="bottom"/>
          </w:tcPr>
          <w:p w14:paraId="6B2AFD2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1545" w:type="dxa"/>
            <w:tcMar>
              <w:top w:w="0" w:type="dxa"/>
              <w:left w:w="40" w:type="dxa"/>
              <w:bottom w:w="0" w:type="dxa"/>
              <w:right w:w="40" w:type="dxa"/>
            </w:tcMar>
            <w:vAlign w:val="bottom"/>
          </w:tcPr>
          <w:p w14:paraId="6B3DB96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103.85</w:t>
            </w:r>
          </w:p>
        </w:tc>
        <w:tc>
          <w:tcPr>
            <w:tcW w:w="1110" w:type="dxa"/>
            <w:tcMar>
              <w:top w:w="0" w:type="dxa"/>
              <w:left w:w="40" w:type="dxa"/>
              <w:bottom w:w="0" w:type="dxa"/>
              <w:right w:w="40" w:type="dxa"/>
            </w:tcMar>
            <w:vAlign w:val="bottom"/>
          </w:tcPr>
          <w:p w14:paraId="39FE52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-0.087</w:t>
            </w:r>
          </w:p>
        </w:tc>
        <w:tc>
          <w:tcPr>
            <w:tcW w:w="1245" w:type="dxa"/>
            <w:tcMar>
              <w:top w:w="0" w:type="dxa"/>
              <w:left w:w="0" w:type="dxa"/>
              <w:bottom w:w="0" w:type="dxa"/>
              <w:right w:w="0" w:type="dxa"/>
            </w:tcMar>
            <w:vAlign w:val="bottom"/>
          </w:tcPr>
          <w:p w14:paraId="6CBB46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0.1768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41CCF8A5" w14:textId="77777777">
        <w:tc>
          <w:tcPr>
            <w:tcW w:w="945" w:type="dxa"/>
            <w:tcMar>
              <w:top w:w="100" w:type="dxa"/>
              <w:left w:w="100" w:type="dxa"/>
              <w:bottom w:w="100" w:type="dxa"/>
              <w:right w:w="100" w:type="dxa"/>
            </w:tcMar>
          </w:tcPr>
          <w:p w14:paraId="688FF75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CPE1922</w:t>
            </w:r>
          </w:p>
        </w:tc>
        <w:tc>
          <w:tcPr>
            <w:tcW w:w="1350" w:type="dxa"/>
            <w:tcMar>
              <w:top w:w="0" w:type="dxa"/>
              <w:left w:w="40" w:type="dxa"/>
              <w:bottom w:w="0" w:type="dxa"/>
              <w:right w:w="40" w:type="dxa"/>
            </w:tcMar>
            <w:vAlign w:val="bottom"/>
          </w:tcPr>
          <w:p w14:paraId="76100E8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10965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tc>
        <w:tc>
          <w:tcPr>
            <w:tcW w:w="1260" w:type="dxa"/>
            <w:tcMar>
              <w:top w:w="0" w:type="dxa"/>
              <w:left w:w="40" w:type="dxa"/>
              <w:bottom w:w="0" w:type="dxa"/>
              <w:right w:w="40" w:type="dxa"/>
            </w:tcMar>
            <w:vAlign w:val="bottom"/>
          </w:tcPr>
          <w:p w14:paraId="4088867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44532.81</w:t>
            </w:r>
          </w:p>
        </w:tc>
        <w:tc>
          <w:tcPr>
            <w:tcW w:w="1545" w:type="dxa"/>
            <w:tcMar>
              <w:top w:w="0" w:type="dxa"/>
              <w:left w:w="40" w:type="dxa"/>
              <w:bottom w:w="0" w:type="dxa"/>
              <w:right w:w="40" w:type="dxa"/>
            </w:tcMar>
            <w:vAlign w:val="bottom"/>
          </w:tcPr>
          <w:p w14:paraId="509C6E2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350" w:type="dxa"/>
            <w:tcMar>
              <w:top w:w="0" w:type="dxa"/>
              <w:left w:w="40" w:type="dxa"/>
              <w:bottom w:w="0" w:type="dxa"/>
              <w:right w:w="40" w:type="dxa"/>
            </w:tcMar>
            <w:vAlign w:val="bottom"/>
          </w:tcPr>
          <w:p w14:paraId="1C3BD5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36.86</w:t>
            </w:r>
          </w:p>
        </w:tc>
        <w:tc>
          <w:tcPr>
            <w:tcW w:w="1545" w:type="dxa"/>
            <w:tcMar>
              <w:top w:w="0" w:type="dxa"/>
              <w:left w:w="40" w:type="dxa"/>
              <w:bottom w:w="0" w:type="dxa"/>
              <w:right w:w="40" w:type="dxa"/>
            </w:tcMar>
            <w:vAlign w:val="bottom"/>
          </w:tcPr>
          <w:p w14:paraId="3E869D7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105.45</w:t>
            </w:r>
          </w:p>
        </w:tc>
        <w:tc>
          <w:tcPr>
            <w:tcW w:w="1110" w:type="dxa"/>
            <w:tcMar>
              <w:top w:w="0" w:type="dxa"/>
              <w:left w:w="40" w:type="dxa"/>
              <w:bottom w:w="0" w:type="dxa"/>
              <w:right w:w="40" w:type="dxa"/>
            </w:tcMar>
            <w:vAlign w:val="bottom"/>
          </w:tcPr>
          <w:p w14:paraId="4D5410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245" w:type="dxa"/>
            <w:tcMar>
              <w:top w:w="0" w:type="dxa"/>
              <w:left w:w="0" w:type="dxa"/>
              <w:bottom w:w="0" w:type="dxa"/>
              <w:right w:w="0" w:type="dxa"/>
            </w:tcMar>
            <w:vAlign w:val="bottom"/>
          </w:tcPr>
          <w:p w14:paraId="2CF8046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0.6308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E9AEDB7" w14:textId="77777777">
        <w:tc>
          <w:tcPr>
            <w:tcW w:w="945" w:type="dxa"/>
            <w:tcMar>
              <w:top w:w="100" w:type="dxa"/>
              <w:left w:w="100" w:type="dxa"/>
              <w:bottom w:w="100" w:type="dxa"/>
              <w:right w:w="100" w:type="dxa"/>
            </w:tcMar>
          </w:tcPr>
          <w:p w14:paraId="6F6BB1FF"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CPE2021</w:t>
            </w:r>
          </w:p>
        </w:tc>
        <w:tc>
          <w:tcPr>
            <w:tcW w:w="1350" w:type="dxa"/>
            <w:tcMar>
              <w:top w:w="0" w:type="dxa"/>
              <w:left w:w="40" w:type="dxa"/>
              <w:bottom w:w="0" w:type="dxa"/>
              <w:right w:w="40" w:type="dxa"/>
            </w:tcMar>
            <w:vAlign w:val="bottom"/>
          </w:tcPr>
          <w:p w14:paraId="11987E9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23D69E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260" w:type="dxa"/>
            <w:tcMar>
              <w:top w:w="0" w:type="dxa"/>
              <w:left w:w="40" w:type="dxa"/>
              <w:bottom w:w="0" w:type="dxa"/>
              <w:right w:w="40" w:type="dxa"/>
            </w:tcMar>
            <w:vAlign w:val="bottom"/>
          </w:tcPr>
          <w:p w14:paraId="2914B73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10436.05</w:t>
            </w:r>
          </w:p>
        </w:tc>
        <w:tc>
          <w:tcPr>
            <w:tcW w:w="1545" w:type="dxa"/>
            <w:tcMar>
              <w:top w:w="0" w:type="dxa"/>
              <w:left w:w="40" w:type="dxa"/>
              <w:bottom w:w="0" w:type="dxa"/>
              <w:right w:w="40" w:type="dxa"/>
            </w:tcMar>
            <w:vAlign w:val="bottom"/>
          </w:tcPr>
          <w:p w14:paraId="1AC542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5.19</w:t>
            </w:r>
          </w:p>
        </w:tc>
        <w:tc>
          <w:tcPr>
            <w:tcW w:w="1350" w:type="dxa"/>
            <w:tcMar>
              <w:top w:w="0" w:type="dxa"/>
              <w:left w:w="40" w:type="dxa"/>
              <w:bottom w:w="0" w:type="dxa"/>
              <w:right w:w="40" w:type="dxa"/>
            </w:tcMar>
            <w:vAlign w:val="bottom"/>
          </w:tcPr>
          <w:p w14:paraId="1C94DE9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32.35</w:t>
            </w:r>
          </w:p>
        </w:tc>
        <w:tc>
          <w:tcPr>
            <w:tcW w:w="1545" w:type="dxa"/>
            <w:tcMar>
              <w:top w:w="0" w:type="dxa"/>
              <w:left w:w="40" w:type="dxa"/>
              <w:bottom w:w="0" w:type="dxa"/>
              <w:right w:w="40" w:type="dxa"/>
            </w:tcMar>
            <w:vAlign w:val="bottom"/>
          </w:tcPr>
          <w:p w14:paraId="162C72F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119.46</w:t>
            </w:r>
          </w:p>
        </w:tc>
        <w:tc>
          <w:tcPr>
            <w:tcW w:w="1110" w:type="dxa"/>
            <w:tcMar>
              <w:top w:w="0" w:type="dxa"/>
              <w:left w:w="40" w:type="dxa"/>
              <w:bottom w:w="0" w:type="dxa"/>
              <w:right w:w="40" w:type="dxa"/>
            </w:tcMar>
            <w:vAlign w:val="bottom"/>
          </w:tcPr>
          <w:p w14:paraId="424350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-0.175</w:t>
            </w:r>
          </w:p>
        </w:tc>
        <w:tc>
          <w:tcPr>
            <w:tcW w:w="1245" w:type="dxa"/>
            <w:tcMar>
              <w:top w:w="0" w:type="dxa"/>
              <w:left w:w="0" w:type="dxa"/>
              <w:bottom w:w="0" w:type="dxa"/>
              <w:right w:w="0" w:type="dxa"/>
            </w:tcMar>
            <w:vAlign w:val="bottom"/>
          </w:tcPr>
          <w:p w14:paraId="2B6DCE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0.3558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5876968B" w14:textId="77777777">
        <w:tc>
          <w:tcPr>
            <w:tcW w:w="945" w:type="dxa"/>
            <w:tcMar>
              <w:top w:w="100" w:type="dxa"/>
              <w:left w:w="100" w:type="dxa"/>
              <w:bottom w:w="100" w:type="dxa"/>
              <w:right w:w="100" w:type="dxa"/>
            </w:tcMar>
          </w:tcPr>
          <w:p w14:paraId="089E592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CPE2044</w:t>
            </w:r>
          </w:p>
        </w:tc>
        <w:tc>
          <w:tcPr>
            <w:tcW w:w="1350" w:type="dxa"/>
            <w:tcMar>
              <w:top w:w="0" w:type="dxa"/>
              <w:left w:w="40" w:type="dxa"/>
              <w:bottom w:w="0" w:type="dxa"/>
              <w:right w:w="40" w:type="dxa"/>
            </w:tcMar>
            <w:vAlign w:val="bottom"/>
          </w:tcPr>
          <w:p w14:paraId="3DCFE9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C2D03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260" w:type="dxa"/>
            <w:tcMar>
              <w:top w:w="0" w:type="dxa"/>
              <w:left w:w="40" w:type="dxa"/>
              <w:bottom w:w="0" w:type="dxa"/>
              <w:right w:w="40" w:type="dxa"/>
            </w:tcMar>
            <w:vAlign w:val="bottom"/>
          </w:tcPr>
          <w:p w14:paraId="15E1779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61232.48</w:t>
            </w:r>
          </w:p>
        </w:tc>
        <w:tc>
          <w:tcPr>
            <w:tcW w:w="1545" w:type="dxa"/>
            <w:tcMar>
              <w:top w:w="0" w:type="dxa"/>
              <w:left w:w="40" w:type="dxa"/>
              <w:bottom w:w="0" w:type="dxa"/>
              <w:right w:w="40" w:type="dxa"/>
            </w:tcMar>
            <w:vAlign w:val="bottom"/>
          </w:tcPr>
          <w:p w14:paraId="05B5228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9.41</w:t>
            </w:r>
          </w:p>
        </w:tc>
        <w:tc>
          <w:tcPr>
            <w:tcW w:w="1350" w:type="dxa"/>
            <w:tcMar>
              <w:top w:w="0" w:type="dxa"/>
              <w:left w:w="40" w:type="dxa"/>
              <w:bottom w:w="0" w:type="dxa"/>
              <w:right w:w="40" w:type="dxa"/>
            </w:tcMar>
            <w:vAlign w:val="bottom"/>
          </w:tcPr>
          <w:p w14:paraId="10FABD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1545" w:type="dxa"/>
            <w:tcMar>
              <w:top w:w="0" w:type="dxa"/>
              <w:left w:w="40" w:type="dxa"/>
              <w:bottom w:w="0" w:type="dxa"/>
              <w:right w:w="40" w:type="dxa"/>
            </w:tcMar>
            <w:vAlign w:val="bottom"/>
          </w:tcPr>
          <w:p w14:paraId="7E3E3E5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133.25</w:t>
            </w:r>
          </w:p>
        </w:tc>
        <w:tc>
          <w:tcPr>
            <w:tcW w:w="1110" w:type="dxa"/>
            <w:tcMar>
              <w:top w:w="0" w:type="dxa"/>
              <w:left w:w="40" w:type="dxa"/>
              <w:bottom w:w="0" w:type="dxa"/>
              <w:right w:w="40" w:type="dxa"/>
            </w:tcMar>
            <w:vAlign w:val="bottom"/>
          </w:tcPr>
          <w:p w14:paraId="34EB89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1245" w:type="dxa"/>
            <w:tcMar>
              <w:top w:w="0" w:type="dxa"/>
              <w:left w:w="0" w:type="dxa"/>
              <w:bottom w:w="0" w:type="dxa"/>
              <w:right w:w="0" w:type="dxa"/>
            </w:tcMar>
            <w:vAlign w:val="bottom"/>
          </w:tcPr>
          <w:p w14:paraId="4B13FA4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4467F99" w14:textId="77777777">
        <w:tc>
          <w:tcPr>
            <w:tcW w:w="945" w:type="dxa"/>
            <w:tcMar>
              <w:top w:w="100" w:type="dxa"/>
              <w:left w:w="100" w:type="dxa"/>
              <w:bottom w:w="100" w:type="dxa"/>
              <w:right w:w="100" w:type="dxa"/>
            </w:tcMar>
          </w:tcPr>
          <w:p w14:paraId="587A374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CPE2210</w:t>
            </w:r>
          </w:p>
        </w:tc>
        <w:tc>
          <w:tcPr>
            <w:tcW w:w="1350" w:type="dxa"/>
            <w:tcMar>
              <w:top w:w="0" w:type="dxa"/>
              <w:left w:w="40" w:type="dxa"/>
              <w:bottom w:w="0" w:type="dxa"/>
              <w:right w:w="40" w:type="dxa"/>
            </w:tcMar>
            <w:vAlign w:val="bottom"/>
          </w:tcPr>
          <w:p w14:paraId="63A75E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6CF3E7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260" w:type="dxa"/>
            <w:tcMar>
              <w:top w:w="0" w:type="dxa"/>
              <w:left w:w="40" w:type="dxa"/>
              <w:bottom w:w="0" w:type="dxa"/>
              <w:right w:w="40" w:type="dxa"/>
            </w:tcMar>
            <w:vAlign w:val="bottom"/>
          </w:tcPr>
          <w:p w14:paraId="779B06E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37198.89</w:t>
            </w:r>
          </w:p>
        </w:tc>
        <w:tc>
          <w:tcPr>
            <w:tcW w:w="1545" w:type="dxa"/>
            <w:tcMar>
              <w:top w:w="0" w:type="dxa"/>
              <w:left w:w="40" w:type="dxa"/>
              <w:bottom w:w="0" w:type="dxa"/>
              <w:right w:w="40" w:type="dxa"/>
            </w:tcMar>
            <w:vAlign w:val="bottom"/>
          </w:tcPr>
          <w:p w14:paraId="1163EE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0" w:type="dxa"/>
            <w:tcMar>
              <w:top w:w="0" w:type="dxa"/>
              <w:left w:w="40" w:type="dxa"/>
              <w:bottom w:w="0" w:type="dxa"/>
              <w:right w:w="40" w:type="dxa"/>
            </w:tcMar>
            <w:vAlign w:val="bottom"/>
          </w:tcPr>
          <w:p w14:paraId="41CC51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35.62</w:t>
            </w:r>
          </w:p>
        </w:tc>
        <w:tc>
          <w:tcPr>
            <w:tcW w:w="1545" w:type="dxa"/>
            <w:tcMar>
              <w:top w:w="0" w:type="dxa"/>
              <w:left w:w="40" w:type="dxa"/>
              <w:bottom w:w="0" w:type="dxa"/>
              <w:right w:w="40" w:type="dxa"/>
            </w:tcMar>
            <w:vAlign w:val="bottom"/>
          </w:tcPr>
          <w:p w14:paraId="564DB3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82.85</w:t>
            </w:r>
          </w:p>
        </w:tc>
        <w:tc>
          <w:tcPr>
            <w:tcW w:w="1110" w:type="dxa"/>
            <w:tcMar>
              <w:top w:w="0" w:type="dxa"/>
              <w:left w:w="40" w:type="dxa"/>
              <w:bottom w:w="0" w:type="dxa"/>
              <w:right w:w="40" w:type="dxa"/>
            </w:tcMar>
            <w:vAlign w:val="bottom"/>
          </w:tcPr>
          <w:p w14:paraId="7DDB631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-0.513</w:t>
            </w:r>
          </w:p>
        </w:tc>
        <w:tc>
          <w:tcPr>
            <w:tcW w:w="1245" w:type="dxa"/>
            <w:tcMar>
              <w:top w:w="0" w:type="dxa"/>
              <w:left w:w="0" w:type="dxa"/>
              <w:bottom w:w="0" w:type="dxa"/>
              <w:right w:w="0" w:type="dxa"/>
            </w:tcMar>
            <w:vAlign w:val="bottom"/>
          </w:tcPr>
          <w:p w14:paraId="647695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0.5727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F17F016" w14:textId="77777777">
        <w:tc>
          <w:tcPr>
            <w:tcW w:w="945" w:type="dxa"/>
            <w:tcMar>
              <w:top w:w="100" w:type="dxa"/>
              <w:left w:w="100" w:type="dxa"/>
              <w:bottom w:w="100" w:type="dxa"/>
              <w:right w:w="100" w:type="dxa"/>
            </w:tcMar>
          </w:tcPr>
          <w:p w14:paraId="0F99E1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CPE2344</w:t>
            </w:r>
          </w:p>
        </w:tc>
        <w:tc>
          <w:tcPr>
            <w:tcW w:w="1350" w:type="dxa"/>
            <w:tcMar>
              <w:top w:w="0" w:type="dxa"/>
              <w:left w:w="40" w:type="dxa"/>
              <w:bottom w:w="0" w:type="dxa"/>
              <w:right w:w="40" w:type="dxa"/>
            </w:tcMar>
            <w:vAlign w:val="bottom"/>
          </w:tcPr>
          <w:p w14:paraId="1D72B2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5424F27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1260" w:type="dxa"/>
            <w:tcMar>
              <w:top w:w="0" w:type="dxa"/>
              <w:left w:w="40" w:type="dxa"/>
              <w:bottom w:w="0" w:type="dxa"/>
              <w:right w:w="40" w:type="dxa"/>
            </w:tcMar>
            <w:vAlign w:val="bottom"/>
          </w:tcPr>
          <w:p w14:paraId="287687F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36624.24</w:t>
            </w:r>
          </w:p>
        </w:tc>
        <w:tc>
          <w:tcPr>
            <w:tcW w:w="1545" w:type="dxa"/>
            <w:tcMar>
              <w:top w:w="0" w:type="dxa"/>
              <w:left w:w="40" w:type="dxa"/>
              <w:bottom w:w="0" w:type="dxa"/>
              <w:right w:w="40" w:type="dxa"/>
            </w:tcMar>
            <w:vAlign w:val="bottom"/>
          </w:tcPr>
          <w:p w14:paraId="664BB6B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tc>
          <w:tcPr>
            <w:tcW w:w="1350" w:type="dxa"/>
            <w:tcMar>
              <w:top w:w="0" w:type="dxa"/>
              <w:left w:w="40" w:type="dxa"/>
              <w:bottom w:w="0" w:type="dxa"/>
              <w:right w:w="40" w:type="dxa"/>
            </w:tcMar>
            <w:vAlign w:val="bottom"/>
          </w:tcPr>
          <w:p w14:paraId="01ACB6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1545" w:type="dxa"/>
            <w:tcMar>
              <w:top w:w="0" w:type="dxa"/>
              <w:left w:w="40" w:type="dxa"/>
              <w:bottom w:w="0" w:type="dxa"/>
              <w:right w:w="40" w:type="dxa"/>
            </w:tcMar>
            <w:vAlign w:val="bottom"/>
          </w:tcPr>
          <w:p w14:paraId="59F2DAB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108.63</w:t>
            </w:r>
          </w:p>
        </w:tc>
        <w:tc>
          <w:tcPr>
            <w:tcW w:w="1110" w:type="dxa"/>
            <w:tcMar>
              <w:top w:w="0" w:type="dxa"/>
              <w:left w:w="40" w:type="dxa"/>
              <w:bottom w:w="0" w:type="dxa"/>
              <w:right w:w="40" w:type="dxa"/>
            </w:tcMar>
            <w:vAlign w:val="bottom"/>
          </w:tcPr>
          <w:p w14:paraId="54BDB4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-0.216</w:t>
            </w:r>
          </w:p>
        </w:tc>
        <w:tc>
          <w:tcPr>
            <w:tcW w:w="1245" w:type="dxa"/>
            <w:tcMar>
              <w:top w:w="0" w:type="dxa"/>
              <w:left w:w="0" w:type="dxa"/>
              <w:bottom w:w="0" w:type="dxa"/>
              <w:right w:w="0" w:type="dxa"/>
            </w:tcMar>
            <w:vAlign w:val="bottom"/>
          </w:tcPr>
          <w:p w14:paraId="0CB9630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0.2982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52394D57" w14:textId="77777777">
        <w:tc>
          <w:tcPr>
            <w:tcW w:w="945" w:type="dxa"/>
            <w:tcMar>
              <w:top w:w="100" w:type="dxa"/>
              <w:left w:w="100" w:type="dxa"/>
              <w:bottom w:w="100" w:type="dxa"/>
              <w:right w:w="100" w:type="dxa"/>
            </w:tcMar>
          </w:tcPr>
          <w:p w14:paraId="146243D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CPE2564</w:t>
            </w:r>
          </w:p>
        </w:tc>
        <w:tc>
          <w:tcPr>
            <w:tcW w:w="1350" w:type="dxa"/>
            <w:tcMar>
              <w:top w:w="0" w:type="dxa"/>
              <w:left w:w="40" w:type="dxa"/>
              <w:bottom w:w="0" w:type="dxa"/>
              <w:right w:w="40" w:type="dxa"/>
            </w:tcMar>
            <w:vAlign w:val="bottom"/>
          </w:tcPr>
          <w:p w14:paraId="18D1BD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414FEC5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1260" w:type="dxa"/>
            <w:tcMar>
              <w:top w:w="0" w:type="dxa"/>
              <w:left w:w="40" w:type="dxa"/>
              <w:bottom w:w="0" w:type="dxa"/>
              <w:right w:w="40" w:type="dxa"/>
            </w:tcMar>
            <w:vAlign w:val="bottom"/>
          </w:tcPr>
          <w:p w14:paraId="322B201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25329.22</w:t>
            </w:r>
          </w:p>
        </w:tc>
        <w:tc>
          <w:tcPr>
            <w:tcW w:w="1545" w:type="dxa"/>
            <w:tcMar>
              <w:top w:w="0" w:type="dxa"/>
              <w:left w:w="40" w:type="dxa"/>
              <w:bottom w:w="0" w:type="dxa"/>
              <w:right w:w="40" w:type="dxa"/>
            </w:tcMar>
            <w:vAlign w:val="bottom"/>
          </w:tcPr>
          <w:p w14:paraId="3B7B2C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9.21</w:t>
            </w:r>
          </w:p>
        </w:tc>
        <w:tc>
          <w:tcPr>
            <w:tcW w:w="1350" w:type="dxa"/>
            <w:tcMar>
              <w:top w:w="0" w:type="dxa"/>
              <w:left w:w="40" w:type="dxa"/>
              <w:bottom w:w="0" w:type="dxa"/>
              <w:right w:w="40" w:type="dxa"/>
            </w:tcMar>
            <w:vAlign w:val="bottom"/>
          </w:tcPr>
          <w:p w14:paraId="7F551DA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25.59</w:t>
            </w:r>
          </w:p>
        </w:tc>
        <w:tc>
          <w:tcPr>
            <w:tcW w:w="1545" w:type="dxa"/>
            <w:tcMar>
              <w:top w:w="0" w:type="dxa"/>
              <w:left w:w="40" w:type="dxa"/>
              <w:bottom w:w="0" w:type="dxa"/>
              <w:right w:w="40" w:type="dxa"/>
            </w:tcMar>
            <w:vAlign w:val="bottom"/>
          </w:tcPr>
          <w:p w14:paraId="7F5F54F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97.04</w:t>
            </w:r>
          </w:p>
        </w:tc>
        <w:tc>
          <w:tcPr>
            <w:tcW w:w="1110" w:type="dxa"/>
            <w:tcMar>
              <w:top w:w="0" w:type="dxa"/>
              <w:left w:w="40" w:type="dxa"/>
              <w:bottom w:w="0" w:type="dxa"/>
              <w:right w:w="40" w:type="dxa"/>
            </w:tcMar>
            <w:vAlign w:val="bottom"/>
          </w:tcPr>
          <w:p w14:paraId="074BD56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-0.463</w:t>
            </w:r>
          </w:p>
        </w:tc>
        <w:tc>
          <w:tcPr>
            <w:tcW w:w="1245" w:type="dxa"/>
            <w:tcMar>
              <w:top w:w="0" w:type="dxa"/>
              <w:left w:w="0" w:type="dxa"/>
              <w:bottom w:w="0" w:type="dxa"/>
              <w:right w:w="0" w:type="dxa"/>
            </w:tcMar>
            <w:vAlign w:val="bottom"/>
          </w:tcPr>
          <w:p w14:paraId="0346E7D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0.5950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31CE7E9" w14:textId="77777777">
        <w:tc>
          <w:tcPr>
            <w:tcW w:w="945" w:type="dxa"/>
            <w:tcMar>
              <w:top w:w="100" w:type="dxa"/>
              <w:left w:w="100" w:type="dxa"/>
              <w:bottom w:w="100" w:type="dxa"/>
              <w:right w:w="100" w:type="dxa"/>
            </w:tcMar>
          </w:tcPr>
          <w:p w14:paraId="7B58F6D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CPE2571</w:t>
            </w:r>
          </w:p>
        </w:tc>
        <w:tc>
          <w:tcPr>
            <w:tcW w:w="1350" w:type="dxa"/>
            <w:tcMar>
              <w:top w:w="0" w:type="dxa"/>
              <w:left w:w="40" w:type="dxa"/>
              <w:bottom w:w="0" w:type="dxa"/>
              <w:right w:w="40" w:type="dxa"/>
            </w:tcMar>
            <w:vAlign w:val="bottom"/>
          </w:tcPr>
          <w:p w14:paraId="1F01BC9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0ABDE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1260" w:type="dxa"/>
            <w:tcMar>
              <w:top w:w="0" w:type="dxa"/>
              <w:left w:w="40" w:type="dxa"/>
              <w:bottom w:w="0" w:type="dxa"/>
              <w:right w:w="40" w:type="dxa"/>
            </w:tcMar>
            <w:vAlign w:val="bottom"/>
          </w:tcPr>
          <w:p w14:paraId="7C7ABD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24865.09</w:t>
            </w:r>
          </w:p>
        </w:tc>
        <w:tc>
          <w:tcPr>
            <w:tcW w:w="1545" w:type="dxa"/>
            <w:tcMar>
              <w:top w:w="0" w:type="dxa"/>
              <w:left w:w="40" w:type="dxa"/>
              <w:bottom w:w="0" w:type="dxa"/>
              <w:right w:w="40" w:type="dxa"/>
            </w:tcMar>
            <w:vAlign w:val="bottom"/>
          </w:tcPr>
          <w:p w14:paraId="0BC4DFC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9.74</w:t>
            </w:r>
          </w:p>
        </w:tc>
        <w:tc>
          <w:tcPr>
            <w:tcW w:w="1350" w:type="dxa"/>
            <w:tcMar>
              <w:top w:w="0" w:type="dxa"/>
              <w:left w:w="40" w:type="dxa"/>
              <w:bottom w:w="0" w:type="dxa"/>
              <w:right w:w="40" w:type="dxa"/>
            </w:tcMar>
            <w:vAlign w:val="bottom"/>
          </w:tcPr>
          <w:p w14:paraId="1ACA582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28.01</w:t>
            </w:r>
          </w:p>
        </w:tc>
        <w:tc>
          <w:tcPr>
            <w:tcW w:w="1545" w:type="dxa"/>
            <w:tcMar>
              <w:top w:w="0" w:type="dxa"/>
              <w:left w:w="40" w:type="dxa"/>
              <w:bottom w:w="0" w:type="dxa"/>
              <w:right w:w="40" w:type="dxa"/>
            </w:tcMar>
            <w:vAlign w:val="bottom"/>
          </w:tcPr>
          <w:p w14:paraId="5FA559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123.1</w:t>
            </w:r>
          </w:p>
        </w:tc>
        <w:tc>
          <w:tcPr>
            <w:tcW w:w="1110" w:type="dxa"/>
            <w:tcMar>
              <w:top w:w="0" w:type="dxa"/>
              <w:left w:w="40" w:type="dxa"/>
              <w:bottom w:w="0" w:type="dxa"/>
              <w:right w:w="40" w:type="dxa"/>
            </w:tcMar>
            <w:vAlign w:val="bottom"/>
          </w:tcPr>
          <w:p w14:paraId="655E51E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0.721</w:t>
            </w:r>
          </w:p>
        </w:tc>
        <w:tc>
          <w:tcPr>
            <w:tcW w:w="1245" w:type="dxa"/>
            <w:tcMar>
              <w:top w:w="0" w:type="dxa"/>
              <w:left w:w="0" w:type="dxa"/>
              <w:bottom w:w="0" w:type="dxa"/>
              <w:right w:w="0" w:type="dxa"/>
            </w:tcMar>
            <w:vAlign w:val="bottom"/>
          </w:tcPr>
          <w:p w14:paraId="6E7900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0.5475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455BCACB" w14:textId="77777777">
        <w:tc>
          <w:tcPr>
            <w:tcW w:w="945" w:type="dxa"/>
            <w:tcMar>
              <w:top w:w="100" w:type="dxa"/>
              <w:left w:w="100" w:type="dxa"/>
              <w:bottom w:w="100" w:type="dxa"/>
              <w:right w:w="100" w:type="dxa"/>
            </w:tcMar>
          </w:tcPr>
          <w:p w14:paraId="76F9AC7C"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CPE2638</w:t>
            </w:r>
          </w:p>
        </w:tc>
        <w:tc>
          <w:tcPr>
            <w:tcW w:w="1350" w:type="dxa"/>
            <w:tcMar>
              <w:top w:w="0" w:type="dxa"/>
              <w:left w:w="40" w:type="dxa"/>
              <w:bottom w:w="0" w:type="dxa"/>
              <w:right w:w="40" w:type="dxa"/>
            </w:tcMar>
            <w:vAlign w:val="bottom"/>
          </w:tcPr>
          <w:p w14:paraId="635AFEE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4F155C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260" w:type="dxa"/>
            <w:tcMar>
              <w:top w:w="0" w:type="dxa"/>
              <w:left w:w="40" w:type="dxa"/>
              <w:bottom w:w="0" w:type="dxa"/>
              <w:right w:w="40" w:type="dxa"/>
            </w:tcMar>
            <w:vAlign w:val="bottom"/>
          </w:tcPr>
          <w:p w14:paraId="2973C0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36586.59</w:t>
            </w:r>
          </w:p>
        </w:tc>
        <w:tc>
          <w:tcPr>
            <w:tcW w:w="1545" w:type="dxa"/>
            <w:tcMar>
              <w:top w:w="0" w:type="dxa"/>
              <w:left w:w="40" w:type="dxa"/>
              <w:bottom w:w="0" w:type="dxa"/>
              <w:right w:w="40" w:type="dxa"/>
            </w:tcMar>
            <w:vAlign w:val="bottom"/>
          </w:tcPr>
          <w:p w14:paraId="58B2A3F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350" w:type="dxa"/>
            <w:tcMar>
              <w:top w:w="0" w:type="dxa"/>
              <w:left w:w="40" w:type="dxa"/>
              <w:bottom w:w="0" w:type="dxa"/>
              <w:right w:w="40" w:type="dxa"/>
            </w:tcMar>
            <w:vAlign w:val="bottom"/>
          </w:tcPr>
          <w:p w14:paraId="5848A6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12.23</w:t>
            </w:r>
          </w:p>
        </w:tc>
        <w:tc>
          <w:tcPr>
            <w:tcW w:w="1545" w:type="dxa"/>
            <w:tcMar>
              <w:top w:w="0" w:type="dxa"/>
              <w:left w:w="40" w:type="dxa"/>
              <w:bottom w:w="0" w:type="dxa"/>
              <w:right w:w="40" w:type="dxa"/>
            </w:tcMar>
            <w:vAlign w:val="bottom"/>
          </w:tcPr>
          <w:p w14:paraId="763993E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137.79</w:t>
            </w:r>
          </w:p>
        </w:tc>
        <w:tc>
          <w:tcPr>
            <w:tcW w:w="1110" w:type="dxa"/>
            <w:tcMar>
              <w:top w:w="0" w:type="dxa"/>
              <w:left w:w="40" w:type="dxa"/>
              <w:bottom w:w="0" w:type="dxa"/>
              <w:right w:w="40" w:type="dxa"/>
            </w:tcMar>
            <w:vAlign w:val="bottom"/>
          </w:tcPr>
          <w:p w14:paraId="19EC57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0.946</w:t>
            </w:r>
          </w:p>
        </w:tc>
        <w:tc>
          <w:tcPr>
            <w:tcW w:w="1245" w:type="dxa"/>
            <w:tcMar>
              <w:top w:w="0" w:type="dxa"/>
              <w:left w:w="0" w:type="dxa"/>
              <w:bottom w:w="0" w:type="dxa"/>
              <w:right w:w="0" w:type="dxa"/>
            </w:tcMar>
            <w:vAlign w:val="bottom"/>
          </w:tcPr>
          <w:p w14:paraId="1AE459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0.5370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3581537" w14:textId="77777777">
        <w:tc>
          <w:tcPr>
            <w:tcW w:w="945" w:type="dxa"/>
            <w:tcMar>
              <w:top w:w="100" w:type="dxa"/>
              <w:left w:w="100" w:type="dxa"/>
              <w:bottom w:w="100" w:type="dxa"/>
              <w:right w:w="100" w:type="dxa"/>
            </w:tcMar>
          </w:tcPr>
          <w:p w14:paraId="6D7FAFD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CPE2648</w:t>
            </w:r>
          </w:p>
        </w:tc>
        <w:tc>
          <w:tcPr>
            <w:tcW w:w="1350" w:type="dxa"/>
            <w:tcMar>
              <w:top w:w="0" w:type="dxa"/>
              <w:left w:w="40" w:type="dxa"/>
              <w:bottom w:w="0" w:type="dxa"/>
              <w:right w:w="40" w:type="dxa"/>
            </w:tcMar>
            <w:vAlign w:val="bottom"/>
          </w:tcPr>
          <w:p w14:paraId="568928F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6F45F9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c>
          <w:tcPr>
            <w:tcW w:w="1260" w:type="dxa"/>
            <w:tcMar>
              <w:top w:w="0" w:type="dxa"/>
              <w:left w:w="40" w:type="dxa"/>
              <w:bottom w:w="0" w:type="dxa"/>
              <w:right w:w="40" w:type="dxa"/>
            </w:tcMar>
            <w:vAlign w:val="bottom"/>
          </w:tcPr>
          <w:p w14:paraId="480527D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41140.84</w:t>
            </w:r>
          </w:p>
        </w:tc>
        <w:tc>
          <w:tcPr>
            <w:tcW w:w="1545" w:type="dxa"/>
            <w:tcMar>
              <w:top w:w="0" w:type="dxa"/>
              <w:left w:w="40" w:type="dxa"/>
              <w:bottom w:w="0" w:type="dxa"/>
              <w:right w:w="40" w:type="dxa"/>
            </w:tcMar>
            <w:vAlign w:val="bottom"/>
          </w:tcPr>
          <w:p w14:paraId="08D604C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9.29</w:t>
            </w:r>
          </w:p>
        </w:tc>
        <w:tc>
          <w:tcPr>
            <w:tcW w:w="1350" w:type="dxa"/>
            <w:tcMar>
              <w:top w:w="0" w:type="dxa"/>
              <w:left w:w="40" w:type="dxa"/>
              <w:bottom w:w="0" w:type="dxa"/>
              <w:right w:w="40" w:type="dxa"/>
            </w:tcMar>
            <w:vAlign w:val="bottom"/>
          </w:tcPr>
          <w:p w14:paraId="158102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24.09</w:t>
            </w:r>
          </w:p>
        </w:tc>
        <w:tc>
          <w:tcPr>
            <w:tcW w:w="1545" w:type="dxa"/>
            <w:tcMar>
              <w:top w:w="0" w:type="dxa"/>
              <w:left w:w="40" w:type="dxa"/>
              <w:bottom w:w="0" w:type="dxa"/>
              <w:right w:w="40" w:type="dxa"/>
            </w:tcMar>
            <w:vAlign w:val="bottom"/>
          </w:tcPr>
          <w:p w14:paraId="114CD6E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147.6</w:t>
            </w:r>
          </w:p>
        </w:tc>
        <w:tc>
          <w:tcPr>
            <w:tcW w:w="1110" w:type="dxa"/>
            <w:tcMar>
              <w:top w:w="0" w:type="dxa"/>
              <w:left w:w="40" w:type="dxa"/>
              <w:bottom w:w="0" w:type="dxa"/>
              <w:right w:w="40" w:type="dxa"/>
            </w:tcMar>
            <w:vAlign w:val="bottom"/>
          </w:tcPr>
          <w:p w14:paraId="4BDC844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1.138</w:t>
            </w:r>
          </w:p>
        </w:tc>
        <w:tc>
          <w:tcPr>
            <w:tcW w:w="1245" w:type="dxa"/>
            <w:tcMar>
              <w:top w:w="0" w:type="dxa"/>
              <w:left w:w="0" w:type="dxa"/>
              <w:bottom w:w="0" w:type="dxa"/>
              <w:right w:w="0" w:type="dxa"/>
            </w:tcMar>
            <w:vAlign w:val="bottom"/>
          </w:tcPr>
          <w:p w14:paraId="65CA77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0.7841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bl>
    <w:p w14:paraId="0532A80A" w14:textId="77777777" w:rsidR="00AC68F5" w:rsidRDefault="00AC68F5">
      <w:pPr>
        <w:jc w:val="both"/>
        <w:rPr>
          <w:rFonts w:ascii="Times New Roman" w:eastAsia="Times New Roman" w:hAnsi="Times New Roman" w:cs="Times New Roman"/>
        </w:rPr>
      </w:pPr>
    </w:p>
    <w:p w14:paraId="03653EEF" w14:textId="77777777" w:rsidR="00AC68F5" w:rsidRDefault="00AC68F5">
      <w:pPr>
        <w:jc w:val="both"/>
        <w:rPr>
          <w:rFonts w:ascii="Times New Roman" w:eastAsia="Times New Roman" w:hAnsi="Times New Roman" w:cs="Times New Roman"/>
        </w:rPr>
      </w:pPr>
    </w:p>
    <w:p w14:paraId="5E2C0C3F" w14:textId="77777777" w:rsidR="00AC68F5" w:rsidRDefault="00AC68F5">
      <w:pPr>
        <w:rPr>
          <w:rFonts w:ascii="Times New Roman" w:eastAsia="Times New Roman" w:hAnsi="Times New Roman" w:cs="Times New Roman"/>
        </w:rPr>
      </w:pPr>
    </w:p>
    <w:p w14:paraId="5ADEBA48" w14:textId="77777777" w:rsidR="00AC68F5" w:rsidRDefault="00BF649C">
      <w:pPr>
        <w:pStyle w:val="Heading3"/>
        <w:spacing w:befor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Ligand Screening and Molecular Docking</w:t>
      </w:r>
    </w:p>
    <w:p w14:paraId="044CBC61" w14:textId="6DE5796B"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Phytochemical Ligand Selection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library of 669 phytochemical compounds previously noted to possess antibacterial activity was sourced from Dr. Duke's Phytochemical and Ethnobotanical Databases. These compounds were initially filtered for favorable oral bioavailability and pharmacokinet</w:t>
      </w:r>
      <w:r>
        <w:rPr>
          <w:rFonts w:ascii="Times New Roman" w:eastAsia="Times New Roman" w:hAnsi="Times New Roman" w:cs="Times New Roman"/>
          <w:sz w:val="24"/>
          <w:szCs w:val="24"/>
        </w:rPr>
        <w:t xml:space="preserve">ics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Only molecules that successfully satisfied all </w:t>
      </w:r>
      <w:proofErr w:type="gramStart"/>
      <w:r>
        <w:rPr>
          <w:rFonts w:ascii="Times New Roman" w:eastAsia="Times New Roman" w:hAnsi="Times New Roman" w:cs="Times New Roman"/>
          <w:sz w:val="24"/>
          <w:szCs w:val="24"/>
        </w:rPr>
        <w:t>five standard</w:t>
      </w:r>
      <w:proofErr w:type="gramEnd"/>
      <w:r>
        <w:rPr>
          <w:rFonts w:ascii="Times New Roman" w:eastAsia="Times New Roman" w:hAnsi="Times New Roman" w:cs="Times New Roman"/>
          <w:sz w:val="24"/>
          <w:szCs w:val="24"/>
        </w:rPr>
        <w:t xml:space="preserve"> drug-likeness rules (Lipinski, Ghose, Veber, Egan, and Muegge) were retained. This screening step yielded 69 highly promising small-molecule phytochemical candidates</w:t>
      </w:r>
      <w:r>
        <w:rPr>
          <w:rFonts w:ascii="Times New Roman" w:eastAsia="Times New Roman" w:hAnsi="Times New Roman" w:cs="Times New Roman"/>
          <w:sz w:val="24"/>
          <w:szCs w:val="24"/>
        </w:rPr>
        <w:t xml:space="preserve"> for molecular docking.</w:t>
      </w:r>
    </w:p>
    <w:p w14:paraId="4B6AD5DB" w14:textId="3F2BC921"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Virtual Screening and Binding Affinity</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predict the inhibitory potential of the 69 lead compounds against the 22 final protein targets, molecular docking was performed using the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program within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The docking analysis quantified the binding strength by calculating the predicted binding energy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kcal/mol). The lower (more negative) the binding energy, the stronger the predicted affinity and the higher the likelihood of efficacious inhib</w:t>
      </w:r>
      <w:r>
        <w:rPr>
          <w:rFonts w:ascii="Times New Roman" w:eastAsia="Times New Roman" w:hAnsi="Times New Roman" w:cs="Times New Roman"/>
          <w:sz w:val="24"/>
          <w:szCs w:val="24"/>
        </w:rPr>
        <w:t>ition (Figure 1). The results, specifically highlighting the ligands that exhibited the lowest (most favorable) binding energy for each of the 22 protein targets, are presented in Table 2.</w:t>
      </w:r>
    </w:p>
    <w:p w14:paraId="5C9B1DC8" w14:textId="77777777" w:rsidR="00AC68F5" w:rsidRDefault="00AC68F5">
      <w:pPr>
        <w:rPr>
          <w:rFonts w:ascii="Times New Roman" w:eastAsia="Times New Roman" w:hAnsi="Times New Roman" w:cs="Times New Roman"/>
        </w:rPr>
      </w:pPr>
    </w:p>
    <w:p w14:paraId="45D258B9"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2 </w:t>
      </w:r>
      <w:r>
        <w:rPr>
          <w:rFonts w:ascii="Times New Roman" w:eastAsia="Times New Roman" w:hAnsi="Times New Roman" w:cs="Times New Roman"/>
          <w:b/>
          <w:i/>
          <w:color w:val="1F497D"/>
          <w:sz w:val="18"/>
          <w:szCs w:val="18"/>
        </w:rPr>
        <w:t>Molecular docking analysis of phytochemical ligands with c</w:t>
      </w:r>
      <w:r>
        <w:rPr>
          <w:rFonts w:ascii="Times New Roman" w:eastAsia="Times New Roman" w:hAnsi="Times New Roman" w:cs="Times New Roman"/>
          <w:b/>
          <w:i/>
          <w:color w:val="1F497D"/>
          <w:sz w:val="18"/>
          <w:szCs w:val="18"/>
        </w:rPr>
        <w:t>onserved hypothetical proteins of Clostridium perfringens.</w:t>
      </w:r>
      <w:sdt>
        <w:sdtPr>
          <w:tag w:val="goog_rdk_0"/>
          <w:id w:val="-693000577"/>
        </w:sdtPr>
        <w:sdtEndPr/>
        <w:sdtContent>
          <w:r>
            <w:rPr>
              <w:rFonts w:ascii="Cardo" w:eastAsia="Cardo" w:hAnsi="Cardo" w:cs="Cardo"/>
              <w:i/>
              <w:color w:val="1F497D"/>
              <w:sz w:val="18"/>
              <w:szCs w:val="18"/>
            </w:rPr>
            <w:br/>
            <w:t>Predicted binding affinities (ΔG, kcal mol⁻¹) of selected phytochemical ligands docked with 22 prioritized hypothetical proteins identified through subtractive proteomics analysis. Lower binding en</w:t>
          </w:r>
          <w:r>
            <w:rPr>
              <w:rFonts w:ascii="Cardo" w:eastAsia="Cardo" w:hAnsi="Cardo" w:cs="Cardo"/>
              <w:i/>
              <w:color w:val="1F497D"/>
              <w:sz w:val="18"/>
              <w:szCs w:val="18"/>
            </w:rPr>
            <w:t>ergies indicate stronger predicted protein–ligand interactions. Several compounds, including (+)-</w:t>
          </w:r>
          <w:proofErr w:type="spellStart"/>
          <w:r>
            <w:rPr>
              <w:rFonts w:ascii="Cardo" w:eastAsia="Cardo" w:hAnsi="Cardo" w:cs="Cardo"/>
              <w:i/>
              <w:color w:val="1F497D"/>
              <w:sz w:val="18"/>
              <w:szCs w:val="18"/>
            </w:rPr>
            <w:t>Galbacin</w:t>
          </w:r>
          <w:proofErr w:type="spellEnd"/>
          <w:r>
            <w:rPr>
              <w:rFonts w:ascii="Cardo" w:eastAsia="Cardo" w:hAnsi="Cardo" w:cs="Cardo"/>
              <w:i/>
              <w:color w:val="1F497D"/>
              <w:sz w:val="18"/>
              <w:szCs w:val="18"/>
            </w:rPr>
            <w:t>, (–)-</w:t>
          </w:r>
          <w:proofErr w:type="spellStart"/>
          <w:r>
            <w:rPr>
              <w:rFonts w:ascii="Cardo" w:eastAsia="Cardo" w:hAnsi="Cardo" w:cs="Cardo"/>
              <w:i/>
              <w:color w:val="1F497D"/>
              <w:sz w:val="18"/>
              <w:szCs w:val="18"/>
            </w:rPr>
            <w:t>Asarinin</w:t>
          </w:r>
          <w:proofErr w:type="spellEnd"/>
          <w:r>
            <w:rPr>
              <w:rFonts w:ascii="Cardo" w:eastAsia="Cardo" w:hAnsi="Cardo" w:cs="Cardo"/>
              <w:i/>
              <w:color w:val="1F497D"/>
              <w:sz w:val="18"/>
              <w:szCs w:val="18"/>
            </w:rPr>
            <w:t xml:space="preserve">, and </w:t>
          </w:r>
          <w:proofErr w:type="spellStart"/>
          <w:r>
            <w:rPr>
              <w:rFonts w:ascii="Cardo" w:eastAsia="Cardo" w:hAnsi="Cardo" w:cs="Cardo"/>
              <w:i/>
              <w:color w:val="1F497D"/>
              <w:sz w:val="18"/>
              <w:szCs w:val="18"/>
            </w:rPr>
            <w:t>Tuberosin</w:t>
          </w:r>
          <w:proofErr w:type="spellEnd"/>
          <w:r>
            <w:rPr>
              <w:rFonts w:ascii="Cardo" w:eastAsia="Cardo" w:hAnsi="Cardo" w:cs="Cardo"/>
              <w:i/>
              <w:color w:val="1F497D"/>
              <w:sz w:val="18"/>
              <w:szCs w:val="18"/>
            </w:rPr>
            <w:t>, exhibited high binding affinities (ΔG ≤ –9.0 kcal mol⁻¹), suggesting their potential as lead molecules for further exper</w:t>
          </w:r>
          <w:r>
            <w:rPr>
              <w:rFonts w:ascii="Cardo" w:eastAsia="Cardo" w:hAnsi="Cardo" w:cs="Cardo"/>
              <w:i/>
              <w:color w:val="1F497D"/>
              <w:sz w:val="18"/>
              <w:szCs w:val="18"/>
            </w:rPr>
            <w:t>imental validation.</w:t>
          </w:r>
        </w:sdtContent>
      </w:sdt>
    </w:p>
    <w:tbl>
      <w:tblPr>
        <w:tblStyle w:val="a2"/>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4395"/>
        <w:gridCol w:w="3360"/>
      </w:tblGrid>
      <w:tr w:rsidR="00AC68F5" w14:paraId="6601F9BA" w14:textId="77777777">
        <w:tc>
          <w:tcPr>
            <w:tcW w:w="2040" w:type="dxa"/>
            <w:tcMar>
              <w:top w:w="100" w:type="dxa"/>
              <w:left w:w="100" w:type="dxa"/>
              <w:bottom w:w="100" w:type="dxa"/>
              <w:right w:w="100" w:type="dxa"/>
            </w:tcMar>
          </w:tcPr>
          <w:p w14:paraId="31A28D9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Name</w:t>
            </w:r>
          </w:p>
        </w:tc>
        <w:tc>
          <w:tcPr>
            <w:tcW w:w="4395" w:type="dxa"/>
            <w:tcMar>
              <w:top w:w="100" w:type="dxa"/>
              <w:left w:w="100" w:type="dxa"/>
              <w:bottom w:w="100" w:type="dxa"/>
              <w:right w:w="100" w:type="dxa"/>
            </w:tcMar>
          </w:tcPr>
          <w:p w14:paraId="441ED8A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Ligand(s)</w:t>
            </w:r>
          </w:p>
        </w:tc>
        <w:tc>
          <w:tcPr>
            <w:tcW w:w="3360" w:type="dxa"/>
            <w:tcMar>
              <w:top w:w="100" w:type="dxa"/>
              <w:left w:w="100" w:type="dxa"/>
              <w:bottom w:w="100" w:type="dxa"/>
              <w:right w:w="100" w:type="dxa"/>
            </w:tcMar>
          </w:tcPr>
          <w:p w14:paraId="6E69A59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Binding Energy (</w:t>
            </w:r>
            <w:r>
              <w:rPr>
                <w:rFonts w:ascii="Times New Roman" w:eastAsia="Times New Roman" w:hAnsi="Times New Roman" w:cs="Times New Roman"/>
                <w:sz w:val="24"/>
                <w:szCs w:val="24"/>
              </w:rPr>
              <w:t>𝚫</w:t>
            </w:r>
            <w:r>
              <w:rPr>
                <w:rFonts w:ascii="Times New Roman" w:eastAsia="Times New Roman" w:hAnsi="Times New Roman" w:cs="Times New Roman"/>
                <w:sz w:val="24"/>
                <w:szCs w:val="24"/>
              </w:rPr>
              <w:t>G) (kcal/mol)</w:t>
            </w:r>
          </w:p>
        </w:tc>
      </w:tr>
      <w:tr w:rsidR="00AC68F5" w14:paraId="05E1A0ED" w14:textId="77777777">
        <w:tc>
          <w:tcPr>
            <w:tcW w:w="2040" w:type="dxa"/>
            <w:tcMar>
              <w:top w:w="100" w:type="dxa"/>
              <w:left w:w="100" w:type="dxa"/>
              <w:bottom w:w="100" w:type="dxa"/>
              <w:right w:w="100" w:type="dxa"/>
            </w:tcMar>
          </w:tcPr>
          <w:p w14:paraId="74D6423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CPE0133</w:t>
            </w:r>
          </w:p>
        </w:tc>
        <w:tc>
          <w:tcPr>
            <w:tcW w:w="4395" w:type="dxa"/>
            <w:tcMar>
              <w:top w:w="100" w:type="dxa"/>
              <w:left w:w="100" w:type="dxa"/>
              <w:bottom w:w="100" w:type="dxa"/>
              <w:right w:w="100" w:type="dxa"/>
            </w:tcMar>
          </w:tcPr>
          <w:p w14:paraId="5AB621AC"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1836B59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AC68F5" w14:paraId="064B3C89" w14:textId="77777777">
        <w:tc>
          <w:tcPr>
            <w:tcW w:w="2040" w:type="dxa"/>
            <w:tcMar>
              <w:top w:w="100" w:type="dxa"/>
              <w:left w:w="100" w:type="dxa"/>
              <w:bottom w:w="100" w:type="dxa"/>
              <w:right w:w="100" w:type="dxa"/>
            </w:tcMar>
          </w:tcPr>
          <w:p w14:paraId="3BE75E9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CPE0245</w:t>
            </w:r>
          </w:p>
        </w:tc>
        <w:tc>
          <w:tcPr>
            <w:tcW w:w="4395" w:type="dxa"/>
            <w:tcMar>
              <w:top w:w="100" w:type="dxa"/>
              <w:left w:w="100" w:type="dxa"/>
              <w:bottom w:w="100" w:type="dxa"/>
              <w:right w:w="100" w:type="dxa"/>
            </w:tcMar>
          </w:tcPr>
          <w:p w14:paraId="3625A7E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5DA7B80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AC68F5" w14:paraId="0C32383D" w14:textId="77777777">
        <w:tc>
          <w:tcPr>
            <w:tcW w:w="2040" w:type="dxa"/>
            <w:tcMar>
              <w:top w:w="100" w:type="dxa"/>
              <w:left w:w="100" w:type="dxa"/>
              <w:bottom w:w="100" w:type="dxa"/>
              <w:right w:w="100" w:type="dxa"/>
            </w:tcMar>
          </w:tcPr>
          <w:p w14:paraId="0F5E076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CPE0246</w:t>
            </w:r>
          </w:p>
        </w:tc>
        <w:tc>
          <w:tcPr>
            <w:tcW w:w="4395" w:type="dxa"/>
            <w:tcMar>
              <w:top w:w="100" w:type="dxa"/>
              <w:left w:w="100" w:type="dxa"/>
              <w:bottom w:w="100" w:type="dxa"/>
              <w:right w:w="100" w:type="dxa"/>
            </w:tcMar>
          </w:tcPr>
          <w:p w14:paraId="254E8D4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518F941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AC68F5" w14:paraId="6D82906B" w14:textId="77777777">
        <w:tc>
          <w:tcPr>
            <w:tcW w:w="2040" w:type="dxa"/>
            <w:tcMar>
              <w:top w:w="100" w:type="dxa"/>
              <w:left w:w="100" w:type="dxa"/>
              <w:bottom w:w="100" w:type="dxa"/>
              <w:right w:w="100" w:type="dxa"/>
            </w:tcMar>
          </w:tcPr>
          <w:p w14:paraId="7DA44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CPE0657</w:t>
            </w:r>
          </w:p>
        </w:tc>
        <w:tc>
          <w:tcPr>
            <w:tcW w:w="4395" w:type="dxa"/>
            <w:tcMar>
              <w:top w:w="100" w:type="dxa"/>
              <w:left w:w="100" w:type="dxa"/>
              <w:bottom w:w="100" w:type="dxa"/>
              <w:right w:w="100" w:type="dxa"/>
            </w:tcMar>
          </w:tcPr>
          <w:p w14:paraId="215974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FC96DB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48FC964" w14:textId="77777777">
        <w:tc>
          <w:tcPr>
            <w:tcW w:w="2040" w:type="dxa"/>
            <w:tcMar>
              <w:top w:w="100" w:type="dxa"/>
              <w:left w:w="100" w:type="dxa"/>
              <w:bottom w:w="100" w:type="dxa"/>
              <w:right w:w="100" w:type="dxa"/>
            </w:tcMar>
          </w:tcPr>
          <w:p w14:paraId="44EB46C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CPE0662</w:t>
            </w:r>
          </w:p>
        </w:tc>
        <w:tc>
          <w:tcPr>
            <w:tcW w:w="4395" w:type="dxa"/>
            <w:tcMar>
              <w:top w:w="100" w:type="dxa"/>
              <w:left w:w="100" w:type="dxa"/>
              <w:bottom w:w="100" w:type="dxa"/>
              <w:right w:w="100" w:type="dxa"/>
            </w:tcMar>
          </w:tcPr>
          <w:p w14:paraId="11079F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roofErr w:type="gramStart"/>
            <w:r>
              <w:rPr>
                <w:rFonts w:ascii="Times New Roman" w:eastAsia="Times New Roman" w:hAnsi="Times New Roman" w:cs="Times New Roman"/>
                <w:sz w:val="24"/>
                <w:szCs w:val="24"/>
              </w:rPr>
              <w:t>Dimethylallyl)</w:t>
            </w:r>
            <w:proofErr w:type="spellStart"/>
            <w:r>
              <w:rPr>
                <w:rFonts w:ascii="Times New Roman" w:eastAsia="Times New Roman" w:hAnsi="Times New Roman" w:cs="Times New Roman"/>
                <w:sz w:val="24"/>
                <w:szCs w:val="24"/>
              </w:rPr>
              <w:t>spatheliachromene</w:t>
            </w:r>
            <w:proofErr w:type="spellEnd"/>
            <w:proofErr w:type="gramEnd"/>
          </w:p>
        </w:tc>
        <w:tc>
          <w:tcPr>
            <w:tcW w:w="3360" w:type="dxa"/>
            <w:tcMar>
              <w:top w:w="100" w:type="dxa"/>
              <w:left w:w="100" w:type="dxa"/>
              <w:bottom w:w="100" w:type="dxa"/>
              <w:right w:w="100" w:type="dxa"/>
            </w:tcMar>
          </w:tcPr>
          <w:p w14:paraId="6C73765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9AB9816" w14:textId="77777777">
        <w:tc>
          <w:tcPr>
            <w:tcW w:w="2040" w:type="dxa"/>
            <w:tcMar>
              <w:top w:w="100" w:type="dxa"/>
              <w:left w:w="100" w:type="dxa"/>
              <w:bottom w:w="100" w:type="dxa"/>
              <w:right w:w="100" w:type="dxa"/>
            </w:tcMar>
          </w:tcPr>
          <w:p w14:paraId="3B2DB6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CPE0708</w:t>
            </w:r>
          </w:p>
        </w:tc>
        <w:tc>
          <w:tcPr>
            <w:tcW w:w="4395" w:type="dxa"/>
            <w:tcMar>
              <w:top w:w="100" w:type="dxa"/>
              <w:left w:w="100" w:type="dxa"/>
              <w:bottom w:w="100" w:type="dxa"/>
              <w:right w:w="100" w:type="dxa"/>
            </w:tcMar>
          </w:tcPr>
          <w:p w14:paraId="63BD51A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0F2B2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AC68F5" w14:paraId="19D40589" w14:textId="77777777">
        <w:tc>
          <w:tcPr>
            <w:tcW w:w="2040" w:type="dxa"/>
            <w:tcMar>
              <w:top w:w="100" w:type="dxa"/>
              <w:left w:w="100" w:type="dxa"/>
              <w:bottom w:w="100" w:type="dxa"/>
              <w:right w:w="100" w:type="dxa"/>
            </w:tcMar>
          </w:tcPr>
          <w:p w14:paraId="36F64F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CPE0836</w:t>
            </w:r>
          </w:p>
        </w:tc>
        <w:tc>
          <w:tcPr>
            <w:tcW w:w="4395" w:type="dxa"/>
            <w:tcMar>
              <w:top w:w="100" w:type="dxa"/>
              <w:left w:w="100" w:type="dxa"/>
              <w:bottom w:w="100" w:type="dxa"/>
              <w:right w:w="100" w:type="dxa"/>
            </w:tcMar>
          </w:tcPr>
          <w:p w14:paraId="22471F67"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p w14:paraId="1D8C678B" w14:textId="77777777" w:rsidR="00AC68F5" w:rsidRDefault="00AC68F5">
            <w:pPr>
              <w:widowControl w:val="0"/>
              <w:spacing w:line="240" w:lineRule="auto"/>
              <w:jc w:val="both"/>
              <w:rPr>
                <w:rFonts w:ascii="Times New Roman" w:eastAsia="Times New Roman" w:hAnsi="Times New Roman" w:cs="Times New Roman"/>
                <w:sz w:val="24"/>
                <w:szCs w:val="24"/>
              </w:rPr>
            </w:pPr>
          </w:p>
          <w:p w14:paraId="2E6D110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2932B84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2CBF1093" w14:textId="77777777">
        <w:tc>
          <w:tcPr>
            <w:tcW w:w="2040" w:type="dxa"/>
            <w:tcMar>
              <w:top w:w="100" w:type="dxa"/>
              <w:left w:w="100" w:type="dxa"/>
              <w:bottom w:w="100" w:type="dxa"/>
              <w:right w:w="100" w:type="dxa"/>
            </w:tcMar>
          </w:tcPr>
          <w:p w14:paraId="75E523C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CPE0969</w:t>
            </w:r>
          </w:p>
        </w:tc>
        <w:tc>
          <w:tcPr>
            <w:tcW w:w="4395" w:type="dxa"/>
            <w:tcMar>
              <w:top w:w="100" w:type="dxa"/>
              <w:left w:w="100" w:type="dxa"/>
              <w:bottom w:w="100" w:type="dxa"/>
              <w:right w:w="100" w:type="dxa"/>
            </w:tcMar>
          </w:tcPr>
          <w:p w14:paraId="729A35F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tc>
        <w:tc>
          <w:tcPr>
            <w:tcW w:w="3360" w:type="dxa"/>
            <w:tcMar>
              <w:top w:w="100" w:type="dxa"/>
              <w:left w:w="100" w:type="dxa"/>
              <w:bottom w:w="100" w:type="dxa"/>
              <w:right w:w="100" w:type="dxa"/>
            </w:tcMar>
          </w:tcPr>
          <w:p w14:paraId="21148F0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AC68F5" w14:paraId="02DC90CD" w14:textId="77777777">
        <w:tc>
          <w:tcPr>
            <w:tcW w:w="2040" w:type="dxa"/>
            <w:tcMar>
              <w:top w:w="100" w:type="dxa"/>
              <w:left w:w="100" w:type="dxa"/>
              <w:bottom w:w="100" w:type="dxa"/>
              <w:right w:w="100" w:type="dxa"/>
            </w:tcMar>
          </w:tcPr>
          <w:p w14:paraId="38EBB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CPE1094</w:t>
            </w:r>
          </w:p>
        </w:tc>
        <w:tc>
          <w:tcPr>
            <w:tcW w:w="4395" w:type="dxa"/>
            <w:tcMar>
              <w:top w:w="100" w:type="dxa"/>
              <w:left w:w="100" w:type="dxa"/>
              <w:bottom w:w="100" w:type="dxa"/>
              <w:right w:w="100" w:type="dxa"/>
            </w:tcMar>
          </w:tcPr>
          <w:p w14:paraId="44ED09D8"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549F6B1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5A1BF13F" w14:textId="77777777">
        <w:tc>
          <w:tcPr>
            <w:tcW w:w="2040" w:type="dxa"/>
            <w:tcMar>
              <w:top w:w="100" w:type="dxa"/>
              <w:left w:w="100" w:type="dxa"/>
              <w:bottom w:w="100" w:type="dxa"/>
              <w:right w:w="100" w:type="dxa"/>
            </w:tcMar>
          </w:tcPr>
          <w:p w14:paraId="62ABBF7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CPE1362</w:t>
            </w:r>
          </w:p>
        </w:tc>
        <w:tc>
          <w:tcPr>
            <w:tcW w:w="4395" w:type="dxa"/>
            <w:tcMar>
              <w:top w:w="100" w:type="dxa"/>
              <w:left w:w="100" w:type="dxa"/>
              <w:bottom w:w="100" w:type="dxa"/>
              <w:right w:w="100" w:type="dxa"/>
            </w:tcMar>
          </w:tcPr>
          <w:p w14:paraId="71DD44DF"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50A80D8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C68F5" w14:paraId="76AD4850" w14:textId="77777777">
        <w:tc>
          <w:tcPr>
            <w:tcW w:w="2040" w:type="dxa"/>
            <w:tcMar>
              <w:top w:w="100" w:type="dxa"/>
              <w:left w:w="100" w:type="dxa"/>
              <w:bottom w:w="100" w:type="dxa"/>
              <w:right w:w="100" w:type="dxa"/>
            </w:tcMar>
          </w:tcPr>
          <w:p w14:paraId="7D02EBB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CPE1509</w:t>
            </w:r>
          </w:p>
        </w:tc>
        <w:tc>
          <w:tcPr>
            <w:tcW w:w="4395" w:type="dxa"/>
            <w:tcMar>
              <w:top w:w="100" w:type="dxa"/>
              <w:left w:w="100" w:type="dxa"/>
              <w:bottom w:w="100" w:type="dxa"/>
              <w:right w:w="100" w:type="dxa"/>
            </w:tcMar>
          </w:tcPr>
          <w:p w14:paraId="741A49B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F8AB0CC"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AC68F5" w14:paraId="3B219A5B" w14:textId="77777777">
        <w:tc>
          <w:tcPr>
            <w:tcW w:w="2040" w:type="dxa"/>
            <w:tcBorders>
              <w:right w:val="single" w:sz="4" w:space="0" w:color="000000"/>
            </w:tcBorders>
            <w:tcMar>
              <w:top w:w="100" w:type="dxa"/>
              <w:left w:w="100" w:type="dxa"/>
              <w:bottom w:w="100" w:type="dxa"/>
              <w:right w:w="100" w:type="dxa"/>
            </w:tcMar>
          </w:tcPr>
          <w:p w14:paraId="70BC2CD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CPE1510</w:t>
            </w:r>
          </w:p>
        </w:tc>
        <w:tc>
          <w:tcPr>
            <w:tcW w:w="4395" w:type="dxa"/>
            <w:tcBorders>
              <w:left w:val="single" w:sz="4" w:space="0" w:color="000000"/>
            </w:tcBorders>
            <w:tcMar>
              <w:top w:w="100" w:type="dxa"/>
              <w:left w:w="100" w:type="dxa"/>
              <w:bottom w:w="100" w:type="dxa"/>
              <w:right w:w="100" w:type="dxa"/>
            </w:tcMar>
          </w:tcPr>
          <w:p w14:paraId="7E10C64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(+)-8-Hydroxycalamenene</w:t>
            </w:r>
          </w:p>
        </w:tc>
        <w:tc>
          <w:tcPr>
            <w:tcW w:w="3360" w:type="dxa"/>
            <w:tcMar>
              <w:top w:w="100" w:type="dxa"/>
              <w:left w:w="100" w:type="dxa"/>
              <w:bottom w:w="100" w:type="dxa"/>
              <w:right w:w="100" w:type="dxa"/>
            </w:tcMar>
          </w:tcPr>
          <w:p w14:paraId="6494CA4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AC68F5" w14:paraId="1A4920A0" w14:textId="77777777">
        <w:tc>
          <w:tcPr>
            <w:tcW w:w="2040" w:type="dxa"/>
            <w:tcBorders>
              <w:right w:val="single" w:sz="4" w:space="0" w:color="000000"/>
            </w:tcBorders>
            <w:tcMar>
              <w:top w:w="100" w:type="dxa"/>
              <w:left w:w="100" w:type="dxa"/>
              <w:bottom w:w="100" w:type="dxa"/>
              <w:right w:w="100" w:type="dxa"/>
            </w:tcMar>
          </w:tcPr>
          <w:p w14:paraId="132B5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CPE1576</w:t>
            </w:r>
          </w:p>
        </w:tc>
        <w:tc>
          <w:tcPr>
            <w:tcW w:w="4395" w:type="dxa"/>
            <w:tcBorders>
              <w:left w:val="single" w:sz="4" w:space="0" w:color="000000"/>
            </w:tcBorders>
            <w:tcMar>
              <w:top w:w="100" w:type="dxa"/>
              <w:left w:w="100" w:type="dxa"/>
              <w:bottom w:w="100" w:type="dxa"/>
              <w:right w:w="100" w:type="dxa"/>
            </w:tcMar>
          </w:tcPr>
          <w:p w14:paraId="010B849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31EAE30F" w14:textId="77777777" w:rsidR="00AC68F5" w:rsidRDefault="00AC68F5">
            <w:pPr>
              <w:widowControl w:val="0"/>
              <w:spacing w:line="240" w:lineRule="auto"/>
              <w:jc w:val="both"/>
              <w:rPr>
                <w:rFonts w:ascii="Times New Roman" w:eastAsia="Times New Roman" w:hAnsi="Times New Roman" w:cs="Times New Roman"/>
                <w:sz w:val="24"/>
                <w:szCs w:val="24"/>
              </w:rPr>
            </w:pPr>
          </w:p>
          <w:p w14:paraId="1B158B7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p w14:paraId="24954C56" w14:textId="77777777" w:rsidR="00AC68F5" w:rsidRDefault="00AC68F5">
            <w:pPr>
              <w:widowControl w:val="0"/>
              <w:spacing w:line="240" w:lineRule="auto"/>
              <w:jc w:val="both"/>
              <w:rPr>
                <w:rFonts w:ascii="Times New Roman" w:eastAsia="Times New Roman" w:hAnsi="Times New Roman" w:cs="Times New Roman"/>
                <w:sz w:val="24"/>
                <w:szCs w:val="24"/>
              </w:rPr>
            </w:pPr>
          </w:p>
          <w:p w14:paraId="0E9E3C20"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67754E4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AC68F5" w14:paraId="3465EEB4" w14:textId="77777777">
        <w:tc>
          <w:tcPr>
            <w:tcW w:w="2040" w:type="dxa"/>
            <w:tcBorders>
              <w:right w:val="single" w:sz="4" w:space="0" w:color="000000"/>
            </w:tcBorders>
            <w:tcMar>
              <w:top w:w="100" w:type="dxa"/>
              <w:left w:w="100" w:type="dxa"/>
              <w:bottom w:w="100" w:type="dxa"/>
              <w:right w:w="100" w:type="dxa"/>
            </w:tcMar>
          </w:tcPr>
          <w:p w14:paraId="02754A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CPE1922</w:t>
            </w:r>
          </w:p>
        </w:tc>
        <w:tc>
          <w:tcPr>
            <w:tcW w:w="4395" w:type="dxa"/>
            <w:tcBorders>
              <w:left w:val="single" w:sz="4" w:space="0" w:color="000000"/>
            </w:tcBorders>
            <w:tcMar>
              <w:top w:w="100" w:type="dxa"/>
              <w:left w:w="100" w:type="dxa"/>
              <w:bottom w:w="100" w:type="dxa"/>
              <w:right w:w="100" w:type="dxa"/>
            </w:tcMar>
          </w:tcPr>
          <w:p w14:paraId="68BEC3A9"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79650B0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7DFCF1BF" w14:textId="77777777">
        <w:tc>
          <w:tcPr>
            <w:tcW w:w="2040" w:type="dxa"/>
            <w:tcBorders>
              <w:right w:val="single" w:sz="4" w:space="0" w:color="000000"/>
            </w:tcBorders>
            <w:tcMar>
              <w:top w:w="100" w:type="dxa"/>
              <w:left w:w="100" w:type="dxa"/>
              <w:bottom w:w="100" w:type="dxa"/>
              <w:right w:w="100" w:type="dxa"/>
            </w:tcMar>
          </w:tcPr>
          <w:p w14:paraId="4583485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CPE2021</w:t>
            </w:r>
          </w:p>
        </w:tc>
        <w:tc>
          <w:tcPr>
            <w:tcW w:w="4395" w:type="dxa"/>
            <w:tcBorders>
              <w:left w:val="single" w:sz="4" w:space="0" w:color="000000"/>
            </w:tcBorders>
            <w:tcMar>
              <w:top w:w="100" w:type="dxa"/>
              <w:left w:w="100" w:type="dxa"/>
              <w:bottom w:w="100" w:type="dxa"/>
              <w:right w:w="100" w:type="dxa"/>
            </w:tcMar>
          </w:tcPr>
          <w:p w14:paraId="587AAFA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75B1A482" w14:textId="77777777" w:rsidR="00AC68F5" w:rsidRDefault="00AC68F5">
            <w:pPr>
              <w:widowControl w:val="0"/>
              <w:spacing w:line="240" w:lineRule="auto"/>
              <w:jc w:val="both"/>
              <w:rPr>
                <w:rFonts w:ascii="Times New Roman" w:eastAsia="Times New Roman" w:hAnsi="Times New Roman" w:cs="Times New Roman"/>
                <w:sz w:val="24"/>
                <w:szCs w:val="24"/>
              </w:rPr>
            </w:pPr>
          </w:p>
          <w:p w14:paraId="3B00FF52"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04FBC7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AC68F5" w14:paraId="0778D28B" w14:textId="77777777">
        <w:tc>
          <w:tcPr>
            <w:tcW w:w="2040" w:type="dxa"/>
            <w:tcBorders>
              <w:right w:val="single" w:sz="4" w:space="0" w:color="000000"/>
            </w:tcBorders>
            <w:tcMar>
              <w:top w:w="100" w:type="dxa"/>
              <w:left w:w="100" w:type="dxa"/>
              <w:bottom w:w="100" w:type="dxa"/>
              <w:right w:w="100" w:type="dxa"/>
            </w:tcMar>
          </w:tcPr>
          <w:p w14:paraId="6BD31D2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CPE2044</w:t>
            </w:r>
          </w:p>
        </w:tc>
        <w:tc>
          <w:tcPr>
            <w:tcW w:w="4395" w:type="dxa"/>
            <w:tcBorders>
              <w:left w:val="single" w:sz="4" w:space="0" w:color="000000"/>
            </w:tcBorders>
            <w:tcMar>
              <w:top w:w="100" w:type="dxa"/>
              <w:left w:w="100" w:type="dxa"/>
              <w:bottom w:w="100" w:type="dxa"/>
              <w:right w:w="100" w:type="dxa"/>
            </w:tcMar>
          </w:tcPr>
          <w:p w14:paraId="1D124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6190B4E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C68F5" w14:paraId="34634BB2" w14:textId="77777777">
        <w:tc>
          <w:tcPr>
            <w:tcW w:w="2040" w:type="dxa"/>
            <w:tcBorders>
              <w:right w:val="single" w:sz="4" w:space="0" w:color="000000"/>
            </w:tcBorders>
            <w:tcMar>
              <w:top w:w="100" w:type="dxa"/>
              <w:left w:w="100" w:type="dxa"/>
              <w:bottom w:w="100" w:type="dxa"/>
              <w:right w:w="100" w:type="dxa"/>
            </w:tcMar>
          </w:tcPr>
          <w:p w14:paraId="4131E3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CPE2210</w:t>
            </w:r>
          </w:p>
        </w:tc>
        <w:tc>
          <w:tcPr>
            <w:tcW w:w="4395" w:type="dxa"/>
            <w:tcBorders>
              <w:left w:val="single" w:sz="4" w:space="0" w:color="000000"/>
            </w:tcBorders>
            <w:tcMar>
              <w:top w:w="100" w:type="dxa"/>
              <w:left w:w="100" w:type="dxa"/>
              <w:bottom w:w="100" w:type="dxa"/>
              <w:right w:w="100" w:type="dxa"/>
            </w:tcMar>
          </w:tcPr>
          <w:p w14:paraId="31E071A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Ammoresinol</w:t>
            </w:r>
            <w:proofErr w:type="spellEnd"/>
          </w:p>
        </w:tc>
        <w:tc>
          <w:tcPr>
            <w:tcW w:w="3360" w:type="dxa"/>
            <w:tcMar>
              <w:top w:w="100" w:type="dxa"/>
              <w:left w:w="100" w:type="dxa"/>
              <w:bottom w:w="100" w:type="dxa"/>
              <w:right w:w="100" w:type="dxa"/>
            </w:tcMar>
          </w:tcPr>
          <w:p w14:paraId="0A748D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4A48404D" w14:textId="77777777">
        <w:tc>
          <w:tcPr>
            <w:tcW w:w="2040" w:type="dxa"/>
            <w:tcBorders>
              <w:right w:val="single" w:sz="4" w:space="0" w:color="000000"/>
            </w:tcBorders>
            <w:tcMar>
              <w:top w:w="100" w:type="dxa"/>
              <w:left w:w="100" w:type="dxa"/>
              <w:bottom w:w="100" w:type="dxa"/>
              <w:right w:w="100" w:type="dxa"/>
            </w:tcMar>
          </w:tcPr>
          <w:p w14:paraId="605BBA1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CPE2344</w:t>
            </w:r>
          </w:p>
        </w:tc>
        <w:tc>
          <w:tcPr>
            <w:tcW w:w="4395" w:type="dxa"/>
            <w:tcBorders>
              <w:left w:val="single" w:sz="4" w:space="0" w:color="000000"/>
            </w:tcBorders>
            <w:tcMar>
              <w:top w:w="100" w:type="dxa"/>
              <w:left w:w="100" w:type="dxa"/>
              <w:bottom w:w="100" w:type="dxa"/>
              <w:right w:w="100" w:type="dxa"/>
            </w:tcMar>
          </w:tcPr>
          <w:p w14:paraId="39FFCB31"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tc>
        <w:tc>
          <w:tcPr>
            <w:tcW w:w="3360" w:type="dxa"/>
            <w:tcMar>
              <w:top w:w="100" w:type="dxa"/>
              <w:left w:w="100" w:type="dxa"/>
              <w:bottom w:w="100" w:type="dxa"/>
              <w:right w:w="100" w:type="dxa"/>
            </w:tcMar>
          </w:tcPr>
          <w:p w14:paraId="2522FCC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6B9B83C0" w14:textId="77777777">
        <w:tc>
          <w:tcPr>
            <w:tcW w:w="2040" w:type="dxa"/>
            <w:tcBorders>
              <w:right w:val="single" w:sz="4" w:space="0" w:color="000000"/>
            </w:tcBorders>
            <w:tcMar>
              <w:top w:w="100" w:type="dxa"/>
              <w:left w:w="100" w:type="dxa"/>
              <w:bottom w:w="100" w:type="dxa"/>
              <w:right w:w="100" w:type="dxa"/>
            </w:tcMar>
          </w:tcPr>
          <w:p w14:paraId="50D793E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CPE2564</w:t>
            </w:r>
          </w:p>
        </w:tc>
        <w:tc>
          <w:tcPr>
            <w:tcW w:w="4395" w:type="dxa"/>
            <w:tcBorders>
              <w:left w:val="single" w:sz="4" w:space="0" w:color="000000"/>
            </w:tcBorders>
            <w:tcMar>
              <w:top w:w="100" w:type="dxa"/>
              <w:left w:w="100" w:type="dxa"/>
              <w:bottom w:w="100" w:type="dxa"/>
              <w:right w:w="100" w:type="dxa"/>
            </w:tcMar>
          </w:tcPr>
          <w:p w14:paraId="7952CFA6"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78F50A5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AC68F5" w14:paraId="0E662B3C" w14:textId="77777777">
        <w:tc>
          <w:tcPr>
            <w:tcW w:w="2040" w:type="dxa"/>
            <w:tcBorders>
              <w:right w:val="single" w:sz="4" w:space="0" w:color="000000"/>
            </w:tcBorders>
            <w:tcMar>
              <w:top w:w="100" w:type="dxa"/>
              <w:left w:w="100" w:type="dxa"/>
              <w:bottom w:w="100" w:type="dxa"/>
              <w:right w:w="100" w:type="dxa"/>
            </w:tcMar>
          </w:tcPr>
          <w:p w14:paraId="481A413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CPE2571</w:t>
            </w:r>
          </w:p>
        </w:tc>
        <w:tc>
          <w:tcPr>
            <w:tcW w:w="4395" w:type="dxa"/>
            <w:tcBorders>
              <w:left w:val="single" w:sz="4" w:space="0" w:color="000000"/>
            </w:tcBorders>
            <w:tcMar>
              <w:top w:w="100" w:type="dxa"/>
              <w:left w:w="100" w:type="dxa"/>
              <w:bottom w:w="100" w:type="dxa"/>
              <w:right w:w="100" w:type="dxa"/>
            </w:tcMar>
          </w:tcPr>
          <w:p w14:paraId="32453E3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57180C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AC68F5" w14:paraId="7335F790" w14:textId="77777777">
        <w:tc>
          <w:tcPr>
            <w:tcW w:w="2040" w:type="dxa"/>
            <w:tcBorders>
              <w:right w:val="single" w:sz="4" w:space="0" w:color="000000"/>
            </w:tcBorders>
            <w:tcMar>
              <w:top w:w="100" w:type="dxa"/>
              <w:left w:w="100" w:type="dxa"/>
              <w:bottom w:w="100" w:type="dxa"/>
              <w:right w:w="100" w:type="dxa"/>
            </w:tcMar>
          </w:tcPr>
          <w:p w14:paraId="0095679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CPE2638</w:t>
            </w:r>
          </w:p>
        </w:tc>
        <w:tc>
          <w:tcPr>
            <w:tcW w:w="4395" w:type="dxa"/>
            <w:tcBorders>
              <w:left w:val="single" w:sz="4" w:space="0" w:color="000000"/>
            </w:tcBorders>
            <w:tcMar>
              <w:top w:w="100" w:type="dxa"/>
              <w:left w:w="100" w:type="dxa"/>
              <w:bottom w:w="100" w:type="dxa"/>
              <w:right w:w="100" w:type="dxa"/>
            </w:tcMar>
          </w:tcPr>
          <w:p w14:paraId="7EB356E1"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4118E5D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AC68F5" w14:paraId="79FF66C5" w14:textId="77777777">
        <w:tc>
          <w:tcPr>
            <w:tcW w:w="2040" w:type="dxa"/>
            <w:tcBorders>
              <w:right w:val="single" w:sz="4" w:space="0" w:color="000000"/>
            </w:tcBorders>
            <w:tcMar>
              <w:top w:w="100" w:type="dxa"/>
              <w:left w:w="100" w:type="dxa"/>
              <w:bottom w:w="100" w:type="dxa"/>
              <w:right w:w="100" w:type="dxa"/>
            </w:tcMar>
          </w:tcPr>
          <w:p w14:paraId="786751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CPE2648</w:t>
            </w:r>
          </w:p>
        </w:tc>
        <w:tc>
          <w:tcPr>
            <w:tcW w:w="4395" w:type="dxa"/>
            <w:tcBorders>
              <w:left w:val="single" w:sz="4" w:space="0" w:color="000000"/>
            </w:tcBorders>
            <w:tcMar>
              <w:top w:w="100" w:type="dxa"/>
              <w:left w:w="100" w:type="dxa"/>
              <w:bottom w:w="100" w:type="dxa"/>
              <w:right w:w="100" w:type="dxa"/>
            </w:tcMar>
          </w:tcPr>
          <w:p w14:paraId="2EB5A8E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0A1C6E6C" w14:textId="77777777" w:rsidR="00AC68F5" w:rsidRDefault="00AC68F5">
            <w:pPr>
              <w:widowControl w:val="0"/>
              <w:spacing w:line="240" w:lineRule="auto"/>
              <w:jc w:val="both"/>
              <w:rPr>
                <w:rFonts w:ascii="Times New Roman" w:eastAsia="Times New Roman" w:hAnsi="Times New Roman" w:cs="Times New Roman"/>
                <w:sz w:val="24"/>
                <w:szCs w:val="24"/>
              </w:rPr>
            </w:pPr>
          </w:p>
          <w:p w14:paraId="7FC4DEE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EA925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61687DB" w14:textId="77777777" w:rsidR="00AC68F5" w:rsidRDefault="00AC68F5">
      <w:pPr>
        <w:jc w:val="both"/>
        <w:rPr>
          <w:rFonts w:ascii="Times New Roman" w:eastAsia="Times New Roman" w:hAnsi="Times New Roman" w:cs="Times New Roman"/>
          <w:sz w:val="24"/>
          <w:szCs w:val="24"/>
        </w:rPr>
      </w:pPr>
    </w:p>
    <w:p w14:paraId="3966B2CD" w14:textId="77777777" w:rsidR="00AC68F5" w:rsidRDefault="00AC68F5">
      <w:pPr>
        <w:jc w:val="both"/>
        <w:rPr>
          <w:rFonts w:ascii="Times New Roman" w:eastAsia="Times New Roman" w:hAnsi="Times New Roman" w:cs="Times New Roman"/>
        </w:rPr>
      </w:pPr>
    </w:p>
    <w:p w14:paraId="33E63EEF" w14:textId="77777777" w:rsidR="00AC68F5" w:rsidRDefault="00AC68F5">
      <w:pPr>
        <w:rPr>
          <w:rFonts w:ascii="Times New Roman" w:eastAsia="Times New Roman" w:hAnsi="Times New Roman" w:cs="Times New Roman"/>
        </w:rPr>
      </w:pPr>
    </w:p>
    <w:p w14:paraId="23093636" w14:textId="77777777" w:rsidR="00AC68F5" w:rsidRDefault="00BF649C">
      <w:pPr>
        <w:keepNex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71E282E" wp14:editId="2AF80EA8">
            <wp:extent cx="5943600" cy="3285490"/>
            <wp:effectExtent l="0" t="0" r="0" b="0"/>
            <wp:docPr id="1979156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285490"/>
                    </a:xfrm>
                    <a:prstGeom prst="rect">
                      <a:avLst/>
                    </a:prstGeom>
                    <a:ln/>
                  </pic:spPr>
                </pic:pic>
              </a:graphicData>
            </a:graphic>
          </wp:inline>
        </w:drawing>
      </w:r>
    </w:p>
    <w:p w14:paraId="337171DC" w14:textId="77777777" w:rsidR="00AC68F5" w:rsidRDefault="00BF649C">
      <w:pPr>
        <w:pBdr>
          <w:top w:val="nil"/>
          <w:left w:val="nil"/>
          <w:bottom w:val="nil"/>
          <w:right w:val="nil"/>
          <w:between w:val="nil"/>
        </w:pBdr>
        <w:spacing w:after="200" w:line="240" w:lineRule="auto"/>
        <w:jc w:val="both"/>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Figure 1 </w:t>
      </w:r>
      <w:r>
        <w:rPr>
          <w:rFonts w:ascii="Times New Roman" w:eastAsia="Times New Roman" w:hAnsi="Times New Roman" w:cs="Times New Roman"/>
          <w:b/>
          <w:i/>
          <w:color w:val="1F497D"/>
          <w:sz w:val="18"/>
          <w:szCs w:val="18"/>
        </w:rPr>
        <w:t>Representative</w:t>
      </w:r>
      <w:r>
        <w:rPr>
          <w:rFonts w:ascii="Times New Roman" w:eastAsia="Times New Roman" w:hAnsi="Times New Roman" w:cs="Times New Roman"/>
          <w:b/>
          <w:i/>
          <w:color w:val="1F497D"/>
          <w:sz w:val="18"/>
          <w:szCs w:val="18"/>
        </w:rPr>
        <w:t xml:space="preserve"> 2D interaction diagrams of ligand–protein complexes in Clostridium perfringens.</w:t>
      </w:r>
      <w:r>
        <w:rPr>
          <w:rFonts w:ascii="Times New Roman" w:eastAsia="Times New Roman" w:hAnsi="Times New Roman" w:cs="Times New Roman"/>
          <w:i/>
          <w:color w:val="1F497D"/>
          <w:sz w:val="18"/>
          <w:szCs w:val="18"/>
        </w:rPr>
        <w:br/>
        <w:t xml:space="preserve">(A) Interaction of </w:t>
      </w:r>
      <w:proofErr w:type="spellStart"/>
      <w:r>
        <w:rPr>
          <w:rFonts w:ascii="Times New Roman" w:eastAsia="Times New Roman" w:hAnsi="Times New Roman" w:cs="Times New Roman"/>
          <w:i/>
          <w:color w:val="1F497D"/>
          <w:sz w:val="18"/>
          <w:szCs w:val="18"/>
        </w:rPr>
        <w:t>Tuberosin</w:t>
      </w:r>
      <w:proofErr w:type="spellEnd"/>
      <w:r>
        <w:rPr>
          <w:rFonts w:ascii="Times New Roman" w:eastAsia="Times New Roman" w:hAnsi="Times New Roman" w:cs="Times New Roman"/>
          <w:i/>
          <w:color w:val="1F497D"/>
          <w:sz w:val="18"/>
          <w:szCs w:val="18"/>
        </w:rPr>
        <w:t xml:space="preserve"> with the hypothetical protein CPE0133, showing hydrogen bonds with residues Tyr173(A), Asn202(A), and Asn205(A) (green dashed lines) and surroundi</w:t>
      </w:r>
      <w:r>
        <w:rPr>
          <w:rFonts w:ascii="Times New Roman" w:eastAsia="Times New Roman" w:hAnsi="Times New Roman" w:cs="Times New Roman"/>
          <w:i/>
          <w:color w:val="1F497D"/>
          <w:sz w:val="18"/>
          <w:szCs w:val="18"/>
        </w:rPr>
        <w:t>ng hydrophobic contacts (red arcs).</w:t>
      </w:r>
      <w:r>
        <w:rPr>
          <w:rFonts w:ascii="Times New Roman" w:eastAsia="Times New Roman" w:hAnsi="Times New Roman" w:cs="Times New Roman"/>
          <w:i/>
          <w:color w:val="1F497D"/>
          <w:sz w:val="18"/>
          <w:szCs w:val="18"/>
        </w:rPr>
        <w:br/>
        <w:t xml:space="preserve">(B) Interaction of </w:t>
      </w:r>
      <w:proofErr w:type="spellStart"/>
      <w:r>
        <w:rPr>
          <w:rFonts w:ascii="Times New Roman" w:eastAsia="Times New Roman" w:hAnsi="Times New Roman" w:cs="Times New Roman"/>
          <w:i/>
          <w:color w:val="1F497D"/>
          <w:sz w:val="18"/>
          <w:szCs w:val="18"/>
        </w:rPr>
        <w:t>Glabridin</w:t>
      </w:r>
      <w:proofErr w:type="spellEnd"/>
      <w:r>
        <w:rPr>
          <w:rFonts w:ascii="Times New Roman" w:eastAsia="Times New Roman" w:hAnsi="Times New Roman" w:cs="Times New Roman"/>
          <w:i/>
          <w:color w:val="1F497D"/>
          <w:sz w:val="18"/>
          <w:szCs w:val="18"/>
        </w:rPr>
        <w:t xml:space="preserve"> with the hypothetical protein CPE0246, highlighting hydrogen bonding with Lys206(A), Ile238(A), and Asn242(A) along with adjacent hydrophobic interactions. These panels represent typical bind</w:t>
      </w:r>
      <w:r>
        <w:rPr>
          <w:rFonts w:ascii="Times New Roman" w:eastAsia="Times New Roman" w:hAnsi="Times New Roman" w:cs="Times New Roman"/>
          <w:i/>
          <w:color w:val="1F497D"/>
          <w:sz w:val="18"/>
          <w:szCs w:val="18"/>
        </w:rPr>
        <w:t>ing patterns observed among the top-ranked ligand–protein complexes identified through molecular docking analysis.</w:t>
      </w:r>
    </w:p>
    <w:p w14:paraId="2229E043" w14:textId="77777777" w:rsidR="00AC68F5" w:rsidRDefault="00AC68F5">
      <w:pPr>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p>
    <w:p w14:paraId="3B8D2DED" w14:textId="77777777" w:rsidR="00AC68F5" w:rsidRDefault="00AC68F5">
      <w:pPr>
        <w:rPr>
          <w:rFonts w:ascii="Times New Roman" w:eastAsia="Times New Roman" w:hAnsi="Times New Roman" w:cs="Times New Roman"/>
        </w:rPr>
      </w:pPr>
    </w:p>
    <w:p w14:paraId="3227B0CB"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37B63177"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study was to identify novel drug targets within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proteome through the use of subtract</w:t>
      </w:r>
      <w:r>
        <w:rPr>
          <w:rFonts w:ascii="Times New Roman" w:eastAsia="Times New Roman" w:hAnsi="Times New Roman" w:cs="Times New Roman"/>
          <w:sz w:val="24"/>
          <w:szCs w:val="24"/>
        </w:rPr>
        <w:t xml:space="preserve">ive proteomics. This was accomplished by carefully narrowing down the set of proteins that were determined to play important roles in the functions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while still remaining distinct from the proteomes of other bacteria present within the hum</w:t>
      </w:r>
      <w:r>
        <w:rPr>
          <w:rFonts w:ascii="Times New Roman" w:eastAsia="Times New Roman" w:hAnsi="Times New Roman" w:cs="Times New Roman"/>
          <w:sz w:val="24"/>
          <w:szCs w:val="24"/>
        </w:rPr>
        <w:t xml:space="preserve">an microbiome. This rigorous filtering process, which allowed 22 potential drug targets to be identified from an initial proteome of 2,661 proteins, emphasizes the inherent strength of computational analysis in finding drug target candidates which warrant </w:t>
      </w:r>
      <w:r>
        <w:rPr>
          <w:rFonts w:ascii="Times New Roman" w:eastAsia="Times New Roman" w:hAnsi="Times New Roman" w:cs="Times New Roman"/>
          <w:sz w:val="24"/>
          <w:szCs w:val="24"/>
        </w:rPr>
        <w:t xml:space="preserve">immediate further experimental investigation. The results found line up with previous observations that conserved hypothetical proteins (CHPs) can harbor undiscovered vulnerabilities in bacterial pathogens. </w:t>
      </w:r>
    </w:p>
    <w:p w14:paraId="63947446"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rapid progression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nfection and its escalating resistance to some first-line therapies, discovering new methods of treatment is critical. While other studies have focused on established toxin genes or virulence factors, this analysis deliberately aimed to expand the scope of</w:t>
      </w:r>
      <w:r>
        <w:rPr>
          <w:rFonts w:ascii="Times New Roman" w:eastAsia="Times New Roman" w:hAnsi="Times New Roman" w:cs="Times New Roman"/>
          <w:sz w:val="24"/>
          <w:szCs w:val="24"/>
        </w:rPr>
        <w:t xml:space="preserve"> inquiry by exploring proteins whose functions are poorly characterized but which are predicted to be both conserved and essential. In doing so, this analysis provides a complementary therapeutic </w:t>
      </w:r>
      <w:r>
        <w:rPr>
          <w:rFonts w:ascii="Times New Roman" w:eastAsia="Times New Roman" w:hAnsi="Times New Roman" w:cs="Times New Roman"/>
          <w:sz w:val="24"/>
          <w:szCs w:val="24"/>
        </w:rPr>
        <w:lastRenderedPageBreak/>
        <w:t xml:space="preserve">view to existing literature in the field and contributes to </w:t>
      </w:r>
      <w:r>
        <w:rPr>
          <w:rFonts w:ascii="Times New Roman" w:eastAsia="Times New Roman" w:hAnsi="Times New Roman" w:cs="Times New Roman"/>
          <w:sz w:val="24"/>
          <w:szCs w:val="24"/>
        </w:rPr>
        <w:t xml:space="preserve">a broader understanding of how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through novel mechanisms. It is possible to speculate on the biological roles of the proteins identified in this study. </w:t>
      </w:r>
    </w:p>
    <w:p w14:paraId="513D9DA9"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Conserved hypothetical proteins frequently take part in essential cellular proc</w:t>
      </w:r>
      <w:r>
        <w:rPr>
          <w:rFonts w:ascii="Times New Roman" w:eastAsia="Times New Roman" w:hAnsi="Times New Roman" w:cs="Times New Roman"/>
          <w:sz w:val="24"/>
          <w:szCs w:val="24"/>
        </w:rPr>
        <w:t>esses, which include replication, core metabolism, and maintenance of the cell wall [18]. If these proteins are disrupted, the bacteria may lose its fundamental ability to sustain itself or produce toxins, both of which are key to successful infection. For</w:t>
      </w:r>
      <w:r>
        <w:rPr>
          <w:rFonts w:ascii="Times New Roman" w:eastAsia="Times New Roman" w:hAnsi="Times New Roman" w:cs="Times New Roman"/>
          <w:sz w:val="24"/>
          <w:szCs w:val="24"/>
        </w:rPr>
        <w:t xml:space="preserve"> this reason, targeting these specific CHPs could provide a novel way to weaken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either as a standalone agent or, more promisingly, in combination with existing antibiotics to circumvent resistance mechanisms. Though this method of subtracti</w:t>
      </w:r>
      <w:r>
        <w:rPr>
          <w:rFonts w:ascii="Times New Roman" w:eastAsia="Times New Roman" w:hAnsi="Times New Roman" w:cs="Times New Roman"/>
          <w:sz w:val="24"/>
          <w:szCs w:val="24"/>
        </w:rPr>
        <w:t>ve proteomics presents a clear strength in its multilayered approach—layering various predictive indices to determine ideal drug targets and screening small-molecule ligands—certain limitations must be acknowledged. All findings of this analysis are purely</w:t>
      </w:r>
      <w:r>
        <w:rPr>
          <w:rFonts w:ascii="Times New Roman" w:eastAsia="Times New Roman" w:hAnsi="Times New Roman" w:cs="Times New Roman"/>
          <w:sz w:val="24"/>
          <w:szCs w:val="24"/>
        </w:rPr>
        <w:t xml:space="preserve"> predictive until they are validated through experimental means. Although many strong computational tools exist, they are inherently imperfect and may be prone to false positives (predicting non-essential proteins as viable targets) and false negatives (ex</w:t>
      </w:r>
      <w:r>
        <w:rPr>
          <w:rFonts w:ascii="Times New Roman" w:eastAsia="Times New Roman" w:hAnsi="Times New Roman" w:cs="Times New Roman"/>
          <w:sz w:val="24"/>
          <w:szCs w:val="24"/>
        </w:rPr>
        <w:t>cluding true targets due to overly stringent cutoffs). Therefore, any predictions made must be rigorously tested experimentally before further work is done using the proteins or lead compounds found in this analysis. More broadly, this study aims to suppor</w:t>
      </w:r>
      <w:r>
        <w:rPr>
          <w:rFonts w:ascii="Times New Roman" w:eastAsia="Times New Roman" w:hAnsi="Times New Roman" w:cs="Times New Roman"/>
          <w:sz w:val="24"/>
          <w:szCs w:val="24"/>
        </w:rPr>
        <w:t>t a strong argument for the functionality and necessity of computational pipelines and analysis for accelerating drug discovery against rapidly evolving bacterial pathogens. The precise framework used here could be directly applied to other species that pr</w:t>
      </w:r>
      <w:r>
        <w:rPr>
          <w:rFonts w:ascii="Times New Roman" w:eastAsia="Times New Roman" w:hAnsi="Times New Roman" w:cs="Times New Roman"/>
          <w:sz w:val="24"/>
          <w:szCs w:val="24"/>
        </w:rPr>
        <w:t>esent an urgent need for clinical intervention, possibly allowing for faster and cheaper drug development, particularly during the crucial early stages of target identification. In the context of the ever-increasing global threat of antimicrobial resistanc</w:t>
      </w:r>
      <w:r>
        <w:rPr>
          <w:rFonts w:ascii="Times New Roman" w:eastAsia="Times New Roman" w:hAnsi="Times New Roman" w:cs="Times New Roman"/>
          <w:sz w:val="24"/>
          <w:szCs w:val="24"/>
        </w:rPr>
        <w:t>e, approaches such as this represent a pragmatic and significant step towards creating a more diverse and complete therapeutic design.</w:t>
      </w:r>
    </w:p>
    <w:p w14:paraId="43D63C61"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0CD722DE"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leveraged a robust subtractive proteomics and molecular docking pipeline to address the urgent need</w:t>
      </w:r>
      <w:r>
        <w:rPr>
          <w:rFonts w:ascii="Times New Roman" w:eastAsia="Times New Roman" w:hAnsi="Times New Roman" w:cs="Times New Roman"/>
          <w:sz w:val="24"/>
          <w:szCs w:val="24"/>
        </w:rPr>
        <w:t xml:space="preserve"> for novel therapeutic interventions against the rapidly evolving pathogen,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Through sequential in silico filtering based on essentiality, stability, cellular accessibility, and non-homology, we successfully narrowed the complete pr</w:t>
      </w:r>
      <w:r>
        <w:rPr>
          <w:rFonts w:ascii="Times New Roman" w:eastAsia="Times New Roman" w:hAnsi="Times New Roman" w:cs="Times New Roman"/>
          <w:sz w:val="24"/>
          <w:szCs w:val="24"/>
        </w:rPr>
        <w:t>oteome to 22 high-priority conserved hypothetical protein (CHP) drug targets. Crucially, the non-homology screen confirmed the predicted high specificity of these targets against the human gut microbiome, minimizing the risk of off-target dysbiosis associa</w:t>
      </w:r>
      <w:r>
        <w:rPr>
          <w:rFonts w:ascii="Times New Roman" w:eastAsia="Times New Roman" w:hAnsi="Times New Roman" w:cs="Times New Roman"/>
          <w:sz w:val="24"/>
          <w:szCs w:val="24"/>
        </w:rPr>
        <w:t>ted with current broad-spectrum antimicrobials.</w:t>
      </w:r>
    </w:p>
    <w:p w14:paraId="34615905"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 comprehensive molecular docking screen identified 69 drug-like phytochemical compounds that exhibited favorable binding </w:t>
      </w:r>
      <w:proofErr w:type="spellStart"/>
      <w:r>
        <w:rPr>
          <w:rFonts w:ascii="Times New Roman" w:eastAsia="Times New Roman" w:hAnsi="Times New Roman" w:cs="Times New Roman"/>
          <w:sz w:val="24"/>
          <w:szCs w:val="24"/>
        </w:rPr>
        <w:t>affinitie</w:t>
      </w:r>
      <w:proofErr w:type="spellEnd"/>
      <w:r>
        <w:rPr>
          <w:rFonts w:ascii="Times New Roman" w:eastAsia="Times New Roman" w:hAnsi="Times New Roman" w:cs="Times New Roman"/>
          <w:sz w:val="24"/>
          <w:szCs w:val="24"/>
        </w:rPr>
        <w:t xml:space="preserve"> for these 22 targets, providing concrete chemical starting poin</w:t>
      </w:r>
      <w:r>
        <w:rPr>
          <w:rFonts w:ascii="Times New Roman" w:eastAsia="Times New Roman" w:hAnsi="Times New Roman" w:cs="Times New Roman"/>
          <w:sz w:val="24"/>
          <w:szCs w:val="24"/>
        </w:rPr>
        <w:t>ts for drug development.</w:t>
      </w:r>
    </w:p>
    <w:p w14:paraId="15A0DB67"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provides a powerful, validated blueprint that dramatically accelerates the initial stages of target and lead compound identification. The 22 unique protein candidates are now primed for </w:t>
      </w:r>
      <w:r>
        <w:rPr>
          <w:rFonts w:ascii="Times New Roman" w:eastAsia="Times New Roman" w:hAnsi="Times New Roman" w:cs="Times New Roman"/>
          <w:sz w:val="24"/>
          <w:szCs w:val="24"/>
        </w:rPr>
        <w:lastRenderedPageBreak/>
        <w:t>immediate experimental validation t</w:t>
      </w:r>
      <w:r>
        <w:rPr>
          <w:rFonts w:ascii="Times New Roman" w:eastAsia="Times New Roman" w:hAnsi="Times New Roman" w:cs="Times New Roman"/>
          <w:sz w:val="24"/>
          <w:szCs w:val="24"/>
        </w:rPr>
        <w:t xml:space="preserve">hrough essentiality testing and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binding assays, representing a significant step toward developing a new class of targeted antibiotics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and providing a scalable methodology to fight the global threat of antimicrobial resistance.</w:t>
      </w:r>
    </w:p>
    <w:p w14:paraId="570DB5F0" w14:textId="77777777" w:rsidR="00AC68F5" w:rsidRDefault="00AC68F5">
      <w:pPr>
        <w:spacing w:before="240" w:after="240"/>
        <w:rPr>
          <w:rFonts w:ascii="Times New Roman" w:eastAsia="Times New Roman" w:hAnsi="Times New Roman" w:cs="Times New Roman"/>
          <w:sz w:val="24"/>
          <w:szCs w:val="24"/>
        </w:rPr>
      </w:pPr>
    </w:p>
    <w:p w14:paraId="4409A8E1" w14:textId="77777777" w:rsidR="00AC68F5" w:rsidRDefault="00AC68F5">
      <w:pPr>
        <w:spacing w:before="240" w:after="240"/>
        <w:rPr>
          <w:rFonts w:ascii="Times New Roman" w:eastAsia="Times New Roman" w:hAnsi="Times New Roman" w:cs="Times New Roman"/>
          <w:b/>
          <w:sz w:val="24"/>
          <w:szCs w:val="24"/>
        </w:rPr>
      </w:pPr>
    </w:p>
    <w:p w14:paraId="41A0A0C5" w14:textId="77777777" w:rsidR="00AC68F5" w:rsidRDefault="00BF649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Abbreviations</w:t>
      </w:r>
    </w:p>
    <w:p w14:paraId="4A44880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Kcal – kilocalories; Mol – mole; AMR - Antimicrobial Resistance; NCBI - National Center for Biotechnology Information;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 theoretical isoelectric point; GRAVY - grand average of hydropathicity; BLAST - Basic Local Alignment Search Tool; GMQE - Global Model Quality Estimation; QMEAN - Qualitative Model Energy Analysis; SMILES - Simplified Molecular-Input Line-Entry System; </w:t>
      </w:r>
      <w:r>
        <w:rPr>
          <w:rFonts w:ascii="Times New Roman" w:eastAsia="Times New Roman" w:hAnsi="Times New Roman" w:cs="Times New Roman"/>
          <w:sz w:val="24"/>
          <w:szCs w:val="24"/>
        </w:rPr>
        <w:t>ADME - Absorption, Distribution, Metabolism, and Excretion; UCSF - University of California, San Francisco</w:t>
      </w:r>
    </w:p>
    <w:p w14:paraId="27F81919"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Ethics approval and consent to participate:</w:t>
      </w:r>
      <w:r w:rsidRPr="00740E03">
        <w:rPr>
          <w:rFonts w:ascii="Times New Roman" w:eastAsia="Times New Roman" w:hAnsi="Times New Roman" w:cs="Times New Roman"/>
          <w:sz w:val="24"/>
          <w:szCs w:val="24"/>
          <w:lang w:val="en-IN"/>
        </w:rPr>
        <w:t xml:space="preserve"> Not applicable.</w:t>
      </w:r>
    </w:p>
    <w:p w14:paraId="1678D168"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Consent for publication: </w:t>
      </w:r>
      <w:r w:rsidRPr="00740E03">
        <w:rPr>
          <w:rFonts w:ascii="Times New Roman" w:eastAsia="Times New Roman" w:hAnsi="Times New Roman" w:cs="Times New Roman"/>
          <w:sz w:val="24"/>
          <w:szCs w:val="24"/>
          <w:lang w:val="en-IN"/>
        </w:rPr>
        <w:t>Not applicable.</w:t>
      </w:r>
    </w:p>
    <w:p w14:paraId="6D9B90CD" w14:textId="2BE2C84B"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Data Availability Statement:</w:t>
      </w:r>
      <w:r w:rsidRPr="00740E03">
        <w:rPr>
          <w:rFonts w:ascii="Times New Roman" w:eastAsia="Times New Roman" w:hAnsi="Times New Roman" w:cs="Times New Roman"/>
          <w:sz w:val="24"/>
          <w:szCs w:val="24"/>
          <w:lang w:val="en-IN"/>
        </w:rPr>
        <w:t xml:space="preserve"> All data generated or </w:t>
      </w:r>
      <w:proofErr w:type="spellStart"/>
      <w:r w:rsidRPr="00740E03">
        <w:rPr>
          <w:rFonts w:ascii="Times New Roman" w:eastAsia="Times New Roman" w:hAnsi="Times New Roman" w:cs="Times New Roman"/>
          <w:sz w:val="24"/>
          <w:szCs w:val="24"/>
          <w:lang w:val="en-IN"/>
        </w:rPr>
        <w:t>analyzed</w:t>
      </w:r>
      <w:proofErr w:type="spellEnd"/>
      <w:r w:rsidRPr="00740E03">
        <w:rPr>
          <w:rFonts w:ascii="Times New Roman" w:eastAsia="Times New Roman" w:hAnsi="Times New Roman" w:cs="Times New Roman"/>
          <w:sz w:val="24"/>
          <w:szCs w:val="24"/>
          <w:lang w:val="en-IN"/>
        </w:rPr>
        <w:t xml:space="preserve"> during this study are included in this</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published article.</w:t>
      </w:r>
    </w:p>
    <w:p w14:paraId="42231B95" w14:textId="275984F8" w:rsidR="00AC68F5"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Declaration of Competing Interest: </w:t>
      </w:r>
      <w:r w:rsidRPr="00740E03">
        <w:rPr>
          <w:rFonts w:ascii="Times New Roman" w:eastAsia="Times New Roman" w:hAnsi="Times New Roman" w:cs="Times New Roman"/>
          <w:sz w:val="24"/>
          <w:szCs w:val="24"/>
          <w:lang w:val="en-IN"/>
        </w:rPr>
        <w:t>The authors declare that the research was conducted in the</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absence of any commercial or financial relationships that could be construed as a potential conflict</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of interest.</w:t>
      </w:r>
    </w:p>
    <w:p w14:paraId="57E5EEF5" w14:textId="77777777" w:rsidR="00AC68F5" w:rsidRDefault="00AC68F5">
      <w:pPr>
        <w:spacing w:before="240" w:after="240"/>
        <w:rPr>
          <w:rFonts w:ascii="Times New Roman" w:eastAsia="Times New Roman" w:hAnsi="Times New Roman" w:cs="Times New Roman"/>
          <w:sz w:val="24"/>
          <w:szCs w:val="24"/>
        </w:rPr>
      </w:pPr>
    </w:p>
    <w:p w14:paraId="2B0CFFF3" w14:textId="77777777" w:rsidR="00AC68F5" w:rsidRDefault="00AC68F5">
      <w:pPr>
        <w:spacing w:before="240" w:after="240"/>
        <w:rPr>
          <w:rFonts w:ascii="Times New Roman" w:eastAsia="Times New Roman" w:hAnsi="Times New Roman" w:cs="Times New Roman"/>
          <w:sz w:val="24"/>
          <w:szCs w:val="24"/>
        </w:rPr>
      </w:pPr>
    </w:p>
    <w:p w14:paraId="2CC3EA0A" w14:textId="77777777" w:rsidR="00AC68F5" w:rsidRDefault="00BF649C">
      <w:pPr>
        <w:spacing w:before="240" w:after="240"/>
        <w:rPr>
          <w:rFonts w:ascii="Times New Roman" w:eastAsia="Times New Roman" w:hAnsi="Times New Roman" w:cs="Times New Roman"/>
          <w:b/>
          <w:sz w:val="36"/>
          <w:szCs w:val="36"/>
        </w:rPr>
      </w:pPr>
      <w:r>
        <w:rPr>
          <w:rFonts w:ascii="Times New Roman" w:eastAsia="Times New Roman" w:hAnsi="Times New Roman" w:cs="Times New Roman"/>
          <w:b/>
          <w:sz w:val="24"/>
          <w:szCs w:val="24"/>
        </w:rPr>
        <w:t>References:</w:t>
      </w:r>
    </w:p>
    <w:p w14:paraId="72F6568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 Yao and P. </w:t>
      </w:r>
      <w:proofErr w:type="spellStart"/>
      <w:r>
        <w:rPr>
          <w:rFonts w:ascii="Times New Roman" w:eastAsia="Times New Roman" w:hAnsi="Times New Roman" w:cs="Times New Roman"/>
          <w:sz w:val="24"/>
          <w:szCs w:val="24"/>
        </w:rPr>
        <w:t>Annamaraju</w:t>
      </w:r>
      <w:proofErr w:type="spellEnd"/>
      <w:r>
        <w:rPr>
          <w:rFonts w:ascii="Times New Roman" w:eastAsia="Times New Roman" w:hAnsi="Times New Roman" w:cs="Times New Roman"/>
          <w:sz w:val="24"/>
          <w:szCs w:val="24"/>
        </w:rPr>
        <w:t xml:space="preserve">, “Clostridium Perfringens,” </w:t>
      </w:r>
      <w:r>
        <w:rPr>
          <w:rFonts w:ascii="Times New Roman" w:eastAsia="Times New Roman" w:hAnsi="Times New Roman" w:cs="Times New Roman"/>
          <w:i/>
          <w:sz w:val="24"/>
          <w:szCs w:val="24"/>
        </w:rPr>
        <w:t>PubMed</w:t>
      </w:r>
      <w:r>
        <w:rPr>
          <w:rFonts w:ascii="Times New Roman" w:eastAsia="Times New Roman" w:hAnsi="Times New Roman" w:cs="Times New Roman"/>
          <w:sz w:val="24"/>
          <w:szCs w:val="24"/>
        </w:rPr>
        <w:t>, Aug. 08, 2023. https://www.ncbi.nlm.nih.gov/books/NBK559049/</w:t>
      </w:r>
    </w:p>
    <w:p w14:paraId="6F624B2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2]T.</w:t>
      </w:r>
      <w:proofErr w:type="gramEnd"/>
      <w:r>
        <w:rPr>
          <w:rFonts w:ascii="Times New Roman" w:eastAsia="Times New Roman" w:hAnsi="Times New Roman" w:cs="Times New Roman"/>
          <w:sz w:val="24"/>
          <w:szCs w:val="24"/>
        </w:rPr>
        <w:t xml:space="preserve"> Mada, K. Ochi, M. Okamoto, and D. Takamatsu, “First genomic analysis of a Clostridium perfringens strain carrying both the </w:t>
      </w:r>
      <w:proofErr w:type="spellStart"/>
      <w:r>
        <w:rPr>
          <w:rFonts w:ascii="Times New Roman" w:eastAsia="Times New Roman" w:hAnsi="Times New Roman" w:cs="Times New Roman"/>
          <w:sz w:val="24"/>
          <w:szCs w:val="24"/>
        </w:rPr>
        <w:t>cpe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netB</w:t>
      </w:r>
      <w:proofErr w:type="spellEnd"/>
      <w:r>
        <w:rPr>
          <w:rFonts w:ascii="Times New Roman" w:eastAsia="Times New Roman" w:hAnsi="Times New Roman" w:cs="Times New Roman"/>
          <w:sz w:val="24"/>
          <w:szCs w:val="24"/>
        </w:rPr>
        <w:t xml:space="preserve"> genes and the proposal of an amended toxin-based typing scheme,”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vol. 16, May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w:t>
      </w:r>
      <w:r>
        <w:rPr>
          <w:rFonts w:ascii="Times New Roman" w:eastAsia="Times New Roman" w:hAnsi="Times New Roman" w:cs="Times New Roman"/>
          <w:sz w:val="24"/>
          <w:szCs w:val="24"/>
        </w:rPr>
        <w:t>ps://doi.org/10.3389/fmicb.2025.1580271.</w:t>
      </w:r>
    </w:p>
    <w:p w14:paraId="28EA671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J. Li, D. Paredes-</w:t>
      </w:r>
      <w:proofErr w:type="spellStart"/>
      <w:r>
        <w:rPr>
          <w:rFonts w:ascii="Times New Roman" w:eastAsia="Times New Roman" w:hAnsi="Times New Roman" w:cs="Times New Roman"/>
          <w:sz w:val="24"/>
          <w:szCs w:val="24"/>
        </w:rPr>
        <w:t>Sabja</w:t>
      </w:r>
      <w:proofErr w:type="spellEnd"/>
      <w:r>
        <w:rPr>
          <w:rFonts w:ascii="Times New Roman" w:eastAsia="Times New Roman" w:hAnsi="Times New Roman" w:cs="Times New Roman"/>
          <w:sz w:val="24"/>
          <w:szCs w:val="24"/>
        </w:rPr>
        <w:t xml:space="preserve">, M. R. Sarker, and B. A. McClane, “Clostridium perfringens Sporulation and Sporulation-Associated Toxin Production,”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4, no. 3, Jun. 2016,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w:t>
      </w:r>
      <w:r>
        <w:rPr>
          <w:rFonts w:ascii="Times New Roman" w:eastAsia="Times New Roman" w:hAnsi="Times New Roman" w:cs="Times New Roman"/>
          <w:sz w:val="24"/>
          <w:szCs w:val="24"/>
        </w:rPr>
        <w:t>10.1128/microbiolspec.tbs-0022-2015.</w:t>
      </w:r>
    </w:p>
    <w:p w14:paraId="4381DFA8"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 Geremia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subanalysis</w:t>
      </w:r>
      <w:proofErr w:type="spellEnd"/>
      <w:r>
        <w:rPr>
          <w:rFonts w:ascii="Times New Roman" w:eastAsia="Times New Roman" w:hAnsi="Times New Roman" w:cs="Times New Roman"/>
          <w:sz w:val="24"/>
          <w:szCs w:val="24"/>
        </w:rPr>
        <w:t xml:space="preserve"> of Clostridium perfringens bloodstream infections from a 5-year retrospective nationwide survey (ITANAEROBY),” </w:t>
      </w:r>
      <w:r>
        <w:rPr>
          <w:rFonts w:ascii="Times New Roman" w:eastAsia="Times New Roman" w:hAnsi="Times New Roman" w:cs="Times New Roman"/>
          <w:i/>
          <w:sz w:val="24"/>
          <w:szCs w:val="24"/>
        </w:rPr>
        <w:t>Anaerobe</w:t>
      </w:r>
      <w:r>
        <w:rPr>
          <w:rFonts w:ascii="Times New Roman" w:eastAsia="Times New Roman" w:hAnsi="Times New Roman" w:cs="Times New Roman"/>
          <w:sz w:val="24"/>
          <w:szCs w:val="24"/>
        </w:rPr>
        <w:t xml:space="preserve">, pp. 102901–102901, Aug. 2024,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w:t>
      </w:r>
      <w:r>
        <w:rPr>
          <w:rFonts w:ascii="Times New Roman" w:eastAsia="Times New Roman" w:hAnsi="Times New Roman" w:cs="Times New Roman"/>
          <w:sz w:val="24"/>
          <w:szCs w:val="24"/>
        </w:rPr>
        <w:t>.anaerobe.2024.102901.</w:t>
      </w:r>
    </w:p>
    <w:p w14:paraId="686E04F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 Chakma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analysis of a novel hypothetical protein (YP_498675.1) from Staphylococcus aureus unravels the protein of tryptophan synthase beta superfamily (Try-synth-beta_ II),” </w:t>
      </w:r>
      <w:r>
        <w:rPr>
          <w:rFonts w:ascii="Times New Roman" w:eastAsia="Times New Roman" w:hAnsi="Times New Roman" w:cs="Times New Roman"/>
          <w:i/>
          <w:sz w:val="24"/>
          <w:szCs w:val="24"/>
        </w:rPr>
        <w:t>Journal of Genetic Engineering and</w:t>
      </w:r>
      <w:r>
        <w:rPr>
          <w:rFonts w:ascii="Times New Roman" w:eastAsia="Times New Roman" w:hAnsi="Times New Roman" w:cs="Times New Roman"/>
          <w:i/>
          <w:sz w:val="24"/>
          <w:szCs w:val="24"/>
        </w:rPr>
        <w:t xml:space="preserve"> Biotechnology</w:t>
      </w:r>
      <w:r>
        <w:rPr>
          <w:rFonts w:ascii="Times New Roman" w:eastAsia="Times New Roman" w:hAnsi="Times New Roman" w:cs="Times New Roman"/>
          <w:sz w:val="24"/>
          <w:szCs w:val="24"/>
        </w:rPr>
        <w:t xml:space="preserve">, vol. 21, no. 1, pp. 135–135, Dec.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https://doi.org/10.1186/s43141-023-00613-7.</w:t>
      </w:r>
    </w:p>
    <w:p w14:paraId="5FC2AA1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Md. Atikur Rahman, Uzma Habiba Heme, and K. Parvez, “In silico functional annotation of hypothetical proteins from the Bacillus </w:t>
      </w:r>
      <w:proofErr w:type="spellStart"/>
      <w:r>
        <w:rPr>
          <w:rFonts w:ascii="Times New Roman" w:eastAsia="Times New Roman" w:hAnsi="Times New Roman" w:cs="Times New Roman"/>
          <w:sz w:val="24"/>
          <w:szCs w:val="24"/>
        </w:rPr>
        <w:t>paralicheniformis</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train Bac84 reveals proteins with biotechnological potentials and adaptational functions to extreme environments,”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vol. 17, no. 10, pp. e0276085–e0276085,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https://doi.org/10.1371/journal.pone.0276085.</w:t>
      </w:r>
    </w:p>
    <w:p w14:paraId="4A040D1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A. N. Schuetz, “Antimicro</w:t>
      </w:r>
      <w:r>
        <w:rPr>
          <w:rFonts w:ascii="Times New Roman" w:eastAsia="Times New Roman" w:hAnsi="Times New Roman" w:cs="Times New Roman"/>
          <w:sz w:val="24"/>
          <w:szCs w:val="24"/>
        </w:rPr>
        <w:t xml:space="preserve">bial Resistance and Susceptibility Testing of Anaerobic Bacteria,” </w:t>
      </w:r>
      <w:r>
        <w:rPr>
          <w:rFonts w:ascii="Times New Roman" w:eastAsia="Times New Roman" w:hAnsi="Times New Roman" w:cs="Times New Roman"/>
          <w:i/>
          <w:sz w:val="24"/>
          <w:szCs w:val="24"/>
        </w:rPr>
        <w:t>Clinical Infectious Diseases</w:t>
      </w:r>
      <w:r>
        <w:rPr>
          <w:rFonts w:ascii="Times New Roman" w:eastAsia="Times New Roman" w:hAnsi="Times New Roman" w:cs="Times New Roman"/>
          <w:sz w:val="24"/>
          <w:szCs w:val="24"/>
        </w:rPr>
        <w:t xml:space="preserve">, vol. 59, no. 5, pp. 698–705, May 2014,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https://doi.org/10.1093/cid/ciu395.</w:t>
      </w:r>
    </w:p>
    <w:p w14:paraId="187647C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T. Ramatla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“Prevalence and antimicrobial resistance patterns of Clo</w:t>
      </w:r>
      <w:r>
        <w:rPr>
          <w:rFonts w:ascii="Times New Roman" w:eastAsia="Times New Roman" w:hAnsi="Times New Roman" w:cs="Times New Roman"/>
          <w:sz w:val="24"/>
          <w:szCs w:val="24"/>
        </w:rPr>
        <w:t xml:space="preserve">stridium perfringens from healthy broiler chickens: A potential public health threat,” </w:t>
      </w:r>
      <w:r>
        <w:rPr>
          <w:rFonts w:ascii="Times New Roman" w:eastAsia="Times New Roman" w:hAnsi="Times New Roman" w:cs="Times New Roman"/>
          <w:i/>
          <w:sz w:val="24"/>
          <w:szCs w:val="24"/>
        </w:rPr>
        <w:t>One Health</w:t>
      </w:r>
      <w:r>
        <w:rPr>
          <w:rFonts w:ascii="Times New Roman" w:eastAsia="Times New Roman" w:hAnsi="Times New Roman" w:cs="Times New Roman"/>
          <w:sz w:val="24"/>
          <w:szCs w:val="24"/>
        </w:rPr>
        <w:t xml:space="preserve">, vol. 21, p. 101156, Jul.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https://doi.org/10.1016/j.onehlt.2025.101156.</w:t>
      </w:r>
    </w:p>
    <w:p w14:paraId="0CAC67C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M. Archambault and J. E. Rubin, “Antimicrobial Resistance in Clostridiu</w:t>
      </w:r>
      <w:r>
        <w:rPr>
          <w:rFonts w:ascii="Times New Roman" w:eastAsia="Times New Roman" w:hAnsi="Times New Roman" w:cs="Times New Roman"/>
          <w:sz w:val="24"/>
          <w:szCs w:val="24"/>
        </w:rPr>
        <w:t xml:space="preserve">m and </w:t>
      </w:r>
      <w:proofErr w:type="spellStart"/>
      <w:r>
        <w:rPr>
          <w:rFonts w:ascii="Times New Roman" w:eastAsia="Times New Roman" w:hAnsi="Times New Roman" w:cs="Times New Roman"/>
          <w:sz w:val="24"/>
          <w:szCs w:val="24"/>
        </w:rPr>
        <w:t>Brachyspira</w:t>
      </w:r>
      <w:proofErr w:type="spellEnd"/>
      <w:r>
        <w:rPr>
          <w:rFonts w:ascii="Times New Roman" w:eastAsia="Times New Roman" w:hAnsi="Times New Roman" w:cs="Times New Roman"/>
          <w:sz w:val="24"/>
          <w:szCs w:val="24"/>
        </w:rPr>
        <w:t xml:space="preserve"> spp. and Other Anaerobes,”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8, no. 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https://doi.org/10.1128/microbiolspec.arba-0020-2017.</w:t>
      </w:r>
    </w:p>
    <w:p w14:paraId="4D15DF8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Z. Yang, J. Hou, M. Mu, and S. Y. Wu, “Subtractive proteomics and systems biology analysis reveale</w:t>
      </w:r>
      <w:r>
        <w:rPr>
          <w:rFonts w:ascii="Times New Roman" w:eastAsia="Times New Roman" w:hAnsi="Times New Roman" w:cs="Times New Roman"/>
          <w:sz w:val="24"/>
          <w:szCs w:val="24"/>
        </w:rPr>
        <w:t xml:space="preserve">d novel drug targets in Mycoplasma </w:t>
      </w:r>
      <w:proofErr w:type="spellStart"/>
      <w:r>
        <w:rPr>
          <w:rFonts w:ascii="Times New Roman" w:eastAsia="Times New Roman" w:hAnsi="Times New Roman" w:cs="Times New Roman"/>
          <w:sz w:val="24"/>
          <w:szCs w:val="24"/>
        </w:rPr>
        <w:t>genitalium</w:t>
      </w:r>
      <w:proofErr w:type="spellEnd"/>
      <w:r>
        <w:rPr>
          <w:rFonts w:ascii="Times New Roman" w:eastAsia="Times New Roman" w:hAnsi="Times New Roman" w:cs="Times New Roman"/>
          <w:sz w:val="24"/>
          <w:szCs w:val="24"/>
        </w:rPr>
        <w:t xml:space="preserve"> strain G37,” </w:t>
      </w:r>
      <w:r>
        <w:rPr>
          <w:rFonts w:ascii="Times New Roman" w:eastAsia="Times New Roman" w:hAnsi="Times New Roman" w:cs="Times New Roman"/>
          <w:i/>
          <w:sz w:val="24"/>
          <w:szCs w:val="24"/>
        </w:rPr>
        <w:t>Microbial Pathogenesis</w:t>
      </w:r>
      <w:r>
        <w:rPr>
          <w:rFonts w:ascii="Times New Roman" w:eastAsia="Times New Roman" w:hAnsi="Times New Roman" w:cs="Times New Roman"/>
          <w:sz w:val="24"/>
          <w:szCs w:val="24"/>
        </w:rPr>
        <w:t xml:space="preserve">, vol. 145, p. 104231, Apr.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https://doi.org/10.1016/j.micpath.2020.104231.</w:t>
      </w:r>
    </w:p>
    <w:p w14:paraId="5B2D64F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Shalini Maurya, Salman Akhtar, Mohammed Haris Siddiqui, and Mohammed Kalim Ahmad Kha</w:t>
      </w:r>
      <w:r>
        <w:rPr>
          <w:rFonts w:ascii="Times New Roman" w:eastAsia="Times New Roman" w:hAnsi="Times New Roman" w:cs="Times New Roman"/>
          <w:sz w:val="24"/>
          <w:szCs w:val="24"/>
        </w:rPr>
        <w:t xml:space="preserve">n, “Subtractive Proteomics for Identification of Drug Targets in Bacterial Pathogens: A Review,” </w:t>
      </w:r>
      <w:r>
        <w:rPr>
          <w:rFonts w:ascii="Times New Roman" w:eastAsia="Times New Roman" w:hAnsi="Times New Roman" w:cs="Times New Roman"/>
          <w:i/>
          <w:sz w:val="24"/>
          <w:szCs w:val="24"/>
        </w:rPr>
        <w:t>International Journal of Engineering Research and</w:t>
      </w:r>
      <w:r>
        <w:rPr>
          <w:rFonts w:ascii="Times New Roman" w:eastAsia="Times New Roman" w:hAnsi="Times New Roman" w:cs="Times New Roman"/>
          <w:sz w:val="24"/>
          <w:szCs w:val="24"/>
        </w:rPr>
        <w:t xml:space="preserve">, vol. V9, no. 01,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https://doi.org/10.17577/ijertv9is010169.</w:t>
      </w:r>
    </w:p>
    <w:p w14:paraId="7787E5B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N. K. Subramani and S. Venug</w:t>
      </w:r>
      <w:r>
        <w:rPr>
          <w:rFonts w:ascii="Times New Roman" w:eastAsia="Times New Roman" w:hAnsi="Times New Roman" w:cs="Times New Roman"/>
          <w:sz w:val="24"/>
          <w:szCs w:val="24"/>
        </w:rPr>
        <w:t xml:space="preserve">opal, “Identification of novel drug targets and small molecule discovery for MRSA infections,” </w:t>
      </w:r>
      <w:r>
        <w:rPr>
          <w:rFonts w:ascii="Times New Roman" w:eastAsia="Times New Roman" w:hAnsi="Times New Roman" w:cs="Times New Roman"/>
          <w:i/>
          <w:sz w:val="24"/>
          <w:szCs w:val="24"/>
        </w:rPr>
        <w:t>Frontiers in Bioinformatics</w:t>
      </w:r>
      <w:r>
        <w:rPr>
          <w:rFonts w:ascii="Times New Roman" w:eastAsia="Times New Roman" w:hAnsi="Times New Roman" w:cs="Times New Roman"/>
          <w:sz w:val="24"/>
          <w:szCs w:val="24"/>
        </w:rPr>
        <w:t xml:space="preserve">, vol. 5, Apr.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https://doi.org/10.3389/fbinf.2025.1562596.</w:t>
      </w:r>
    </w:p>
    <w:p w14:paraId="3383C8D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 Shami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“In Silico Subtractive Proteomics and Mole</w:t>
      </w:r>
      <w:r>
        <w:rPr>
          <w:rFonts w:ascii="Times New Roman" w:eastAsia="Times New Roman" w:hAnsi="Times New Roman" w:cs="Times New Roman"/>
          <w:sz w:val="24"/>
          <w:szCs w:val="24"/>
        </w:rPr>
        <w:t xml:space="preserve">cular Docking Approaches for the Identification of Novel Inhibitors against Streptococcus pneumoniae Strain D39,” </w:t>
      </w:r>
      <w:r>
        <w:rPr>
          <w:rFonts w:ascii="Times New Roman" w:eastAsia="Times New Roman" w:hAnsi="Times New Roman" w:cs="Times New Roman"/>
          <w:i/>
          <w:sz w:val="24"/>
          <w:szCs w:val="24"/>
        </w:rPr>
        <w:t>Life</w:t>
      </w:r>
      <w:r>
        <w:rPr>
          <w:rFonts w:ascii="Times New Roman" w:eastAsia="Times New Roman" w:hAnsi="Times New Roman" w:cs="Times New Roman"/>
          <w:sz w:val="24"/>
          <w:szCs w:val="24"/>
        </w:rPr>
        <w:t xml:space="preserve">, vol. 13, no. 5, p. 1128, May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https://doi.org/10.3390/life13051128.</w:t>
      </w:r>
    </w:p>
    <w:p w14:paraId="61BBA3C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A. Rehman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“In Silico Core Proteomics and Mole</w:t>
      </w:r>
      <w:r>
        <w:rPr>
          <w:rFonts w:ascii="Times New Roman" w:eastAsia="Times New Roman" w:hAnsi="Times New Roman" w:cs="Times New Roman"/>
          <w:sz w:val="24"/>
          <w:szCs w:val="24"/>
        </w:rPr>
        <w:t xml:space="preserve">cular Docking Approaches for the Identification of Novel Inhibitors against Streptococcus pyogenes,” </w:t>
      </w:r>
      <w:r>
        <w:rPr>
          <w:rFonts w:ascii="Times New Roman" w:eastAsia="Times New Roman" w:hAnsi="Times New Roman" w:cs="Times New Roman"/>
          <w:i/>
          <w:sz w:val="24"/>
          <w:szCs w:val="24"/>
        </w:rPr>
        <w:t xml:space="preserve">International Journal of </w:t>
      </w:r>
      <w:r>
        <w:rPr>
          <w:rFonts w:ascii="Times New Roman" w:eastAsia="Times New Roman" w:hAnsi="Times New Roman" w:cs="Times New Roman"/>
          <w:i/>
          <w:sz w:val="24"/>
          <w:szCs w:val="24"/>
        </w:rPr>
        <w:lastRenderedPageBreak/>
        <w:t>Environmental Research and Public Health</w:t>
      </w:r>
      <w:r>
        <w:rPr>
          <w:rFonts w:ascii="Times New Roman" w:eastAsia="Times New Roman" w:hAnsi="Times New Roman" w:cs="Times New Roman"/>
          <w:sz w:val="24"/>
          <w:szCs w:val="24"/>
        </w:rPr>
        <w:t xml:space="preserve">, vol. 18, no. 21, p. 11355, Oct.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https://doi.org/10.3390/ijerph182111355.</w:t>
      </w:r>
    </w:p>
    <w:p w14:paraId="76882AA4"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P. C. Agu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“Molecular docking as a tool for the discovery of molecular targets of nutraceuticals in diseases management,”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13, no. 1, Aug.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https://doi.org/10.1038/s41598-023-40160-2.</w:t>
      </w:r>
    </w:p>
    <w:p w14:paraId="60D8CBB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B. </w:t>
      </w:r>
      <w:proofErr w:type="spellStart"/>
      <w:r>
        <w:rPr>
          <w:rFonts w:ascii="Times New Roman" w:eastAsia="Times New Roman" w:hAnsi="Times New Roman" w:cs="Times New Roman"/>
          <w:sz w:val="24"/>
          <w:szCs w:val="24"/>
        </w:rPr>
        <w:t>Khameneh</w:t>
      </w:r>
      <w:proofErr w:type="spellEnd"/>
      <w:r>
        <w:rPr>
          <w:rFonts w:ascii="Times New Roman" w:eastAsia="Times New Roman" w:hAnsi="Times New Roman" w:cs="Times New Roman"/>
          <w:sz w:val="24"/>
          <w:szCs w:val="24"/>
        </w:rPr>
        <w:t xml:space="preserve">, N. A. M. Eskin, M. Iranshahy, and B. S. </w:t>
      </w:r>
      <w:proofErr w:type="spellStart"/>
      <w:r>
        <w:rPr>
          <w:rFonts w:ascii="Times New Roman" w:eastAsia="Times New Roman" w:hAnsi="Times New Roman" w:cs="Times New Roman"/>
          <w:sz w:val="24"/>
          <w:szCs w:val="24"/>
        </w:rPr>
        <w:t>Fazly</w:t>
      </w:r>
      <w:proofErr w:type="spellEnd"/>
      <w:r>
        <w:rPr>
          <w:rFonts w:ascii="Times New Roman" w:eastAsia="Times New Roman" w:hAnsi="Times New Roman" w:cs="Times New Roman"/>
          <w:sz w:val="24"/>
          <w:szCs w:val="24"/>
        </w:rPr>
        <w:t xml:space="preserve"> Bazzaz, “Phytochemicals: A Promising Weapon in the Arsenal against Antibiotic-Resistant Bacteria,”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vol. 10, no. 9, p. 1044, Aug.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https://doi.org/10.3390/antibiotics10091044.</w:t>
      </w:r>
    </w:p>
    <w:p w14:paraId="780CFCBB"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H. Yang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prediction of chemical subcellular localization via multi-classification methods,” </w:t>
      </w:r>
      <w:proofErr w:type="spellStart"/>
      <w:r>
        <w:rPr>
          <w:rFonts w:ascii="Times New Roman" w:eastAsia="Times New Roman" w:hAnsi="Times New Roman" w:cs="Times New Roman"/>
          <w:i/>
          <w:sz w:val="24"/>
          <w:szCs w:val="24"/>
        </w:rPr>
        <w:t>MedChemComm</w:t>
      </w:r>
      <w:proofErr w:type="spellEnd"/>
      <w:r>
        <w:rPr>
          <w:rFonts w:ascii="Times New Roman" w:eastAsia="Times New Roman" w:hAnsi="Times New Roman" w:cs="Times New Roman"/>
          <w:sz w:val="24"/>
          <w:szCs w:val="24"/>
        </w:rPr>
        <w:t xml:space="preserve">, vol. 8, no. 6, pp. 1225–1234,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https://doi.org/10.1039/c7md00074j.</w:t>
      </w:r>
    </w:p>
    <w:p w14:paraId="2548816E"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M. Y. Galperin, “‘Conserved hypothetical’ prot</w:t>
      </w:r>
      <w:r>
        <w:rPr>
          <w:rFonts w:ascii="Times New Roman" w:eastAsia="Times New Roman" w:hAnsi="Times New Roman" w:cs="Times New Roman"/>
          <w:sz w:val="24"/>
          <w:szCs w:val="24"/>
        </w:rPr>
        <w:t xml:space="preserve">eins: prioritization of targets for experimental study,”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32, no. 18, pp. 5452–5463,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https://doi.org/10.1093/nar/gkh885.</w:t>
      </w:r>
    </w:p>
    <w:p w14:paraId="699A173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Neelam Kushwaha, D. Nandi, and B. Singh, “Subtractive Proteomic Approaches to Identify</w:t>
      </w:r>
      <w:r>
        <w:rPr>
          <w:rFonts w:ascii="Times New Roman" w:eastAsia="Times New Roman" w:hAnsi="Times New Roman" w:cs="Times New Roman"/>
          <w:sz w:val="24"/>
          <w:szCs w:val="24"/>
        </w:rPr>
        <w:t xml:space="preserve"> Drug Targets: An Analysis on Hypothetical Proteins of Multidrug-Resistant </w:t>
      </w:r>
      <w:r>
        <w:rPr>
          <w:rFonts w:ascii="Times New Roman" w:eastAsia="Times New Roman" w:hAnsi="Times New Roman" w:cs="Times New Roman"/>
          <w:i/>
          <w:sz w:val="24"/>
          <w:szCs w:val="24"/>
        </w:rPr>
        <w:t>P.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ACS Omega</w:t>
      </w:r>
      <w:r>
        <w:rPr>
          <w:rFonts w:ascii="Times New Roman" w:eastAsia="Times New Roman" w:hAnsi="Times New Roman" w:cs="Times New Roman"/>
          <w:sz w:val="24"/>
          <w:szCs w:val="24"/>
        </w:rPr>
        <w:t xml:space="preserve">, Aug.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https://doi.org/10.1021/acsomega.5c02268.</w:t>
      </w:r>
    </w:p>
    <w:p w14:paraId="5779E3BC"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S. F. Altschul, W. Gish, W. Miller, E. W. Myers, and D. J. Lipman, “Basic local alignment s</w:t>
      </w:r>
      <w:r>
        <w:rPr>
          <w:rFonts w:ascii="Times New Roman" w:eastAsia="Times New Roman" w:hAnsi="Times New Roman" w:cs="Times New Roman"/>
          <w:sz w:val="24"/>
          <w:szCs w:val="24"/>
        </w:rPr>
        <w:t xml:space="preserve">earch tool,” </w:t>
      </w:r>
      <w:r>
        <w:rPr>
          <w:rFonts w:ascii="Times New Roman" w:eastAsia="Times New Roman" w:hAnsi="Times New Roman" w:cs="Times New Roman"/>
          <w:i/>
          <w:sz w:val="24"/>
          <w:szCs w:val="24"/>
        </w:rPr>
        <w:t>Journal of Molecular Biology</w:t>
      </w:r>
      <w:r>
        <w:rPr>
          <w:rFonts w:ascii="Times New Roman" w:eastAsia="Times New Roman" w:hAnsi="Times New Roman" w:cs="Times New Roman"/>
          <w:sz w:val="24"/>
          <w:szCs w:val="24"/>
        </w:rPr>
        <w:t xml:space="preserve">, vol. 215, no. 3, pp. 403–410, Oct. 1990,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https://doi.org/10.1016/S0022-2836(05)80360-2.</w:t>
      </w:r>
    </w:p>
    <w:p w14:paraId="7A22911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D. A. Benson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“GenBank,”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41, no. D1, pp. D36–D42, Nov. 2012,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w:t>
      </w:r>
      <w:r>
        <w:rPr>
          <w:rFonts w:ascii="Times New Roman" w:eastAsia="Times New Roman" w:hAnsi="Times New Roman" w:cs="Times New Roman"/>
          <w:sz w:val="24"/>
          <w:szCs w:val="24"/>
        </w:rPr>
        <w:t>rg/10.1093/nar/gks1195.</w:t>
      </w:r>
    </w:p>
    <w:p w14:paraId="1B2416F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 Daina, O. </w:t>
      </w:r>
      <w:proofErr w:type="spellStart"/>
      <w:r>
        <w:rPr>
          <w:rFonts w:ascii="Times New Roman" w:eastAsia="Times New Roman" w:hAnsi="Times New Roman" w:cs="Times New Roman"/>
          <w:sz w:val="24"/>
          <w:szCs w:val="24"/>
        </w:rPr>
        <w:t>Michielin</w:t>
      </w:r>
      <w:proofErr w:type="spellEnd"/>
      <w:r>
        <w:rPr>
          <w:rFonts w:ascii="Times New Roman" w:eastAsia="Times New Roman" w:hAnsi="Times New Roman" w:cs="Times New Roman"/>
          <w:sz w:val="24"/>
          <w:szCs w:val="24"/>
        </w:rPr>
        <w:t xml:space="preserve">, and V. </w:t>
      </w:r>
      <w:proofErr w:type="spellStart"/>
      <w:r>
        <w:rPr>
          <w:rFonts w:ascii="Times New Roman" w:eastAsia="Times New Roman" w:hAnsi="Times New Roman" w:cs="Times New Roman"/>
          <w:sz w:val="24"/>
          <w:szCs w:val="24"/>
        </w:rPr>
        <w:t>Zoete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a Free Web Tool to Evaluate pharmacokinetics, drug-likeness and Medicinal Chemistry Friendliness of Small Molecules,”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7, no. 1, pp. 1–13, Mar.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https://doi.org/10.1038/srep42717.</w:t>
      </w:r>
    </w:p>
    <w:p w14:paraId="5292AB4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I. A. </w:t>
      </w:r>
      <w:proofErr w:type="spellStart"/>
      <w:r>
        <w:rPr>
          <w:rFonts w:ascii="Times New Roman" w:eastAsia="Times New Roman" w:hAnsi="Times New Roman" w:cs="Times New Roman"/>
          <w:sz w:val="24"/>
          <w:szCs w:val="24"/>
        </w:rPr>
        <w:t>Doytchinova</w:t>
      </w:r>
      <w:proofErr w:type="spellEnd"/>
      <w:r>
        <w:rPr>
          <w:rFonts w:ascii="Times New Roman" w:eastAsia="Times New Roman" w:hAnsi="Times New Roman" w:cs="Times New Roman"/>
          <w:sz w:val="24"/>
          <w:szCs w:val="24"/>
        </w:rPr>
        <w:t xml:space="preserve"> and D. R. Flower,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a server for prediction of protective antigens, </w:t>
      </w:r>
      <w:proofErr w:type="spellStart"/>
      <w:r>
        <w:rPr>
          <w:rFonts w:ascii="Times New Roman" w:eastAsia="Times New Roman" w:hAnsi="Times New Roman" w:cs="Times New Roman"/>
          <w:sz w:val="24"/>
          <w:szCs w:val="24"/>
        </w:rPr>
        <w:t>tumour</w:t>
      </w:r>
      <w:proofErr w:type="spellEnd"/>
      <w:r>
        <w:rPr>
          <w:rFonts w:ascii="Times New Roman" w:eastAsia="Times New Roman" w:hAnsi="Times New Roman" w:cs="Times New Roman"/>
          <w:sz w:val="24"/>
          <w:szCs w:val="24"/>
        </w:rPr>
        <w:t xml:space="preserve"> antigens and subunit vaccines,” </w:t>
      </w:r>
      <w:r>
        <w:rPr>
          <w:rFonts w:ascii="Times New Roman" w:eastAsia="Times New Roman" w:hAnsi="Times New Roman" w:cs="Times New Roman"/>
          <w:i/>
          <w:sz w:val="24"/>
          <w:szCs w:val="24"/>
        </w:rPr>
        <w:t>BMC Bioinformatics</w:t>
      </w:r>
      <w:r>
        <w:rPr>
          <w:rFonts w:ascii="Times New Roman" w:eastAsia="Times New Roman" w:hAnsi="Times New Roman" w:cs="Times New Roman"/>
          <w:sz w:val="24"/>
          <w:szCs w:val="24"/>
        </w:rPr>
        <w:t xml:space="preserve">, vol. 8, no. 1, Jan. 2007,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https://doi.org/10.1186/1471-2</w:t>
      </w:r>
      <w:r>
        <w:rPr>
          <w:rFonts w:ascii="Times New Roman" w:eastAsia="Times New Roman" w:hAnsi="Times New Roman" w:cs="Times New Roman"/>
          <w:sz w:val="24"/>
          <w:szCs w:val="24"/>
        </w:rPr>
        <w:t>105-8-4.</w:t>
      </w:r>
    </w:p>
    <w:p w14:paraId="5FC15B38"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“Dr. Duke’s Phytochemical and Ethnobotanical Databases at NAL,” </w:t>
      </w:r>
      <w:r>
        <w:rPr>
          <w:rFonts w:ascii="Times New Roman" w:eastAsia="Times New Roman" w:hAnsi="Times New Roman" w:cs="Times New Roman"/>
          <w:i/>
          <w:sz w:val="24"/>
          <w:szCs w:val="24"/>
        </w:rPr>
        <w:t>phytochem.nal.usda.gov</w:t>
      </w:r>
      <w:r>
        <w:rPr>
          <w:rFonts w:ascii="Times New Roman" w:eastAsia="Times New Roman" w:hAnsi="Times New Roman" w:cs="Times New Roman"/>
          <w:sz w:val="24"/>
          <w:szCs w:val="24"/>
        </w:rPr>
        <w:t>. https://phytochem.nal.usda.gov/</w:t>
      </w:r>
    </w:p>
    <w:p w14:paraId="17D5556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E. Gasteiger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“Protein Identification and Analysis Tools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r>
        <w:rPr>
          <w:rFonts w:ascii="Times New Roman" w:eastAsia="Times New Roman" w:hAnsi="Times New Roman" w:cs="Times New Roman"/>
          <w:i/>
          <w:sz w:val="24"/>
          <w:szCs w:val="24"/>
        </w:rPr>
        <w:t>The Proteomics Protocols Handb</w:t>
      </w:r>
      <w:r>
        <w:rPr>
          <w:rFonts w:ascii="Times New Roman" w:eastAsia="Times New Roman" w:hAnsi="Times New Roman" w:cs="Times New Roman"/>
          <w:i/>
          <w:sz w:val="24"/>
          <w:szCs w:val="24"/>
        </w:rPr>
        <w:t>ook</w:t>
      </w:r>
      <w:r>
        <w:rPr>
          <w:rFonts w:ascii="Times New Roman" w:eastAsia="Times New Roman" w:hAnsi="Times New Roman" w:cs="Times New Roman"/>
          <w:sz w:val="24"/>
          <w:szCs w:val="24"/>
        </w:rPr>
        <w:t xml:space="preserve">, pp. 571–607, 2005,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https://doi.org/10.1385/1-59259-890-0:571.</w:t>
      </w:r>
    </w:p>
    <w:p w14:paraId="6E3B078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S. 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“PubChem 2023 update,”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51, no. D1,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https://doi.org/10.1093/nar/gkac956.</w:t>
      </w:r>
    </w:p>
    <w:p w14:paraId="699C59B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E. F. Pettersen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“UCSF Chimera--a v</w:t>
      </w:r>
      <w:r>
        <w:rPr>
          <w:rFonts w:ascii="Times New Roman" w:eastAsia="Times New Roman" w:hAnsi="Times New Roman" w:cs="Times New Roman"/>
          <w:sz w:val="24"/>
          <w:szCs w:val="24"/>
        </w:rPr>
        <w:t xml:space="preserve">isualization system for exploratory research and analysis,”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25, no. 13, pp. 1605–1612,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https://doi.org/10.1002/jcc.20084.</w:t>
      </w:r>
    </w:p>
    <w:p w14:paraId="2E2BEBE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 O. Trott and A. J. Olson,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Improving the Speed and Accura</w:t>
      </w:r>
      <w:r>
        <w:rPr>
          <w:rFonts w:ascii="Times New Roman" w:eastAsia="Times New Roman" w:hAnsi="Times New Roman" w:cs="Times New Roman"/>
          <w:sz w:val="24"/>
          <w:szCs w:val="24"/>
        </w:rPr>
        <w:t xml:space="preserve">cy of Docking with a New Scoring function, Efficient optimization, and Multithreading,”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31, no. 2, 2009,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https://doi.org/10.1002/jcc.21334.</w:t>
      </w:r>
    </w:p>
    <w:p w14:paraId="6605A58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A. Waterhouse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“SWISS-MODEL: homology modelling of protein</w:t>
      </w:r>
      <w:r>
        <w:rPr>
          <w:rFonts w:ascii="Times New Roman" w:eastAsia="Times New Roman" w:hAnsi="Times New Roman" w:cs="Times New Roman"/>
          <w:sz w:val="24"/>
          <w:szCs w:val="24"/>
        </w:rPr>
        <w:t xml:space="preserve"> structures and complexes,”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vol. 46, no. W1, pp. W296–W303, May 2018, Available: https://academic.oup.com/nar/article/46/W1/W296/5000024</w:t>
      </w:r>
    </w:p>
    <w:p w14:paraId="01AC171F"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C.-S. Yu, C.-J. Lin, and J.-K. Hwang, “Predicting subcellular localization of proteins for</w:t>
      </w:r>
      <w:r>
        <w:rPr>
          <w:rFonts w:ascii="Times New Roman" w:eastAsia="Times New Roman" w:hAnsi="Times New Roman" w:cs="Times New Roman"/>
          <w:sz w:val="24"/>
          <w:szCs w:val="24"/>
        </w:rPr>
        <w:t xml:space="preserve"> Gram-negative bacteria by support vector machines based </w:t>
      </w:r>
      <w:proofErr w:type="spellStart"/>
      <w:r>
        <w:rPr>
          <w:rFonts w:ascii="Times New Roman" w:eastAsia="Times New Roman" w:hAnsi="Times New Roman" w:cs="Times New Roman"/>
          <w:sz w:val="24"/>
          <w:szCs w:val="24"/>
        </w:rPr>
        <w:t>onn</w:t>
      </w:r>
      <w:proofErr w:type="spellEnd"/>
      <w:r>
        <w:rPr>
          <w:rFonts w:ascii="Times New Roman" w:eastAsia="Times New Roman" w:hAnsi="Times New Roman" w:cs="Times New Roman"/>
          <w:sz w:val="24"/>
          <w:szCs w:val="24"/>
        </w:rPr>
        <w:t xml:space="preserve">-peptide compositions,” </w:t>
      </w:r>
      <w:r>
        <w:rPr>
          <w:rFonts w:ascii="Times New Roman" w:eastAsia="Times New Roman" w:hAnsi="Times New Roman" w:cs="Times New Roman"/>
          <w:i/>
          <w:sz w:val="24"/>
          <w:szCs w:val="24"/>
        </w:rPr>
        <w:t>Protein Science</w:t>
      </w:r>
      <w:r>
        <w:rPr>
          <w:rFonts w:ascii="Times New Roman" w:eastAsia="Times New Roman" w:hAnsi="Times New Roman" w:cs="Times New Roman"/>
          <w:sz w:val="24"/>
          <w:szCs w:val="24"/>
        </w:rPr>
        <w:t xml:space="preserve">, vol. 13, no. 5, pp. 1402–1406, May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https://doi.org/10.1110/ps.03479604.</w:t>
      </w:r>
    </w:p>
    <w:p w14:paraId="41FFA30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N. Y. Yu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xml:space="preserve"> 3.0: improved protein subcellular localiza</w:t>
      </w:r>
      <w:r>
        <w:rPr>
          <w:rFonts w:ascii="Times New Roman" w:eastAsia="Times New Roman" w:hAnsi="Times New Roman" w:cs="Times New Roman"/>
          <w:sz w:val="24"/>
          <w:szCs w:val="24"/>
        </w:rPr>
        <w:t xml:space="preserve">tion prediction with refined localization subcategories and predictive capabilities for all prokaryotes,” </w:t>
      </w:r>
      <w:r>
        <w:rPr>
          <w:rFonts w:ascii="Times New Roman" w:eastAsia="Times New Roman" w:hAnsi="Times New Roman" w:cs="Times New Roman"/>
          <w:i/>
          <w:sz w:val="24"/>
          <w:szCs w:val="24"/>
        </w:rPr>
        <w:t>Bioinformatics</w:t>
      </w:r>
      <w:r>
        <w:rPr>
          <w:rFonts w:ascii="Times New Roman" w:eastAsia="Times New Roman" w:hAnsi="Times New Roman" w:cs="Times New Roman"/>
          <w:sz w:val="24"/>
          <w:szCs w:val="24"/>
        </w:rPr>
        <w:t xml:space="preserve">, vol. 26, no. 13, pp. 1608–1615, May 2010,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https://doi.org/10.1093/bioinformatics/btq249.</w:t>
      </w:r>
    </w:p>
    <w:sectPr w:rsidR="00AC68F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DD4A5" w14:textId="77777777" w:rsidR="00BF649C" w:rsidRDefault="00BF649C" w:rsidP="00504D7C">
      <w:pPr>
        <w:spacing w:line="240" w:lineRule="auto"/>
      </w:pPr>
      <w:r>
        <w:separator/>
      </w:r>
    </w:p>
  </w:endnote>
  <w:endnote w:type="continuationSeparator" w:id="0">
    <w:p w14:paraId="6632335A" w14:textId="77777777" w:rsidR="00BF649C" w:rsidRDefault="00BF649C" w:rsidP="00504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88F0BB9E-F519-4F70-8DBE-5959DA0572D7}"/>
    <w:embedItalic r:id="rId2" w:fontKey="{22AC45B0-8FF2-451A-8FEA-78960A5E39CB}"/>
  </w:font>
  <w:font w:name="Calibri">
    <w:panose1 w:val="020F0502020204030204"/>
    <w:charset w:val="00"/>
    <w:family w:val="swiss"/>
    <w:pitch w:val="variable"/>
    <w:sig w:usb0="E4002EFF" w:usb1="C000247B" w:usb2="00000009" w:usb3="00000000" w:csb0="000001FF" w:csb1="00000000"/>
    <w:embedRegular r:id="rId3" w:fontKey="{23E7553B-B9CA-4CE9-9C2E-B34D8541267B}"/>
  </w:font>
  <w:font w:name="Cambria">
    <w:panose1 w:val="02040503050406030204"/>
    <w:charset w:val="00"/>
    <w:family w:val="roman"/>
    <w:pitch w:val="variable"/>
    <w:sig w:usb0="E00006FF" w:usb1="420024FF" w:usb2="02000000" w:usb3="00000000" w:csb0="0000019F" w:csb1="00000000"/>
    <w:embedRegular r:id="rId4" w:fontKey="{AB52D1A7-0B3C-4684-9E56-A62013422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EC78" w14:textId="77777777" w:rsidR="00504D7C" w:rsidRDefault="00504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EC8E2" w14:textId="77777777" w:rsidR="00504D7C" w:rsidRDefault="00504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A2BA0" w14:textId="77777777" w:rsidR="00504D7C" w:rsidRDefault="00504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912E5" w14:textId="77777777" w:rsidR="00BF649C" w:rsidRDefault="00BF649C" w:rsidP="00504D7C">
      <w:pPr>
        <w:spacing w:line="240" w:lineRule="auto"/>
      </w:pPr>
      <w:r>
        <w:separator/>
      </w:r>
    </w:p>
  </w:footnote>
  <w:footnote w:type="continuationSeparator" w:id="0">
    <w:p w14:paraId="7A090CF6" w14:textId="77777777" w:rsidR="00BF649C" w:rsidRDefault="00BF649C" w:rsidP="00504D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22AA" w14:textId="42EE241C" w:rsidR="00504D7C" w:rsidRDefault="00504D7C">
    <w:pPr>
      <w:pStyle w:val="Header"/>
    </w:pPr>
    <w:r>
      <w:rPr>
        <w:noProof/>
      </w:rPr>
      <w:pict w14:anchorId="33E06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D5E63" w14:textId="6AAAA2CD" w:rsidR="00504D7C" w:rsidRDefault="00504D7C">
    <w:pPr>
      <w:pStyle w:val="Header"/>
    </w:pPr>
    <w:r>
      <w:rPr>
        <w:noProof/>
      </w:rPr>
      <w:pict w14:anchorId="06B86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2AE65" w14:textId="398FDCDD" w:rsidR="00504D7C" w:rsidRDefault="00504D7C">
    <w:pPr>
      <w:pStyle w:val="Header"/>
    </w:pPr>
    <w:r>
      <w:rPr>
        <w:noProof/>
      </w:rPr>
      <w:pict w14:anchorId="4DAE7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8F5"/>
    <w:rsid w:val="0002345A"/>
    <w:rsid w:val="00475B7A"/>
    <w:rsid w:val="00504D7C"/>
    <w:rsid w:val="00740E03"/>
    <w:rsid w:val="00836AF3"/>
    <w:rsid w:val="00AC68F5"/>
    <w:rsid w:val="00AC6CF4"/>
    <w:rsid w:val="00AC7802"/>
    <w:rsid w:val="00BF649C"/>
    <w:rsid w:val="00CC33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D5098B"/>
  <w15:docId w15:val="{A15D840A-9F68-4310-96CB-3D80419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B0859"/>
    <w:rPr>
      <w:color w:val="0000FF" w:themeColor="hyperlink"/>
      <w:u w:val="single"/>
    </w:rPr>
  </w:style>
  <w:style w:type="character" w:styleId="UnresolvedMention">
    <w:name w:val="Unresolved Mention"/>
    <w:basedOn w:val="DefaultParagraphFont"/>
    <w:uiPriority w:val="99"/>
    <w:semiHidden/>
    <w:unhideWhenUsed/>
    <w:rsid w:val="005B0859"/>
    <w:rPr>
      <w:color w:val="605E5C"/>
      <w:shd w:val="clear" w:color="auto" w:fill="E1DFDD"/>
    </w:rPr>
  </w:style>
  <w:style w:type="paragraph" w:styleId="Caption">
    <w:name w:val="caption"/>
    <w:basedOn w:val="Normal"/>
    <w:next w:val="Normal"/>
    <w:uiPriority w:val="35"/>
    <w:unhideWhenUsed/>
    <w:qFormat/>
    <w:rsid w:val="00000481"/>
    <w:pPr>
      <w:spacing w:after="200" w:line="240" w:lineRule="auto"/>
    </w:pPr>
    <w:rPr>
      <w:i/>
      <w:iCs/>
      <w:color w:val="1F497D" w:themeColor="text2"/>
      <w:sz w:val="18"/>
      <w:szCs w:val="18"/>
    </w:rPr>
  </w:style>
  <w:style w:type="paragraph" w:styleId="NormalWeb">
    <w:name w:val="Normal (Web)"/>
    <w:basedOn w:val="Normal"/>
    <w:uiPriority w:val="99"/>
    <w:semiHidden/>
    <w:unhideWhenUsed/>
    <w:rsid w:val="00000481"/>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04D7C"/>
    <w:pPr>
      <w:tabs>
        <w:tab w:val="center" w:pos="4680"/>
        <w:tab w:val="right" w:pos="9360"/>
      </w:tabs>
      <w:spacing w:line="240" w:lineRule="auto"/>
    </w:pPr>
  </w:style>
  <w:style w:type="character" w:customStyle="1" w:styleId="HeaderChar">
    <w:name w:val="Header Char"/>
    <w:basedOn w:val="DefaultParagraphFont"/>
    <w:link w:val="Header"/>
    <w:uiPriority w:val="99"/>
    <w:rsid w:val="00504D7C"/>
  </w:style>
  <w:style w:type="paragraph" w:styleId="Footer">
    <w:name w:val="footer"/>
    <w:basedOn w:val="Normal"/>
    <w:link w:val="FooterChar"/>
    <w:uiPriority w:val="99"/>
    <w:unhideWhenUsed/>
    <w:rsid w:val="00504D7C"/>
    <w:pPr>
      <w:tabs>
        <w:tab w:val="center" w:pos="4680"/>
        <w:tab w:val="right" w:pos="9360"/>
      </w:tabs>
      <w:spacing w:line="240" w:lineRule="auto"/>
    </w:pPr>
  </w:style>
  <w:style w:type="character" w:customStyle="1" w:styleId="FooterChar">
    <w:name w:val="Footer Char"/>
    <w:basedOn w:val="DefaultParagraphFont"/>
    <w:link w:val="Footer"/>
    <w:uiPriority w:val="99"/>
    <w:rsid w:val="00504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eb.expasy.org/protparam/" TargetMode="External"/><Relationship Id="rId13" Type="http://schemas.openxmlformats.org/officeDocument/2006/relationships/hyperlink" Target="https://pubchem.ncbi.nlm.nih.gov/"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ncbi.nlm.nih.gov/genbank/" TargetMode="External"/><Relationship Id="rId12" Type="http://schemas.openxmlformats.org/officeDocument/2006/relationships/hyperlink" Target="https://phytochem.nal.usda.go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wissmodel.expasy.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gl.ucsf.edu/chimera/" TargetMode="External"/><Relationship Id="rId23" Type="http://schemas.openxmlformats.org/officeDocument/2006/relationships/fontTable" Target="fontTable.xml"/><Relationship Id="rId10" Type="http://schemas.openxmlformats.org/officeDocument/2006/relationships/hyperlink" Target="https://blast.ncbi.nlm.nih.gov/Blast.cg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dg-pharmfac.net/vaxijen/" TargetMode="External"/><Relationship Id="rId14" Type="http://schemas.openxmlformats.org/officeDocument/2006/relationships/hyperlink" Target="http://www.swissadme.ch/"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86mWafeNOhFnImTWYNlTF3ZaUA==">CgMxLjAaIwoBMBIeChwIB0IYCg9UaW1lcyBOZXcgUm9tYW4SBUNhcmRvMg1oLjNtd2w0cTFwYW0yOAByITFobldWY2tCZjBublpSVm9YTzQzYmUwaXlGeWlUenFDag==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4506</Words>
  <Characters>25690</Characters>
  <Application>Microsoft Office Word</Application>
  <DocSecurity>0</DocSecurity>
  <Lines>214</Lines>
  <Paragraphs>60</Paragraphs>
  <ScaleCrop>false</ScaleCrop>
  <Company/>
  <LinksUpToDate>false</LinksUpToDate>
  <CharactersWithSpaces>30136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SDI 1180</cp:lastModifiedBy>
  <cp:revision>14</cp:revision>
  <dcterms:created xsi:type="dcterms:W3CDTF">2025-10-07T02:07:00Z</dcterms:created>
  <dcterms:modified xsi:type="dcterms:W3CDTF">2025-11-11T12:12:00Z</dcterms:modified>
</cp:coreProperties>
</file>