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71705A" w14:textId="77777777" w:rsidR="00754C9A" w:rsidRDefault="00754C9A" w:rsidP="00441B6F">
      <w:pPr>
        <w:pStyle w:val="Title"/>
        <w:spacing w:after="0"/>
        <w:jc w:val="both"/>
        <w:rPr>
          <w:rFonts w:ascii="Arial" w:hAnsi="Arial" w:cs="Arial"/>
        </w:rPr>
      </w:pPr>
    </w:p>
    <w:p w14:paraId="48F3699D" w14:textId="77777777" w:rsidR="006C0C8E" w:rsidRPr="006C0C8E" w:rsidRDefault="006C0C8E" w:rsidP="006C0C8E">
      <w:pPr>
        <w:pStyle w:val="Author"/>
        <w:rPr>
          <w:rFonts w:ascii="Arial" w:hAnsi="Arial" w:cs="Arial"/>
          <w:bCs/>
          <w:i/>
          <w:iCs/>
          <w:kern w:val="28"/>
          <w:sz w:val="18"/>
          <w:szCs w:val="18"/>
          <w:u w:val="single"/>
        </w:rPr>
      </w:pPr>
      <w:r w:rsidRPr="006C0C8E">
        <w:rPr>
          <w:rFonts w:ascii="Arial" w:hAnsi="Arial" w:cs="Arial"/>
          <w:bCs/>
          <w:i/>
          <w:iCs/>
          <w:kern w:val="28"/>
          <w:sz w:val="18"/>
          <w:szCs w:val="18"/>
          <w:u w:val="single"/>
        </w:rPr>
        <w:t>Original Research Article</w:t>
      </w:r>
    </w:p>
    <w:p w14:paraId="78F20803" w14:textId="35E39389" w:rsidR="00A258C3" w:rsidRPr="00240B0F" w:rsidRDefault="008B1B20" w:rsidP="008B1B20">
      <w:pPr>
        <w:pStyle w:val="Author"/>
        <w:spacing w:line="240" w:lineRule="auto"/>
        <w:rPr>
          <w:rFonts w:ascii="Arial" w:hAnsi="Arial" w:cs="Arial"/>
          <w:sz w:val="36"/>
        </w:rPr>
      </w:pPr>
      <w:r w:rsidRPr="008B1B20">
        <w:rPr>
          <w:rFonts w:ascii="Arial" w:hAnsi="Arial" w:cs="Arial"/>
          <w:bCs/>
          <w:iCs/>
          <w:kern w:val="28"/>
          <w:sz w:val="36"/>
        </w:rPr>
        <w:t>Valorization of corn cobs into activated carbon through chemical activation and evaluation of their methylene blue adsorption performance for contaminated water treatment</w:t>
      </w:r>
    </w:p>
    <w:p w14:paraId="259836BA" w14:textId="77777777" w:rsidR="003B6BD1" w:rsidRDefault="003B6BD1" w:rsidP="00441B6F">
      <w:pPr>
        <w:pStyle w:val="AbstHead"/>
        <w:spacing w:after="0"/>
        <w:jc w:val="both"/>
        <w:rPr>
          <w:rFonts w:ascii="Arial" w:hAnsi="Arial" w:cs="Arial"/>
        </w:rPr>
      </w:pPr>
    </w:p>
    <w:p w14:paraId="6D7440AC" w14:textId="469A3962"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FE1FD3F"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8E62176" w14:textId="77777777" w:rsidTr="001E44FE">
        <w:tc>
          <w:tcPr>
            <w:tcW w:w="9576" w:type="dxa"/>
            <w:shd w:val="clear" w:color="auto" w:fill="F2F2F2"/>
          </w:tcPr>
          <w:p w14:paraId="6545FA59" w14:textId="77777777" w:rsidR="00CF6AB3" w:rsidRPr="00CF6AB3" w:rsidRDefault="00CF6AB3" w:rsidP="00CF6AB3">
            <w:pPr>
              <w:pStyle w:val="Body"/>
              <w:spacing w:after="0"/>
              <w:rPr>
                <w:rFonts w:ascii="Arial" w:eastAsia="Calibri" w:hAnsi="Arial" w:cs="Arial"/>
                <w:szCs w:val="22"/>
              </w:rPr>
            </w:pPr>
            <w:r w:rsidRPr="00CF6AB3">
              <w:rPr>
                <w:rFonts w:ascii="Arial" w:eastAsia="Calibri" w:hAnsi="Arial" w:cs="Arial"/>
                <w:szCs w:val="22"/>
              </w:rPr>
              <w:t>Surface water and groundwater are increasingly degraded due to anthropogenic activities. Improving their quality requires efficient and accessible treatment technologies. This study aims to evaluate the methylene blue removal capacity of activated carbons produced from corncob and chemically activated with H</w:t>
            </w:r>
            <w:r w:rsidRPr="00CF6AB3">
              <w:rPr>
                <w:rFonts w:ascii="Cambria Math" w:eastAsia="Calibri" w:hAnsi="Cambria Math" w:cs="Cambria Math"/>
                <w:szCs w:val="22"/>
              </w:rPr>
              <w:t>₃</w:t>
            </w:r>
            <w:r w:rsidRPr="00CF6AB3">
              <w:rPr>
                <w:rFonts w:ascii="Arial" w:eastAsia="Calibri" w:hAnsi="Arial" w:cs="Arial"/>
                <w:szCs w:val="22"/>
              </w:rPr>
              <w:t>PO</w:t>
            </w:r>
            <w:r w:rsidRPr="00CF6AB3">
              <w:rPr>
                <w:rFonts w:ascii="Cambria Math" w:eastAsia="Calibri" w:hAnsi="Cambria Math" w:cs="Cambria Math"/>
                <w:szCs w:val="22"/>
              </w:rPr>
              <w:t>₄</w:t>
            </w:r>
            <w:r w:rsidRPr="00CF6AB3">
              <w:rPr>
                <w:rFonts w:ascii="Arial" w:eastAsia="Calibri" w:hAnsi="Arial" w:cs="Arial"/>
                <w:szCs w:val="22"/>
              </w:rPr>
              <w:t>. The corncob material was pyrolyzed at 400, 500 and 600 °C, and the resulting activated carbons were characterized by FTIR and SEM–EDS to establish the relationship between surface chemistry, elemental composition and textural properties. Methylene blue adsorption was assessed at pH 6.68 using UV–Visible spectrophotometry, and the equilibrium data were fitted to the Langmuir and Freundlich isotherm models. Thermodynamic parameters were also determined over the temperature range of 305.15–334.15 K. The results reveal a specific surface functionalization (P–O–C, P=O/P–O groups, –OH, C=O, C=C functions) and a hierarchical porosity (micro-, meso- and macropores) that enhances both adsorption kinetics and capacity. A pH</w:t>
            </w:r>
            <w:r w:rsidRPr="00CF6AB3">
              <w:rPr>
                <w:rFonts w:ascii="Arial" w:eastAsia="Calibri" w:hAnsi="Arial" w:cs="Arial"/>
                <w:szCs w:val="22"/>
                <w:vertAlign w:val="subscript"/>
              </w:rPr>
              <w:t>PZC</w:t>
            </w:r>
            <w:r w:rsidRPr="00CF6AB3">
              <w:rPr>
                <w:rFonts w:ascii="Arial" w:eastAsia="Calibri" w:hAnsi="Arial" w:cs="Arial"/>
                <w:szCs w:val="22"/>
              </w:rPr>
              <w:t xml:space="preserve"> of 3.4 confirms the strong affinity toward the cationic dye. The sample activated at 500 °C exhibits an exceptionally high adsorption capacity, with a Qmax of 1,250 mg.g</w:t>
            </w:r>
            <w:r w:rsidRPr="00CF6AB3">
              <w:rPr>
                <w:rFonts w:ascii="Cambria Math" w:eastAsia="Calibri" w:hAnsi="Cambria Math" w:cs="Cambria Math"/>
                <w:szCs w:val="22"/>
              </w:rPr>
              <w:t>⁻</w:t>
            </w:r>
            <w:r w:rsidRPr="00CF6AB3">
              <w:rPr>
                <w:rFonts w:ascii="Arial" w:eastAsia="Calibri" w:hAnsi="Arial" w:cs="Arial"/>
                <w:szCs w:val="22"/>
              </w:rPr>
              <w:t>¹, a surface area of 1,887.45 m</w:t>
            </w:r>
            <w:r w:rsidRPr="00CF6AB3">
              <w:rPr>
                <w:rFonts w:ascii="Arial" w:eastAsia="Calibri" w:hAnsi="Arial" w:cs="Arial"/>
                <w:szCs w:val="22"/>
                <w:vertAlign w:val="superscript"/>
              </w:rPr>
              <w:t>2</w:t>
            </w:r>
            <w:r w:rsidRPr="00CF6AB3">
              <w:rPr>
                <w:rFonts w:ascii="Arial" w:eastAsia="Calibri" w:hAnsi="Arial" w:cs="Arial"/>
                <w:szCs w:val="22"/>
              </w:rPr>
              <w:t>.g</w:t>
            </w:r>
            <w:r w:rsidRPr="00CF6AB3">
              <w:rPr>
                <w:rFonts w:ascii="Cambria Math" w:eastAsia="Calibri" w:hAnsi="Cambria Math" w:cs="Cambria Math"/>
                <w:szCs w:val="22"/>
              </w:rPr>
              <w:t>⁻</w:t>
            </w:r>
            <w:r w:rsidRPr="00CF6AB3">
              <w:rPr>
                <w:rFonts w:ascii="Arial" w:eastAsia="Calibri" w:hAnsi="Arial" w:cs="Arial"/>
                <w:szCs w:val="22"/>
              </w:rPr>
              <w:t>¹ and a methylene blue removal efficiency of 98.62%. The adsorption isotherms are better fitted by the Langmuir model, with separation factors 0 &lt; R</w:t>
            </w:r>
            <w:r w:rsidRPr="00CF6AB3">
              <w:rPr>
                <w:rFonts w:ascii="Arial" w:eastAsia="Calibri" w:hAnsi="Arial" w:cs="Arial"/>
                <w:szCs w:val="22"/>
                <w:vertAlign w:val="subscript"/>
              </w:rPr>
              <w:t>L</w:t>
            </w:r>
            <w:r w:rsidRPr="00CF6AB3">
              <w:rPr>
                <w:rFonts w:ascii="Arial" w:eastAsia="Calibri" w:hAnsi="Arial" w:cs="Arial"/>
                <w:szCs w:val="22"/>
              </w:rPr>
              <w:t xml:space="preserve"> &lt; 1 indicating favorable adsorption. The Freundlich constant 1/nF ranging from 0.485 to 0.792 also reflects a favorable adsorption process. Thermodynamic analysis shows ΔH° = +29.20 kJ·mol</w:t>
            </w:r>
            <w:r w:rsidRPr="00CF6AB3">
              <w:rPr>
                <w:rFonts w:ascii="Cambria Math" w:eastAsia="Calibri" w:hAnsi="Cambria Math" w:cs="Cambria Math"/>
                <w:szCs w:val="22"/>
              </w:rPr>
              <w:t>⁻</w:t>
            </w:r>
            <w:r w:rsidRPr="00CF6AB3">
              <w:rPr>
                <w:rFonts w:ascii="Arial" w:eastAsia="Calibri" w:hAnsi="Arial" w:cs="Arial"/>
                <w:szCs w:val="22"/>
              </w:rPr>
              <w:t>¹ and ΔS° = +110.643 J·mol</w:t>
            </w:r>
            <w:r w:rsidRPr="00CF6AB3">
              <w:rPr>
                <w:rFonts w:ascii="Cambria Math" w:eastAsia="Calibri" w:hAnsi="Cambria Math" w:cs="Cambria Math"/>
                <w:szCs w:val="22"/>
              </w:rPr>
              <w:t>⁻</w:t>
            </w:r>
            <w:r w:rsidRPr="00CF6AB3">
              <w:rPr>
                <w:rFonts w:ascii="Arial" w:eastAsia="Calibri" w:hAnsi="Arial" w:cs="Arial"/>
                <w:szCs w:val="22"/>
              </w:rPr>
              <w:t>¹.K</w:t>
            </w:r>
            <w:r w:rsidRPr="00CF6AB3">
              <w:rPr>
                <w:rFonts w:ascii="Cambria Math" w:eastAsia="Calibri" w:hAnsi="Cambria Math" w:cs="Cambria Math"/>
                <w:szCs w:val="22"/>
              </w:rPr>
              <w:t>⁻</w:t>
            </w:r>
            <w:r w:rsidRPr="00CF6AB3">
              <w:rPr>
                <w:rFonts w:ascii="Arial" w:eastAsia="Calibri" w:hAnsi="Arial" w:cs="Arial"/>
                <w:szCs w:val="22"/>
              </w:rPr>
              <w:t>¹, leading to ΔG° &lt; 0, consistent with an endothermic and spontaneous process dominated by physisorption reinforced by electrostatic and π–π interactions. From a sustainability perspective, this approach valorizes corncob into a high-performance adsorbent and provides a local, reliable, and cost-effective solution for the treatment of contaminated water.</w:t>
            </w:r>
          </w:p>
          <w:p w14:paraId="497C195F" w14:textId="22F8FFE1" w:rsidR="00505F06" w:rsidRPr="00BA1B01" w:rsidRDefault="00505F06" w:rsidP="00441B6F">
            <w:pPr>
              <w:pStyle w:val="Body"/>
              <w:spacing w:after="0"/>
              <w:rPr>
                <w:rFonts w:ascii="Arial" w:eastAsia="Calibri" w:hAnsi="Arial" w:cs="Arial"/>
                <w:szCs w:val="22"/>
              </w:rPr>
            </w:pPr>
          </w:p>
        </w:tc>
      </w:tr>
    </w:tbl>
    <w:p w14:paraId="6F9E7E70" w14:textId="77777777" w:rsidR="00636EB2" w:rsidRDefault="00636EB2" w:rsidP="00441B6F">
      <w:pPr>
        <w:pStyle w:val="Body"/>
        <w:spacing w:after="0"/>
        <w:rPr>
          <w:rFonts w:ascii="Arial" w:hAnsi="Arial" w:cs="Arial"/>
          <w:i/>
        </w:rPr>
      </w:pPr>
    </w:p>
    <w:p w14:paraId="2E656EF9" w14:textId="447849BA" w:rsidR="00A24E7E" w:rsidRDefault="00A24E7E" w:rsidP="00441B6F">
      <w:pPr>
        <w:pStyle w:val="Body"/>
        <w:spacing w:after="0"/>
        <w:rPr>
          <w:rFonts w:ascii="Arial" w:hAnsi="Arial" w:cs="Arial"/>
          <w:i/>
        </w:rPr>
      </w:pPr>
      <w:r>
        <w:rPr>
          <w:rFonts w:ascii="Arial" w:hAnsi="Arial" w:cs="Arial"/>
          <w:i/>
        </w:rPr>
        <w:t xml:space="preserve">Keywords: </w:t>
      </w:r>
      <w:r w:rsidR="00CF6AB3" w:rsidRPr="00457E76">
        <w:rPr>
          <w:rFonts w:ascii="Arial" w:hAnsi="Arial" w:cs="Arial"/>
          <w:i/>
        </w:rPr>
        <w:t>activated carbons; corncob; Fourier transform infrared spectroscopy; specific surface area; organic pollutant; adsorption capacity.</w:t>
      </w:r>
      <w:r w:rsidR="00CF6AB3" w:rsidRPr="00CF6AB3">
        <w:rPr>
          <w:rFonts w:ascii="Arial" w:hAnsi="Arial" w:cs="Arial"/>
          <w:i/>
        </w:rPr>
        <w:t xml:space="preserve"> </w:t>
      </w:r>
    </w:p>
    <w:p w14:paraId="045F09AC" w14:textId="77777777" w:rsidR="00790ADA" w:rsidRDefault="00790ADA" w:rsidP="00441B6F">
      <w:pPr>
        <w:pStyle w:val="Body"/>
        <w:spacing w:after="0"/>
        <w:rPr>
          <w:rFonts w:ascii="Arial" w:hAnsi="Arial" w:cs="Arial"/>
          <w:i/>
        </w:rPr>
      </w:pPr>
    </w:p>
    <w:p w14:paraId="75BE2F74" w14:textId="77777777" w:rsidR="0024282C" w:rsidRDefault="0024282C" w:rsidP="00441B6F">
      <w:pPr>
        <w:pStyle w:val="Body"/>
        <w:spacing w:after="0"/>
        <w:rPr>
          <w:rFonts w:ascii="Arial" w:hAnsi="Arial" w:cs="Arial"/>
          <w:i/>
          <w:sz w:val="18"/>
        </w:rPr>
      </w:pPr>
    </w:p>
    <w:p w14:paraId="1C2F7D5D" w14:textId="77777777" w:rsidR="00505F06" w:rsidRPr="00A24E7E" w:rsidRDefault="00505F06" w:rsidP="00441B6F">
      <w:pPr>
        <w:pStyle w:val="Body"/>
        <w:spacing w:after="0"/>
        <w:rPr>
          <w:rFonts w:ascii="Arial" w:hAnsi="Arial" w:cs="Arial"/>
          <w:i/>
        </w:rPr>
      </w:pPr>
    </w:p>
    <w:p w14:paraId="64E914F3" w14:textId="6E97D7F5"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CD5A902" w14:textId="77777777" w:rsidR="00790ADA" w:rsidRPr="00FB3A86" w:rsidRDefault="00790ADA" w:rsidP="00441B6F">
      <w:pPr>
        <w:pStyle w:val="AbstHead"/>
        <w:spacing w:after="0"/>
        <w:jc w:val="both"/>
        <w:rPr>
          <w:rFonts w:ascii="Arial" w:hAnsi="Arial" w:cs="Arial"/>
        </w:rPr>
      </w:pPr>
    </w:p>
    <w:p w14:paraId="3F876094" w14:textId="5218A26A" w:rsidR="00CF6AB3" w:rsidRPr="00CF6AB3" w:rsidRDefault="00CF6AB3" w:rsidP="00CF6AB3">
      <w:pPr>
        <w:pStyle w:val="Body"/>
        <w:spacing w:after="0"/>
        <w:rPr>
          <w:rFonts w:ascii="Arial" w:hAnsi="Arial" w:cs="Arial"/>
        </w:rPr>
      </w:pPr>
      <w:r w:rsidRPr="00CF6AB3">
        <w:rPr>
          <w:rFonts w:ascii="Arial" w:hAnsi="Arial" w:cs="Arial"/>
        </w:rPr>
        <w:t xml:space="preserve">Agriculture is a fundamental pillar of food security and economic development in many developing countries. However, it generates substantial quantities of agricultural residues each year, and their inadequate management poses major environmental risks. Among these residues, corncob a widely available by-product of maize threshing is often discarded or openly burned, leading to greenhouse gas emissions and soil degradation. Its conversion into activated carbon </w:t>
      </w:r>
      <w:r w:rsidRPr="00CF6AB3">
        <w:rPr>
          <w:rFonts w:ascii="Arial" w:hAnsi="Arial" w:cs="Arial"/>
        </w:rPr>
        <w:fldChar w:fldCharType="begin"/>
      </w:r>
      <w:r w:rsidRPr="00CF6AB3">
        <w:rPr>
          <w:rFonts w:ascii="Arial" w:hAnsi="Arial" w:cs="Arial"/>
        </w:rPr>
        <w:instrText xml:space="preserve"> ADDIN ZOTERO_ITEM CSL_CITATION {"citationID":"ywh5pdJc","properties":{"formattedCitation":"(Chyad et al. 2025)","plainCitation":"(Chyad et al. 2025)","noteIndex":0},"citationItems":[{"id":412,"uris":["http://zotero.org/users/18768689/items/MYS56PYI"],"itemData":{"id":412,"type":"article-journal","abstract":"Abstract\n            Over the past few decades, car-washing centres have increased due to the increase in the number of vehicles. Car-wash effluents are highly polluted with non-biodegradable, toxic, and carcinogenic heavy metals, including iron, lead, chrome, cadmium, and zinc. The focus in this study is on iron removal from car-wash wastewater due to its toxicity to the food chain, health, and environment. In comparison with the costly wastewater treatment technologies, adsorption is a widespread, simple, and cheap method that has been applied for the metal removal from car-wash wastewater. Since the conversion of agricultural waste into valuable sorbents is a renewable and eco-friendly approach, activated carbon was used in this research to assess iron removal performance from car-wash wastewater applying the adsorption technique. The impact of the following parameters: contact time (0 min to 120 min), iron concentration (8 mg/L to 14 mg/L), dose of adsorbent (0.2 g to 1 g per 25 mL wastewater), and pH (4 to 10) on the adsorption efficiency of activated carbon was studied. Fe was efficiently removed (98 %) at the optimum values of contact time 120 min, concentration 12 mg/L, dose 1 g, and pH 8, respectively. The investigated parameters (particularly dose of adsorbent and pH) need to be studied in a broader range as they did not show a potential difference in terms of iron removal efficiencies. Turbidity, TDS, and TSS were removed from car-wash wastewater after 2 hours of contact time, with removal efficiencies of 88 %, 75 %, and 55 % respectively. Effluent characteristics of car-wash stations are usually variable due to the differences in the amount of dirt from vehicles, size and number of washed vehicles, and type of used detergents.","container-title":"Ecological Chemistry and Engineering S","DOI":"10.2478/eces-2025-0005","ISSN":"2084-4549","issue":"1","language":"en","license":"http://creativecommons.org/licenses/by-nc-nd/4.0","page":"85-98","source":"DOI.org (Crossref)","title":"Agricultural Wastes Derived Activated Carbon for the Removal of Iron from Car-Wash Wastewater","volume":"32","author":[{"family":"Chyad","given":"Tasnim Fahim"},{"family":"Hammood","given":"Zaman Ageel"},{"family":"Al-Saedi","given":"Rasha"}],"issued":{"date-parts":[["2025",3,1]]}}}],"schema":"https://github.com/citation-style-language/schema/raw/master/csl-citation.json"} </w:instrText>
      </w:r>
      <w:r w:rsidRPr="00CF6AB3">
        <w:rPr>
          <w:rFonts w:ascii="Arial" w:hAnsi="Arial" w:cs="Arial"/>
        </w:rPr>
        <w:fldChar w:fldCharType="separate"/>
      </w:r>
      <w:r w:rsidRPr="00CF6AB3">
        <w:rPr>
          <w:rFonts w:ascii="Arial" w:hAnsi="Arial" w:cs="Arial"/>
        </w:rPr>
        <w:t xml:space="preserve">(Chyad </w:t>
      </w:r>
      <w:r w:rsidR="003D59A8">
        <w:rPr>
          <w:rFonts w:ascii="Arial" w:hAnsi="Arial" w:cs="Arial"/>
        </w:rPr>
        <w:t>and</w:t>
      </w:r>
      <w:r w:rsidRPr="00CF6AB3">
        <w:rPr>
          <w:rFonts w:ascii="Arial" w:hAnsi="Arial" w:cs="Arial"/>
        </w:rPr>
        <w:t xml:space="preserve"> al. 2025)</w:t>
      </w:r>
      <w:r w:rsidRPr="00CF6AB3">
        <w:rPr>
          <w:rFonts w:ascii="Arial" w:hAnsi="Arial" w:cs="Arial"/>
        </w:rPr>
        <w:fldChar w:fldCharType="end"/>
      </w:r>
      <w:r w:rsidRPr="00CF6AB3">
        <w:rPr>
          <w:rFonts w:ascii="Arial" w:hAnsi="Arial" w:cs="Arial"/>
        </w:rPr>
        <w:t xml:space="preserve"> represents a sustainable approach to transforming lignocellulosic waste into high-value materials, in line with the principles of circular economy and environmental protection </w:t>
      </w:r>
      <w:r w:rsidRPr="00CF6AB3">
        <w:rPr>
          <w:rFonts w:ascii="Arial" w:hAnsi="Arial" w:cs="Arial"/>
        </w:rPr>
        <w:fldChar w:fldCharType="begin"/>
      </w:r>
      <w:r w:rsidRPr="00CF6AB3">
        <w:rPr>
          <w:rFonts w:ascii="Arial" w:hAnsi="Arial" w:cs="Arial"/>
        </w:rPr>
        <w:instrText xml:space="preserve"> ADDIN ZOTERO_ITEM CSL_CITATION {"citationID":"OHpnptTa","properties":{"formattedCitation":"(Bamba et al. 2009)","plainCitation":"(Bamba et al. 2009)","noteIndex":0},"citationItems":[{"id":413,"uris":["http://zotero.org/users/18768689/items/ABBJ8QC9"],"itemData":{"id":413,"type":"paper-conference","abstract":"Les coques de noix de coco sont des dechets difficilement biodegradables. Elles sont abondantes dans les pays tropicaux et particulierement en Cote d'Ivoire. Cependant, malgre les potentielles sources d'energies qu'elles presentent et la possibilite de leur utilisation dans le traitement de l'eau, elles sont peu etudiees. Le pays continue d'importer le charbon actif diversement utilise dans le domaine de la chimie analytique. Dans le souci de valoriser les ressources naturelles de la Cote d'ivoire, des charbons actifs ont ete prepares a partir de coques de noix de coco suivant les deux modes d'activation (physique et chimique). Ces materiaux ont developpe une bonne porosite (melange de meso et de micro porosites). Les surfaces specifiques obtenues sont comprises entre 200 m 2 /g et 1300 m 2 /g. Les etudes cinetiques d'elimination du diuron ont revele que ces charbons ont une bonne affinite avec ce polluant. Les charbons actives physiquement presentent une meilleure diffusion par rapport a ceux obtenus par la methode chimique.","source":"Semantic Scholar","title":"Etudes comparées des méthodes de préparation du charbon actif, suivies d'un test de dépollution d'une eau contaminée au diuron","URL":"https://www.semanticscholar.org/paper/Etudes-compar%C3%A9es-des-m%C3%A9thodes-de-pr%C3%A9paration-du-de-Bamba-Dongui/ca62c97384324b34def96ec4abb65bfba33dc14f","author":[{"family":"Bamba","given":"D."},{"family":"Dongui","given":"B."},{"family":"Trokourey","given":"A."},{"family":"Zoro","given":"Guessan Elogne"},{"family":"Atheba","given":"Grah Patrick"},{"family":"Robert","given":"D."},{"family":"Weber","given":"J."}],"accessed":{"date-parts":[["2025",11,29]]},"issued":{"date-parts":[["2009"]]}}}],"schema":"https://github.com/citation-style-language/schema/raw/master/csl-citation.json"} </w:instrText>
      </w:r>
      <w:r w:rsidRPr="00CF6AB3">
        <w:rPr>
          <w:rFonts w:ascii="Arial" w:hAnsi="Arial" w:cs="Arial"/>
        </w:rPr>
        <w:fldChar w:fldCharType="separate"/>
      </w:r>
      <w:r w:rsidRPr="00CF6AB3">
        <w:rPr>
          <w:rFonts w:ascii="Arial" w:hAnsi="Arial" w:cs="Arial"/>
        </w:rPr>
        <w:t xml:space="preserve">(Bamba </w:t>
      </w:r>
      <w:r w:rsidR="003D59A8">
        <w:rPr>
          <w:rFonts w:ascii="Arial" w:hAnsi="Arial" w:cs="Arial"/>
        </w:rPr>
        <w:t>and</w:t>
      </w:r>
      <w:r w:rsidRPr="00CF6AB3">
        <w:rPr>
          <w:rFonts w:ascii="Arial" w:hAnsi="Arial" w:cs="Arial"/>
        </w:rPr>
        <w:t xml:space="preserve"> al. 2009)</w:t>
      </w:r>
      <w:r w:rsidRPr="00CF6AB3">
        <w:rPr>
          <w:rFonts w:ascii="Arial" w:hAnsi="Arial" w:cs="Arial"/>
        </w:rPr>
        <w:fldChar w:fldCharType="end"/>
      </w:r>
      <w:r w:rsidRPr="00CF6AB3">
        <w:rPr>
          <w:rFonts w:ascii="Arial" w:hAnsi="Arial" w:cs="Arial"/>
        </w:rPr>
        <w:t>.</w:t>
      </w:r>
    </w:p>
    <w:p w14:paraId="4790EAFA" w14:textId="77777777" w:rsidR="00CF6AB3" w:rsidRPr="00CF6AB3" w:rsidRDefault="00CF6AB3" w:rsidP="00CF6AB3">
      <w:pPr>
        <w:pStyle w:val="Body"/>
        <w:spacing w:after="0"/>
        <w:rPr>
          <w:rFonts w:ascii="Arial" w:hAnsi="Arial" w:cs="Arial"/>
        </w:rPr>
      </w:pPr>
      <w:r w:rsidRPr="00CF6AB3">
        <w:rPr>
          <w:rFonts w:ascii="Arial" w:hAnsi="Arial" w:cs="Arial"/>
        </w:rPr>
        <w:lastRenderedPageBreak/>
        <w:t xml:space="preserve">Activated carbons are characterized by their high specific surface area, well-developed porosity, and the presence of abundant functional groups (hydroxyl, carbonyl, carboxyl, and phosphate groups), which provide strong interaction capacities with a wide range of organic and inorganic pollutants </w:t>
      </w:r>
      <w:r w:rsidRPr="00CF6AB3">
        <w:rPr>
          <w:rFonts w:ascii="Arial" w:hAnsi="Arial" w:cs="Arial"/>
        </w:rPr>
        <w:fldChar w:fldCharType="begin"/>
      </w:r>
      <w:r w:rsidRPr="00CF6AB3">
        <w:rPr>
          <w:rFonts w:ascii="Arial" w:hAnsi="Arial" w:cs="Arial"/>
        </w:rPr>
        <w:instrText xml:space="preserve"> ADDIN ZOTERO_ITEM CSL_CITATION {"citationID":"EoUgFEk3","properties":{"formattedCitation":"(Yuen et Hameed 2009)","plainCitation":"(Yuen et Hameed 2009)","noteIndex":0},"citationItems":[{"id":415,"uris":["http://zotero.org/users/18768689/items/JUFY68VS"],"itemData":{"id":415,"type":"article-journal","container-title":"Advances in Colloid and Interface Science","DOI":"10.1016/j.cis.2008.12.005","ISSN":"00018686","issue":"1-2","journalAbbreviation":"Advances in Colloid and Interface Science","language":"en","page":"19-27","source":"DOI.org (Crossref)","title":"Recent developments in the preparation and regeneration of activated carbons by microwaves","volume":"149","author":[{"family":"Yuen","given":"Foo Keng"},{"family":"Hameed","given":"B.H."}],"issued":{"date-parts":[["2009",7]]}}}],"schema":"https://github.com/citation-style-language/schema/raw/master/csl-citation.json"} </w:instrText>
      </w:r>
      <w:r w:rsidRPr="00CF6AB3">
        <w:rPr>
          <w:rFonts w:ascii="Arial" w:hAnsi="Arial" w:cs="Arial"/>
        </w:rPr>
        <w:fldChar w:fldCharType="separate"/>
      </w:r>
      <w:r w:rsidRPr="00CF6AB3">
        <w:rPr>
          <w:rFonts w:ascii="Arial" w:hAnsi="Arial" w:cs="Arial"/>
        </w:rPr>
        <w:t>(Yuen et Hameed 2009)</w:t>
      </w:r>
      <w:r w:rsidRPr="00CF6AB3">
        <w:rPr>
          <w:rFonts w:ascii="Arial" w:hAnsi="Arial" w:cs="Arial"/>
        </w:rPr>
        <w:fldChar w:fldCharType="end"/>
      </w:r>
      <w:r w:rsidRPr="00CF6AB3">
        <w:rPr>
          <w:rFonts w:ascii="Arial" w:hAnsi="Arial" w:cs="Arial"/>
        </w:rPr>
        <w:t>. Activation with phosphoric acid (</w:t>
      </w:r>
      <w:bookmarkStart w:id="0" w:name="_Hlk215327816"/>
      <w:r w:rsidRPr="00CF6AB3">
        <w:rPr>
          <w:rFonts w:ascii="Arial" w:hAnsi="Arial" w:cs="Arial"/>
        </w:rPr>
        <w:t>H</w:t>
      </w:r>
      <w:r w:rsidRPr="00CF6AB3">
        <w:rPr>
          <w:rFonts w:ascii="Arial" w:hAnsi="Arial" w:cs="Arial"/>
          <w:vertAlign w:val="subscript"/>
        </w:rPr>
        <w:t>3</w:t>
      </w:r>
      <w:r w:rsidRPr="00CF6AB3">
        <w:rPr>
          <w:rFonts w:ascii="Arial" w:hAnsi="Arial" w:cs="Arial"/>
        </w:rPr>
        <w:t>PO</w:t>
      </w:r>
      <w:r w:rsidRPr="00CF6AB3">
        <w:rPr>
          <w:rFonts w:ascii="Arial" w:hAnsi="Arial" w:cs="Arial"/>
          <w:vertAlign w:val="subscript"/>
        </w:rPr>
        <w:t>4</w:t>
      </w:r>
      <w:bookmarkEnd w:id="0"/>
      <w:r w:rsidRPr="00CF6AB3">
        <w:rPr>
          <w:rFonts w:ascii="Arial" w:hAnsi="Arial" w:cs="Arial"/>
        </w:rPr>
        <w:t xml:space="preserve">) promotes dehydration and aromatic condensation of lignocellulosic components, leading to the formation of stable microporous structures and a high specific surface area </w:t>
      </w:r>
      <w:r w:rsidRPr="00CF6AB3">
        <w:rPr>
          <w:rFonts w:ascii="Arial" w:hAnsi="Arial" w:cs="Arial"/>
        </w:rPr>
        <w:fldChar w:fldCharType="begin"/>
      </w:r>
      <w:r w:rsidRPr="00CF6AB3">
        <w:rPr>
          <w:rFonts w:ascii="Arial" w:hAnsi="Arial" w:cs="Arial"/>
        </w:rPr>
        <w:instrText xml:space="preserve"> ADDIN ZOTERO_ITEM CSL_CITATION {"citationID":"aw2tlbmo","properties":{"formattedCitation":"(Yorgun et Y\\uc0\\u305{}ld\\uc0\\u305{}z 2015)","plainCitation":"(Yorgun et Yıldız 2015)","noteIndex":0},"citationItems":[{"id":416,"uris":["http://zotero.org/users/18768689/items/9NMW2RPI"],"itemData":{"id":416,"type":"article-journal","container-title":"Journal of the Taiwan Institute of Chemical Engineers","DOI":"10.1016/j.jtice.2015.02.032","ISSN":"18761070","journalAbbreviation":"Journal of the Taiwan Institute of Chemical Engineers","language":"en","page":"122-131","source":"DOI.org (Crossref)","title":"Preparation and characterization of activated carbons from Paulownia wood by chemical activation with H3PO4","volume":"53","author":[{"family":"Yorgun","given":"Sait"},{"family":"Yıldız","given":"Derya"}],"issued":{"date-parts":[["2015",8]]}}}],"schema":"https://github.com/citation-style-language/schema/raw/master/csl-citation.json"} </w:instrText>
      </w:r>
      <w:r w:rsidRPr="00CF6AB3">
        <w:rPr>
          <w:rFonts w:ascii="Arial" w:hAnsi="Arial" w:cs="Arial"/>
        </w:rPr>
        <w:fldChar w:fldCharType="separate"/>
      </w:r>
      <w:r w:rsidRPr="00CF6AB3">
        <w:rPr>
          <w:rFonts w:ascii="Arial" w:hAnsi="Arial" w:cs="Arial"/>
        </w:rPr>
        <w:t>(Yorgun et Yıldız 2015)</w:t>
      </w:r>
      <w:r w:rsidRPr="00CF6AB3">
        <w:rPr>
          <w:rFonts w:ascii="Arial" w:hAnsi="Arial" w:cs="Arial"/>
        </w:rPr>
        <w:fldChar w:fldCharType="end"/>
      </w:r>
      <w:r w:rsidRPr="00CF6AB3">
        <w:rPr>
          <w:rFonts w:ascii="Arial" w:hAnsi="Arial" w:cs="Arial"/>
        </w:rPr>
        <w:t xml:space="preserve">. This treatment also generates oxygen- and phosphorus-containing functional groups (P–O, C–O–P) that enhance the surface reactivity toward organic pollutants </w:t>
      </w:r>
      <w:r w:rsidRPr="00CF6AB3">
        <w:rPr>
          <w:rFonts w:ascii="Arial" w:hAnsi="Arial" w:cs="Arial"/>
        </w:rPr>
        <w:fldChar w:fldCharType="begin"/>
      </w:r>
      <w:r w:rsidRPr="00CF6AB3">
        <w:rPr>
          <w:rFonts w:ascii="Arial" w:hAnsi="Arial" w:cs="Arial"/>
        </w:rPr>
        <w:instrText xml:space="preserve"> ADDIN ZOTERO_ITEM CSL_CITATION {"citationID":"pOTzRCvF","properties":{"formattedCitation":"(Hashemian et al. 2014)","plainCitation":"(Hashemian et al. 2014)","noteIndex":0},"citationItems":[{"id":417,"uris":["http://zotero.org/users/18768689/items/4K829ZTX"],"itemData":{"id":417,"type":"article-journal","container-title":"Journal of Industrial and Engineering Chemistry","DOI":"10.1016/j.jiec.2013.09.009","ISSN":"1226086X","issue":"4","journalAbbreviation":"Journal of Industrial and Engineering Chemistry","language":"en","page":"1892-1900","source":"DOI.org (Crossref)","title":"Preparation of activated carbon from agricultural wastes (almond shell and orange peel) for adsorption of 2-pic from aqueous solution","volume":"20","author":[{"family":"Hashemian","given":"Saeedeh"},{"family":"Salari","given":"Khatereh"},{"family":"Yazdi","given":"Zahra Atashi"}],"issued":{"date-parts":[["2014",7]]}}}],"schema":"https://github.com/citation-style-language/schema/raw/master/csl-citation.json"} </w:instrText>
      </w:r>
      <w:r w:rsidRPr="00CF6AB3">
        <w:rPr>
          <w:rFonts w:ascii="Arial" w:hAnsi="Arial" w:cs="Arial"/>
        </w:rPr>
        <w:fldChar w:fldCharType="separate"/>
      </w:r>
      <w:r w:rsidRPr="00CF6AB3">
        <w:rPr>
          <w:rFonts w:ascii="Arial" w:hAnsi="Arial" w:cs="Arial"/>
        </w:rPr>
        <w:t>(Hashemian et al. 2014)</w:t>
      </w:r>
      <w:r w:rsidRPr="00CF6AB3">
        <w:rPr>
          <w:rFonts w:ascii="Arial" w:hAnsi="Arial" w:cs="Arial"/>
        </w:rPr>
        <w:fldChar w:fldCharType="end"/>
      </w:r>
      <w:r w:rsidRPr="00CF6AB3">
        <w:rPr>
          <w:rFonts w:ascii="Arial" w:hAnsi="Arial" w:cs="Arial"/>
        </w:rPr>
        <w:t xml:space="preserve">. </w:t>
      </w:r>
    </w:p>
    <w:p w14:paraId="1D93512A" w14:textId="1076945B" w:rsidR="00CF6AB3" w:rsidRPr="00CF6AB3" w:rsidRDefault="00CF6AB3" w:rsidP="00CF6AB3">
      <w:pPr>
        <w:pStyle w:val="Body"/>
        <w:spacing w:after="0"/>
        <w:rPr>
          <w:rFonts w:ascii="Arial" w:hAnsi="Arial" w:cs="Arial"/>
        </w:rPr>
      </w:pPr>
      <w:r w:rsidRPr="00CF6AB3">
        <w:rPr>
          <w:rFonts w:ascii="Arial" w:hAnsi="Arial" w:cs="Arial"/>
        </w:rPr>
        <w:t xml:space="preserve">Several studies have demonstrated that agricultural biomasses are effective precursors for producing activated carbons used in water decontamination </w:t>
      </w:r>
      <w:r w:rsidRPr="00CF6AB3">
        <w:rPr>
          <w:rFonts w:ascii="Arial" w:hAnsi="Arial" w:cs="Arial"/>
        </w:rPr>
        <w:fldChar w:fldCharType="begin"/>
      </w:r>
      <w:r w:rsidRPr="00CF6AB3">
        <w:rPr>
          <w:rFonts w:ascii="Arial" w:hAnsi="Arial" w:cs="Arial"/>
        </w:rPr>
        <w:instrText xml:space="preserve"> ADDIN ZOTERO_ITEM CSL_CITATION {"citationID":"LBZbfMYc","properties":{"formattedCitation":"(Bamba et al. 2009; Hashemian et al. 2014)","plainCitation":"(Bamba et al. 2009; Hashemian et al. 2014)","noteIndex":0},"citationItems":[{"id":413,"uris":["http://zotero.org/users/18768689/items/ABBJ8QC9"],"itemData":{"id":413,"type":"paper-conference","abstract":"Les coques de noix de coco sont des dechets difficilement biodegradables. Elles sont abondantes dans les pays tropicaux et particulierement en Cote d'Ivoire. Cependant, malgre les potentielles sources d'energies qu'elles presentent et la possibilite de leur utilisation dans le traitement de l'eau, elles sont peu etudiees. Le pays continue d'importer le charbon actif diversement utilise dans le domaine de la chimie analytique. Dans le souci de valoriser les ressources naturelles de la Cote d'ivoire, des charbons actifs ont ete prepares a partir de coques de noix de coco suivant les deux modes d'activation (physique et chimique). Ces materiaux ont developpe une bonne porosite (melange de meso et de micro porosites). Les surfaces specifiques obtenues sont comprises entre 200 m 2 /g et 1300 m 2 /g. Les etudes cinetiques d'elimination du diuron ont revele que ces charbons ont une bonne affinite avec ce polluant. Les charbons actives physiquement presentent une meilleure diffusion par rapport a ceux obtenus par la methode chimique.","source":"Semantic Scholar","title":"Etudes comparées des méthodes de préparation du charbon actif, suivies d'un test de dépollution d'une eau contaminée au diuron","URL":"https://www.semanticscholar.org/paper/Etudes-compar%C3%A9es-des-m%C3%A9thodes-de-pr%C3%A9paration-du-de-Bamba-Dongui/ca62c97384324b34def96ec4abb65bfba33dc14f","author":[{"family":"Bamba","given":"D."},{"family":"Dongui","given":"B."},{"family":"Trokourey","given":"A."},{"family":"Zoro","given":"Guessan Elogne"},{"family":"Atheba","given":"Grah Patrick"},{"family":"Robert","given":"D."},{"family":"Weber","given":"J."}],"accessed":{"date-parts":[["2025",11,29]]},"issued":{"date-parts":[["2009"]]}}},{"id":417,"uris":["http://zotero.org/users/18768689/items/4K829ZTX"],"itemData":{"id":417,"type":"article-journal","container-title":"Journal of Industrial and Engineering Chemistry","DOI":"10.1016/j.jiec.2013.09.009","ISSN":"1226086X","issue":"4","journalAbbreviation":"Journal of Industrial and Engineering Chemistry","language":"en","page":"1892-1900","source":"DOI.org (Crossref)","title":"Preparation of activated carbon from agricultural wastes (almond shell and orange peel) for adsorption of 2-pic from aqueous solution","volume":"20","author":[{"family":"Hashemian","given":"Saeedeh"},{"family":"Salari","given":"Khatereh"},{"family":"Yazdi","given":"Zahra Atashi"}],"issued":{"date-parts":[["2014",7]]}}}],"schema":"https://github.com/citation-style-language/schema/raw/master/csl-citation.json"} </w:instrText>
      </w:r>
      <w:r w:rsidRPr="00CF6AB3">
        <w:rPr>
          <w:rFonts w:ascii="Arial" w:hAnsi="Arial" w:cs="Arial"/>
        </w:rPr>
        <w:fldChar w:fldCharType="separate"/>
      </w:r>
      <w:r w:rsidRPr="00CF6AB3">
        <w:rPr>
          <w:rFonts w:ascii="Arial" w:hAnsi="Arial" w:cs="Arial"/>
        </w:rPr>
        <w:t>(Bamba et al. 2009; Hashemian et al. 2014)</w:t>
      </w:r>
      <w:r w:rsidRPr="00CF6AB3">
        <w:rPr>
          <w:rFonts w:ascii="Arial" w:hAnsi="Arial" w:cs="Arial"/>
        </w:rPr>
        <w:fldChar w:fldCharType="end"/>
      </w:r>
      <w:r w:rsidRPr="00CF6AB3">
        <w:rPr>
          <w:rFonts w:ascii="Arial" w:hAnsi="Arial" w:cs="Arial"/>
        </w:rPr>
        <w:t xml:space="preserve">. In one study, Khan </w:t>
      </w:r>
      <w:r w:rsidR="003D59A8">
        <w:rPr>
          <w:rFonts w:ascii="Arial" w:hAnsi="Arial" w:cs="Arial"/>
        </w:rPr>
        <w:t>and</w:t>
      </w:r>
      <w:r w:rsidRPr="00CF6AB3">
        <w:rPr>
          <w:rFonts w:ascii="Arial" w:hAnsi="Arial" w:cs="Arial"/>
        </w:rPr>
        <w:t xml:space="preserve"> al. (2020) </w:t>
      </w:r>
      <w:r w:rsidRPr="00CF6AB3">
        <w:rPr>
          <w:rFonts w:ascii="Arial" w:hAnsi="Arial" w:cs="Arial"/>
        </w:rPr>
        <w:fldChar w:fldCharType="begin"/>
      </w:r>
      <w:r w:rsidRPr="00CF6AB3">
        <w:rPr>
          <w:rFonts w:ascii="Arial" w:hAnsi="Arial" w:cs="Arial"/>
        </w:rPr>
        <w:instrText xml:space="preserve"> ADDIN ZOTERO_ITEM CSL_CITATION {"citationID":"ZQNvPrfP","properties":{"formattedCitation":"(Khan et al. 2020)","plainCitation":"(Khan et al. 2020)","noteIndex":0},"citationItems":[{"id":418,"uris":["http://zotero.org/users/18768689/items/MH377NGT"],"itemData":{"id":418,"type":"article-journal","container-title":"Journal of Hazardous Materials","DOI":"10.1016/j.jhazmat.2020.123247","ISSN":"03043894","journalAbbreviation":"Journal of Hazardous Materials","language":"en","page":"123247","source":"DOI.org (Crossref)","title":"Oil industry waste based non-magnetic and magnetic hydrochar to sequester potentially toxic post-transition metal ions from water","volume":"400","author":[{"family":"Khan","given":"Moonis Ali"},{"family":"Alqadami","given":"Ayoub Abdullah"},{"family":"Wabaidur","given":"Saikh Mohammad"},{"family":"Siddiqui","given":"Masoom Raza"},{"family":"Jeon","given":"Byong-Hun"},{"family":"Alshareef","given":"Shareefa Ahmed"},{"family":"Alothman","given":"Zeid A."},{"family":"Hamedelniel","given":"Abdelrazig Elfaki"}],"issued":{"date-parts":[["2020",12]]}}}],"schema":"https://github.com/citation-style-language/schema/raw/master/csl-citation.json"} </w:instrText>
      </w:r>
      <w:r w:rsidRPr="00CF6AB3">
        <w:rPr>
          <w:rFonts w:ascii="Arial" w:hAnsi="Arial" w:cs="Arial"/>
        </w:rPr>
        <w:fldChar w:fldCharType="separate"/>
      </w:r>
      <w:r w:rsidRPr="00CF6AB3">
        <w:rPr>
          <w:rFonts w:ascii="Arial" w:hAnsi="Arial" w:cs="Arial"/>
        </w:rPr>
        <w:t>(Khan et al. 2020)</w:t>
      </w:r>
      <w:r w:rsidRPr="00CF6AB3">
        <w:rPr>
          <w:rFonts w:ascii="Arial" w:hAnsi="Arial" w:cs="Arial"/>
        </w:rPr>
        <w:fldChar w:fldCharType="end"/>
      </w:r>
      <w:r w:rsidRPr="00CF6AB3">
        <w:rPr>
          <w:rFonts w:ascii="Arial" w:hAnsi="Arial" w:cs="Arial"/>
        </w:rPr>
        <w:t xml:space="preserve"> valorized petroleum-derived wastes to produce hydrochars capable of adsorbing toxic metal ions. Their results showed that pore morphology and oxygen-containing functional groups play a decisive role in adsorption performance, a principle that is directly applicable to the adsorption of methylene blue onto plant-based activated carbons. </w:t>
      </w:r>
      <w:r w:rsidRPr="00CF6AB3">
        <w:rPr>
          <w:rFonts w:ascii="Arial" w:hAnsi="Arial" w:cs="Arial"/>
        </w:rPr>
        <w:fldChar w:fldCharType="begin"/>
      </w:r>
      <w:r w:rsidRPr="00CF6AB3">
        <w:rPr>
          <w:rFonts w:ascii="Arial" w:hAnsi="Arial" w:cs="Arial"/>
        </w:rPr>
        <w:instrText xml:space="preserve"> ADDIN ZOTERO_ITEM CSL_CITATION {"citationID":"vqbu39mi","properties":{"formattedCitation":"(Wabaidur et al. 2020)","plainCitation":"(Wabaidur et al. 2020)","noteIndex":0},"citationItems":[{"id":419,"uris":["http://zotero.org/users/18768689/items/XMQNY3I9"],"itemData":{"id":419,"type":"article-journal","container-title":"Journal of Molecular Liquids","DOI":"10.1016/j.molliq.2020.113916","ISSN":"01677322","journalAbbreviation":"Journal of Molecular Liquids","language":"en","page":"113916","source":"DOI.org (Crossref)","title":"Oxygenated functionalities enriched MWCNTs decorated with silica coated spinel ferrite – A nanocomposite for potentially rapid and efficient de-colorization of aquatic environment","volume":"317","author":[{"family":"Wabaidur","given":"Saikh Mohammad"},{"family":"Khan","given":"Moonis Ali"},{"family":"Siddiqui","given":"Masoom Raza"},{"family":"Otero","given":"Marta"},{"family":"Jeon","given":"Byong-Hun"},{"family":"Alothman","given":"Zeid Abdullah"},{"family":"Hakami","given":"Afnan Ali Hussain"}],"issued":{"date-parts":[["2020",11]]}}}],"schema":"https://github.com/citation-style-language/schema/raw/master/csl-citation.json"} </w:instrText>
      </w:r>
      <w:r w:rsidRPr="00CF6AB3">
        <w:rPr>
          <w:rFonts w:ascii="Arial" w:hAnsi="Arial" w:cs="Arial"/>
        </w:rPr>
        <w:fldChar w:fldCharType="separate"/>
      </w:r>
      <w:r w:rsidRPr="00CF6AB3">
        <w:rPr>
          <w:rFonts w:ascii="Arial" w:hAnsi="Arial" w:cs="Arial"/>
        </w:rPr>
        <w:t>Wabaidur et al. ( 2020)</w:t>
      </w:r>
      <w:r w:rsidRPr="00CF6AB3">
        <w:rPr>
          <w:rFonts w:ascii="Arial" w:hAnsi="Arial" w:cs="Arial"/>
        </w:rPr>
        <w:fldChar w:fldCharType="end"/>
      </w:r>
      <w:r w:rsidRPr="00CF6AB3">
        <w:rPr>
          <w:rFonts w:ascii="Arial" w:hAnsi="Arial" w:cs="Arial"/>
        </w:rPr>
        <w:t xml:space="preserve"> reported that oxygenated functional groups and pore-size distribution in carbon-based composites strongly influence the kinetics and adsorption capacity of cationic dyes. Their findings highlight the importance of surface chemistry and electrostatic interactions between active functional groups and organic molecules such as methylene blue. From a theoretical standpoint, </w:t>
      </w:r>
      <w:r w:rsidRPr="00CF6AB3">
        <w:rPr>
          <w:rFonts w:ascii="Arial" w:hAnsi="Arial" w:cs="Arial"/>
        </w:rPr>
        <w:fldChar w:fldCharType="begin"/>
      </w:r>
      <w:r w:rsidRPr="00CF6AB3">
        <w:rPr>
          <w:rFonts w:ascii="Arial" w:hAnsi="Arial" w:cs="Arial"/>
        </w:rPr>
        <w:instrText xml:space="preserve"> ADDIN ZOTERO_ITEM CSL_CITATION {"citationID":"WSoEa05u","properties":{"formattedCitation":"(ALOthman 2012)","plainCitation":"(ALOthman 2012)","noteIndex":0},"citationItems":[{"id":420,"uris":["http://zotero.org/users/18768689/items/FSPA89DU"],"itemData":{"id":420,"type":"article-journal","abstract":"Silicate mesoporous materials have received widespread interest because of their potential applications as supports for catalysis, separation, selective adsorption, novel functional materials, and use as hosts to confine guest molecules, due to their extremely high surface areas combined with large and uniform pore sizes. Over time a constant demand has developed for larger pores with well-defined pore structures. Silicate materials, with well-defined pore sizes of about 2.0–10.0 nm, surpass the pore-size constraint (&lt;2.0 nm) of microporous zeolites. They also possess extremely high surface areas (&gt;700 m2 g−1) and narrow pore size distributions. Instead of using small organic molecules as templating compounds, as in the case of zeolites, long chain surfactant molecules were employed as the structure-directing agent during the synthesis of these highly ordered materials. The structure, composition, and pore size of these materials can be tailored during synthesis by variation of the reactant stoichiometry, the nature of the surfactant molecule, the auxiliary chemicals, the reaction conditions, or by post-synthesis functionalization techniques. This review focuses mainly on a concise overview of silicate mesoporous materials together with their applications. Perusal of the review will enable researchers to obtain succinct information about microporous and mesoporous materials.","container-title":"Materials","DOI":"10.3390/ma5122874","ISSN":"1996-1944","issue":"12","journalAbbreviation":"Materials","language":"en","page":"2874-2902","source":"DOI.org (Crossref)","title":"A Review: Fundamental Aspects of Silicate Mesoporous Materials","title-short":"A Review","volume":"5","author":[{"family":"ALOthman","given":"Zeid"}],"issued":{"date-parts":[["2012",12,17]]}}}],"schema":"https://github.com/citation-style-language/schema/raw/master/csl-citation.json"} </w:instrText>
      </w:r>
      <w:r w:rsidRPr="00CF6AB3">
        <w:rPr>
          <w:rFonts w:ascii="Arial" w:hAnsi="Arial" w:cs="Arial"/>
        </w:rPr>
        <w:fldChar w:fldCharType="separate"/>
      </w:r>
      <w:r w:rsidRPr="00CF6AB3">
        <w:rPr>
          <w:rFonts w:ascii="Arial" w:hAnsi="Arial" w:cs="Arial"/>
        </w:rPr>
        <w:t>ALOthman (2012)</w:t>
      </w:r>
      <w:r w:rsidRPr="00CF6AB3">
        <w:rPr>
          <w:rFonts w:ascii="Arial" w:hAnsi="Arial" w:cs="Arial"/>
        </w:rPr>
        <w:fldChar w:fldCharType="end"/>
      </w:r>
      <w:r w:rsidRPr="00CF6AB3">
        <w:rPr>
          <w:rFonts w:ascii="Arial" w:hAnsi="Arial" w:cs="Arial"/>
        </w:rPr>
        <w:t xml:space="preserve">  demonstrated that pore texture and specific surface area largely determine the adsorption capacity of mesoporous materials. These concepts are directly transferable to activated carbons, where controlling pore size and connectivity enhances adsorption efficiency.</w:t>
      </w:r>
    </w:p>
    <w:p w14:paraId="379D71A7" w14:textId="4C4F2AF0" w:rsidR="00CF6AB3" w:rsidRPr="00CF6AB3" w:rsidRDefault="00CF6AB3" w:rsidP="00CF6AB3">
      <w:pPr>
        <w:pStyle w:val="Body"/>
        <w:spacing w:after="0"/>
        <w:rPr>
          <w:rFonts w:ascii="Arial" w:hAnsi="Arial" w:cs="Arial"/>
        </w:rPr>
      </w:pPr>
      <w:r w:rsidRPr="00CF6AB3">
        <w:rPr>
          <w:rFonts w:ascii="Arial" w:hAnsi="Arial" w:cs="Arial"/>
        </w:rPr>
        <w:t xml:space="preserve">In Burkina Faso, groundwater pollution represents a major environmental concern. The study conducted by  </w:t>
      </w:r>
      <w:r w:rsidRPr="00CF6AB3">
        <w:rPr>
          <w:rFonts w:ascii="Arial" w:hAnsi="Arial" w:cs="Arial"/>
        </w:rPr>
        <w:fldChar w:fldCharType="begin"/>
      </w:r>
      <w:r w:rsidRPr="00CF6AB3">
        <w:rPr>
          <w:rFonts w:ascii="Arial" w:hAnsi="Arial" w:cs="Arial"/>
        </w:rPr>
        <w:instrText xml:space="preserve"> ADDIN ZOTERO_ITEM CSL_CITATION {"citationID":"1Mix6JOX","properties":{"formattedCitation":"(Kon\\uc0\\u233{} et al. 2009)","plainCitation":"(Koné et al. 2009)","noteIndex":0},"citationItems":[{"id":271,"uris":["http://zotero.org/users/18768689/items/6YZ6UIHV"],"itemData":{"id":271,"type":"article-newspaper","container-title":"Sud Sciences &amp; Technologies","page":"6-15","title":"Study of water pollution by agricultural inputs: case of five intensive agriculture areas in Burkina Faso","author":[{"family":"Koné","given":"Martine"},{"family":"Bonou","given":"L"},{"family":"Bouvet","given":"Y"},{"family":"Joly P","given":"P"},{"family":"Koulidiaty","given":"J"}],"issued":{"date-parts":[["2009"]]}}}],"schema":"https://github.com/citation-style-language/schema/raw/master/csl-citation.json"} </w:instrText>
      </w:r>
      <w:r w:rsidRPr="00CF6AB3">
        <w:rPr>
          <w:rFonts w:ascii="Arial" w:hAnsi="Arial" w:cs="Arial"/>
        </w:rPr>
        <w:fldChar w:fldCharType="separate"/>
      </w:r>
      <w:r w:rsidRPr="00CF6AB3">
        <w:rPr>
          <w:rFonts w:ascii="Arial" w:hAnsi="Arial" w:cs="Arial"/>
        </w:rPr>
        <w:t xml:space="preserve">Koné </w:t>
      </w:r>
      <w:r w:rsidR="003D59A8">
        <w:rPr>
          <w:rFonts w:ascii="Arial" w:hAnsi="Arial" w:cs="Arial"/>
        </w:rPr>
        <w:t>ant</w:t>
      </w:r>
      <w:r w:rsidRPr="00CF6AB3">
        <w:rPr>
          <w:rFonts w:ascii="Arial" w:hAnsi="Arial" w:cs="Arial"/>
        </w:rPr>
        <w:t xml:space="preserve"> al. (2009)</w:t>
      </w:r>
      <w:r w:rsidRPr="00CF6AB3">
        <w:rPr>
          <w:rFonts w:ascii="Arial" w:hAnsi="Arial" w:cs="Arial"/>
        </w:rPr>
        <w:fldChar w:fldCharType="end"/>
      </w:r>
      <w:r w:rsidRPr="00CF6AB3">
        <w:rPr>
          <w:rFonts w:ascii="Arial" w:hAnsi="Arial" w:cs="Arial"/>
        </w:rPr>
        <w:t xml:space="preserve"> in the South-West region of the country highlighted the impact of agricultural inputs on groundwater quality. Similarly, </w:t>
      </w:r>
      <w:r w:rsidRPr="00CF6AB3">
        <w:rPr>
          <w:rFonts w:ascii="Arial" w:hAnsi="Arial" w:cs="Arial"/>
        </w:rPr>
        <w:fldChar w:fldCharType="begin"/>
      </w:r>
      <w:r w:rsidRPr="00CF6AB3">
        <w:rPr>
          <w:rFonts w:ascii="Arial" w:hAnsi="Arial" w:cs="Arial"/>
        </w:rPr>
        <w:instrText xml:space="preserve"> ADDIN ZOTERO_ITEM CSL_CITATION {"citationID":"eCIMtQZ0","properties":{"formattedCitation":"(Kafando et al. 2025)","plainCitation":"(Kafando et al. 2025)","noteIndex":0},"citationItems":[{"id":424,"uris":["http://zotero.org/users/18768689/items/MHJ7LU4I"],"itemData":{"id":424,"type":"article-journal","abstract":"Continued population growth in African cities has led to an increase in the demand for agricultural produce, with intensive use of inputs. The practice of market gardening in the vicinity of water bodies has an impact on groundwater quality. To make up for the lack of water, some people in the town of Koudougou resort to wells and boreholes. This study assessed the chemical and microbiological pollution of groundwater in the town of Koudougou, Burkina Faso. To this end, 40 water samples were taken from wells and boreholes near watercourses and in market garden production areas. Analyses were carried out using microwave plasma atomic emission spectrometry (MP-AES) and molecular absorption spectrophotometry. Principal component analysis was performed using XLSTAT software, and hydrochemical facies analysis was performed using Diagram software from the Laboratoire d'Hydrogéologie, Université d'Avignon. The extraction of pesticides from the water was adapted to the QuEchERS method proposed by Standard NF EN 15662 of 01/2009. Bacteria were also detected by filtration on cellulose membranes. The results of principal component analysis of the water samples revealed strong correlations between Ca2+ and Mg2+ (0.98), Al3+ and Fe2+ (0.96), Cl- and Na+ (0.93), NO3- (0.80). Thus, the origin of the chemical elements could be explained by direct infiltration of surface water and the influence of anthropogenic activities. Analysis of the hydrochemical facies reveals anthropogenic pollution. In addition, the high Al3+ content (0.31 mg/L) in some wells exceeds the WHO threshold value (0.2 mg/L), and is partly linked to rock weathering. In addition, pesticide residue levels have been found to exceed standards. The water is contaminated with faecal matter, with total coliform levels reaching 800 CFU/100 mL. All in all, well water as a whole and 80% of borehole water were found to be unfit for human consumption.","container-title":"Asian Journal of Chemical Sciences","DOI":"10.9734/ajocs/2025/v15i1345","ISSN":"2456-7795","issue":"1","journalAbbreviation":"Asian J. Chem. Sci.","page":"16-29","source":"DOI.org (Crossref)","title":"Groundwater Pollution in Koudougou, Burkina Faso: Chemical and Microbiological Assessment","title-short":"Groundwater Pollution in Koudougou, Burkina Faso","volume":"15","author":[{"family":"Kafando","given":"Gounedmanega Idrissa"},{"family":"Kone","given":"Martine"},{"family":"Kindo","given":"Adama"},{"family":"Yamma","given":"Rose"},{"family":"Sawadogo","given":"Joceline"},{"family":"Tamboura","given":"Seydou"},{"family":"Konate","given":"Soumaila"},{"family":"Kutangila","given":"Succès Malundama"},{"family":"Zerbo","given":"Mamourou"},{"family":"Bougouma","given":"Moussa"}],"issued":{"date-parts":[["2025",1,9]]}}}],"schema":"https://github.com/citation-style-language/schema/raw/master/csl-citation.json"} </w:instrText>
      </w:r>
      <w:r w:rsidRPr="00CF6AB3">
        <w:rPr>
          <w:rFonts w:ascii="Arial" w:hAnsi="Arial" w:cs="Arial"/>
        </w:rPr>
        <w:fldChar w:fldCharType="separate"/>
      </w:r>
      <w:r w:rsidRPr="00CF6AB3">
        <w:rPr>
          <w:rFonts w:ascii="Arial" w:hAnsi="Arial" w:cs="Arial"/>
        </w:rPr>
        <w:t xml:space="preserve">Kafando </w:t>
      </w:r>
      <w:r w:rsidR="003D59A8">
        <w:rPr>
          <w:rFonts w:ascii="Arial" w:hAnsi="Arial" w:cs="Arial"/>
        </w:rPr>
        <w:t>and</w:t>
      </w:r>
      <w:r w:rsidRPr="00CF6AB3">
        <w:rPr>
          <w:rFonts w:ascii="Arial" w:hAnsi="Arial" w:cs="Arial"/>
        </w:rPr>
        <w:t xml:space="preserve"> al. (2025)</w:t>
      </w:r>
      <w:r w:rsidRPr="00CF6AB3">
        <w:rPr>
          <w:rFonts w:ascii="Arial" w:hAnsi="Arial" w:cs="Arial"/>
        </w:rPr>
        <w:fldChar w:fldCharType="end"/>
      </w:r>
      <w:r w:rsidRPr="00CF6AB3">
        <w:rPr>
          <w:rFonts w:ascii="Arial" w:hAnsi="Arial" w:cs="Arial"/>
        </w:rPr>
        <w:t xml:space="preserve"> investigated the quality of borehole and well water in the city of Koudougou, revealing alarming chemical and microbiological contamination linked to anthropogenic pressures and the vulnerability of the aquifer. These findings call for accessible, sustainable, and environmentally friendly treatment solutions.</w:t>
      </w:r>
    </w:p>
    <w:p w14:paraId="2E1DF2C1" w14:textId="6367502F" w:rsidR="00CF6AB3" w:rsidRPr="00CF6AB3" w:rsidRDefault="00CF6AB3" w:rsidP="00CF6AB3">
      <w:pPr>
        <w:pStyle w:val="Body"/>
        <w:spacing w:after="0"/>
        <w:rPr>
          <w:rFonts w:ascii="Arial" w:hAnsi="Arial" w:cs="Arial"/>
        </w:rPr>
      </w:pPr>
      <w:r w:rsidRPr="00CF6AB3">
        <w:rPr>
          <w:rFonts w:ascii="Arial" w:hAnsi="Arial" w:cs="Arial"/>
        </w:rPr>
        <w:t xml:space="preserve">The production and use of activated carbons derived from corncob, an abundant local resource, therefore appear as an economically viable and environmentally sustainable alternative for the treatment of contaminated water, particularly those containing organic dyes such as methylene blue. This cationic dye, widely used in the textile, paper, and leather industries, is known for its chemical stability and low biodegradability, which make its natural decomposition difficult </w:t>
      </w:r>
      <w:r w:rsidRPr="00CF6AB3">
        <w:rPr>
          <w:rFonts w:ascii="Arial" w:hAnsi="Arial" w:cs="Arial"/>
        </w:rPr>
        <w:fldChar w:fldCharType="begin"/>
      </w:r>
      <w:r w:rsidRPr="00CF6AB3">
        <w:rPr>
          <w:rFonts w:ascii="Arial" w:hAnsi="Arial" w:cs="Arial"/>
        </w:rPr>
        <w:instrText xml:space="preserve"> ADDIN ZOTERO_ITEM CSL_CITATION {"citationID":"GNXBemUU","properties":{"formattedCitation":"(Al-Asadi et al. 2025)","plainCitation":"(Al-Asadi et al. 2025)","noteIndex":0},"citationItems":[{"id":425,"uris":["http://zotero.org/users/18768689/items/EFXC2QVN"],"itemData":{"id":425,"type":"article-journal","container-title":"Carbon Trends","DOI":"10.1016/j.cartre.2025.100507","ISSN":"26670569","journalAbbreviation":"Carbon Trends","language":"en","page":"100507","source":"DOI.org (Crossref)","title":"A comprehensive review of methylene blue dye adsorption on activated carbon from edible fruit seeds: A case study on kinetics and adsorption models","title-short":"A comprehensive review of methylene blue dye adsorption on activated carbon from edible fruit seeds","volume":"20","author":[{"family":"Al-Asadi","given":"Safaa Talib"},{"family":"Mussa","given":"Zainab Haider"},{"family":"Al-Qaim","given":"Fouad Fadhil"},{"family":"Kamyab","given":"Hesam"},{"family":"Al-Saedi","given":"Haider Falih Shamikh"},{"family":"Deyab","given":"Issa Farhan"},{"family":"Kadhim","given":"Nisreen Jawad"}],"issued":{"date-parts":[["2025",8]]}}}],"schema":"https://github.com/citation-style-language/schema/raw/master/csl-citation.json"} </w:instrText>
      </w:r>
      <w:r w:rsidRPr="00CF6AB3">
        <w:rPr>
          <w:rFonts w:ascii="Arial" w:hAnsi="Arial" w:cs="Arial"/>
        </w:rPr>
        <w:fldChar w:fldCharType="separate"/>
      </w:r>
      <w:r w:rsidRPr="00CF6AB3">
        <w:rPr>
          <w:rFonts w:ascii="Arial" w:hAnsi="Arial" w:cs="Arial"/>
        </w:rPr>
        <w:t xml:space="preserve">(Al-Asadi </w:t>
      </w:r>
      <w:r w:rsidR="003D59A8">
        <w:rPr>
          <w:rFonts w:ascii="Arial" w:hAnsi="Arial" w:cs="Arial"/>
        </w:rPr>
        <w:t>and</w:t>
      </w:r>
      <w:r w:rsidRPr="00CF6AB3">
        <w:rPr>
          <w:rFonts w:ascii="Arial" w:hAnsi="Arial" w:cs="Arial"/>
        </w:rPr>
        <w:t xml:space="preserve"> al. 2025)</w:t>
      </w:r>
      <w:r w:rsidRPr="00CF6AB3">
        <w:rPr>
          <w:rFonts w:ascii="Arial" w:hAnsi="Arial" w:cs="Arial"/>
        </w:rPr>
        <w:fldChar w:fldCharType="end"/>
      </w:r>
      <w:r w:rsidRPr="00CF6AB3">
        <w:rPr>
          <w:rFonts w:ascii="Arial" w:hAnsi="Arial" w:cs="Arial"/>
        </w:rPr>
        <w:t xml:space="preserve">. According to </w:t>
      </w:r>
      <w:r w:rsidRPr="00CF6AB3">
        <w:rPr>
          <w:rFonts w:ascii="Arial" w:hAnsi="Arial" w:cs="Arial"/>
        </w:rPr>
        <w:fldChar w:fldCharType="begin"/>
      </w:r>
      <w:r w:rsidRPr="00CF6AB3">
        <w:rPr>
          <w:rFonts w:ascii="Arial" w:hAnsi="Arial" w:cs="Arial"/>
        </w:rPr>
        <w:instrText xml:space="preserve"> ADDIN ZOTERO_ITEM CSL_CITATION {"citationID":"QJ9xIUhH","properties":{"formattedCitation":"(Abid et al. 2025)","plainCitation":"(Abid et al. 2025)","noteIndex":0},"citationItems":[{"id":426,"uris":["http://zotero.org/users/18768689/items/87QIB2VC"],"itemData":{"id":426,"type":"article-journal","container-title":"Results in Chemistry","DOI":"10.1016/j.rechem.2025.102124","ISSN":"22117156","journalAbbreviation":"Results in Chemistry","language":"en","page":"102124","source":"DOI.org (Crossref)","title":"Walnut Shell as a bio-activated carbon for elimination of malachite green from its aqueous solution: Adsorption isotherms, kinetics and thermodynamic studies","title-short":"Walnut Shell as a bio-activated carbon for elimination of malachite green from its aqueous solution","volume":"14","author":[{"family":"Abid","given":"Lekaa Hussein"},{"family":"Mussa","given":"Zainab Haider"},{"family":"Deyab","given":"Issa Farhan"},{"family":"Al-Ameer","given":"Lubna Raad"},{"family":"Al-Saedi","given":"Haider Falih Shamikh"},{"family":"Al-Qaim","given":"Fouad Fadhil"},{"family":"Kamyab","given":"Hesam"},{"family":"Rajendran","given":"Saravanan"},{"family":"Falah Imran","given":"Ahmed"},{"family":"Yaseen","given":"Zaher Mundher"}],"issued":{"date-parts":[["2025",3]]}}}],"schema":"https://github.com/citation-style-language/schema/raw/master/csl-citation.json"} </w:instrText>
      </w:r>
      <w:r w:rsidRPr="00CF6AB3">
        <w:rPr>
          <w:rFonts w:ascii="Arial" w:hAnsi="Arial" w:cs="Arial"/>
        </w:rPr>
        <w:fldChar w:fldCharType="separate"/>
      </w:r>
      <w:r w:rsidRPr="00CF6AB3">
        <w:rPr>
          <w:rFonts w:ascii="Arial" w:hAnsi="Arial" w:cs="Arial"/>
        </w:rPr>
        <w:t xml:space="preserve">Abid </w:t>
      </w:r>
      <w:r w:rsidR="003D59A8">
        <w:rPr>
          <w:rFonts w:ascii="Arial" w:hAnsi="Arial" w:cs="Arial"/>
        </w:rPr>
        <w:t>and</w:t>
      </w:r>
      <w:r w:rsidRPr="00CF6AB3">
        <w:rPr>
          <w:rFonts w:ascii="Arial" w:hAnsi="Arial" w:cs="Arial"/>
        </w:rPr>
        <w:t xml:space="preserve"> al. (2025)</w:t>
      </w:r>
      <w:r w:rsidRPr="00CF6AB3">
        <w:rPr>
          <w:rFonts w:ascii="Arial" w:hAnsi="Arial" w:cs="Arial"/>
        </w:rPr>
        <w:fldChar w:fldCharType="end"/>
      </w:r>
      <w:r w:rsidRPr="00CF6AB3">
        <w:rPr>
          <w:rFonts w:ascii="Arial" w:hAnsi="Arial" w:cs="Arial"/>
        </w:rPr>
        <w:t>, synthetic dyes exhibit toxic, mutagenic, and carcinogenic properties that may adversely affect aquatic life and human health.</w:t>
      </w:r>
    </w:p>
    <w:p w14:paraId="4DF69CD8" w14:textId="64113E60" w:rsidR="00CF6AB3" w:rsidRPr="00CF6AB3" w:rsidRDefault="00CF6AB3" w:rsidP="00CF6AB3">
      <w:pPr>
        <w:pStyle w:val="Body"/>
        <w:spacing w:after="0"/>
        <w:rPr>
          <w:rFonts w:ascii="Arial" w:hAnsi="Arial" w:cs="Arial"/>
        </w:rPr>
      </w:pPr>
      <w:r w:rsidRPr="00CF6AB3">
        <w:rPr>
          <w:rFonts w:ascii="Arial" w:hAnsi="Arial" w:cs="Arial"/>
        </w:rPr>
        <w:t xml:space="preserve">In view of these challenges, it is essential to develop treatment methods that are not only effective but also economically affordable and adapted to local socio-economic conditions. Although numerous studies have reported the effectiveness of activated carbons in the adsorption of methylene blue </w:t>
      </w:r>
      <w:r w:rsidRPr="00CF6AB3">
        <w:rPr>
          <w:rFonts w:ascii="Arial" w:hAnsi="Arial" w:cs="Arial"/>
        </w:rPr>
        <w:fldChar w:fldCharType="begin"/>
      </w:r>
      <w:r w:rsidRPr="00CF6AB3">
        <w:rPr>
          <w:rFonts w:ascii="Arial" w:hAnsi="Arial" w:cs="Arial"/>
        </w:rPr>
        <w:instrText xml:space="preserve"> ADDIN ZOTERO_ITEM CSL_CITATION {"citationID":"i1vPQXfz","properties":{"formattedCitation":"(Al-Asadi et al. 2025)","plainCitation":"(Al-Asadi et al. 2025)","noteIndex":0},"citationItems":[{"id":425,"uris":["http://zotero.org/users/18768689/items/EFXC2QVN"],"itemData":{"id":425,"type":"article-journal","container-title":"Carbon Trends","DOI":"10.1016/j.cartre.2025.100507","ISSN":"26670569","journalAbbreviation":"Carbon Trends","language":"en","page":"100507","source":"DOI.org (Crossref)","title":"A comprehensive review of methylene blue dye adsorption on activated carbon from edible fruit seeds: A case study on kinetics and adsorption models","title-short":"A comprehensive review of methylene blue dye adsorption on activated carbon from edible fruit seeds","volume":"20","author":[{"family":"Al-Asadi","given":"Safaa Talib"},{"family":"Mussa","given":"Zainab Haider"},{"family":"Al-Qaim","given":"Fouad Fadhil"},{"family":"Kamyab","given":"Hesam"},{"family":"Al-Saedi","given":"Haider Falih Shamikh"},{"family":"Deyab","given":"Issa Farhan"},{"family":"Kadhim","given":"Nisreen Jawad"}],"issued":{"date-parts":[["2025",8]]}}}],"schema":"https://github.com/citation-style-language/schema/raw/master/csl-citation.json"} </w:instrText>
      </w:r>
      <w:r w:rsidRPr="00CF6AB3">
        <w:rPr>
          <w:rFonts w:ascii="Arial" w:hAnsi="Arial" w:cs="Arial"/>
        </w:rPr>
        <w:fldChar w:fldCharType="separate"/>
      </w:r>
      <w:r w:rsidRPr="00CF6AB3">
        <w:rPr>
          <w:rFonts w:ascii="Arial" w:hAnsi="Arial" w:cs="Arial"/>
        </w:rPr>
        <w:t xml:space="preserve">(Al-Asadi </w:t>
      </w:r>
      <w:r w:rsidR="003D59A8">
        <w:rPr>
          <w:rFonts w:ascii="Arial" w:hAnsi="Arial" w:cs="Arial"/>
        </w:rPr>
        <w:t>and</w:t>
      </w:r>
      <w:r w:rsidRPr="00CF6AB3">
        <w:rPr>
          <w:rFonts w:ascii="Arial" w:hAnsi="Arial" w:cs="Arial"/>
        </w:rPr>
        <w:t xml:space="preserve"> al. 2025)</w:t>
      </w:r>
      <w:r w:rsidRPr="00CF6AB3">
        <w:rPr>
          <w:rFonts w:ascii="Arial" w:hAnsi="Arial" w:cs="Arial"/>
        </w:rPr>
        <w:fldChar w:fldCharType="end"/>
      </w:r>
      <w:r w:rsidRPr="00CF6AB3">
        <w:rPr>
          <w:rFonts w:ascii="Arial" w:hAnsi="Arial" w:cs="Arial"/>
        </w:rPr>
        <w:t>, few have specifically investigated activated carbons derived from corncob chemically activated with phosphoric acid (H</w:t>
      </w:r>
      <w:r w:rsidRPr="00CF6AB3">
        <w:rPr>
          <w:rFonts w:ascii="Arial" w:hAnsi="Arial" w:cs="Arial"/>
          <w:vertAlign w:val="subscript"/>
        </w:rPr>
        <w:t>3</w:t>
      </w:r>
      <w:r w:rsidRPr="00CF6AB3">
        <w:rPr>
          <w:rFonts w:ascii="Arial" w:hAnsi="Arial" w:cs="Arial"/>
        </w:rPr>
        <w:t>PO</w:t>
      </w:r>
      <w:r w:rsidRPr="00CF6AB3">
        <w:rPr>
          <w:rFonts w:ascii="Arial" w:hAnsi="Arial" w:cs="Arial"/>
          <w:vertAlign w:val="subscript"/>
        </w:rPr>
        <w:t>4</w:t>
      </w:r>
      <w:r w:rsidRPr="00CF6AB3">
        <w:rPr>
          <w:rFonts w:ascii="Arial" w:hAnsi="Arial" w:cs="Arial"/>
        </w:rPr>
        <w:t>) for the removal of this dye.</w:t>
      </w:r>
    </w:p>
    <w:p w14:paraId="08EBF64B" w14:textId="77777777" w:rsidR="00CF6AB3" w:rsidRPr="00CF6AB3" w:rsidRDefault="00CF6AB3" w:rsidP="00CF6AB3">
      <w:pPr>
        <w:pStyle w:val="Body"/>
        <w:spacing w:after="0"/>
        <w:rPr>
          <w:rFonts w:ascii="Arial" w:hAnsi="Arial" w:cs="Arial"/>
        </w:rPr>
      </w:pPr>
      <w:r w:rsidRPr="00CF6AB3">
        <w:rPr>
          <w:rFonts w:ascii="Arial" w:hAnsi="Arial" w:cs="Arial"/>
        </w:rPr>
        <w:t>Despite progress in the valorization of agricultural biomass for activated carbon production, there is virtually no in-depth study on the adsorption performance of H</w:t>
      </w:r>
      <w:r w:rsidRPr="00CF6AB3">
        <w:rPr>
          <w:rFonts w:ascii="Arial" w:hAnsi="Arial" w:cs="Arial"/>
          <w:vertAlign w:val="subscript"/>
        </w:rPr>
        <w:t>3</w:t>
      </w:r>
      <w:r w:rsidRPr="00CF6AB3">
        <w:rPr>
          <w:rFonts w:ascii="Arial" w:hAnsi="Arial" w:cs="Arial"/>
        </w:rPr>
        <w:t>PO</w:t>
      </w:r>
      <w:r w:rsidRPr="00CF6AB3">
        <w:rPr>
          <w:rFonts w:ascii="Arial" w:hAnsi="Arial" w:cs="Arial"/>
          <w:vertAlign w:val="subscript"/>
        </w:rPr>
        <w:t>4</w:t>
      </w:r>
      <w:r w:rsidRPr="00CF6AB3">
        <w:rPr>
          <w:rFonts w:ascii="Arial" w:hAnsi="Arial" w:cs="Arial"/>
        </w:rPr>
        <w:t xml:space="preserve"> activated corncob-based activated carbons for methylene blue removal, particularly in the context of Sahelian countries. This scientific gap fully justifies the present research.</w:t>
      </w:r>
    </w:p>
    <w:p w14:paraId="5F545D55" w14:textId="77777777" w:rsidR="00CF6AB3" w:rsidRPr="00CF6AB3" w:rsidRDefault="00CF6AB3" w:rsidP="00CF6AB3">
      <w:pPr>
        <w:pStyle w:val="Body"/>
        <w:spacing w:after="0"/>
        <w:rPr>
          <w:rFonts w:ascii="Arial" w:hAnsi="Arial" w:cs="Arial"/>
        </w:rPr>
      </w:pPr>
      <w:r w:rsidRPr="00CF6AB3">
        <w:rPr>
          <w:rFonts w:ascii="Arial" w:hAnsi="Arial" w:cs="Arial"/>
        </w:rPr>
        <w:t xml:space="preserve">The overall objective of this study is to evaluate the performance of an activated carbon produced from corncob and activated with phosphoric acid for the adsorption of methylene blue, with a view to its potential application in the treatment of contaminated water. This work provides a major scientific contribution by valorizing an underexploited local biomass for the production of activated carbon while offering a comprehensive physicochemical </w:t>
      </w:r>
      <w:r w:rsidRPr="00CF6AB3">
        <w:rPr>
          <w:rFonts w:ascii="Arial" w:hAnsi="Arial" w:cs="Arial"/>
        </w:rPr>
        <w:lastRenderedPageBreak/>
        <w:t>characterization of the material. It also proposes an in-depth evaluation of its methylene blue adsorption performance, enabling a better understanding of the interaction mechanisms between phosphorylated surface functional groups and cationic dyes. Finally, the study highlights the potential of this material as a local, sustainable, and low-cost solution for the treatment of contaminated water.</w:t>
      </w:r>
    </w:p>
    <w:p w14:paraId="14FDD42F" w14:textId="77777777" w:rsidR="00790ADA" w:rsidRPr="00CF6AB3" w:rsidRDefault="00790ADA" w:rsidP="00441B6F">
      <w:pPr>
        <w:pStyle w:val="Body"/>
        <w:spacing w:after="0"/>
        <w:rPr>
          <w:rFonts w:ascii="Arial" w:hAnsi="Arial" w:cs="Arial"/>
        </w:rPr>
      </w:pPr>
    </w:p>
    <w:p w14:paraId="68AA7E00" w14:textId="77777777" w:rsidR="009718EB" w:rsidRPr="00B939CE" w:rsidRDefault="00902823" w:rsidP="009718EB">
      <w:pPr>
        <w:pStyle w:val="AbstHead"/>
        <w:rPr>
          <w:rFonts w:ascii="Arial" w:hAnsi="Arial" w:cs="Arial"/>
          <w:bCs/>
        </w:rPr>
      </w:pPr>
      <w:r>
        <w:rPr>
          <w:rFonts w:ascii="Arial" w:hAnsi="Arial" w:cs="Arial"/>
        </w:rPr>
        <w:t xml:space="preserve">2. </w:t>
      </w:r>
      <w:r w:rsidR="009718EB" w:rsidRPr="00B939CE">
        <w:rPr>
          <w:rFonts w:ascii="Arial" w:hAnsi="Arial" w:cs="Arial"/>
          <w:bCs/>
        </w:rPr>
        <w:t>2. Materials and methods</w:t>
      </w:r>
    </w:p>
    <w:p w14:paraId="6FB0AC59" w14:textId="77777777" w:rsidR="009718EB" w:rsidRDefault="009718EB" w:rsidP="009718EB">
      <w:pPr>
        <w:pStyle w:val="AbstHead"/>
        <w:spacing w:after="0"/>
        <w:rPr>
          <w:rFonts w:ascii="Arial" w:hAnsi="Arial" w:cs="Arial"/>
          <w:bCs/>
        </w:rPr>
      </w:pPr>
      <w:r w:rsidRPr="009718EB">
        <w:rPr>
          <w:rFonts w:ascii="Arial" w:hAnsi="Arial" w:cs="Arial"/>
          <w:bCs/>
        </w:rPr>
        <w:t>2.1. Production of activated carbons (AC)</w:t>
      </w:r>
    </w:p>
    <w:p w14:paraId="6F1332DD" w14:textId="77777777" w:rsidR="009718EB" w:rsidRPr="009718EB" w:rsidRDefault="009718EB" w:rsidP="009718EB">
      <w:pPr>
        <w:pStyle w:val="AbstHead"/>
        <w:spacing w:after="0"/>
        <w:rPr>
          <w:rFonts w:ascii="Arial" w:hAnsi="Arial" w:cs="Arial"/>
          <w:bCs/>
        </w:rPr>
      </w:pPr>
    </w:p>
    <w:p w14:paraId="68C1BCB4" w14:textId="428E644F" w:rsidR="007F7B32" w:rsidRPr="009718EB" w:rsidRDefault="009718EB" w:rsidP="009718EB">
      <w:pPr>
        <w:pStyle w:val="AbstHead"/>
        <w:spacing w:after="0"/>
        <w:rPr>
          <w:rFonts w:ascii="Arial" w:hAnsi="Arial" w:cs="Arial"/>
          <w:bCs/>
          <w:sz w:val="20"/>
        </w:rPr>
      </w:pPr>
      <w:r w:rsidRPr="009718EB">
        <w:rPr>
          <w:rFonts w:ascii="Arial" w:hAnsi="Arial" w:cs="Arial"/>
          <w:bCs/>
          <w:sz w:val="20"/>
        </w:rPr>
        <w:t>2.1.1. Preparation of biomass and impregnation</w:t>
      </w:r>
    </w:p>
    <w:p w14:paraId="6B7136FB" w14:textId="77777777" w:rsidR="00790ADA" w:rsidRPr="00FB3A86" w:rsidRDefault="00790ADA" w:rsidP="00441B6F">
      <w:pPr>
        <w:pStyle w:val="AbstHead"/>
        <w:spacing w:after="0"/>
        <w:jc w:val="both"/>
        <w:rPr>
          <w:rFonts w:ascii="Arial" w:hAnsi="Arial" w:cs="Arial"/>
        </w:rPr>
      </w:pPr>
    </w:p>
    <w:p w14:paraId="135A62E1" w14:textId="77777777" w:rsidR="009718EB" w:rsidRPr="009718EB" w:rsidRDefault="009718EB" w:rsidP="009718EB">
      <w:pPr>
        <w:pStyle w:val="Body"/>
        <w:spacing w:after="0"/>
        <w:rPr>
          <w:rFonts w:ascii="Arial" w:hAnsi="Arial" w:cs="Arial"/>
        </w:rPr>
      </w:pPr>
      <w:r w:rsidRPr="009718EB">
        <w:rPr>
          <w:rFonts w:ascii="Arial" w:hAnsi="Arial" w:cs="Arial"/>
        </w:rPr>
        <w:t>The biomass was prepared following a standard protocol. The collected corncobs were first cleaned to remove visible impurities (dust, fibers, and organic residues) in order to minimize ash content and fouling. They were then washed with tap water and distilled water to eliminate fine particles and soluble salts that could obstruct the pores. The material was dried at 105 °C for 24 h to reach a constant mass without thermal degradation. After drying, the corncobs were crushed, ground, and sieved using a Retsch AS 300 Control vibrating sieve to obtain a homogeneous particle size (2.5–5 mm), which promotes uniform impregnation and activation.</w:t>
      </w:r>
    </w:p>
    <w:p w14:paraId="0D8FFE40" w14:textId="77777777" w:rsidR="009718EB" w:rsidRDefault="009718EB" w:rsidP="009718EB">
      <w:pPr>
        <w:pStyle w:val="Body"/>
        <w:spacing w:after="0"/>
        <w:rPr>
          <w:rFonts w:ascii="Arial" w:hAnsi="Arial" w:cs="Arial"/>
        </w:rPr>
      </w:pPr>
      <w:r w:rsidRPr="009718EB">
        <w:rPr>
          <w:rFonts w:ascii="Arial" w:hAnsi="Arial" w:cs="Arial"/>
        </w:rPr>
        <w:t>The activating agent used for impregnation was a commercial orthophosphoric acid (H</w:t>
      </w:r>
      <w:r w:rsidRPr="009718EB">
        <w:rPr>
          <w:rFonts w:ascii="Arial" w:hAnsi="Arial" w:cs="Arial"/>
          <w:vertAlign w:val="subscript"/>
        </w:rPr>
        <w:t>3</w:t>
      </w:r>
      <w:r w:rsidRPr="009718EB">
        <w:rPr>
          <w:rFonts w:ascii="Arial" w:hAnsi="Arial" w:cs="Arial"/>
        </w:rPr>
        <w:t>PO</w:t>
      </w:r>
      <w:r w:rsidRPr="009718EB">
        <w:rPr>
          <w:rFonts w:ascii="Arial" w:hAnsi="Arial" w:cs="Arial"/>
          <w:vertAlign w:val="subscript"/>
        </w:rPr>
        <w:t>4</w:t>
      </w:r>
      <w:r w:rsidRPr="009718EB">
        <w:rPr>
          <w:rFonts w:ascii="Arial" w:hAnsi="Arial" w:cs="Arial"/>
        </w:rPr>
        <w:t>) solution, 85.6% w/w (assay), ACS / Reag. Ph. Eur. grade, Buchs (Switzerland). A mass of 10.0 g of corncob was immersed in 75 mL of 2.0 M H</w:t>
      </w:r>
      <w:r w:rsidRPr="009718EB">
        <w:rPr>
          <w:rFonts w:ascii="Arial" w:hAnsi="Arial" w:cs="Arial"/>
          <w:vertAlign w:val="subscript"/>
        </w:rPr>
        <w:t>3</w:t>
      </w:r>
      <w:r w:rsidRPr="009718EB">
        <w:rPr>
          <w:rFonts w:ascii="Arial" w:hAnsi="Arial" w:cs="Arial"/>
        </w:rPr>
        <w:t>PO</w:t>
      </w:r>
      <w:r w:rsidRPr="009718EB">
        <w:rPr>
          <w:rFonts w:ascii="Arial" w:hAnsi="Arial" w:cs="Arial"/>
          <w:vertAlign w:val="subscript"/>
        </w:rPr>
        <w:t>4</w:t>
      </w:r>
      <w:r w:rsidRPr="009718EB">
        <w:rPr>
          <w:rFonts w:ascii="Arial" w:hAnsi="Arial" w:cs="Arial"/>
        </w:rPr>
        <w:t xml:space="preserve"> for 48 h to ensure diffusion equilibrium and complete impregnation. The impregnated biomass was then dried at 105 °C for 24 h (Memmert UF110 oven) to stabilize the loading of the activating agent prior to carbonization.</w:t>
      </w:r>
    </w:p>
    <w:p w14:paraId="2D701367" w14:textId="77777777" w:rsidR="009718EB" w:rsidRPr="009718EB" w:rsidRDefault="009718EB" w:rsidP="009718EB">
      <w:pPr>
        <w:pStyle w:val="Body"/>
        <w:spacing w:after="0"/>
        <w:rPr>
          <w:rFonts w:ascii="Arial" w:hAnsi="Arial" w:cs="Arial"/>
        </w:rPr>
      </w:pPr>
    </w:p>
    <w:p w14:paraId="68198CAD" w14:textId="77777777" w:rsidR="009718EB" w:rsidRDefault="009718EB" w:rsidP="009718EB">
      <w:pPr>
        <w:pStyle w:val="Body"/>
        <w:spacing w:after="0"/>
        <w:rPr>
          <w:rFonts w:ascii="Arial" w:hAnsi="Arial" w:cs="Arial"/>
          <w:b/>
          <w:bCs/>
        </w:rPr>
      </w:pPr>
      <w:r w:rsidRPr="009718EB">
        <w:rPr>
          <w:rFonts w:ascii="Arial" w:hAnsi="Arial" w:cs="Arial"/>
          <w:b/>
          <w:bCs/>
        </w:rPr>
        <w:t>2.1.2. Carbonization–activation and post-treatment</w:t>
      </w:r>
    </w:p>
    <w:p w14:paraId="5CB18B4E" w14:textId="77777777" w:rsidR="009718EB" w:rsidRPr="009718EB" w:rsidRDefault="009718EB" w:rsidP="009718EB">
      <w:pPr>
        <w:pStyle w:val="Body"/>
        <w:spacing w:after="0"/>
        <w:rPr>
          <w:rFonts w:ascii="Arial" w:hAnsi="Arial" w:cs="Arial"/>
          <w:b/>
          <w:bCs/>
        </w:rPr>
      </w:pPr>
    </w:p>
    <w:p w14:paraId="3736C83A" w14:textId="77777777" w:rsidR="009718EB" w:rsidRPr="009718EB" w:rsidRDefault="009718EB" w:rsidP="009718EB">
      <w:pPr>
        <w:pStyle w:val="Body"/>
        <w:spacing w:after="0"/>
        <w:rPr>
          <w:rFonts w:ascii="Arial" w:hAnsi="Arial" w:cs="Arial"/>
        </w:rPr>
      </w:pPr>
      <w:r w:rsidRPr="009718EB">
        <w:rPr>
          <w:rFonts w:ascii="Arial" w:hAnsi="Arial" w:cs="Arial"/>
        </w:rPr>
        <w:t>An initial mass m</w:t>
      </w:r>
      <w:r w:rsidRPr="009718EB">
        <w:rPr>
          <w:rFonts w:ascii="Arial" w:hAnsi="Arial" w:cs="Arial"/>
          <w:vertAlign w:val="subscript"/>
        </w:rPr>
        <w:t>i</w:t>
      </w:r>
      <w:r w:rsidRPr="009718EB">
        <w:rPr>
          <w:rFonts w:ascii="Arial" w:hAnsi="Arial" w:cs="Arial"/>
        </w:rPr>
        <w:t>​ of impregnated corncob was placed in crucibles and introduced into a Vecstar Furnaces oven. The samples were carbonized at 400, 500, and 600 °C at a heating rate of 20 °C.min</w:t>
      </w:r>
      <w:r w:rsidRPr="009718EB">
        <w:rPr>
          <w:rFonts w:ascii="Cambria Math" w:hAnsi="Cambria Math" w:cs="Cambria Math"/>
        </w:rPr>
        <w:t>⁻</w:t>
      </w:r>
      <w:r w:rsidRPr="009718EB">
        <w:rPr>
          <w:rFonts w:ascii="Arial" w:hAnsi="Arial" w:cs="Arial"/>
        </w:rPr>
        <w:t>¹ for 2 h. The resulting materials were then cooled in a desiccator to minimize oxidation and moisture uptake. For each sample, the initial mass mim_imi​ and final mass m</w:t>
      </w:r>
      <w:r w:rsidRPr="009718EB">
        <w:rPr>
          <w:rFonts w:ascii="Arial" w:hAnsi="Arial" w:cs="Arial"/>
          <w:vertAlign w:val="subscript"/>
        </w:rPr>
        <w:t xml:space="preserve">f </w:t>
      </w:r>
      <w:r w:rsidRPr="009718EB">
        <w:rPr>
          <w:rFonts w:ascii="Arial" w:hAnsi="Arial" w:cs="Arial"/>
        </w:rPr>
        <w:t>were recorded.</w:t>
      </w:r>
    </w:p>
    <w:p w14:paraId="4BAC2AD1" w14:textId="77777777" w:rsidR="009718EB" w:rsidRDefault="009718EB" w:rsidP="009718EB">
      <w:pPr>
        <w:pStyle w:val="Body"/>
        <w:spacing w:after="0"/>
        <w:rPr>
          <w:rFonts w:ascii="Arial" w:hAnsi="Arial" w:cs="Arial"/>
        </w:rPr>
      </w:pPr>
      <w:r w:rsidRPr="009718EB">
        <w:rPr>
          <w:rFonts w:ascii="Arial" w:hAnsi="Arial" w:cs="Arial"/>
        </w:rPr>
        <w:t>The activated carbons obtained were washed with ultrapure water until the pH reached values between 6.70 and 7.00 in order to remove phosphate residues and neutralize the surface, and were then filtered using Whatman filter paper. They were dried at 105 °C for 24 h to achieve a constant mass, then ground and sieved. A particle size fraction between 315 and 630 µm was selected to ensure homogeneity in the adsorption experiments and to minimize diffusion resistance.</w:t>
      </w:r>
    </w:p>
    <w:p w14:paraId="429677EA" w14:textId="77777777" w:rsidR="009718EB" w:rsidRPr="009718EB" w:rsidRDefault="009718EB" w:rsidP="009718EB">
      <w:pPr>
        <w:pStyle w:val="Body"/>
        <w:spacing w:after="0"/>
        <w:rPr>
          <w:rFonts w:ascii="Arial" w:hAnsi="Arial" w:cs="Arial"/>
        </w:rPr>
      </w:pPr>
    </w:p>
    <w:p w14:paraId="26F37449" w14:textId="77777777" w:rsidR="009718EB" w:rsidRPr="009718EB" w:rsidRDefault="009718EB" w:rsidP="009718EB">
      <w:pPr>
        <w:pStyle w:val="Body"/>
        <w:spacing w:after="0"/>
        <w:rPr>
          <w:rFonts w:ascii="Arial" w:hAnsi="Arial" w:cs="Arial"/>
          <w:b/>
          <w:bCs/>
          <w:sz w:val="22"/>
          <w:szCs w:val="22"/>
        </w:rPr>
      </w:pPr>
      <w:r w:rsidRPr="009718EB">
        <w:rPr>
          <w:rFonts w:ascii="Arial" w:hAnsi="Arial" w:cs="Arial"/>
          <w:b/>
          <w:bCs/>
          <w:sz w:val="22"/>
          <w:szCs w:val="22"/>
        </w:rPr>
        <w:t>2.2. Physicochemical characterization of the activated carbons</w:t>
      </w:r>
    </w:p>
    <w:p w14:paraId="50009FD2" w14:textId="77777777" w:rsidR="009718EB" w:rsidRPr="009718EB" w:rsidRDefault="009718EB" w:rsidP="009718EB">
      <w:pPr>
        <w:pStyle w:val="Body"/>
        <w:spacing w:after="0"/>
        <w:rPr>
          <w:rFonts w:ascii="Arial" w:hAnsi="Arial" w:cs="Arial"/>
          <w:b/>
          <w:bCs/>
        </w:rPr>
      </w:pPr>
    </w:p>
    <w:p w14:paraId="64C0DE9F" w14:textId="77777777" w:rsidR="009718EB" w:rsidRDefault="009718EB" w:rsidP="009718EB">
      <w:pPr>
        <w:pStyle w:val="Body"/>
        <w:spacing w:after="0"/>
        <w:rPr>
          <w:rFonts w:ascii="Arial" w:hAnsi="Arial" w:cs="Arial"/>
          <w:b/>
          <w:bCs/>
        </w:rPr>
      </w:pPr>
      <w:r w:rsidRPr="009718EB">
        <w:rPr>
          <w:rFonts w:ascii="Arial" w:hAnsi="Arial" w:cs="Arial"/>
          <w:b/>
          <w:bCs/>
        </w:rPr>
        <w:t>2.2.1. Yield after pyrolysis</w:t>
      </w:r>
    </w:p>
    <w:p w14:paraId="251A54C3" w14:textId="77777777" w:rsidR="009718EB" w:rsidRPr="009718EB" w:rsidRDefault="009718EB" w:rsidP="009718EB">
      <w:pPr>
        <w:pStyle w:val="Body"/>
        <w:spacing w:after="0"/>
        <w:rPr>
          <w:rFonts w:ascii="Arial" w:hAnsi="Arial" w:cs="Arial"/>
          <w:b/>
          <w:bCs/>
        </w:rPr>
      </w:pPr>
    </w:p>
    <w:p w14:paraId="56296C40" w14:textId="77777777" w:rsidR="009718EB" w:rsidRPr="009718EB" w:rsidRDefault="009718EB" w:rsidP="009718EB">
      <w:pPr>
        <w:pStyle w:val="Body"/>
        <w:spacing w:after="0"/>
        <w:rPr>
          <w:rFonts w:ascii="Arial" w:hAnsi="Arial" w:cs="Arial"/>
        </w:rPr>
      </w:pPr>
      <w:r w:rsidRPr="009718EB">
        <w:rPr>
          <w:rFonts w:ascii="Arial" w:hAnsi="Arial" w:cs="Arial"/>
        </w:rPr>
        <w:t>The pyrolysis yield reflects the mass loss experienced by the biomass during activated carbon production and represents a key quantitative parameter of the process. In this study, it was determined in triplicate for each type of carbon and reported as the average of the three measurements. The yield (Rdt, expressed in %) was calculated from the initial mass m</w:t>
      </w:r>
      <w:r w:rsidRPr="009718EB">
        <w:rPr>
          <w:rFonts w:ascii="Arial" w:hAnsi="Arial" w:cs="Arial"/>
          <w:vertAlign w:val="subscript"/>
        </w:rPr>
        <w:t>i</w:t>
      </w:r>
      <w:r w:rsidRPr="009718EB">
        <w:rPr>
          <w:rFonts w:ascii="Arial" w:hAnsi="Arial" w:cs="Arial"/>
        </w:rPr>
        <w:t xml:space="preserve"> of the impregnated sample and the final mass m</w:t>
      </w:r>
      <w:r w:rsidRPr="009718EB">
        <w:rPr>
          <w:rFonts w:ascii="Arial" w:hAnsi="Arial" w:cs="Arial"/>
          <w:vertAlign w:val="subscript"/>
        </w:rPr>
        <w:t>f​</w:t>
      </w:r>
      <w:r w:rsidRPr="009718EB">
        <w:rPr>
          <w:rFonts w:ascii="Arial" w:hAnsi="Arial" w:cs="Arial"/>
        </w:rPr>
        <w:t xml:space="preserve"> after thermal treatment. The yield (Rdt) was determined using equation (1).</w:t>
      </w:r>
    </w:p>
    <w:p w14:paraId="0E2AC213" w14:textId="107A52BA" w:rsidR="009718EB" w:rsidRPr="009718EB" w:rsidRDefault="009718EB" w:rsidP="009718EB">
      <w:pPr>
        <w:pStyle w:val="Body"/>
        <w:spacing w:after="0"/>
        <w:rPr>
          <w:rFonts w:ascii="Arial" w:hAnsi="Arial" w:cs="Arial"/>
          <w:lang w:val="fr-FR"/>
        </w:rPr>
      </w:pPr>
      <m:oMathPara>
        <m:oMath>
          <m:r>
            <m:rPr>
              <m:sty m:val="p"/>
            </m:rPr>
            <w:rPr>
              <w:rFonts w:ascii="Cambria Math" w:hAnsi="Cambria Math" w:cs="Arial"/>
              <w:lang w:val="fr-FR"/>
            </w:rPr>
            <m:t>Rdt</m:t>
          </m:r>
          <m:d>
            <m:dPr>
              <m:ctrlPr>
                <w:rPr>
                  <w:rFonts w:ascii="Cambria Math" w:hAnsi="Cambria Math" w:cs="Arial"/>
                  <w:iCs/>
                  <w:lang w:val="fr-FR"/>
                </w:rPr>
              </m:ctrlPr>
            </m:dPr>
            <m:e>
              <m:r>
                <m:rPr>
                  <m:sty m:val="p"/>
                </m:rPr>
                <w:rPr>
                  <w:rFonts w:ascii="Cambria Math" w:hAnsi="Cambria Math" w:cs="Arial"/>
                  <w:lang w:val="fr-FR"/>
                </w:rPr>
                <m:t>%</m:t>
              </m:r>
            </m:e>
          </m:d>
          <m:r>
            <m:rPr>
              <m:sty m:val="p"/>
            </m:rPr>
            <w:rPr>
              <w:rFonts w:ascii="Cambria Math" w:hAnsi="Cambria Math" w:cs="Arial"/>
              <w:lang w:val="fr-FR"/>
            </w:rPr>
            <m:t>=</m:t>
          </m:r>
          <m:f>
            <m:fPr>
              <m:ctrlPr>
                <w:rPr>
                  <w:rFonts w:ascii="Cambria Math" w:hAnsi="Cambria Math" w:cs="Arial"/>
                  <w:iCs/>
                  <w:lang w:val="fr-FR"/>
                </w:rPr>
              </m:ctrlPr>
            </m:fPr>
            <m:num>
              <m:sSub>
                <m:sSubPr>
                  <m:ctrlPr>
                    <w:rPr>
                      <w:rFonts w:ascii="Cambria Math" w:hAnsi="Cambria Math" w:cs="Arial"/>
                      <w:iCs/>
                      <w:lang w:val="fr-FR"/>
                    </w:rPr>
                  </m:ctrlPr>
                </m:sSubPr>
                <m:e>
                  <m:r>
                    <m:rPr>
                      <m:sty m:val="p"/>
                    </m:rPr>
                    <w:rPr>
                      <w:rFonts w:ascii="Cambria Math" w:hAnsi="Cambria Math" w:cs="Arial"/>
                      <w:lang w:val="fr-FR"/>
                    </w:rPr>
                    <m:t>m</m:t>
                  </m:r>
                </m:e>
                <m:sub>
                  <m:r>
                    <m:rPr>
                      <m:sty m:val="p"/>
                    </m:rPr>
                    <w:rPr>
                      <w:rFonts w:ascii="Cambria Math" w:hAnsi="Cambria Math" w:cs="Arial"/>
                      <w:lang w:val="fr-FR"/>
                    </w:rPr>
                    <m:t>f</m:t>
                  </m:r>
                </m:sub>
              </m:sSub>
            </m:num>
            <m:den>
              <m:sSub>
                <m:sSubPr>
                  <m:ctrlPr>
                    <w:rPr>
                      <w:rFonts w:ascii="Cambria Math" w:hAnsi="Cambria Math" w:cs="Arial"/>
                      <w:iCs/>
                      <w:lang w:val="fr-FR"/>
                    </w:rPr>
                  </m:ctrlPr>
                </m:sSubPr>
                <m:e>
                  <m:r>
                    <m:rPr>
                      <m:sty m:val="p"/>
                    </m:rPr>
                    <w:rPr>
                      <w:rFonts w:ascii="Cambria Math" w:hAnsi="Cambria Math" w:cs="Arial"/>
                      <w:lang w:val="fr-FR"/>
                    </w:rPr>
                    <m:t>m</m:t>
                  </m:r>
                </m:e>
                <m:sub>
                  <m:r>
                    <m:rPr>
                      <m:sty m:val="p"/>
                    </m:rPr>
                    <w:rPr>
                      <w:rFonts w:ascii="Cambria Math" w:hAnsi="Cambria Math" w:cs="Arial"/>
                      <w:lang w:val="fr-FR"/>
                    </w:rPr>
                    <m:t>i</m:t>
                  </m:r>
                </m:sub>
              </m:sSub>
            </m:den>
          </m:f>
          <m:r>
            <m:rPr>
              <m:sty m:val="p"/>
            </m:rPr>
            <w:rPr>
              <w:rFonts w:ascii="Cambria Math" w:hAnsi="Cambria Math" w:cs="Arial"/>
              <w:lang w:val="fr-FR"/>
            </w:rPr>
            <m:t xml:space="preserve">×100     </m:t>
          </m:r>
          <m:d>
            <m:dPr>
              <m:ctrlPr>
                <w:rPr>
                  <w:rFonts w:ascii="Cambria Math" w:hAnsi="Cambria Math" w:cs="Arial"/>
                  <w:lang w:val="fr-FR"/>
                </w:rPr>
              </m:ctrlPr>
            </m:dPr>
            <m:e>
              <m:r>
                <m:rPr>
                  <m:sty m:val="p"/>
                </m:rPr>
                <w:rPr>
                  <w:rFonts w:ascii="Cambria Math" w:hAnsi="Cambria Math" w:cs="Arial"/>
                  <w:lang w:val="fr-FR"/>
                </w:rPr>
                <m:t>1</m:t>
              </m:r>
            </m:e>
          </m:d>
        </m:oMath>
      </m:oMathPara>
    </w:p>
    <w:p w14:paraId="1963F8D2" w14:textId="77777777" w:rsidR="009718EB" w:rsidRDefault="009718EB" w:rsidP="009718EB">
      <w:pPr>
        <w:pStyle w:val="Body"/>
        <w:spacing w:after="0"/>
        <w:rPr>
          <w:rFonts w:ascii="Arial" w:hAnsi="Arial" w:cs="Arial"/>
          <w:b/>
          <w:bCs/>
        </w:rPr>
      </w:pPr>
      <w:r w:rsidRPr="009718EB">
        <w:rPr>
          <w:rFonts w:ascii="Arial" w:hAnsi="Arial" w:cs="Arial"/>
          <w:b/>
          <w:bCs/>
        </w:rPr>
        <w:t>2.2.2. Mass loss</w:t>
      </w:r>
    </w:p>
    <w:p w14:paraId="0F7675A8" w14:textId="77777777" w:rsidR="009718EB" w:rsidRPr="009718EB" w:rsidRDefault="009718EB" w:rsidP="009718EB">
      <w:pPr>
        <w:pStyle w:val="Body"/>
        <w:spacing w:after="0"/>
        <w:rPr>
          <w:rFonts w:ascii="Arial" w:hAnsi="Arial" w:cs="Arial"/>
          <w:b/>
          <w:bCs/>
        </w:rPr>
      </w:pPr>
    </w:p>
    <w:p w14:paraId="2B4D4052" w14:textId="77777777" w:rsidR="009718EB" w:rsidRPr="009718EB" w:rsidRDefault="009718EB" w:rsidP="009718EB">
      <w:pPr>
        <w:pStyle w:val="Body"/>
        <w:spacing w:after="0"/>
        <w:rPr>
          <w:rFonts w:ascii="Arial" w:hAnsi="Arial" w:cs="Arial"/>
        </w:rPr>
      </w:pPr>
      <w:r w:rsidRPr="009718EB">
        <w:rPr>
          <w:rFonts w:ascii="Arial" w:hAnsi="Arial" w:cs="Arial"/>
        </w:rPr>
        <w:t>Mass loss, also referred to as the degree of activation or burn-off, quantifies the mass reduction occurring during pyrolysis. It is determined using the formula given in equation (2) below:</w:t>
      </w:r>
    </w:p>
    <w:p w14:paraId="4DA94DD3" w14:textId="47B9CAFE" w:rsidR="009718EB" w:rsidRPr="009718EB" w:rsidRDefault="009718EB" w:rsidP="009718EB">
      <w:pPr>
        <w:pStyle w:val="Body"/>
        <w:spacing w:after="0"/>
        <w:rPr>
          <w:rFonts w:ascii="Arial" w:hAnsi="Arial" w:cs="Arial"/>
          <w:lang w:val="fr-FR"/>
        </w:rPr>
      </w:pPr>
      <m:oMathPara>
        <m:oMath>
          <m:r>
            <m:rPr>
              <m:sty m:val="p"/>
            </m:rPr>
            <w:rPr>
              <w:rFonts w:ascii="Cambria Math" w:hAnsi="Cambria Math" w:cs="Arial"/>
              <w:lang w:val="fr-FR"/>
            </w:rPr>
            <m:t>∆m</m:t>
          </m:r>
          <m:d>
            <m:dPr>
              <m:ctrlPr>
                <w:rPr>
                  <w:rFonts w:ascii="Cambria Math" w:hAnsi="Cambria Math" w:cs="Arial"/>
                  <w:iCs/>
                  <w:lang w:val="fr-FR"/>
                </w:rPr>
              </m:ctrlPr>
            </m:dPr>
            <m:e>
              <m:r>
                <m:rPr>
                  <m:sty m:val="p"/>
                </m:rPr>
                <w:rPr>
                  <w:rFonts w:ascii="Cambria Math" w:hAnsi="Cambria Math" w:cs="Arial"/>
                  <w:lang w:val="fr-FR"/>
                </w:rPr>
                <m:t>g</m:t>
              </m:r>
            </m:e>
          </m:d>
          <m:r>
            <m:rPr>
              <m:sty m:val="p"/>
            </m:rPr>
            <w:rPr>
              <w:rFonts w:ascii="Cambria Math" w:hAnsi="Cambria Math" w:cs="Arial"/>
              <w:lang w:val="fr-FR"/>
            </w:rPr>
            <m:t>=100-</m:t>
          </m:r>
          <m:d>
            <m:dPr>
              <m:ctrlPr>
                <w:rPr>
                  <w:rFonts w:ascii="Cambria Math" w:hAnsi="Cambria Math" w:cs="Arial"/>
                  <w:iCs/>
                  <w:lang w:val="fr-FR"/>
                </w:rPr>
              </m:ctrlPr>
            </m:dPr>
            <m:e>
              <m:f>
                <m:fPr>
                  <m:ctrlPr>
                    <w:rPr>
                      <w:rFonts w:ascii="Cambria Math" w:hAnsi="Cambria Math" w:cs="Arial"/>
                      <w:iCs/>
                      <w:lang w:val="fr-FR"/>
                    </w:rPr>
                  </m:ctrlPr>
                </m:fPr>
                <m:num>
                  <m:sSub>
                    <m:sSubPr>
                      <m:ctrlPr>
                        <w:rPr>
                          <w:rFonts w:ascii="Cambria Math" w:hAnsi="Cambria Math" w:cs="Arial"/>
                          <w:iCs/>
                          <w:lang w:val="fr-FR"/>
                        </w:rPr>
                      </m:ctrlPr>
                    </m:sSubPr>
                    <m:e>
                      <m:r>
                        <m:rPr>
                          <m:sty m:val="p"/>
                        </m:rPr>
                        <w:rPr>
                          <w:rFonts w:ascii="Cambria Math" w:hAnsi="Cambria Math" w:cs="Arial"/>
                          <w:lang w:val="fr-FR"/>
                        </w:rPr>
                        <m:t>m</m:t>
                      </m:r>
                    </m:e>
                    <m:sub>
                      <m:r>
                        <m:rPr>
                          <m:sty m:val="p"/>
                        </m:rPr>
                        <w:rPr>
                          <w:rFonts w:ascii="Cambria Math" w:hAnsi="Cambria Math" w:cs="Arial"/>
                          <w:lang w:val="fr-FR"/>
                        </w:rPr>
                        <m:t>f</m:t>
                      </m:r>
                    </m:sub>
                  </m:sSub>
                </m:num>
                <m:den>
                  <m:sSub>
                    <m:sSubPr>
                      <m:ctrlPr>
                        <w:rPr>
                          <w:rFonts w:ascii="Cambria Math" w:hAnsi="Cambria Math" w:cs="Arial"/>
                          <w:iCs/>
                          <w:lang w:val="fr-FR"/>
                        </w:rPr>
                      </m:ctrlPr>
                    </m:sSubPr>
                    <m:e>
                      <m:r>
                        <m:rPr>
                          <m:sty m:val="p"/>
                        </m:rPr>
                        <w:rPr>
                          <w:rFonts w:ascii="Cambria Math" w:hAnsi="Cambria Math" w:cs="Arial"/>
                          <w:lang w:val="fr-FR"/>
                        </w:rPr>
                        <m:t>m</m:t>
                      </m:r>
                    </m:e>
                    <m:sub>
                      <m:r>
                        <m:rPr>
                          <m:sty m:val="p"/>
                        </m:rPr>
                        <w:rPr>
                          <w:rFonts w:ascii="Cambria Math" w:hAnsi="Cambria Math" w:cs="Arial"/>
                          <w:lang w:val="fr-FR"/>
                        </w:rPr>
                        <m:t>i</m:t>
                      </m:r>
                    </m:sub>
                  </m:sSub>
                </m:den>
              </m:f>
              <m:r>
                <m:rPr>
                  <m:sty m:val="p"/>
                </m:rPr>
                <w:rPr>
                  <w:rFonts w:ascii="Cambria Math" w:hAnsi="Cambria Math" w:cs="Arial"/>
                  <w:lang w:val="fr-FR"/>
                </w:rPr>
                <m:t>×100</m:t>
              </m:r>
            </m:e>
          </m:d>
          <m:r>
            <m:rPr>
              <m:sty m:val="p"/>
            </m:rPr>
            <w:rPr>
              <w:rFonts w:ascii="Cambria Math" w:hAnsi="Cambria Math" w:cs="Arial"/>
              <w:lang w:val="fr-FR"/>
            </w:rPr>
            <m:t xml:space="preserve">       (2)</m:t>
          </m:r>
        </m:oMath>
      </m:oMathPara>
    </w:p>
    <w:p w14:paraId="731B6ECB" w14:textId="77777777" w:rsidR="009718EB" w:rsidRDefault="009718EB" w:rsidP="009718EB">
      <w:pPr>
        <w:pStyle w:val="Body"/>
        <w:spacing w:after="0"/>
        <w:rPr>
          <w:rFonts w:ascii="Arial" w:hAnsi="Arial" w:cs="Arial"/>
        </w:rPr>
      </w:pPr>
      <w:r w:rsidRPr="009718EB">
        <w:rPr>
          <w:rFonts w:ascii="Arial" w:hAnsi="Arial" w:cs="Arial"/>
        </w:rPr>
        <w:t>where m</w:t>
      </w:r>
      <w:r w:rsidRPr="009718EB">
        <w:rPr>
          <w:rFonts w:ascii="Arial" w:hAnsi="Arial" w:cs="Arial"/>
          <w:vertAlign w:val="subscript"/>
        </w:rPr>
        <w:t>i</w:t>
      </w:r>
      <w:r w:rsidRPr="009718EB">
        <w:rPr>
          <w:rFonts w:ascii="Arial" w:hAnsi="Arial" w:cs="Arial"/>
        </w:rPr>
        <w:t xml:space="preserve"> represents the initial mass before pyrolysis and m</w:t>
      </w:r>
      <w:r w:rsidRPr="009718EB">
        <w:rPr>
          <w:rFonts w:ascii="Arial" w:hAnsi="Arial" w:cs="Arial"/>
          <w:vertAlign w:val="subscript"/>
        </w:rPr>
        <w:t>f</w:t>
      </w:r>
      <w:r w:rsidRPr="009718EB">
        <w:rPr>
          <w:rFonts w:ascii="Arial" w:hAnsi="Arial" w:cs="Arial"/>
        </w:rPr>
        <w:t xml:space="preserve"> the final mass after pyrolysis.</w:t>
      </w:r>
      <w:r w:rsidRPr="009718EB">
        <w:rPr>
          <w:rFonts w:ascii="Arial" w:hAnsi="Arial" w:cs="Arial"/>
        </w:rPr>
        <w:br/>
        <w:t>For each type of activated carbon (RMA-2M-400, RMA-2M-500, RMA-2M-600), the burn-off was determined in triplicate (n = 3) and reported as the average of the three measurements.</w:t>
      </w:r>
    </w:p>
    <w:p w14:paraId="2A453B06" w14:textId="77777777" w:rsidR="009718EB" w:rsidRPr="009718EB" w:rsidRDefault="009718EB" w:rsidP="009718EB">
      <w:pPr>
        <w:pStyle w:val="Body"/>
        <w:spacing w:after="0"/>
        <w:rPr>
          <w:rFonts w:ascii="Arial" w:hAnsi="Arial" w:cs="Arial"/>
        </w:rPr>
      </w:pPr>
    </w:p>
    <w:p w14:paraId="7E764519" w14:textId="77777777" w:rsidR="009718EB" w:rsidRDefault="009718EB" w:rsidP="009718EB">
      <w:pPr>
        <w:pStyle w:val="Body"/>
        <w:spacing w:after="0"/>
        <w:rPr>
          <w:rFonts w:ascii="Arial" w:hAnsi="Arial" w:cs="Arial"/>
          <w:b/>
          <w:bCs/>
        </w:rPr>
      </w:pPr>
      <w:r w:rsidRPr="009718EB">
        <w:rPr>
          <w:rFonts w:ascii="Arial" w:hAnsi="Arial" w:cs="Arial"/>
          <w:b/>
          <w:bCs/>
        </w:rPr>
        <w:t>2.2.3. Ash content</w:t>
      </w:r>
    </w:p>
    <w:p w14:paraId="0DE007FE" w14:textId="77777777" w:rsidR="009718EB" w:rsidRPr="009718EB" w:rsidRDefault="009718EB" w:rsidP="009718EB">
      <w:pPr>
        <w:pStyle w:val="Body"/>
        <w:spacing w:after="0"/>
        <w:rPr>
          <w:rFonts w:ascii="Arial" w:hAnsi="Arial" w:cs="Arial"/>
          <w:b/>
          <w:bCs/>
        </w:rPr>
      </w:pPr>
    </w:p>
    <w:p w14:paraId="1A45CAE4" w14:textId="77777777" w:rsidR="009718EB" w:rsidRPr="009718EB" w:rsidRDefault="009718EB" w:rsidP="009718EB">
      <w:pPr>
        <w:pStyle w:val="Body"/>
        <w:spacing w:after="0"/>
        <w:rPr>
          <w:rFonts w:ascii="Arial" w:hAnsi="Arial" w:cs="Arial"/>
        </w:rPr>
      </w:pPr>
      <w:r w:rsidRPr="009718EB">
        <w:rPr>
          <w:rFonts w:ascii="Arial" w:hAnsi="Arial" w:cs="Arial"/>
        </w:rPr>
        <w:t xml:space="preserve">The ash content was determined according to the method described by </w:t>
      </w:r>
      <w:r w:rsidRPr="009718EB">
        <w:rPr>
          <w:rFonts w:ascii="Arial" w:hAnsi="Arial" w:cs="Arial"/>
        </w:rPr>
        <w:fldChar w:fldCharType="begin"/>
      </w:r>
      <w:r w:rsidRPr="009718EB">
        <w:rPr>
          <w:rFonts w:ascii="Arial" w:hAnsi="Arial" w:cs="Arial"/>
        </w:rPr>
        <w:instrText xml:space="preserve"> ADDIN ZOTERO_ITEM CSL_CITATION {"citationID":"GTFCIT3F","properties":{"formattedCitation":"(Ahmed et Dhedan 2012)","plainCitation":"(Ahmed et Dhedan 2012)","noteIndex":0},"citationItems":[{"id":427,"uris":["http://zotero.org/users/18768689/items/XLQENX2Q"],"itemData":{"id":427,"type":"article-journal","container-title":"Fluid Phase Equilibria","DOI":"10.1016/j.fluid.2011.12.026","ISSN":"03783812","journalAbbreviation":"Fluid Phase Equilibria","language":"en","page":"9-14","source":"DOI.org (Crossref)","title":"Equilibrium isotherms and kinetics modeling of methylene blue adsorption on agricultural wastes-based activated carbons","volume":"317","author":[{"family":"Ahmed","given":"Muthanna J."},{"family":"Dhedan","given":"Samar K."}],"issued":{"date-parts":[["2012",3]]}}}],"schema":"https://github.com/citation-style-language/schema/raw/master/csl-citation.json"} </w:instrText>
      </w:r>
      <w:r w:rsidRPr="009718EB">
        <w:rPr>
          <w:rFonts w:ascii="Arial" w:hAnsi="Arial" w:cs="Arial"/>
        </w:rPr>
        <w:fldChar w:fldCharType="separate"/>
      </w:r>
      <w:r w:rsidRPr="009718EB">
        <w:rPr>
          <w:rFonts w:ascii="Arial" w:hAnsi="Arial" w:cs="Arial"/>
        </w:rPr>
        <w:t>(Ahmed et Dhedan 2012)</w:t>
      </w:r>
      <w:r w:rsidRPr="009718EB">
        <w:rPr>
          <w:rFonts w:ascii="Arial" w:hAnsi="Arial" w:cs="Arial"/>
        </w:rPr>
        <w:fldChar w:fldCharType="end"/>
      </w:r>
      <w:r w:rsidRPr="009718EB">
        <w:rPr>
          <w:rFonts w:ascii="Arial" w:hAnsi="Arial" w:cs="Arial"/>
        </w:rPr>
        <w:t xml:space="preserve"> and </w:t>
      </w:r>
      <w:r w:rsidRPr="009718EB">
        <w:rPr>
          <w:rFonts w:ascii="Arial" w:hAnsi="Arial" w:cs="Arial"/>
        </w:rPr>
        <w:fldChar w:fldCharType="begin"/>
      </w:r>
      <w:r w:rsidRPr="009718EB">
        <w:rPr>
          <w:rFonts w:ascii="Arial" w:hAnsi="Arial" w:cs="Arial"/>
        </w:rPr>
        <w:instrText xml:space="preserve"> ADDIN ZOTERO_ITEM CSL_CITATION {"citationID":"kUvEn480","properties":{"formattedCitation":"(\\uc0\\u171{}\\uc0\\u160{}Article Detail\\uc0\\u160{}\\uc0\\u187{}, s.\\uc0\\u160{}d.)","plainCitation":"(« Article Detail », s. d.)","noteIndex":0},"citationItems":[{"id":431,"uris":["http://zotero.org/users/18768689/items/8F3YVFAY"],"itemData":{"id":431,"type":"post-weblog","abstract":"To effectively and cheaply remove pollutants, research is directed towards the use of agricultural wastes as remediation materials. This work is about the analysis of the physical and chemical parameters","container-title":"International Journal of Advanced Research","language":"en-US","title":"Article Detail","URL":"https://www.journalijar.com/article/","accessed":{"date-parts":[["2025",11,29]]}}}],"schema":"https://github.com/citation-style-language/schema/raw/master/csl-citation.json"} </w:instrText>
      </w:r>
      <w:r w:rsidRPr="009718EB">
        <w:rPr>
          <w:rFonts w:ascii="Arial" w:hAnsi="Arial" w:cs="Arial"/>
        </w:rPr>
        <w:fldChar w:fldCharType="separate"/>
      </w:r>
      <w:r w:rsidRPr="009718EB">
        <w:rPr>
          <w:rFonts w:ascii="Arial" w:hAnsi="Arial" w:cs="Arial"/>
        </w:rPr>
        <w:t>(</w:t>
      </w:r>
      <w:r w:rsidRPr="009718EB">
        <w:rPr>
          <w:rFonts w:ascii="Arial" w:hAnsi="Arial" w:cs="Arial"/>
          <w:iCs/>
        </w:rPr>
        <w:t xml:space="preserve"> Kouadio et al.</w:t>
      </w:r>
      <w:r w:rsidRPr="009718EB">
        <w:rPr>
          <w:rFonts w:ascii="Arial" w:hAnsi="Arial" w:cs="Arial"/>
        </w:rPr>
        <w:t>, 2019)</w:t>
      </w:r>
      <w:r w:rsidRPr="009718EB">
        <w:rPr>
          <w:rFonts w:ascii="Arial" w:hAnsi="Arial" w:cs="Arial"/>
        </w:rPr>
        <w:fldChar w:fldCharType="end"/>
      </w:r>
      <w:r w:rsidRPr="009718EB">
        <w:rPr>
          <w:rFonts w:ascii="Arial" w:hAnsi="Arial" w:cs="Arial"/>
        </w:rPr>
        <w:t>. A 0.50 g sample of activated carbon was placed in a crucible and introduced into a muffle furnace set at 650 °C for 2 h. After removal from the furnace, the crucible was cooled to room temperature and weighed. The ash content was determined in triplicate (n = 3) and reported as the average of the three measurements. The ash content C (%) was calculated using equation (3):</w:t>
      </w:r>
    </w:p>
    <w:p w14:paraId="02855B95" w14:textId="7F06AE09" w:rsidR="009718EB" w:rsidRPr="009718EB" w:rsidRDefault="009718EB" w:rsidP="009718EB">
      <w:pPr>
        <w:pStyle w:val="Body"/>
        <w:spacing w:after="0"/>
        <w:rPr>
          <w:rFonts w:ascii="Arial" w:hAnsi="Arial" w:cs="Arial"/>
          <w:lang w:val="fr-FR"/>
        </w:rPr>
      </w:pPr>
      <w:bookmarkStart w:id="1" w:name="_Hlk176805938"/>
      <m:oMathPara>
        <m:oMath>
          <m:r>
            <m:rPr>
              <m:sty m:val="p"/>
            </m:rPr>
            <w:rPr>
              <w:rFonts w:ascii="Cambria Math" w:hAnsi="Cambria Math" w:cs="Arial"/>
              <w:lang w:val="fr-FR"/>
            </w:rPr>
            <m:t xml:space="preserve">C </m:t>
          </m:r>
          <m:d>
            <m:dPr>
              <m:ctrlPr>
                <w:rPr>
                  <w:rFonts w:ascii="Cambria Math" w:hAnsi="Cambria Math" w:cs="Arial"/>
                  <w:iCs/>
                  <w:lang w:val="fr-FR"/>
                </w:rPr>
              </m:ctrlPr>
            </m:dPr>
            <m:e>
              <m:r>
                <m:rPr>
                  <m:sty m:val="p"/>
                </m:rPr>
                <w:rPr>
                  <w:rFonts w:ascii="Cambria Math" w:hAnsi="Cambria Math" w:cs="Arial"/>
                  <w:lang w:val="fr-FR"/>
                </w:rPr>
                <m:t>%</m:t>
              </m:r>
            </m:e>
          </m:d>
          <m:r>
            <m:rPr>
              <m:sty m:val="p"/>
            </m:rPr>
            <w:rPr>
              <w:rFonts w:ascii="Cambria Math" w:hAnsi="Cambria Math" w:cs="Arial"/>
              <w:lang w:val="fr-FR"/>
            </w:rPr>
            <m:t>=</m:t>
          </m:r>
          <m:f>
            <m:fPr>
              <m:ctrlPr>
                <w:rPr>
                  <w:rFonts w:ascii="Cambria Math" w:hAnsi="Cambria Math" w:cs="Arial"/>
                  <w:iCs/>
                  <w:lang w:val="fr-FR"/>
                </w:rPr>
              </m:ctrlPr>
            </m:fPr>
            <m:num>
              <m:sSub>
                <m:sSubPr>
                  <m:ctrlPr>
                    <w:rPr>
                      <w:rFonts w:ascii="Cambria Math" w:hAnsi="Cambria Math" w:cs="Arial"/>
                      <w:iCs/>
                      <w:lang w:val="fr-FR"/>
                    </w:rPr>
                  </m:ctrlPr>
                </m:sSubPr>
                <m:e>
                  <m:r>
                    <m:rPr>
                      <m:sty m:val="p"/>
                    </m:rPr>
                    <w:rPr>
                      <w:rFonts w:ascii="Cambria Math" w:hAnsi="Cambria Math" w:cs="Arial"/>
                      <w:lang w:val="fr-FR"/>
                    </w:rPr>
                    <m:t>m</m:t>
                  </m:r>
                </m:e>
                <m:sub>
                  <m:r>
                    <m:rPr>
                      <m:sty m:val="p"/>
                    </m:rPr>
                    <w:rPr>
                      <w:rFonts w:ascii="Cambria Math" w:hAnsi="Cambria Math" w:cs="Arial"/>
                      <w:lang w:val="fr-FR"/>
                    </w:rPr>
                    <m:t>3</m:t>
                  </m:r>
                </m:sub>
              </m:sSub>
              <m:r>
                <m:rPr>
                  <m:sty m:val="p"/>
                </m:rPr>
                <w:rPr>
                  <w:rFonts w:ascii="Cambria Math" w:hAnsi="Cambria Math" w:cs="Arial"/>
                  <w:lang w:val="fr-FR"/>
                </w:rPr>
                <m:t>-</m:t>
              </m:r>
              <m:sSub>
                <m:sSubPr>
                  <m:ctrlPr>
                    <w:rPr>
                      <w:rFonts w:ascii="Cambria Math" w:hAnsi="Cambria Math" w:cs="Arial"/>
                      <w:iCs/>
                      <w:lang w:val="fr-FR"/>
                    </w:rPr>
                  </m:ctrlPr>
                </m:sSubPr>
                <m:e>
                  <m:r>
                    <m:rPr>
                      <m:sty m:val="p"/>
                    </m:rPr>
                    <w:rPr>
                      <w:rFonts w:ascii="Cambria Math" w:hAnsi="Cambria Math" w:cs="Arial"/>
                      <w:lang w:val="fr-FR"/>
                    </w:rPr>
                    <m:t>m</m:t>
                  </m:r>
                </m:e>
                <m:sub>
                  <m:r>
                    <m:rPr>
                      <m:sty m:val="p"/>
                    </m:rPr>
                    <w:rPr>
                      <w:rFonts w:ascii="Cambria Math" w:hAnsi="Cambria Math" w:cs="Arial"/>
                      <w:lang w:val="fr-FR"/>
                    </w:rPr>
                    <m:t>2</m:t>
                  </m:r>
                </m:sub>
              </m:sSub>
            </m:num>
            <m:den>
              <m:sSub>
                <m:sSubPr>
                  <m:ctrlPr>
                    <w:rPr>
                      <w:rFonts w:ascii="Cambria Math" w:hAnsi="Cambria Math" w:cs="Arial"/>
                      <w:iCs/>
                      <w:lang w:val="fr-FR"/>
                    </w:rPr>
                  </m:ctrlPr>
                </m:sSubPr>
                <m:e>
                  <m:r>
                    <m:rPr>
                      <m:sty m:val="p"/>
                    </m:rPr>
                    <w:rPr>
                      <w:rFonts w:ascii="Cambria Math" w:hAnsi="Cambria Math" w:cs="Arial"/>
                      <w:lang w:val="fr-FR"/>
                    </w:rPr>
                    <m:t>m</m:t>
                  </m:r>
                </m:e>
                <m:sub>
                  <m:r>
                    <m:rPr>
                      <m:sty m:val="p"/>
                    </m:rPr>
                    <w:rPr>
                      <w:rFonts w:ascii="Cambria Math" w:hAnsi="Cambria Math" w:cs="Arial"/>
                      <w:lang w:val="fr-FR"/>
                    </w:rPr>
                    <m:t>1</m:t>
                  </m:r>
                </m:sub>
              </m:sSub>
            </m:den>
          </m:f>
          <m:r>
            <w:rPr>
              <w:rFonts w:ascii="Cambria Math" w:hAnsi="Cambria Math" w:cs="Arial"/>
              <w:lang w:val="fr-FR"/>
            </w:rPr>
            <m:t>×100     (3)</m:t>
          </m:r>
        </m:oMath>
      </m:oMathPara>
      <w:bookmarkEnd w:id="1"/>
    </w:p>
    <w:p w14:paraId="511712EF" w14:textId="77777777" w:rsidR="009718EB" w:rsidRDefault="009718EB" w:rsidP="009718EB">
      <w:pPr>
        <w:pStyle w:val="Body"/>
        <w:spacing w:after="0"/>
        <w:rPr>
          <w:rFonts w:ascii="Arial" w:hAnsi="Arial" w:cs="Arial"/>
        </w:rPr>
      </w:pPr>
      <w:r w:rsidRPr="009718EB">
        <w:rPr>
          <w:rFonts w:ascii="Arial" w:hAnsi="Arial" w:cs="Arial"/>
        </w:rPr>
        <w:t>with m</w:t>
      </w:r>
      <w:r w:rsidRPr="009718EB">
        <w:rPr>
          <w:rFonts w:ascii="Arial" w:hAnsi="Arial" w:cs="Arial"/>
          <w:vertAlign w:val="subscript"/>
        </w:rPr>
        <w:t>1</w:t>
      </w:r>
      <w:r w:rsidRPr="009718EB">
        <w:rPr>
          <w:rFonts w:ascii="Arial" w:hAnsi="Arial" w:cs="Arial"/>
        </w:rPr>
        <w:t>​: mass of the charcoal sample used (g); m</w:t>
      </w:r>
      <w:r w:rsidRPr="009718EB">
        <w:rPr>
          <w:rFonts w:ascii="Arial" w:hAnsi="Arial" w:cs="Arial"/>
          <w:vertAlign w:val="subscript"/>
        </w:rPr>
        <w:t xml:space="preserve">2 </w:t>
      </w:r>
      <w:r w:rsidRPr="009718EB">
        <w:rPr>
          <w:rFonts w:ascii="Arial" w:hAnsi="Arial" w:cs="Arial"/>
        </w:rPr>
        <w:t>: mass of the empty crucible before calcination (g) ; m</w:t>
      </w:r>
      <w:r w:rsidRPr="009718EB">
        <w:rPr>
          <w:rFonts w:ascii="Arial" w:hAnsi="Arial" w:cs="Arial"/>
          <w:vertAlign w:val="subscript"/>
        </w:rPr>
        <w:t xml:space="preserve">3 </w:t>
      </w:r>
      <w:r w:rsidRPr="009718EB">
        <w:rPr>
          <w:rFonts w:ascii="Arial" w:hAnsi="Arial" w:cs="Arial"/>
        </w:rPr>
        <w:t>: mass of the crucible after calcination of the charcoal (g).</w:t>
      </w:r>
    </w:p>
    <w:p w14:paraId="61B5E68E" w14:textId="77777777" w:rsidR="009718EB" w:rsidRPr="009718EB" w:rsidRDefault="009718EB" w:rsidP="009718EB">
      <w:pPr>
        <w:pStyle w:val="Body"/>
        <w:spacing w:after="0"/>
        <w:rPr>
          <w:rFonts w:ascii="Arial" w:hAnsi="Arial" w:cs="Arial"/>
        </w:rPr>
      </w:pPr>
    </w:p>
    <w:p w14:paraId="7D3E3051" w14:textId="77777777" w:rsidR="009718EB" w:rsidRDefault="009718EB" w:rsidP="009718EB">
      <w:pPr>
        <w:pStyle w:val="Body"/>
        <w:spacing w:after="0"/>
        <w:rPr>
          <w:rFonts w:ascii="Arial" w:hAnsi="Arial" w:cs="Arial"/>
          <w:b/>
          <w:bCs/>
        </w:rPr>
      </w:pPr>
      <w:r w:rsidRPr="009718EB">
        <w:rPr>
          <w:rFonts w:ascii="Arial" w:hAnsi="Arial" w:cs="Arial"/>
          <w:b/>
          <w:bCs/>
        </w:rPr>
        <w:t>2.2.4. Moisture content</w:t>
      </w:r>
    </w:p>
    <w:p w14:paraId="6064CF35" w14:textId="77777777" w:rsidR="009718EB" w:rsidRPr="009718EB" w:rsidRDefault="009718EB" w:rsidP="009718EB">
      <w:pPr>
        <w:pStyle w:val="Body"/>
        <w:spacing w:after="0"/>
        <w:rPr>
          <w:rFonts w:ascii="Arial" w:hAnsi="Arial" w:cs="Arial"/>
          <w:b/>
          <w:bCs/>
        </w:rPr>
      </w:pPr>
    </w:p>
    <w:p w14:paraId="55D08DEF" w14:textId="77777777" w:rsidR="009718EB" w:rsidRPr="009718EB" w:rsidRDefault="009718EB" w:rsidP="009718EB">
      <w:pPr>
        <w:pStyle w:val="Body"/>
        <w:spacing w:after="0"/>
        <w:rPr>
          <w:rFonts w:ascii="Arial" w:hAnsi="Arial" w:cs="Arial"/>
        </w:rPr>
      </w:pPr>
      <w:r w:rsidRPr="009718EB">
        <w:rPr>
          <w:rFonts w:ascii="Arial" w:hAnsi="Arial" w:cs="Arial"/>
        </w:rPr>
        <w:t>Porcelain crucibles were placed in a furnace and heated to 1000 °C for 3 h, then cooled in a desiccator. The mass mmm of the crucibles was measured using an analytical precision balance. The crucibles containing the different activated carbon samples of known mass m</w:t>
      </w:r>
      <w:r w:rsidRPr="009718EB">
        <w:rPr>
          <w:rFonts w:ascii="Arial" w:hAnsi="Arial" w:cs="Arial"/>
          <w:vertAlign w:val="subscript"/>
        </w:rPr>
        <w:t>1</w:t>
      </w:r>
      <w:r w:rsidRPr="009718EB">
        <w:rPr>
          <w:rFonts w:ascii="Arial" w:hAnsi="Arial" w:cs="Arial"/>
        </w:rPr>
        <w:t>​ were then placed in an oven at 105 °C for 24 h. After cooling, the mass m</w:t>
      </w:r>
      <w:r w:rsidRPr="009718EB">
        <w:rPr>
          <w:rFonts w:ascii="Arial" w:hAnsi="Arial" w:cs="Arial"/>
          <w:vertAlign w:val="subscript"/>
        </w:rPr>
        <w:t>2</w:t>
      </w:r>
      <w:r w:rsidRPr="009718EB">
        <w:rPr>
          <w:rFonts w:ascii="Arial" w:hAnsi="Arial" w:cs="Arial"/>
        </w:rPr>
        <w:t>​ was recorded, and the moisture content H (%) was determined according to equation (4) :</w:t>
      </w:r>
    </w:p>
    <w:p w14:paraId="3CE1E310" w14:textId="38BFFF41" w:rsidR="009718EB" w:rsidRPr="009718EB" w:rsidRDefault="009718EB" w:rsidP="009718EB">
      <w:pPr>
        <w:pStyle w:val="Body"/>
        <w:spacing w:after="0"/>
        <w:rPr>
          <w:rFonts w:ascii="Arial" w:hAnsi="Arial" w:cs="Arial"/>
          <w:lang w:val="fr-FR"/>
        </w:rPr>
      </w:pPr>
      <m:oMathPara>
        <m:oMath>
          <m:r>
            <m:rPr>
              <m:sty m:val="p"/>
            </m:rPr>
            <w:rPr>
              <w:rFonts w:ascii="Cambria Math" w:hAnsi="Cambria Math" w:cs="Arial"/>
              <w:lang w:val="fr-FR"/>
            </w:rPr>
            <m:t>H</m:t>
          </m:r>
          <m:d>
            <m:dPr>
              <m:ctrlPr>
                <w:rPr>
                  <w:rFonts w:ascii="Cambria Math" w:hAnsi="Cambria Math" w:cs="Arial"/>
                  <w:iCs/>
                  <w:lang w:val="fr-FR"/>
                </w:rPr>
              </m:ctrlPr>
            </m:dPr>
            <m:e>
              <m:r>
                <m:rPr>
                  <m:sty m:val="p"/>
                </m:rPr>
                <w:rPr>
                  <w:rFonts w:ascii="Cambria Math" w:hAnsi="Cambria Math" w:cs="Arial"/>
                  <w:lang w:val="fr-FR"/>
                </w:rPr>
                <m:t>%</m:t>
              </m:r>
            </m:e>
          </m:d>
          <m:r>
            <m:rPr>
              <m:sty m:val="p"/>
            </m:rPr>
            <w:rPr>
              <w:rFonts w:ascii="Cambria Math" w:hAnsi="Cambria Math" w:cs="Arial"/>
              <w:lang w:val="fr-FR"/>
            </w:rPr>
            <m:t>=</m:t>
          </m:r>
          <m:f>
            <m:fPr>
              <m:ctrlPr>
                <w:rPr>
                  <w:rFonts w:ascii="Cambria Math" w:hAnsi="Cambria Math" w:cs="Arial"/>
                  <w:lang w:val="fr-FR"/>
                </w:rPr>
              </m:ctrlPr>
            </m:fPr>
            <m:num>
              <m:sSub>
                <m:sSubPr>
                  <m:ctrlPr>
                    <w:rPr>
                      <w:rFonts w:ascii="Cambria Math" w:hAnsi="Cambria Math" w:cs="Arial"/>
                      <w:lang w:val="fr-FR"/>
                    </w:rPr>
                  </m:ctrlPr>
                </m:sSubPr>
                <m:e>
                  <m:r>
                    <m:rPr>
                      <m:sty m:val="p"/>
                    </m:rPr>
                    <w:rPr>
                      <w:rFonts w:ascii="Cambria Math" w:hAnsi="Cambria Math" w:cs="Arial"/>
                      <w:lang w:val="fr-FR"/>
                    </w:rPr>
                    <m:t>m</m:t>
                  </m:r>
                </m:e>
                <m:sub>
                  <m:r>
                    <m:rPr>
                      <m:sty m:val="p"/>
                    </m:rPr>
                    <w:rPr>
                      <w:rFonts w:ascii="Cambria Math" w:hAnsi="Cambria Math" w:cs="Arial"/>
                      <w:lang w:val="fr-FR"/>
                    </w:rPr>
                    <m:t>1</m:t>
                  </m:r>
                </m:sub>
              </m:sSub>
              <m:r>
                <m:rPr>
                  <m:sty m:val="p"/>
                </m:rPr>
                <w:rPr>
                  <w:rFonts w:ascii="Cambria Math" w:hAnsi="Cambria Math" w:cs="Arial"/>
                  <w:lang w:val="fr-FR"/>
                </w:rPr>
                <m:t>-</m:t>
              </m:r>
              <m:sSub>
                <m:sSubPr>
                  <m:ctrlPr>
                    <w:rPr>
                      <w:rFonts w:ascii="Cambria Math" w:hAnsi="Cambria Math" w:cs="Arial"/>
                      <w:lang w:val="fr-FR"/>
                    </w:rPr>
                  </m:ctrlPr>
                </m:sSubPr>
                <m:e>
                  <m:r>
                    <m:rPr>
                      <m:sty m:val="p"/>
                    </m:rPr>
                    <w:rPr>
                      <w:rFonts w:ascii="Cambria Math" w:hAnsi="Cambria Math" w:cs="Arial"/>
                      <w:lang w:val="fr-FR"/>
                    </w:rPr>
                    <m:t>m</m:t>
                  </m:r>
                </m:e>
                <m:sub>
                  <m:r>
                    <m:rPr>
                      <m:sty m:val="p"/>
                    </m:rPr>
                    <w:rPr>
                      <w:rFonts w:ascii="Cambria Math" w:hAnsi="Cambria Math" w:cs="Arial"/>
                      <w:lang w:val="fr-FR"/>
                    </w:rPr>
                    <m:t>2</m:t>
                  </m:r>
                </m:sub>
              </m:sSub>
            </m:num>
            <m:den>
              <m:sSub>
                <m:sSubPr>
                  <m:ctrlPr>
                    <w:rPr>
                      <w:rFonts w:ascii="Cambria Math" w:hAnsi="Cambria Math" w:cs="Arial"/>
                      <w:lang w:val="fr-FR"/>
                    </w:rPr>
                  </m:ctrlPr>
                </m:sSubPr>
                <m:e>
                  <m:r>
                    <m:rPr>
                      <m:sty m:val="p"/>
                    </m:rPr>
                    <w:rPr>
                      <w:rFonts w:ascii="Cambria Math" w:hAnsi="Cambria Math" w:cs="Arial"/>
                      <w:lang w:val="fr-FR"/>
                    </w:rPr>
                    <m:t>m</m:t>
                  </m:r>
                </m:e>
                <m:sub>
                  <m:r>
                    <m:rPr>
                      <m:sty m:val="p"/>
                    </m:rPr>
                    <w:rPr>
                      <w:rFonts w:ascii="Cambria Math" w:hAnsi="Cambria Math" w:cs="Arial"/>
                      <w:lang w:val="fr-FR"/>
                    </w:rPr>
                    <m:t>1</m:t>
                  </m:r>
                </m:sub>
              </m:sSub>
              <m:r>
                <m:rPr>
                  <m:sty m:val="p"/>
                </m:rPr>
                <w:rPr>
                  <w:rFonts w:ascii="Cambria Math" w:hAnsi="Cambria Math" w:cs="Arial"/>
                  <w:lang w:val="fr-FR"/>
                </w:rPr>
                <m:t>-m</m:t>
              </m:r>
            </m:den>
          </m:f>
          <m:r>
            <w:rPr>
              <w:rFonts w:ascii="Cambria Math" w:hAnsi="Cambria Math" w:cs="Arial"/>
              <w:lang w:val="fr-FR"/>
            </w:rPr>
            <m:t xml:space="preserve">×100               </m:t>
          </m:r>
          <m:d>
            <m:dPr>
              <m:ctrlPr>
                <w:rPr>
                  <w:rFonts w:ascii="Cambria Math" w:hAnsi="Cambria Math" w:cs="Arial"/>
                  <w:i/>
                  <w:lang w:val="fr-FR"/>
                </w:rPr>
              </m:ctrlPr>
            </m:dPr>
            <m:e>
              <m:r>
                <w:rPr>
                  <w:rFonts w:ascii="Cambria Math" w:hAnsi="Cambria Math" w:cs="Arial"/>
                  <w:lang w:val="fr-FR"/>
                </w:rPr>
                <m:t>4</m:t>
              </m:r>
            </m:e>
          </m:d>
        </m:oMath>
      </m:oMathPara>
    </w:p>
    <w:p w14:paraId="40D0C377" w14:textId="77777777" w:rsidR="009718EB" w:rsidRDefault="009718EB" w:rsidP="009718EB">
      <w:pPr>
        <w:pStyle w:val="Body"/>
        <w:spacing w:after="0"/>
        <w:rPr>
          <w:rFonts w:ascii="Arial" w:hAnsi="Arial" w:cs="Arial"/>
        </w:rPr>
      </w:pPr>
      <w:r w:rsidRPr="009718EB">
        <w:rPr>
          <w:rFonts w:ascii="Arial" w:hAnsi="Arial" w:cs="Arial"/>
        </w:rPr>
        <w:t>with m</w:t>
      </w:r>
      <w:r w:rsidRPr="009718EB">
        <w:rPr>
          <w:rFonts w:ascii="Arial" w:hAnsi="Arial" w:cs="Arial"/>
          <w:vertAlign w:val="subscript"/>
        </w:rPr>
        <w:t>1</w:t>
      </w:r>
      <w:r w:rsidRPr="009718EB">
        <w:rPr>
          <w:rFonts w:ascii="Arial" w:hAnsi="Arial" w:cs="Arial"/>
        </w:rPr>
        <w:t>​: mass of the crucible containing the activated carbon before calcination (g); m</w:t>
      </w:r>
      <w:r w:rsidRPr="009718EB">
        <w:rPr>
          <w:rFonts w:ascii="Arial" w:hAnsi="Arial" w:cs="Arial"/>
          <w:vertAlign w:val="subscript"/>
        </w:rPr>
        <w:t>2</w:t>
      </w:r>
      <w:r w:rsidRPr="009718EB">
        <w:rPr>
          <w:rFonts w:ascii="Arial" w:hAnsi="Arial" w:cs="Arial"/>
        </w:rPr>
        <w:t xml:space="preserve"> : mass of the crucible containing the activated carbon after calcination (g); m : mass of the empty crucible (g).</w:t>
      </w:r>
    </w:p>
    <w:p w14:paraId="133CD56C" w14:textId="77777777" w:rsidR="009718EB" w:rsidRPr="009718EB" w:rsidRDefault="009718EB" w:rsidP="009718EB">
      <w:pPr>
        <w:pStyle w:val="Body"/>
        <w:spacing w:after="0"/>
        <w:rPr>
          <w:rFonts w:ascii="Arial" w:hAnsi="Arial" w:cs="Arial"/>
        </w:rPr>
      </w:pPr>
    </w:p>
    <w:p w14:paraId="23E7803A" w14:textId="77777777" w:rsidR="009718EB" w:rsidRDefault="009718EB" w:rsidP="009718EB">
      <w:pPr>
        <w:pStyle w:val="Body"/>
        <w:spacing w:after="0"/>
        <w:rPr>
          <w:rFonts w:ascii="Arial" w:hAnsi="Arial" w:cs="Arial"/>
          <w:b/>
          <w:bCs/>
        </w:rPr>
      </w:pPr>
      <w:r w:rsidRPr="009718EB">
        <w:rPr>
          <w:rFonts w:ascii="Arial" w:hAnsi="Arial" w:cs="Arial"/>
          <w:b/>
          <w:bCs/>
        </w:rPr>
        <w:t>2.2.5. Point of zero charge (pH</w:t>
      </w:r>
      <w:r w:rsidRPr="009718EB">
        <w:rPr>
          <w:rFonts w:ascii="Arial" w:hAnsi="Arial" w:cs="Arial"/>
          <w:b/>
          <w:bCs/>
          <w:vertAlign w:val="subscript"/>
        </w:rPr>
        <w:t>PZC</w:t>
      </w:r>
      <w:r w:rsidRPr="009718EB">
        <w:rPr>
          <w:rFonts w:ascii="Arial" w:hAnsi="Arial" w:cs="Arial"/>
          <w:b/>
          <w:bCs/>
        </w:rPr>
        <w:t>)</w:t>
      </w:r>
    </w:p>
    <w:p w14:paraId="2BC5413D" w14:textId="77777777" w:rsidR="009718EB" w:rsidRPr="009718EB" w:rsidRDefault="009718EB" w:rsidP="009718EB">
      <w:pPr>
        <w:pStyle w:val="Body"/>
        <w:spacing w:after="0"/>
        <w:rPr>
          <w:rFonts w:ascii="Arial" w:hAnsi="Arial" w:cs="Arial"/>
          <w:b/>
          <w:bCs/>
        </w:rPr>
      </w:pPr>
    </w:p>
    <w:p w14:paraId="032EFC4D" w14:textId="77777777" w:rsidR="009718EB" w:rsidRDefault="009718EB" w:rsidP="009718EB">
      <w:pPr>
        <w:pStyle w:val="Body"/>
        <w:spacing w:after="0"/>
        <w:rPr>
          <w:rFonts w:ascii="Arial" w:hAnsi="Arial" w:cs="Arial"/>
        </w:rPr>
      </w:pPr>
      <w:r w:rsidRPr="009718EB">
        <w:rPr>
          <w:rFonts w:ascii="Arial" w:hAnsi="Arial" w:cs="Arial"/>
        </w:rPr>
        <w:t>The determination of the point of zero charge (pH</w:t>
      </w:r>
      <w:r w:rsidRPr="009718EB">
        <w:rPr>
          <w:rFonts w:ascii="Arial" w:hAnsi="Arial" w:cs="Arial"/>
          <w:vertAlign w:val="subscript"/>
        </w:rPr>
        <w:t>PZC</w:t>
      </w:r>
      <w:r w:rsidRPr="009718EB">
        <w:rPr>
          <w:rFonts w:ascii="Arial" w:hAnsi="Arial" w:cs="Arial"/>
        </w:rPr>
        <w:t xml:space="preserve">) was based on the method described by </w:t>
      </w:r>
      <w:r w:rsidRPr="009718EB">
        <w:rPr>
          <w:rFonts w:ascii="Arial" w:hAnsi="Arial" w:cs="Arial"/>
        </w:rPr>
        <w:fldChar w:fldCharType="begin"/>
      </w:r>
      <w:r w:rsidRPr="009718EB">
        <w:rPr>
          <w:rFonts w:ascii="Arial" w:hAnsi="Arial" w:cs="Arial"/>
        </w:rPr>
        <w:instrText xml:space="preserve"> ADDIN ZOTERO_ITEM CSL_CITATION {"citationID":"nq2QhECl","properties":{"formattedCitation":"(Lopez-Ramon et al. 1999)","plainCitation":"(Lopez-Ramon et al. 1999)","noteIndex":0},"citationItems":[{"id":433,"uris":["http://zotero.org/users/18768689/items/ZFI64LL7"],"itemData":{"id":433,"type":"article-journal","container-title":"Carbon","DOI":"10.1016/S0008-6223(98)00317-0","ISSN":"00086223","issue":"8","journalAbbreviation":"Carbon","language":"en","license":"https://www.elsevier.com/tdm/userlicense/1.0/","page":"1215-1221","source":"DOI.org (Crossref)","title":"On the characterization of acidic and basic surface sites on carbons by various techniques","volume":"37","author":[{"family":"Lopez-Ramon","given":"M.V."},{"family":"Stoeckli","given":"F."},{"family":"Moreno-Castilla","given":"C."},{"family":"Carrasco-Marin","given":"F."}],"issued":{"date-parts":[["1999",1]]}}}],"schema":"https://github.com/citation-style-language/schema/raw/master/csl-citation.json"} </w:instrText>
      </w:r>
      <w:r w:rsidRPr="009718EB">
        <w:rPr>
          <w:rFonts w:ascii="Arial" w:hAnsi="Arial" w:cs="Arial"/>
        </w:rPr>
        <w:fldChar w:fldCharType="separate"/>
      </w:r>
      <w:r w:rsidRPr="009718EB">
        <w:rPr>
          <w:rFonts w:ascii="Arial" w:hAnsi="Arial" w:cs="Arial"/>
        </w:rPr>
        <w:t>(Lopez-Ramon et al. 1999)</w:t>
      </w:r>
      <w:r w:rsidRPr="009718EB">
        <w:rPr>
          <w:rFonts w:ascii="Arial" w:hAnsi="Arial" w:cs="Arial"/>
        </w:rPr>
        <w:fldChar w:fldCharType="end"/>
      </w:r>
      <w:r w:rsidRPr="009718EB">
        <w:rPr>
          <w:rFonts w:ascii="Arial" w:hAnsi="Arial" w:cs="Arial"/>
        </w:rPr>
        <w:t xml:space="preserve"> and adapted by several authors </w:t>
      </w:r>
      <w:r w:rsidRPr="009718EB">
        <w:rPr>
          <w:rFonts w:ascii="Arial" w:hAnsi="Arial" w:cs="Arial"/>
        </w:rPr>
        <w:fldChar w:fldCharType="begin"/>
      </w:r>
      <w:r w:rsidRPr="009718EB">
        <w:rPr>
          <w:rFonts w:ascii="Arial" w:hAnsi="Arial" w:cs="Arial"/>
        </w:rPr>
        <w:instrText xml:space="preserve"> ADDIN ZOTERO_ITEM CSL_CITATION {"citationID":"Fktk8Vw8","properties":{"formattedCitation":"(Melouki et al. 2020; Tchakala et al. 2012; Maazou et al. 2018)","plainCitation":"(Melouki et al. 2020; Tchakala et al. 2012; Maazou et al. 2018)","noteIndex":0},"citationItems":[{"id":434,"uris":["http://zotero.org/users/18768689/items/D5SYREX2"],"itemData":{"id":434,"type":"article-journal","abstract":"L’industrie textile consomme de grandes quantités d’eau et utilise des colorants organiques pour teindre ses produits commerciaux. Ces colorants synthétiques sont à la fois toxiques et responsables de la coloration des eaux usées, ce qui nécessite de les traiter avant leur rejet. La plupart des colorants ne sont pas biodégradables et une fois rejetés provoquent une altération du milieu aquatique. Parmi les procédés de traitement des rejets liquides, l’adsorption sur charbon actif est une technique facile à mettre en oeuvre et peu onéreuse. L’objectif de cette étude consiste en la préparation de biochars à partir de roseau commun afin d’obtenir un adsorbant applicable pour la décoloration des effluents de l’industrie textile. Le roseau commun (\n              Phragmites australis\n              ) de la rivière de Sed–Ksob de M’sila (Algérie) a été valorisé et utilisé comme précurseur pour la fabrication de biochars par activation à l’acide phosphorique. La chimie de surface des matériaux a été caractérisée par titrage sélectif (dosage de Boehm), analyse thermogravimétrique (ATG) et mesure du point de charge nulle (pHpzc). La texture poreuse a été étudiée par l’adsorption du bleu de méthylène (BM) et la mesure de l’indice d’iode. Les résultats de l’analyse ATG et du dosage de Boehm montrent la présence de nombreux groupes fonctionnels de surface sur les biochars. Les teneurs en groupes fonctionnels oxygénés dépendent du rapport d'imprégnation en acide phosphorique, à l'exception de celui obtenu à un rapport d'imprégnation de 150 %. L’adsorption du BM et le test d’indice d’iode indiquent une augmentation de la surface spécifique lorsqu’on augmente le rapport d'imprégnation. Ceci est dû au développement de la microporosité et de la mésoporosité. Les biochars ont été testés pour leur performance d'adsorption vis-à-vis d'un colorant anionique, le méthylorange (MeO). L’influence de différents paramètres expérimentaux a été étudiée : la concentration, le temps de contact et la température. L’étude des isothermes d'adsorption montre que le modèle de Langmuir décrit bien le processus de l’adsorption du MeO sur les biochars préparés. La cinétique d’adsorption peut être décrite par les modèles de pseudo-second ordre et de diffusion dans le film liquide. Le phénomène d’adsorption est de type physique et endothermique.\n            \n          , \n            \n              The textile industry uses large amount of water and organic dyes to tint their products. These synthetic dyes are toxic and cause water coloring. This results in colored wastewater that must be treated before being discharged. In addition, most dyes are not biodegradable, and once released they alter the aquatic environment. Among the processes for treating these effluents, adsorption is an easy and a cost-effective process to implement. The objective of this study is the preparation of biochars from common reed applicable for the discoloration of effluents used in the textile industry. Common reed (\n              Phragmites australis\n              ) has been collected from the Sed-Ksob river of M'sila (Algeria) and used as precursor for the production of biochars activated by phosphoric acid. The surface chemistry of the prepared materials has been characterized using selective titration (Boehm assay), TGA analysis and pH of point zero charge (pHpzc) measurements. The porous texture has been investigated by using methylene blue adsorption and iodine number measurements. The results of the TGA analysis and the Boehm assay show the presence of many superficial functional groups on the surface of the biochars. The amount of oxygenated functional groups on all the prepared biochars depends on the impregnation ratio of phosphoric acid, except for the one obtained at 150% impregnation ratio. The adsorption of methylene blue and the iodine test indicate an increase in the specific surface area with an increase in the impregnation ratio due to the development of the microporosity and the mesoporosity. The adsorption properties of methyl orange, an anionic dye, were studied on the prepared biochars as function of concentration, contact time, and temperature. The Langmuir model describes well the equilibrium adsorption of methyl orange on the prepared biochars. The adsorption kinetics are described by the pseudo-second order and the liquid film diffusion models. An endothermic physical adsorption of methyl orange on the prepared biochars has been highlighted.","container-title":"Revue des Sciences de l’Eau","DOI":"10.7202/1069570ar","ISSN":"1718-8598","issue":"4","journalAbbreviation":"rseau","page":"349-367","source":"DOI.org (Crossref)","title":"Biochars issus de roseau commun pour l’adsorption du méthylorange en solution aqueuse","volume":"32","author":[{"family":"Melouki","given":"Soriya"},{"family":"Reffas","given":"Abdelbaki"},{"family":"Merrouche","given":"Abdellah"},{"family":"Reinert","given":"Laurence"},{"family":"Duclaux","given":"Laurent"}],"issued":{"date-parts":[["2020",5,25]]}}},{"id":435,"uris":["http://zotero.org/users/18768689/items/M5XUZSHN"],"itemData":{"id":435,"type":"article-journal","container-title":"International Journal of Biological and Chemical Sciences","DOI":"10.4314/ijbcs.v6i1.42","ISSN":"1991-8631","issue":"1","journalAbbreviation":"Int. J. Bio. Chem. Sci","page":"461-478","source":"DOI.org (Crossref)","title":"Optimisation du procédé de préparation des Charbons Actifs par voie chimique (H&lt;sub&gt;3&lt;/sub&gt;PO&lt;sub&gt;4&lt;/sub&gt;) à partir des tourteaux de Karité et des tourteaux de Coton","volume":"6","author":[{"family":"Tchakala","given":"I"},{"family":"Bawa","given":"Lm"},{"family":"Djaneye-Boundjou","given":"G"},{"family":"Doni","given":"Ks"},{"family":"Nambo","given":"P"}],"issued":{"date-parts":[["2012",8,29]]}}},{"id":437,"uris":["http://zotero.org/users/18768689/items/EXJFXDMZ"],"itemData":{"id":437,"type":"article-journal","container-title":"International Journal of Biological and Chemical Sciences","DOI":"10.4314/ijbcs.v11i6.39","ISSN":"1997-342X, 1991-8631","issue":"6","journalAbbreviation":"Int. J. Bio. Chem. Sci","page":"3050","source":"DOI.org (Crossref)","title":"Elimination du chrome par du charbon actif élaboré et caractérisé à partir de la coque du noyau de &lt;i&gt;Balanites aegyptiaca&lt;/i&gt;","volume":"11","author":[{"family":"Maazou","given":"Siragi D.B."},{"family":"Hima","given":"Halidou I."},{"family":"Malam Alma","given":"Maman Mousbahou"},{"family":"Adamou","given":"Zanguina"},{"family":"Natatou","given":"Ibrahim"}],"issued":{"date-parts":[["2018",4,13]]}}}],"schema":"https://github.com/citation-style-language/schema/raw/master/csl-citation.json"} </w:instrText>
      </w:r>
      <w:r w:rsidRPr="009718EB">
        <w:rPr>
          <w:rFonts w:ascii="Arial" w:hAnsi="Arial" w:cs="Arial"/>
        </w:rPr>
        <w:fldChar w:fldCharType="separate"/>
      </w:r>
      <w:r w:rsidRPr="009718EB">
        <w:rPr>
          <w:rFonts w:ascii="Arial" w:hAnsi="Arial" w:cs="Arial"/>
        </w:rPr>
        <w:t>(Melouki et al. 2020; Tchakala et al. 2012; Maazou et al. 2018)</w:t>
      </w:r>
      <w:r w:rsidRPr="009718EB">
        <w:rPr>
          <w:rFonts w:ascii="Arial" w:hAnsi="Arial" w:cs="Arial"/>
        </w:rPr>
        <w:fldChar w:fldCharType="end"/>
      </w:r>
      <w:r w:rsidRPr="009718EB">
        <w:rPr>
          <w:rFonts w:ascii="Arial" w:hAnsi="Arial" w:cs="Arial"/>
        </w:rPr>
        <w:t>. The procedure consisted of introducing 20 mL of a 0.1 mol.L</w:t>
      </w:r>
      <w:r w:rsidRPr="009718EB">
        <w:rPr>
          <w:rFonts w:ascii="Cambria Math" w:hAnsi="Cambria Math" w:cs="Cambria Math"/>
        </w:rPr>
        <w:t>⁻</w:t>
      </w:r>
      <w:r w:rsidRPr="009718EB">
        <w:rPr>
          <w:rFonts w:ascii="Arial" w:hAnsi="Arial" w:cs="Arial"/>
        </w:rPr>
        <w:t>¹ NaCl solution into 50 mL Erlenmeyer flasks and adjusting the pH to 2, 4, 6, 8, 10, and 12 by adding 0.1 mol.L</w:t>
      </w:r>
      <w:r w:rsidRPr="009718EB">
        <w:rPr>
          <w:rFonts w:ascii="Cambria Math" w:hAnsi="Cambria Math" w:cs="Cambria Math"/>
        </w:rPr>
        <w:t>⁻</w:t>
      </w:r>
      <w:r w:rsidRPr="009718EB">
        <w:rPr>
          <w:rFonts w:ascii="Arial" w:hAnsi="Arial" w:cs="Arial"/>
        </w:rPr>
        <w:t>¹ HCl or NaOH. A mass of 0.1 g of adsorbent (activated carbon) was added to each solution. The mixtures were agitated at 350 rpm for 72 h at room temperature, after which the final pH of each solution was measured. Plotting the final pH as a function of the initial pH allowed determination of the pH</w:t>
      </w:r>
      <w:r w:rsidRPr="009718EB">
        <w:rPr>
          <w:rFonts w:ascii="Arial" w:hAnsi="Arial" w:cs="Arial"/>
          <w:vertAlign w:val="subscript"/>
        </w:rPr>
        <w:t>PZC</w:t>
      </w:r>
      <w:r w:rsidRPr="009718EB">
        <w:rPr>
          <w:rFonts w:ascii="Arial" w:hAnsi="Arial" w:cs="Arial"/>
        </w:rPr>
        <w:t>, corresponding to the pH at which the curve intersects the first bisector (final pH = initial pH).</w:t>
      </w:r>
    </w:p>
    <w:p w14:paraId="724F41D4" w14:textId="77777777" w:rsidR="003D59A8" w:rsidRPr="009718EB" w:rsidRDefault="003D59A8" w:rsidP="009718EB">
      <w:pPr>
        <w:pStyle w:val="Body"/>
        <w:spacing w:after="0"/>
        <w:rPr>
          <w:rFonts w:ascii="Arial" w:hAnsi="Arial" w:cs="Arial"/>
        </w:rPr>
      </w:pPr>
    </w:p>
    <w:p w14:paraId="3C91D789" w14:textId="77777777" w:rsidR="009718EB" w:rsidRDefault="009718EB" w:rsidP="009718EB">
      <w:pPr>
        <w:pStyle w:val="Body"/>
        <w:spacing w:after="0"/>
        <w:rPr>
          <w:rFonts w:ascii="Arial" w:hAnsi="Arial" w:cs="Arial"/>
          <w:b/>
          <w:bCs/>
        </w:rPr>
      </w:pPr>
      <w:r w:rsidRPr="009718EB">
        <w:rPr>
          <w:rFonts w:ascii="Arial" w:hAnsi="Arial" w:cs="Arial"/>
          <w:b/>
          <w:bCs/>
        </w:rPr>
        <w:t>2.2.6. Determination of specific surface area</w:t>
      </w:r>
    </w:p>
    <w:p w14:paraId="2258017A" w14:textId="77777777" w:rsidR="003D59A8" w:rsidRPr="009718EB" w:rsidRDefault="003D59A8" w:rsidP="009718EB">
      <w:pPr>
        <w:pStyle w:val="Body"/>
        <w:spacing w:after="0"/>
        <w:rPr>
          <w:rFonts w:ascii="Arial" w:hAnsi="Arial" w:cs="Arial"/>
          <w:b/>
          <w:bCs/>
        </w:rPr>
      </w:pPr>
    </w:p>
    <w:p w14:paraId="42067A23" w14:textId="77777777" w:rsidR="009718EB" w:rsidRPr="009718EB" w:rsidRDefault="009718EB" w:rsidP="009718EB">
      <w:pPr>
        <w:pStyle w:val="Body"/>
        <w:spacing w:after="0"/>
        <w:rPr>
          <w:rFonts w:ascii="Arial" w:hAnsi="Arial" w:cs="Arial"/>
        </w:rPr>
      </w:pPr>
      <w:r w:rsidRPr="009718EB">
        <w:rPr>
          <w:rFonts w:ascii="Arial" w:hAnsi="Arial" w:cs="Arial"/>
        </w:rPr>
        <w:t xml:space="preserve">The specific surface area is one of the most important parameters in the characterization of activated carbons. It represents the total surface available for adsorption per unit mass of material. The higher the surface area, the greater the adsorption capacity of the activated </w:t>
      </w:r>
      <w:r w:rsidRPr="009718EB">
        <w:rPr>
          <w:rFonts w:ascii="Arial" w:hAnsi="Arial" w:cs="Arial"/>
        </w:rPr>
        <w:lastRenderedPageBreak/>
        <w:t xml:space="preserve">carbon, due to the increased availability of active sites </w:t>
      </w:r>
      <w:r w:rsidRPr="009718EB">
        <w:rPr>
          <w:rFonts w:ascii="Arial" w:hAnsi="Arial" w:cs="Arial"/>
        </w:rPr>
        <w:fldChar w:fldCharType="begin"/>
      </w:r>
      <w:r w:rsidRPr="009718EB">
        <w:rPr>
          <w:rFonts w:ascii="Arial" w:hAnsi="Arial" w:cs="Arial"/>
        </w:rPr>
        <w:instrText xml:space="preserve"> ADDIN ZOTERO_ITEM CSL_CITATION {"citationID":"dj06MIh5","properties":{"formattedCitation":"(Daifullah et al. 2004)","plainCitation":"(Daifullah et al. 2004)","noteIndex":0},"citationItems":[{"id":439,"uris":["http://zotero.org/users/18768689/items/XZ4M2V5B"],"itemData":{"id":439,"type":"article-journal","container-title":"Colloids and Surfaces A: Physicochemical and Engineering Aspects","DOI":"10.1016/j.colsurfa.2003.12.020","ISSN":"09277757","issue":"1-3","journalAbbreviation":"Colloids and Surfaces A: Physicochemical and Engineering Aspects","language":"en","license":"https://www.elsevier.com/tdm/userlicense/1.0/","page":"1-10","source":"DOI.org (Crossref)","title":"A study of the factors affecting the removal of humic acid by activated carbon prepared from biomass material","volume":"235","author":[{"family":"Daifullah","given":"A.A.M"},{"family":"Girgis","given":"B.S"},{"family":"Gad","given":"H.M.H"}],"issued":{"date-parts":[["2004",3]]}}}],"schema":"https://github.com/citation-style-language/schema/raw/master/csl-citation.json"} </w:instrText>
      </w:r>
      <w:r w:rsidRPr="009718EB">
        <w:rPr>
          <w:rFonts w:ascii="Arial" w:hAnsi="Arial" w:cs="Arial"/>
        </w:rPr>
        <w:fldChar w:fldCharType="separate"/>
      </w:r>
      <w:r w:rsidRPr="009718EB">
        <w:rPr>
          <w:rFonts w:ascii="Arial" w:hAnsi="Arial" w:cs="Arial"/>
        </w:rPr>
        <w:t>(Daifullah et al. 2004)</w:t>
      </w:r>
      <w:r w:rsidRPr="009718EB">
        <w:rPr>
          <w:rFonts w:ascii="Arial" w:hAnsi="Arial" w:cs="Arial"/>
        </w:rPr>
        <w:fldChar w:fldCharType="end"/>
      </w:r>
      <w:r w:rsidRPr="009718EB">
        <w:rPr>
          <w:rFonts w:ascii="Arial" w:hAnsi="Arial" w:cs="Arial"/>
        </w:rPr>
        <w:t xml:space="preserve">. In the present work, the specific surface area was determined from methylene blue adsorption data. Methylene blue is commonly used as a molecular probe owing to its well-known molecular size and its ability to uniformly cover the internal pore surface of carbon materials </w:t>
      </w:r>
      <w:r w:rsidRPr="009718EB">
        <w:rPr>
          <w:rFonts w:ascii="Arial" w:hAnsi="Arial" w:cs="Arial"/>
        </w:rPr>
        <w:fldChar w:fldCharType="begin"/>
      </w:r>
      <w:r w:rsidRPr="009718EB">
        <w:rPr>
          <w:rFonts w:ascii="Arial" w:hAnsi="Arial" w:cs="Arial"/>
        </w:rPr>
        <w:instrText xml:space="preserve"> ADDIN ZOTERO_ITEM CSL_CITATION {"citationID":"POJVNz7w","properties":{"formattedCitation":"(Yap et al. 2025; Ortiz-Anaya et Nishina 2024)","plainCitation":"(Yap et al. 2025; Ortiz-Anaya et Nishina 2024)","noteIndex":0},"citationItems":[{"id":440,"uris":["http://zotero.org/users/18768689/items/5UCHYTDK"],"itemData":{"id":440,"type":"article-journal","abstract":"Abstract\n            \n              The industrial production of graphene oxide (GO) using various oxidizing precursors and processing conditions results in substantial variability in their composition of oxygen</w:instrText>
      </w:r>
      <w:r w:rsidRPr="009718EB">
        <w:rPr>
          <w:rFonts w:ascii="Cambria Math" w:hAnsi="Cambria Math" w:cs="Cambria Math"/>
        </w:rPr>
        <w:instrText>‐</w:instrText>
      </w:r>
      <w:r w:rsidRPr="009718EB">
        <w:rPr>
          <w:rFonts w:ascii="Arial" w:hAnsi="Arial" w:cs="Arial"/>
        </w:rPr>
        <w:instrText>containing groups, structures, and specific surface area (SSA), which are critical to its performance in diverse applications. Spectrophotometric methylene blue (MB) adsorption has emerged as a promising alternative to the conventional nitrogen physisorption method. However, this method still lacks a standardized and optimized protocol, limiting its reliability and consistency in SSA determination. To address this gap, this study systematically evaluates the uncertainties in the MB</w:instrText>
      </w:r>
      <w:r w:rsidRPr="009718EB">
        <w:rPr>
          <w:rFonts w:ascii="Cambria Math" w:hAnsi="Cambria Math" w:cs="Cambria Math"/>
        </w:rPr>
        <w:instrText>‐</w:instrText>
      </w:r>
      <w:r w:rsidRPr="009718EB">
        <w:rPr>
          <w:rFonts w:ascii="Arial" w:hAnsi="Arial" w:cs="Arial"/>
        </w:rPr>
        <w:instrText>based SSA characterization by revealing the influence of key experimental parameters and their optimization, including adsorption time, GO and MB concentration, MB/GO ratio, and the methods for determining maximum MB adsorption capacity on GO using both single</w:instrText>
      </w:r>
      <w:r w:rsidRPr="009718EB">
        <w:rPr>
          <w:rFonts w:ascii="Cambria Math" w:hAnsi="Cambria Math" w:cs="Cambria Math"/>
        </w:rPr>
        <w:instrText>‐</w:instrText>
      </w:r>
      <w:r w:rsidRPr="009718EB">
        <w:rPr>
          <w:rFonts w:ascii="Arial" w:hAnsi="Arial" w:cs="Arial"/>
        </w:rPr>
        <w:instrText>point and multi</w:instrText>
      </w:r>
      <w:r w:rsidRPr="009718EB">
        <w:rPr>
          <w:rFonts w:ascii="Cambria Math" w:hAnsi="Cambria Math" w:cs="Cambria Math"/>
        </w:rPr>
        <w:instrText>‐</w:instrText>
      </w:r>
      <w:r w:rsidRPr="009718EB">
        <w:rPr>
          <w:rFonts w:ascii="Arial" w:hAnsi="Arial" w:cs="Arial"/>
        </w:rPr>
        <w:instrText>point Langmuir isotherm approaches. A series of commercial and lab</w:instrText>
      </w:r>
      <w:r w:rsidRPr="009718EB">
        <w:rPr>
          <w:rFonts w:ascii="Cambria Math" w:hAnsi="Cambria Math" w:cs="Cambria Math"/>
        </w:rPr>
        <w:instrText>‐</w:instrText>
      </w:r>
      <w:r w:rsidRPr="009718EB">
        <w:rPr>
          <w:rFonts w:ascii="Arial" w:hAnsi="Arial" w:cs="Arial"/>
        </w:rPr>
        <w:instrText>prepared GOs materials in different forms (powders, aerogels, films, and dispersions) are used as model systems. The study confirms the optimized parameters, including adsorption time (24 h), concentrations of MB (0.005–0.02 mg mL\n              −1\n              ), GO (0.5–2.0 mg mL\n              −1\n              ), MB/GO weight ratio (0.4–0.44), and single</w:instrText>
      </w:r>
      <w:r w:rsidRPr="009718EB">
        <w:rPr>
          <w:rFonts w:ascii="Cambria Math" w:hAnsi="Cambria Math" w:cs="Cambria Math"/>
        </w:rPr>
        <w:instrText>‐</w:instrText>
      </w:r>
      <w:r w:rsidRPr="009718EB">
        <w:rPr>
          <w:rFonts w:ascii="Arial" w:hAnsi="Arial" w:cs="Arial"/>
        </w:rPr>
        <w:instrText>point MB adsorption. This refined protocol offers a robust, rapid, low</w:instrText>
      </w:r>
      <w:r w:rsidRPr="009718EB">
        <w:rPr>
          <w:rFonts w:ascii="Cambria Math" w:hAnsi="Cambria Math" w:cs="Cambria Math"/>
        </w:rPr>
        <w:instrText>‐</w:instrText>
      </w:r>
      <w:r w:rsidRPr="009718EB">
        <w:rPr>
          <w:rFonts w:ascii="Arial" w:hAnsi="Arial" w:cs="Arial"/>
        </w:rPr>
        <w:instrText xml:space="preserve">cost, and reliable characterization and quality control of manufactured GO materials.","container-title":"Advanced Materials Interfaces","DOI":"10.1002/admi.202500233","ISSN":"2196-7350, 2196-7350","issue":"17","journalAbbreviation":"Adv Materials Inter","language":"en","page":"e00233","source":"DOI.org (Crossref)","title":"Advancing Methylene Blue Adsorption Approach for More Precise Measurement of Specific Surface Area of Graphene Oxide","volume":"12","author":[{"family":"Yap","given":"Pei Lay"},{"family":"Wang","given":"Deyu"},{"family":"Losic","given":"Dusan"}],"issued":{"date-parts":[["2025",9]]}}},{"id":443,"uris":["http://zotero.org/users/18768689/items/8GVILGT6"],"itemData":{"id":443,"type":"article-journal","abstract":"Abstract\n            In this research, we explored the effectiveness of the methylene blue adsorption method as an alternative approach for determining the specific surface area of graphene oxide. Initially, through a comparative analysis with reference activated carbon, we identified the limitations of utilizing N2 physisorption for specific surface area determination of graphene oxide. Our findings revealed that the standard pretreatment process (heating under vacuum) before N2 physisorption led to damage to the surface oxygen groups on graphene oxide, and the measured surface areas (43 m2/g) do not accurately represent the entire surface area. To optimize methylene blue coverage on graphene oxide, we conducted adsorption equilibrium experiments, focusing on controlling temperature and pH. The pH was significantly important in regulating the coverage of methylene blue. Under the optimized methylene blue adsorption conditions, the specific surface area of graphene oxide was 1,555 m2/g. Our assumptions regarding specific surface area calculations were supported by structural characterization of samples with varying methylene blue uptakes. The results confirmed a uniform coverage of methylene blue on graphene oxide by scanning electron microscopy and energy dispersive X-ray, X-ray diffraction, and atomic force microscopy.","container-title":"Bulletin of the Chemical Society of Japan","DOI":"10.1093/bulcsj/uoae118","ISSN":"0009-2673, 1348-0634","issue":"11","language":"en","license":"https://creativecommons.org/licenses/by-nc/4.0/","page":"uoae118","source":"DOI.org (Crossref)","title":"Refined surface area determination of graphene oxide using methylene blue as a probe molecule: a comparative approach","title-short":"Refined surface area determination of graphene oxide using methylene blue as a probe molecule","volume":"97","author":[{"family":"Ortiz-Anaya","given":"Israel"},{"family":"Nishina","given":"Yuta"}],"issued":{"date-parts":[["2024",10,30]]}}}],"schema":"https://github.com/citation-style-language/schema/raw/master/csl-citation.json"} </w:instrText>
      </w:r>
      <w:r w:rsidRPr="009718EB">
        <w:rPr>
          <w:rFonts w:ascii="Arial" w:hAnsi="Arial" w:cs="Arial"/>
        </w:rPr>
        <w:fldChar w:fldCharType="separate"/>
      </w:r>
      <w:r w:rsidRPr="009718EB">
        <w:rPr>
          <w:rFonts w:ascii="Arial" w:hAnsi="Arial" w:cs="Arial"/>
        </w:rPr>
        <w:t>(Yap et al. 2025; Ortiz-Anaya et Nishina 2024)</w:t>
      </w:r>
      <w:r w:rsidRPr="009718EB">
        <w:rPr>
          <w:rFonts w:ascii="Arial" w:hAnsi="Arial" w:cs="Arial"/>
        </w:rPr>
        <w:fldChar w:fldCharType="end"/>
      </w:r>
      <w:r w:rsidRPr="009718EB">
        <w:rPr>
          <w:rFonts w:ascii="Arial" w:hAnsi="Arial" w:cs="Arial"/>
        </w:rPr>
        <w:t>. The calculation is based on the relationship given in equation (5):</w:t>
      </w:r>
    </w:p>
    <w:p w14:paraId="0D88799E" w14:textId="7A7807D0" w:rsidR="009718EB" w:rsidRPr="009718EB" w:rsidRDefault="00BE62BF" w:rsidP="009718EB">
      <w:pPr>
        <w:pStyle w:val="Body"/>
        <w:spacing w:after="0"/>
        <w:rPr>
          <w:rFonts w:ascii="Arial" w:hAnsi="Arial" w:cs="Arial"/>
          <w:lang w:val="fr-FR"/>
        </w:rPr>
      </w:pPr>
      <m:oMathPara>
        <m:oMath>
          <m:sSub>
            <m:sSubPr>
              <m:ctrlPr>
                <w:rPr>
                  <w:rFonts w:ascii="Cambria Math" w:hAnsi="Cambria Math" w:cs="Arial"/>
                  <w:iCs/>
                  <w:lang w:val="fr-FR"/>
                </w:rPr>
              </m:ctrlPr>
            </m:sSubPr>
            <m:e>
              <m:r>
                <m:rPr>
                  <m:sty m:val="p"/>
                </m:rPr>
                <w:rPr>
                  <w:rFonts w:ascii="Cambria Math" w:hAnsi="Cambria Math" w:cs="Arial"/>
                  <w:lang w:val="fr-FR"/>
                </w:rPr>
                <m:t>S</m:t>
              </m:r>
            </m:e>
            <m:sub>
              <m:r>
                <m:rPr>
                  <m:sty m:val="p"/>
                </m:rPr>
                <w:rPr>
                  <w:rFonts w:ascii="Cambria Math" w:hAnsi="Cambria Math" w:cs="Arial"/>
                  <w:lang w:val="fr-FR"/>
                </w:rPr>
                <m:t>L</m:t>
              </m:r>
            </m:sub>
          </m:sSub>
          <m:r>
            <m:rPr>
              <m:sty m:val="p"/>
            </m:rPr>
            <w:rPr>
              <w:rFonts w:ascii="Cambria Math" w:hAnsi="Cambria Math" w:cs="Arial"/>
              <w:lang w:val="fr-FR"/>
            </w:rPr>
            <m:t>=</m:t>
          </m:r>
          <m:sSub>
            <m:sSubPr>
              <m:ctrlPr>
                <w:rPr>
                  <w:rFonts w:ascii="Cambria Math" w:hAnsi="Cambria Math" w:cs="Arial"/>
                  <w:iCs/>
                  <w:lang w:val="fr-FR"/>
                </w:rPr>
              </m:ctrlPr>
            </m:sSubPr>
            <m:e>
              <m:r>
                <m:rPr>
                  <m:sty m:val="p"/>
                </m:rPr>
                <w:rPr>
                  <w:rFonts w:ascii="Cambria Math" w:hAnsi="Cambria Math" w:cs="Arial"/>
                  <w:lang w:val="fr-FR"/>
                </w:rPr>
                <m:t>Q</m:t>
              </m:r>
            </m:e>
            <m:sub>
              <m:r>
                <m:rPr>
                  <m:sty m:val="p"/>
                </m:rPr>
                <w:rPr>
                  <w:rFonts w:ascii="Cambria Math" w:hAnsi="Cambria Math" w:cs="Arial"/>
                  <w:lang w:val="fr-FR"/>
                </w:rPr>
                <m:t>m</m:t>
              </m:r>
            </m:sub>
          </m:sSub>
          <m:r>
            <m:rPr>
              <m:sty m:val="p"/>
            </m:rPr>
            <w:rPr>
              <w:rFonts w:ascii="Cambria Math" w:hAnsi="Cambria Math" w:cs="Arial"/>
              <w:lang w:val="fr-FR"/>
            </w:rPr>
            <m:t>×</m:t>
          </m:r>
          <m:sSub>
            <m:sSubPr>
              <m:ctrlPr>
                <w:rPr>
                  <w:rFonts w:ascii="Cambria Math" w:hAnsi="Cambria Math" w:cs="Arial"/>
                  <w:iCs/>
                  <w:lang w:val="fr-FR"/>
                </w:rPr>
              </m:ctrlPr>
            </m:sSubPr>
            <m:e>
              <m:r>
                <m:rPr>
                  <m:sty m:val="p"/>
                </m:rPr>
                <w:rPr>
                  <w:rFonts w:ascii="Cambria Math" w:hAnsi="Cambria Math" w:cs="Arial"/>
                  <w:lang w:val="fr-FR"/>
                </w:rPr>
                <m:t>N</m:t>
              </m:r>
            </m:e>
            <m:sub>
              <m:r>
                <m:rPr>
                  <m:sty m:val="p"/>
                </m:rPr>
                <w:rPr>
                  <w:rFonts w:ascii="Cambria Math" w:hAnsi="Cambria Math" w:cs="Arial"/>
                  <w:lang w:val="fr-FR"/>
                </w:rPr>
                <m:t>A</m:t>
              </m:r>
            </m:sub>
          </m:sSub>
          <m:r>
            <m:rPr>
              <m:sty m:val="p"/>
            </m:rPr>
            <w:rPr>
              <w:rFonts w:ascii="Cambria Math" w:hAnsi="Cambria Math" w:cs="Arial"/>
              <w:lang w:val="fr-FR"/>
            </w:rPr>
            <m:t>×</m:t>
          </m:r>
          <m:sSub>
            <m:sSubPr>
              <m:ctrlPr>
                <w:rPr>
                  <w:rFonts w:ascii="Cambria Math" w:hAnsi="Cambria Math" w:cs="Arial"/>
                  <w:iCs/>
                  <w:lang w:val="fr-FR"/>
                </w:rPr>
              </m:ctrlPr>
            </m:sSubPr>
            <m:e>
              <m:r>
                <m:rPr>
                  <m:sty m:val="p"/>
                </m:rPr>
                <w:rPr>
                  <w:rFonts w:ascii="Cambria Math" w:hAnsi="Cambria Math" w:cs="Arial"/>
                  <w:lang w:val="fr-FR"/>
                </w:rPr>
                <m:t>S</m:t>
              </m:r>
            </m:e>
            <m:sub>
              <m:r>
                <m:rPr>
                  <m:sty m:val="p"/>
                </m:rPr>
                <w:rPr>
                  <w:rFonts w:ascii="Cambria Math" w:hAnsi="Cambria Math" w:cs="Arial"/>
                  <w:lang w:val="fr-FR"/>
                </w:rPr>
                <m:t>BM</m:t>
              </m:r>
            </m:sub>
          </m:sSub>
          <m:r>
            <w:rPr>
              <w:rFonts w:ascii="Cambria Math" w:hAnsi="Cambria Math" w:cs="Arial"/>
              <w:lang w:val="fr-FR"/>
            </w:rPr>
            <m:t xml:space="preserve">      (5)</m:t>
          </m:r>
        </m:oMath>
      </m:oMathPara>
    </w:p>
    <w:p w14:paraId="47AE6143" w14:textId="77777777" w:rsidR="009718EB" w:rsidRPr="009718EB" w:rsidRDefault="009718EB" w:rsidP="009718EB">
      <w:pPr>
        <w:pStyle w:val="Body"/>
        <w:spacing w:after="0"/>
        <w:rPr>
          <w:rFonts w:ascii="Arial" w:hAnsi="Arial" w:cs="Arial"/>
        </w:rPr>
      </w:pPr>
      <w:r w:rsidRPr="009718EB">
        <w:rPr>
          <w:rFonts w:ascii="Arial" w:hAnsi="Arial" w:cs="Arial"/>
        </w:rPr>
        <w:t>S</w:t>
      </w:r>
      <w:r w:rsidRPr="009718EB">
        <w:rPr>
          <w:rFonts w:ascii="Arial" w:hAnsi="Arial" w:cs="Arial"/>
          <w:vertAlign w:val="subscript"/>
        </w:rPr>
        <w:t xml:space="preserve">L </w:t>
      </w:r>
      <w:r w:rsidRPr="009718EB">
        <w:rPr>
          <w:rFonts w:ascii="Arial" w:hAnsi="Arial" w:cs="Arial"/>
        </w:rPr>
        <w:t>​: Langmuir specific surface area (m².g</w:t>
      </w:r>
      <w:r w:rsidRPr="009718EB">
        <w:rPr>
          <w:rFonts w:ascii="Cambria Math" w:hAnsi="Cambria Math" w:cs="Cambria Math"/>
        </w:rPr>
        <w:t>⁻</w:t>
      </w:r>
      <w:r w:rsidRPr="009718EB">
        <w:rPr>
          <w:rFonts w:ascii="Arial" w:hAnsi="Arial" w:cs="Arial"/>
        </w:rPr>
        <w:t>¹) ; Q</w:t>
      </w:r>
      <w:r w:rsidRPr="009718EB">
        <w:rPr>
          <w:rFonts w:ascii="Arial" w:hAnsi="Arial" w:cs="Arial"/>
          <w:vertAlign w:val="subscript"/>
        </w:rPr>
        <w:t>m</w:t>
      </w:r>
      <w:r w:rsidRPr="009718EB">
        <w:rPr>
          <w:rFonts w:ascii="Arial" w:hAnsi="Arial" w:cs="Arial"/>
        </w:rPr>
        <w:t>​: maximum adsorption capacity (mg.g</w:t>
      </w:r>
      <w:r w:rsidRPr="009718EB">
        <w:rPr>
          <w:rFonts w:ascii="Cambria Math" w:hAnsi="Cambria Math" w:cs="Cambria Math"/>
        </w:rPr>
        <w:t>⁻</w:t>
      </w:r>
      <w:r w:rsidRPr="009718EB">
        <w:rPr>
          <w:rFonts w:ascii="Arial" w:hAnsi="Arial" w:cs="Arial"/>
        </w:rPr>
        <w:t>¹) ; N</w:t>
      </w:r>
      <w:r w:rsidRPr="009718EB">
        <w:rPr>
          <w:rFonts w:ascii="Arial" w:hAnsi="Arial" w:cs="Arial"/>
          <w:vertAlign w:val="subscript"/>
        </w:rPr>
        <w:t>A</w:t>
      </w:r>
      <w:r w:rsidRPr="009718EB">
        <w:rPr>
          <w:rFonts w:ascii="Arial" w:hAnsi="Arial" w:cs="Arial"/>
        </w:rPr>
        <w:t>​ : Avogadro’s number (6.022 × 10²³ mol</w:t>
      </w:r>
      <w:r w:rsidRPr="009718EB">
        <w:rPr>
          <w:rFonts w:ascii="Cambria Math" w:hAnsi="Cambria Math" w:cs="Cambria Math"/>
        </w:rPr>
        <w:t>⁻</w:t>
      </w:r>
      <w:r w:rsidRPr="009718EB">
        <w:rPr>
          <w:rFonts w:ascii="Arial" w:hAnsi="Arial" w:cs="Arial"/>
        </w:rPr>
        <w:t>¹); S</w:t>
      </w:r>
      <w:r w:rsidRPr="009718EB">
        <w:rPr>
          <w:rFonts w:ascii="Arial" w:hAnsi="Arial" w:cs="Arial"/>
          <w:vertAlign w:val="subscript"/>
        </w:rPr>
        <w:t xml:space="preserve">MB </w:t>
      </w:r>
      <w:r w:rsidRPr="009718EB">
        <w:rPr>
          <w:rFonts w:ascii="Arial" w:hAnsi="Arial" w:cs="Arial"/>
        </w:rPr>
        <w:t>​: surface area occupied by a methylene blue molecule (175 × 10</w:t>
      </w:r>
      <w:r w:rsidRPr="009718EB">
        <w:rPr>
          <w:rFonts w:ascii="Cambria Math" w:hAnsi="Cambria Math" w:cs="Cambria Math"/>
        </w:rPr>
        <w:t>⁻</w:t>
      </w:r>
      <w:r w:rsidRPr="009718EB">
        <w:rPr>
          <w:rFonts w:ascii="Arial" w:hAnsi="Arial" w:cs="Arial"/>
        </w:rPr>
        <w:t>²⁰ m²)</w:t>
      </w:r>
    </w:p>
    <w:p w14:paraId="07D63065" w14:textId="07381CF8" w:rsidR="009718EB" w:rsidRDefault="009718EB" w:rsidP="009718EB">
      <w:pPr>
        <w:pStyle w:val="Body"/>
        <w:spacing w:after="0"/>
        <w:rPr>
          <w:rFonts w:ascii="Arial" w:hAnsi="Arial" w:cs="Arial"/>
        </w:rPr>
      </w:pPr>
      <w:r w:rsidRPr="009718EB">
        <w:rPr>
          <w:rFonts w:ascii="Arial" w:hAnsi="Arial" w:cs="Arial"/>
        </w:rPr>
        <w:t xml:space="preserve">This approach makes it possible to estimate the specific surface area accessible to organic molecules in aqueous solution. Although the BET (Brunauer–Emmett–Teller) method based on nitrogen adsorption is considered the reference technique, the methylene blue method provides a simple, rapid, and suitable alternative for laboratories with limited analytical resources </w:t>
      </w:r>
      <w:r w:rsidRPr="009718EB">
        <w:rPr>
          <w:rFonts w:ascii="Arial" w:hAnsi="Arial" w:cs="Arial"/>
        </w:rPr>
        <w:fldChar w:fldCharType="begin"/>
      </w:r>
      <w:r w:rsidRPr="009718EB">
        <w:rPr>
          <w:rFonts w:ascii="Arial" w:hAnsi="Arial" w:cs="Arial"/>
        </w:rPr>
        <w:instrText xml:space="preserve"> ADDIN ZOTERO_ITEM CSL_CITATION {"citationID":"pvgdh4oJ","properties":{"formattedCitation":"(Yap et al. 2025)","plainCitation":"(Yap et al. 2025)","noteIndex":0},"citationItems":[{"id":440,"uris":["http://zotero.org/users/18768689/items/5UCHYTDK"],"itemData":{"id":440,"type":"article-journal","abstract":"Abstract\n            \n              The industrial production of graphene oxide (GO) using various oxidizing precursors and processing conditions results in substantial variability in their composition of oxygen</w:instrText>
      </w:r>
      <w:r w:rsidRPr="009718EB">
        <w:rPr>
          <w:rFonts w:ascii="Cambria Math" w:hAnsi="Cambria Math" w:cs="Cambria Math"/>
        </w:rPr>
        <w:instrText>‐</w:instrText>
      </w:r>
      <w:r w:rsidRPr="009718EB">
        <w:rPr>
          <w:rFonts w:ascii="Arial" w:hAnsi="Arial" w:cs="Arial"/>
        </w:rPr>
        <w:instrText>containing groups, structures, and specific surface area (SSA), which are critical to its performance in diverse applications. Spectrophotometric methylene blue (MB) adsorption has emerged as a promising alternative to the conventional nitrogen physisorption method. However, this method still lacks a standardized and optimized protocol, limiting its reliability and consistency in SSA determination. To address this gap, this study systematically evaluates the uncertainties in the MB</w:instrText>
      </w:r>
      <w:r w:rsidRPr="009718EB">
        <w:rPr>
          <w:rFonts w:ascii="Cambria Math" w:hAnsi="Cambria Math" w:cs="Cambria Math"/>
        </w:rPr>
        <w:instrText>‐</w:instrText>
      </w:r>
      <w:r w:rsidRPr="009718EB">
        <w:rPr>
          <w:rFonts w:ascii="Arial" w:hAnsi="Arial" w:cs="Arial"/>
        </w:rPr>
        <w:instrText>based SSA characterization by revealing the influence of key experimental parameters and their optimization, including adsorption time, GO and MB concentration, MB/GO ratio, and the methods for determining maximum MB adsorption capacity on GO using both single</w:instrText>
      </w:r>
      <w:r w:rsidRPr="009718EB">
        <w:rPr>
          <w:rFonts w:ascii="Cambria Math" w:hAnsi="Cambria Math" w:cs="Cambria Math"/>
        </w:rPr>
        <w:instrText>‐</w:instrText>
      </w:r>
      <w:r w:rsidRPr="009718EB">
        <w:rPr>
          <w:rFonts w:ascii="Arial" w:hAnsi="Arial" w:cs="Arial"/>
        </w:rPr>
        <w:instrText>point and multi</w:instrText>
      </w:r>
      <w:r w:rsidRPr="009718EB">
        <w:rPr>
          <w:rFonts w:ascii="Cambria Math" w:hAnsi="Cambria Math" w:cs="Cambria Math"/>
        </w:rPr>
        <w:instrText>‐</w:instrText>
      </w:r>
      <w:r w:rsidRPr="009718EB">
        <w:rPr>
          <w:rFonts w:ascii="Arial" w:hAnsi="Arial" w:cs="Arial"/>
        </w:rPr>
        <w:instrText>point Langmuir isotherm approaches. A series of commercial and lab</w:instrText>
      </w:r>
      <w:r w:rsidRPr="009718EB">
        <w:rPr>
          <w:rFonts w:ascii="Cambria Math" w:hAnsi="Cambria Math" w:cs="Cambria Math"/>
        </w:rPr>
        <w:instrText>‐</w:instrText>
      </w:r>
      <w:r w:rsidRPr="009718EB">
        <w:rPr>
          <w:rFonts w:ascii="Arial" w:hAnsi="Arial" w:cs="Arial"/>
        </w:rPr>
        <w:instrText>prepared GOs materials in different forms (powders, aerogels, films, and dispersions) are used as model systems. The study confirms the optimized parameters, including adsorption time (24 h), concentrations of MB (0.005–0.02 mg mL\n              −1\n              ), GO (0.5–2.0 mg mL\n              −1\n              ), MB/GO weight ratio (0.4–0.44), and single</w:instrText>
      </w:r>
      <w:r w:rsidRPr="009718EB">
        <w:rPr>
          <w:rFonts w:ascii="Cambria Math" w:hAnsi="Cambria Math" w:cs="Cambria Math"/>
        </w:rPr>
        <w:instrText>‐</w:instrText>
      </w:r>
      <w:r w:rsidRPr="009718EB">
        <w:rPr>
          <w:rFonts w:ascii="Arial" w:hAnsi="Arial" w:cs="Arial"/>
        </w:rPr>
        <w:instrText>point MB adsorption. This refined protocol offers a robust, rapid, low</w:instrText>
      </w:r>
      <w:r w:rsidRPr="009718EB">
        <w:rPr>
          <w:rFonts w:ascii="Cambria Math" w:hAnsi="Cambria Math" w:cs="Cambria Math"/>
        </w:rPr>
        <w:instrText>‐</w:instrText>
      </w:r>
      <w:r w:rsidRPr="009718EB">
        <w:rPr>
          <w:rFonts w:ascii="Arial" w:hAnsi="Arial" w:cs="Arial"/>
        </w:rPr>
        <w:instrText xml:space="preserve">cost, and reliable characterization and quality control of manufactured GO materials.","container-title":"Advanced Materials Interfaces","DOI":"10.1002/admi.202500233","ISSN":"2196-7350, 2196-7350","issue":"17","journalAbbreviation":"Adv Materials Inter","language":"en","page":"e00233","source":"DOI.org (Crossref)","title":"Advancing Methylene Blue Adsorption Approach for More Precise Measurement of Specific Surface Area of Graphene Oxide","volume":"12","author":[{"family":"Yap","given":"Pei Lay"},{"family":"Wang","given":"Deyu"},{"family":"Losic","given":"Dusan"}],"issued":{"date-parts":[["2025",9]]}}}],"schema":"https://github.com/citation-style-language/schema/raw/master/csl-citation.json"} </w:instrText>
      </w:r>
      <w:r w:rsidRPr="009718EB">
        <w:rPr>
          <w:rFonts w:ascii="Arial" w:hAnsi="Arial" w:cs="Arial"/>
        </w:rPr>
        <w:fldChar w:fldCharType="separate"/>
      </w:r>
      <w:r w:rsidRPr="009718EB">
        <w:rPr>
          <w:rFonts w:ascii="Arial" w:hAnsi="Arial" w:cs="Arial"/>
        </w:rPr>
        <w:t xml:space="preserve">(Yap </w:t>
      </w:r>
      <w:r w:rsidR="003D59A8">
        <w:rPr>
          <w:rFonts w:ascii="Arial" w:hAnsi="Arial" w:cs="Arial"/>
        </w:rPr>
        <w:t>and</w:t>
      </w:r>
      <w:r w:rsidRPr="009718EB">
        <w:rPr>
          <w:rFonts w:ascii="Arial" w:hAnsi="Arial" w:cs="Arial"/>
        </w:rPr>
        <w:t xml:space="preserve"> al. 2025)</w:t>
      </w:r>
      <w:r w:rsidRPr="009718EB">
        <w:rPr>
          <w:rFonts w:ascii="Arial" w:hAnsi="Arial" w:cs="Arial"/>
        </w:rPr>
        <w:fldChar w:fldCharType="end"/>
      </w:r>
      <w:r w:rsidRPr="009718EB">
        <w:rPr>
          <w:rFonts w:ascii="Arial" w:hAnsi="Arial" w:cs="Arial"/>
        </w:rPr>
        <w:t>. It yields reliable results that correlate well with the actual adsorption capacity of activated carbon toward organic pollutants. The specific surface area determined by the methylene blue method cannot be directly compared with BET values, but only correlated to them.</w:t>
      </w:r>
    </w:p>
    <w:p w14:paraId="556EEB5A" w14:textId="77777777" w:rsidR="009718EB" w:rsidRPr="009718EB" w:rsidRDefault="009718EB" w:rsidP="009718EB">
      <w:pPr>
        <w:pStyle w:val="Body"/>
        <w:spacing w:after="0"/>
        <w:rPr>
          <w:rFonts w:ascii="Arial" w:hAnsi="Arial" w:cs="Arial"/>
        </w:rPr>
      </w:pPr>
    </w:p>
    <w:p w14:paraId="3F0B3921" w14:textId="77777777" w:rsidR="009718EB" w:rsidRDefault="009718EB" w:rsidP="009718EB">
      <w:pPr>
        <w:pStyle w:val="Body"/>
        <w:spacing w:after="0"/>
        <w:rPr>
          <w:rFonts w:ascii="Arial" w:hAnsi="Arial" w:cs="Arial"/>
          <w:b/>
          <w:bCs/>
        </w:rPr>
      </w:pPr>
      <w:r w:rsidRPr="009718EB">
        <w:rPr>
          <w:rFonts w:ascii="Arial" w:hAnsi="Arial" w:cs="Arial"/>
          <w:b/>
          <w:bCs/>
        </w:rPr>
        <w:t>2.2.7. Determination of functional groups by FTIR analysis</w:t>
      </w:r>
    </w:p>
    <w:p w14:paraId="54D340DC" w14:textId="77777777" w:rsidR="009718EB" w:rsidRPr="009718EB" w:rsidRDefault="009718EB" w:rsidP="009718EB">
      <w:pPr>
        <w:pStyle w:val="Body"/>
        <w:spacing w:after="0"/>
        <w:rPr>
          <w:rFonts w:ascii="Arial" w:hAnsi="Arial" w:cs="Arial"/>
          <w:b/>
          <w:bCs/>
        </w:rPr>
      </w:pPr>
    </w:p>
    <w:p w14:paraId="2C9B87CC" w14:textId="77777777" w:rsidR="009718EB" w:rsidRDefault="009718EB" w:rsidP="009718EB">
      <w:pPr>
        <w:pStyle w:val="Body"/>
        <w:spacing w:after="0"/>
        <w:rPr>
          <w:rFonts w:ascii="Arial" w:hAnsi="Arial" w:cs="Arial"/>
        </w:rPr>
      </w:pPr>
      <w:r w:rsidRPr="009718EB">
        <w:rPr>
          <w:rFonts w:ascii="Arial" w:hAnsi="Arial" w:cs="Arial"/>
        </w:rPr>
        <w:t>The chemical components of the activated carbons were characterized using Fourier Transform Infrared (FTIR) spectroscopy. IR spectra were recorded in the wavenumber range of 400–4000 cm</w:t>
      </w:r>
      <w:r w:rsidRPr="009718EB">
        <w:rPr>
          <w:rFonts w:ascii="Cambria Math" w:hAnsi="Cambria Math" w:cs="Cambria Math"/>
        </w:rPr>
        <w:t>⁻</w:t>
      </w:r>
      <w:r w:rsidRPr="009718EB">
        <w:rPr>
          <w:rFonts w:ascii="Arial" w:hAnsi="Arial" w:cs="Arial"/>
        </w:rPr>
        <w:t>¹, with a resolution of 4 cm</w:t>
      </w:r>
      <w:r w:rsidRPr="009718EB">
        <w:rPr>
          <w:rFonts w:ascii="Cambria Math" w:hAnsi="Cambria Math" w:cs="Cambria Math"/>
        </w:rPr>
        <w:t>⁻</w:t>
      </w:r>
      <w:r w:rsidRPr="009718EB">
        <w:rPr>
          <w:rFonts w:ascii="Arial" w:hAnsi="Arial" w:cs="Arial"/>
        </w:rPr>
        <w:t>¹, using a Shimadzu FTIR-8400S spectrometer at the University of Mons. Solid samples were prepared as pellets by mixing a small amount of each sample with an appropriate quantity of potassium bromide. The mixture was then compressed under a pressure of ten tons. The resulting pellet was subsequently analyzed using the IR spectrophotometer.</w:t>
      </w:r>
    </w:p>
    <w:p w14:paraId="2FE8986E" w14:textId="77777777" w:rsidR="009718EB" w:rsidRPr="009718EB" w:rsidRDefault="009718EB" w:rsidP="009718EB">
      <w:pPr>
        <w:pStyle w:val="Body"/>
        <w:spacing w:after="0"/>
        <w:rPr>
          <w:rFonts w:ascii="Arial" w:hAnsi="Arial" w:cs="Arial"/>
        </w:rPr>
      </w:pPr>
    </w:p>
    <w:p w14:paraId="65B56AA8" w14:textId="77777777" w:rsidR="009718EB" w:rsidRDefault="009718EB" w:rsidP="009718EB">
      <w:pPr>
        <w:pStyle w:val="Body"/>
        <w:spacing w:after="0"/>
        <w:rPr>
          <w:rFonts w:ascii="Arial" w:hAnsi="Arial" w:cs="Arial"/>
          <w:b/>
          <w:bCs/>
        </w:rPr>
      </w:pPr>
      <w:r w:rsidRPr="009718EB">
        <w:rPr>
          <w:rFonts w:ascii="Arial" w:hAnsi="Arial" w:cs="Arial"/>
          <w:b/>
          <w:bCs/>
        </w:rPr>
        <w:t>2.2.8. Scanning Electron Microscopy (SEM–EDS) analysis</w:t>
      </w:r>
    </w:p>
    <w:p w14:paraId="1B7547B8" w14:textId="77777777" w:rsidR="009718EB" w:rsidRPr="009718EB" w:rsidRDefault="009718EB" w:rsidP="009718EB">
      <w:pPr>
        <w:pStyle w:val="Body"/>
        <w:spacing w:after="0"/>
        <w:rPr>
          <w:rFonts w:ascii="Arial" w:hAnsi="Arial" w:cs="Arial"/>
          <w:b/>
          <w:bCs/>
        </w:rPr>
      </w:pPr>
    </w:p>
    <w:p w14:paraId="7BC9AF28" w14:textId="77777777" w:rsidR="009718EB" w:rsidRDefault="009718EB" w:rsidP="009718EB">
      <w:pPr>
        <w:pStyle w:val="Body"/>
        <w:spacing w:after="0"/>
        <w:rPr>
          <w:rFonts w:ascii="Arial" w:hAnsi="Arial" w:cs="Arial"/>
        </w:rPr>
      </w:pPr>
      <w:r w:rsidRPr="009718EB">
        <w:rPr>
          <w:rFonts w:ascii="Arial" w:hAnsi="Arial" w:cs="Arial"/>
        </w:rPr>
        <w:t>Scanning Electron Microscopy (SEM) coupled with Energy Dispersive X-ray Spectroscopy (EDS) was used to examine the morphology and perform elemental mapping of the different samples. Analyses were carried out using a HITACHI SU8020 electron microscope available at the Materia Nova research center (University of Mons). Prior to observation, the samples were coated with a conductive carbon layer and mounted on specific sample holders, then directly inserted into the analysis chamber for secondary electron imaging (5 kV; 10 μA).</w:t>
      </w:r>
    </w:p>
    <w:p w14:paraId="04357192" w14:textId="77777777" w:rsidR="009718EB" w:rsidRPr="009718EB" w:rsidRDefault="009718EB" w:rsidP="009718EB">
      <w:pPr>
        <w:pStyle w:val="Body"/>
        <w:spacing w:after="0"/>
        <w:rPr>
          <w:rFonts w:ascii="Arial" w:hAnsi="Arial" w:cs="Arial"/>
        </w:rPr>
      </w:pPr>
    </w:p>
    <w:p w14:paraId="0351829A" w14:textId="77777777" w:rsidR="009718EB" w:rsidRPr="009718EB" w:rsidRDefault="009718EB" w:rsidP="009718EB">
      <w:pPr>
        <w:pStyle w:val="Body"/>
        <w:spacing w:after="0"/>
        <w:rPr>
          <w:rFonts w:ascii="Arial" w:hAnsi="Arial" w:cs="Arial"/>
          <w:b/>
          <w:bCs/>
          <w:sz w:val="22"/>
          <w:szCs w:val="22"/>
        </w:rPr>
      </w:pPr>
      <w:r w:rsidRPr="009718EB">
        <w:rPr>
          <w:rFonts w:ascii="Arial" w:hAnsi="Arial" w:cs="Arial"/>
          <w:b/>
          <w:bCs/>
          <w:sz w:val="22"/>
          <w:szCs w:val="22"/>
        </w:rPr>
        <w:t>2.3. Determination of the adsorption capacity of the activated carbons</w:t>
      </w:r>
    </w:p>
    <w:p w14:paraId="3AA0B696" w14:textId="77777777" w:rsidR="009718EB" w:rsidRPr="009718EB" w:rsidRDefault="009718EB" w:rsidP="009718EB">
      <w:pPr>
        <w:pStyle w:val="Body"/>
        <w:spacing w:after="0"/>
        <w:rPr>
          <w:rFonts w:ascii="Arial" w:hAnsi="Arial" w:cs="Arial"/>
          <w:b/>
          <w:bCs/>
        </w:rPr>
      </w:pPr>
    </w:p>
    <w:p w14:paraId="690C052A" w14:textId="77777777" w:rsidR="009718EB" w:rsidRPr="009718EB" w:rsidRDefault="009718EB" w:rsidP="009718EB">
      <w:pPr>
        <w:pStyle w:val="Body"/>
        <w:spacing w:after="0"/>
        <w:rPr>
          <w:rFonts w:ascii="Arial" w:hAnsi="Arial" w:cs="Arial"/>
        </w:rPr>
      </w:pPr>
      <w:r w:rsidRPr="009718EB">
        <w:rPr>
          <w:rFonts w:ascii="Arial" w:hAnsi="Arial" w:cs="Arial"/>
        </w:rPr>
        <w:t>The quality of an activated carbon is assessed by its adsorption capacity toward pollutants, a key parameter in water treatment. For this purpose, the adsorption capacity of the activated carbons was determined using methylene blue (MB). In Erlenmeyer flasks, 80 mL of methylene blue solution prepared at different initial concentrations was brought into contact with 0.05 g of activated carbon. The mixtures were placed on a magnetic stirrer and maintained at a constant stirring speed of 350 rpm for 110 minutes to promote optimal mass transfer and ensure the attainment of adsorption equilibrium. In total, seven (07) solutions with initial concentrations ranging from 73.86 mg.L</w:t>
      </w:r>
      <w:r w:rsidRPr="009718EB">
        <w:rPr>
          <w:rFonts w:ascii="Cambria Math" w:hAnsi="Cambria Math" w:cs="Cambria Math"/>
        </w:rPr>
        <w:t>⁻</w:t>
      </w:r>
      <w:r w:rsidRPr="009718EB">
        <w:rPr>
          <w:rFonts w:ascii="Arial" w:hAnsi="Arial" w:cs="Arial"/>
        </w:rPr>
        <w:t>¹ to 6 mg.L</w:t>
      </w:r>
      <w:r w:rsidRPr="009718EB">
        <w:rPr>
          <w:rFonts w:ascii="Cambria Math" w:hAnsi="Cambria Math" w:cs="Cambria Math"/>
        </w:rPr>
        <w:t>⁻</w:t>
      </w:r>
      <w:r w:rsidRPr="009718EB">
        <w:rPr>
          <w:rFonts w:ascii="Arial" w:hAnsi="Arial" w:cs="Arial"/>
        </w:rPr>
        <w:t>¹ were used for each activated carbon sample (RMA-2M-400, RMA-2M-500, RMA-2M-600).</w:t>
      </w:r>
    </w:p>
    <w:p w14:paraId="0D2F1772" w14:textId="77777777" w:rsidR="009718EB" w:rsidRDefault="009718EB" w:rsidP="009718EB">
      <w:pPr>
        <w:pStyle w:val="Body"/>
        <w:spacing w:after="0"/>
        <w:rPr>
          <w:rFonts w:ascii="Arial" w:hAnsi="Arial" w:cs="Arial"/>
        </w:rPr>
      </w:pPr>
      <w:r w:rsidRPr="009718EB">
        <w:rPr>
          <w:rFonts w:ascii="Arial" w:hAnsi="Arial" w:cs="Arial"/>
        </w:rPr>
        <w:t xml:space="preserve">After agitation, the residual methylene blue concentrations were determined by UV–Visible spectrophotometry at a wavelength of λ = 660 nm, previously identified as the maximum absorption wavelength of the dye. The equilibrium data obtained were used to model the adsorption process using the Langmuir and Freundlich isotherms. These two models allow </w:t>
      </w:r>
      <w:r w:rsidRPr="009718EB">
        <w:rPr>
          <w:rFonts w:ascii="Arial" w:hAnsi="Arial" w:cs="Arial"/>
        </w:rPr>
        <w:lastRenderedPageBreak/>
        <w:t>estimation of the maximum adsorption capacity of the activated carbons examined as well as the nature of methylene blue adsorption on the prepared materials.</w:t>
      </w:r>
    </w:p>
    <w:p w14:paraId="4F54530A" w14:textId="77777777" w:rsidR="009718EB" w:rsidRPr="009718EB" w:rsidRDefault="009718EB" w:rsidP="009718EB">
      <w:pPr>
        <w:pStyle w:val="Body"/>
        <w:spacing w:after="0"/>
        <w:rPr>
          <w:rFonts w:ascii="Arial" w:hAnsi="Arial" w:cs="Arial"/>
        </w:rPr>
      </w:pPr>
    </w:p>
    <w:p w14:paraId="62A32C34" w14:textId="77777777" w:rsidR="009718EB" w:rsidRPr="009718EB" w:rsidRDefault="009718EB" w:rsidP="009718EB">
      <w:pPr>
        <w:pStyle w:val="Body"/>
        <w:spacing w:after="0"/>
        <w:rPr>
          <w:rFonts w:ascii="Arial" w:hAnsi="Arial" w:cs="Arial"/>
          <w:b/>
          <w:bCs/>
          <w:sz w:val="22"/>
          <w:szCs w:val="22"/>
        </w:rPr>
      </w:pPr>
      <w:r w:rsidRPr="009718EB">
        <w:rPr>
          <w:rFonts w:ascii="Arial" w:hAnsi="Arial" w:cs="Arial"/>
          <w:b/>
          <w:bCs/>
          <w:sz w:val="22"/>
          <w:szCs w:val="22"/>
        </w:rPr>
        <w:t>2.4. Determination of thermodynamic parameters</w:t>
      </w:r>
    </w:p>
    <w:p w14:paraId="558339AD" w14:textId="77777777" w:rsidR="009718EB" w:rsidRPr="009718EB" w:rsidRDefault="009718EB" w:rsidP="009718EB">
      <w:pPr>
        <w:pStyle w:val="Body"/>
        <w:spacing w:after="0"/>
        <w:rPr>
          <w:rFonts w:ascii="Arial" w:hAnsi="Arial" w:cs="Arial"/>
          <w:b/>
          <w:bCs/>
        </w:rPr>
      </w:pPr>
    </w:p>
    <w:p w14:paraId="28E3C526" w14:textId="77777777" w:rsidR="009718EB" w:rsidRDefault="009718EB" w:rsidP="009718EB">
      <w:pPr>
        <w:pStyle w:val="Body"/>
        <w:spacing w:after="0"/>
        <w:rPr>
          <w:rFonts w:ascii="Arial" w:hAnsi="Arial" w:cs="Arial"/>
        </w:rPr>
      </w:pPr>
      <w:r w:rsidRPr="009718EB">
        <w:rPr>
          <w:rFonts w:ascii="Arial" w:hAnsi="Arial" w:cs="Arial"/>
        </w:rPr>
        <w:t>The thermodynamic parameters ΔH° (enthalpy change), ΔS° (entropy change), and ΔG° (Gibbs free energy change) were determined from adsorption experiments conducted at 305.15 K, 320.15 K, and 334.15 K. These parameters help identify the spontaneity of the adsorption process (ΔG° &lt; 0), determine its thermal nature (ΔH° &lt; 0: exothermic; ΔH° &gt; 0: endothermic), and evaluate the degree of order/disorder at the AC/MB interface via ΔS° (positive value: increase in disorder; negative value: decrease in disorder).</w:t>
      </w:r>
    </w:p>
    <w:p w14:paraId="640728C9" w14:textId="77777777" w:rsidR="009718EB" w:rsidRPr="009718EB" w:rsidRDefault="009718EB" w:rsidP="009718EB">
      <w:pPr>
        <w:pStyle w:val="Body"/>
        <w:spacing w:after="0"/>
        <w:rPr>
          <w:rFonts w:ascii="Arial" w:hAnsi="Arial" w:cs="Arial"/>
        </w:rPr>
      </w:pPr>
    </w:p>
    <w:p w14:paraId="450EF8C1" w14:textId="77777777" w:rsidR="009718EB" w:rsidRPr="009718EB" w:rsidRDefault="009718EB" w:rsidP="009718EB">
      <w:pPr>
        <w:pStyle w:val="Body"/>
        <w:spacing w:after="0"/>
        <w:rPr>
          <w:rFonts w:ascii="Arial" w:hAnsi="Arial" w:cs="Arial"/>
          <w:b/>
          <w:bCs/>
          <w:sz w:val="22"/>
          <w:szCs w:val="22"/>
        </w:rPr>
      </w:pPr>
      <w:r w:rsidRPr="009718EB">
        <w:rPr>
          <w:rFonts w:ascii="Arial" w:hAnsi="Arial" w:cs="Arial"/>
          <w:b/>
          <w:bCs/>
          <w:sz w:val="22"/>
          <w:szCs w:val="22"/>
        </w:rPr>
        <w:t>2.5. Langmuir model</w:t>
      </w:r>
    </w:p>
    <w:p w14:paraId="6F013456" w14:textId="77777777" w:rsidR="009718EB" w:rsidRPr="009718EB" w:rsidRDefault="009718EB" w:rsidP="009718EB">
      <w:pPr>
        <w:pStyle w:val="Body"/>
        <w:spacing w:after="0"/>
        <w:rPr>
          <w:rFonts w:ascii="Arial" w:hAnsi="Arial" w:cs="Arial"/>
          <w:b/>
          <w:bCs/>
        </w:rPr>
      </w:pPr>
    </w:p>
    <w:p w14:paraId="6A69D58F" w14:textId="77777777" w:rsidR="009718EB" w:rsidRPr="009718EB" w:rsidRDefault="009718EB" w:rsidP="009718EB">
      <w:pPr>
        <w:pStyle w:val="Body"/>
        <w:spacing w:after="0"/>
        <w:rPr>
          <w:rFonts w:ascii="Arial" w:hAnsi="Arial" w:cs="Arial"/>
        </w:rPr>
      </w:pPr>
      <w:r w:rsidRPr="009718EB">
        <w:rPr>
          <w:rFonts w:ascii="Arial" w:hAnsi="Arial" w:cs="Arial"/>
        </w:rPr>
        <w:t xml:space="preserve">The Langmuir model assumes a homogeneous surface containing a finite number of equivalent sites, each capable of adsorbing only one molecule, with no lateral interactions between adsorbed molecules; adsorption is therefore limited to a monolayer </w:t>
      </w:r>
      <w:r w:rsidRPr="009718EB">
        <w:rPr>
          <w:rFonts w:ascii="Arial" w:hAnsi="Arial" w:cs="Arial"/>
        </w:rPr>
        <w:fldChar w:fldCharType="begin"/>
      </w:r>
      <w:r w:rsidRPr="009718EB">
        <w:rPr>
          <w:rFonts w:ascii="Arial" w:hAnsi="Arial" w:cs="Arial"/>
        </w:rPr>
        <w:instrText xml:space="preserve"> ADDIN ZOTERO_ITEM CSL_CITATION {"citationID":"RU64yiL3","properties":{"formattedCitation":"(Langmuir 1918)","plainCitation":"(Langmuir 1918)","noteIndex":0},"citationItems":[{"id":445,"uris":["http://zotero.org/users/18768689/items/HLG4Z8TQ"],"itemData":{"id":445,"type":"article-journal","container-title":"Journal of the American Chemical Society","DOI":"10.1021/ja02242a004","ISSN":"0002-7863, 1520-5126","issue":"9","journalAbbreviation":"J. Am. Chem. Soc.","language":"en","page":"1361-1403","source":"DOI.org (Crossref)","title":"THE ADSORPTION OF GASES ON PLANE SURFACES OF GLASS, MICA AND PLATINUM.","volume":"40","author":[{"family":"Langmuir","given":"Irving"}],"issued":{"date-parts":[["1918",9]]}}}],"schema":"https://github.com/citation-style-language/schema/raw/master/csl-citation.json"} </w:instrText>
      </w:r>
      <w:r w:rsidRPr="009718EB">
        <w:rPr>
          <w:rFonts w:ascii="Arial" w:hAnsi="Arial" w:cs="Arial"/>
        </w:rPr>
        <w:fldChar w:fldCharType="separate"/>
      </w:r>
      <w:r w:rsidRPr="009718EB">
        <w:rPr>
          <w:rFonts w:ascii="Arial" w:hAnsi="Arial" w:cs="Arial"/>
        </w:rPr>
        <w:t>(Langmuir 1918)</w:t>
      </w:r>
      <w:r w:rsidRPr="009718EB">
        <w:rPr>
          <w:rFonts w:ascii="Arial" w:hAnsi="Arial" w:cs="Arial"/>
        </w:rPr>
        <w:fldChar w:fldCharType="end"/>
      </w:r>
      <w:r w:rsidRPr="009718EB">
        <w:rPr>
          <w:rFonts w:ascii="Arial" w:hAnsi="Arial" w:cs="Arial"/>
        </w:rPr>
        <w:t>. The adsorption equilibrium is expressed by the Langmuir equation (6) below:</w:t>
      </w:r>
    </w:p>
    <w:p w14:paraId="7932B9CB" w14:textId="08FAE14B" w:rsidR="009718EB" w:rsidRPr="009718EB" w:rsidRDefault="00BE62BF" w:rsidP="009718EB">
      <w:pPr>
        <w:pStyle w:val="Body"/>
        <w:spacing w:after="0"/>
        <w:rPr>
          <w:rFonts w:ascii="Arial" w:hAnsi="Arial" w:cs="Arial"/>
          <w:bCs/>
          <w:iCs/>
          <w:lang w:val="fr-FR"/>
        </w:rPr>
      </w:pPr>
      <m:oMathPara>
        <m:oMath>
          <m:sSub>
            <m:sSubPr>
              <m:ctrlPr>
                <w:rPr>
                  <w:rFonts w:ascii="Cambria Math" w:hAnsi="Cambria Math" w:cs="Arial"/>
                  <w:bCs/>
                  <w:iCs/>
                  <w:lang w:val="fr-FR"/>
                </w:rPr>
              </m:ctrlPr>
            </m:sSubPr>
            <m:e>
              <m:r>
                <m:rPr>
                  <m:sty m:val="p"/>
                </m:rPr>
                <w:rPr>
                  <w:rFonts w:ascii="Cambria Math" w:hAnsi="Cambria Math" w:cs="Arial"/>
                  <w:lang w:val="fr-FR"/>
                </w:rPr>
                <m:t>Q</m:t>
              </m:r>
            </m:e>
            <m:sub>
              <m:r>
                <m:rPr>
                  <m:sty m:val="p"/>
                </m:rPr>
                <w:rPr>
                  <w:rFonts w:ascii="Cambria Math" w:hAnsi="Cambria Math" w:cs="Arial"/>
                  <w:lang w:val="fr-FR"/>
                </w:rPr>
                <m:t>e</m:t>
              </m:r>
            </m:sub>
          </m:sSub>
          <m:r>
            <m:rPr>
              <m:sty m:val="p"/>
            </m:rPr>
            <w:rPr>
              <w:rFonts w:ascii="Cambria Math" w:hAnsi="Cambria Math" w:cs="Arial"/>
              <w:lang w:val="fr-FR"/>
            </w:rPr>
            <m:t>=</m:t>
          </m:r>
          <m:sSub>
            <m:sSubPr>
              <m:ctrlPr>
                <w:rPr>
                  <w:rFonts w:ascii="Cambria Math" w:hAnsi="Cambria Math" w:cs="Arial"/>
                  <w:bCs/>
                  <w:iCs/>
                  <w:lang w:val="fr-FR"/>
                </w:rPr>
              </m:ctrlPr>
            </m:sSubPr>
            <m:e>
              <m:r>
                <m:rPr>
                  <m:sty m:val="p"/>
                </m:rPr>
                <w:rPr>
                  <w:rFonts w:ascii="Cambria Math" w:hAnsi="Cambria Math" w:cs="Arial"/>
                  <w:lang w:val="fr-FR"/>
                </w:rPr>
                <m:t>Q</m:t>
              </m:r>
            </m:e>
            <m:sub>
              <m:r>
                <m:rPr>
                  <m:sty m:val="p"/>
                </m:rPr>
                <w:rPr>
                  <w:rFonts w:ascii="Cambria Math" w:hAnsi="Cambria Math" w:cs="Arial"/>
                  <w:lang w:val="fr-FR"/>
                </w:rPr>
                <m:t>max</m:t>
              </m:r>
            </m:sub>
          </m:sSub>
          <m:d>
            <m:dPr>
              <m:begChr m:val="["/>
              <m:endChr m:val="]"/>
              <m:ctrlPr>
                <w:rPr>
                  <w:rFonts w:ascii="Cambria Math" w:hAnsi="Cambria Math" w:cs="Arial"/>
                  <w:bCs/>
                  <w:iCs/>
                  <w:lang w:val="fr-FR"/>
                </w:rPr>
              </m:ctrlPr>
            </m:dPr>
            <m:e>
              <m:f>
                <m:fPr>
                  <m:ctrlPr>
                    <w:rPr>
                      <w:rFonts w:ascii="Cambria Math" w:hAnsi="Cambria Math" w:cs="Arial"/>
                      <w:bCs/>
                      <w:iCs/>
                      <w:lang w:val="fr-FR"/>
                    </w:rPr>
                  </m:ctrlPr>
                </m:fPr>
                <m:num>
                  <m:sSub>
                    <m:sSubPr>
                      <m:ctrlPr>
                        <w:rPr>
                          <w:rFonts w:ascii="Cambria Math" w:hAnsi="Cambria Math" w:cs="Arial"/>
                          <w:bCs/>
                          <w:iCs/>
                          <w:lang w:val="fr-FR"/>
                        </w:rPr>
                      </m:ctrlPr>
                    </m:sSubPr>
                    <m:e>
                      <m:r>
                        <m:rPr>
                          <m:sty m:val="p"/>
                        </m:rPr>
                        <w:rPr>
                          <w:rFonts w:ascii="Cambria Math" w:hAnsi="Cambria Math" w:cs="Arial"/>
                          <w:lang w:val="fr-FR"/>
                        </w:rPr>
                        <m:t>K</m:t>
                      </m:r>
                    </m:e>
                    <m:sub>
                      <m:r>
                        <m:rPr>
                          <m:sty m:val="p"/>
                        </m:rPr>
                        <w:rPr>
                          <w:rFonts w:ascii="Cambria Math" w:hAnsi="Cambria Math" w:cs="Arial"/>
                          <w:lang w:val="fr-FR"/>
                        </w:rPr>
                        <m:t>L</m:t>
                      </m:r>
                    </m:sub>
                  </m:sSub>
                  <m:r>
                    <m:rPr>
                      <m:sty m:val="p"/>
                    </m:rPr>
                    <w:rPr>
                      <w:rFonts w:ascii="Cambria Math" w:hAnsi="Cambria Math" w:cs="Arial"/>
                      <w:lang w:val="fr-FR"/>
                    </w:rPr>
                    <m:t>.</m:t>
                  </m:r>
                  <m:sSub>
                    <m:sSubPr>
                      <m:ctrlPr>
                        <w:rPr>
                          <w:rFonts w:ascii="Cambria Math" w:hAnsi="Cambria Math" w:cs="Arial"/>
                          <w:bCs/>
                          <w:iCs/>
                          <w:lang w:val="fr-FR"/>
                        </w:rPr>
                      </m:ctrlPr>
                    </m:sSubPr>
                    <m:e>
                      <m:r>
                        <m:rPr>
                          <m:sty m:val="p"/>
                        </m:rPr>
                        <w:rPr>
                          <w:rFonts w:ascii="Cambria Math" w:hAnsi="Cambria Math" w:cs="Arial"/>
                          <w:lang w:val="fr-FR"/>
                        </w:rPr>
                        <m:t>C</m:t>
                      </m:r>
                    </m:e>
                    <m:sub>
                      <m:r>
                        <m:rPr>
                          <m:sty m:val="p"/>
                        </m:rPr>
                        <w:rPr>
                          <w:rFonts w:ascii="Cambria Math" w:hAnsi="Cambria Math" w:cs="Arial"/>
                          <w:lang w:val="fr-FR"/>
                        </w:rPr>
                        <m:t>e</m:t>
                      </m:r>
                    </m:sub>
                  </m:sSub>
                </m:num>
                <m:den>
                  <m:d>
                    <m:dPr>
                      <m:ctrlPr>
                        <w:rPr>
                          <w:rFonts w:ascii="Cambria Math" w:hAnsi="Cambria Math" w:cs="Arial"/>
                          <w:bCs/>
                          <w:iCs/>
                          <w:lang w:val="fr-FR"/>
                        </w:rPr>
                      </m:ctrlPr>
                    </m:dPr>
                    <m:e>
                      <m:r>
                        <m:rPr>
                          <m:sty m:val="p"/>
                        </m:rPr>
                        <w:rPr>
                          <w:rFonts w:ascii="Cambria Math" w:hAnsi="Cambria Math" w:cs="Arial"/>
                          <w:lang w:val="fr-FR"/>
                        </w:rPr>
                        <m:t>1+</m:t>
                      </m:r>
                      <m:sSub>
                        <m:sSubPr>
                          <m:ctrlPr>
                            <w:rPr>
                              <w:rFonts w:ascii="Cambria Math" w:hAnsi="Cambria Math" w:cs="Arial"/>
                              <w:bCs/>
                              <w:iCs/>
                              <w:lang w:val="fr-FR"/>
                            </w:rPr>
                          </m:ctrlPr>
                        </m:sSubPr>
                        <m:e>
                          <m:r>
                            <m:rPr>
                              <m:sty m:val="p"/>
                            </m:rPr>
                            <w:rPr>
                              <w:rFonts w:ascii="Cambria Math" w:hAnsi="Cambria Math" w:cs="Arial"/>
                              <w:lang w:val="fr-FR"/>
                            </w:rPr>
                            <m:t>K</m:t>
                          </m:r>
                        </m:e>
                        <m:sub>
                          <m:r>
                            <m:rPr>
                              <m:sty m:val="p"/>
                            </m:rPr>
                            <w:rPr>
                              <w:rFonts w:ascii="Cambria Math" w:hAnsi="Cambria Math" w:cs="Arial"/>
                              <w:lang w:val="fr-FR"/>
                            </w:rPr>
                            <m:t>L</m:t>
                          </m:r>
                        </m:sub>
                      </m:sSub>
                      <m:r>
                        <m:rPr>
                          <m:sty m:val="p"/>
                        </m:rPr>
                        <w:rPr>
                          <w:rFonts w:ascii="Cambria Math" w:hAnsi="Cambria Math" w:cs="Arial"/>
                          <w:lang w:val="fr-FR"/>
                        </w:rPr>
                        <m:t>.</m:t>
                      </m:r>
                      <m:sSub>
                        <m:sSubPr>
                          <m:ctrlPr>
                            <w:rPr>
                              <w:rFonts w:ascii="Cambria Math" w:hAnsi="Cambria Math" w:cs="Arial"/>
                              <w:bCs/>
                              <w:iCs/>
                              <w:lang w:val="fr-FR"/>
                            </w:rPr>
                          </m:ctrlPr>
                        </m:sSubPr>
                        <m:e>
                          <m:r>
                            <m:rPr>
                              <m:sty m:val="p"/>
                            </m:rPr>
                            <w:rPr>
                              <w:rFonts w:ascii="Cambria Math" w:hAnsi="Cambria Math" w:cs="Arial"/>
                              <w:lang w:val="fr-FR"/>
                            </w:rPr>
                            <m:t>C</m:t>
                          </m:r>
                        </m:e>
                        <m:sub>
                          <m:r>
                            <m:rPr>
                              <m:sty m:val="p"/>
                            </m:rPr>
                            <w:rPr>
                              <w:rFonts w:ascii="Cambria Math" w:hAnsi="Cambria Math" w:cs="Arial"/>
                              <w:lang w:val="fr-FR"/>
                            </w:rPr>
                            <m:t>e</m:t>
                          </m:r>
                        </m:sub>
                      </m:sSub>
                    </m:e>
                  </m:d>
                </m:den>
              </m:f>
            </m:e>
          </m:d>
          <m:r>
            <w:rPr>
              <w:rFonts w:ascii="Cambria Math" w:hAnsi="Cambria Math" w:cs="Arial"/>
              <w:lang w:val="fr-FR"/>
            </w:rPr>
            <m:t xml:space="preserve">        (6)</m:t>
          </m:r>
        </m:oMath>
      </m:oMathPara>
    </w:p>
    <w:p w14:paraId="2A0EA1B3" w14:textId="77777777" w:rsidR="009718EB" w:rsidRPr="009718EB" w:rsidRDefault="009718EB" w:rsidP="009718EB">
      <w:pPr>
        <w:pStyle w:val="Body"/>
        <w:spacing w:after="0"/>
        <w:rPr>
          <w:rFonts w:ascii="Arial" w:hAnsi="Arial" w:cs="Arial"/>
        </w:rPr>
      </w:pPr>
      <w:r w:rsidRPr="009718EB">
        <w:rPr>
          <w:rFonts w:ascii="Arial" w:hAnsi="Arial" w:cs="Arial"/>
        </w:rPr>
        <w:t>where</w:t>
      </w:r>
      <w:r w:rsidRPr="009718EB">
        <w:rPr>
          <w:rFonts w:ascii="Arial" w:hAnsi="Arial" w:cs="Arial"/>
        </w:rPr>
        <w:br/>
        <w:t>Q</w:t>
      </w:r>
      <w:r w:rsidRPr="009718EB">
        <w:rPr>
          <w:rFonts w:ascii="Arial" w:hAnsi="Arial" w:cs="Arial"/>
          <w:vertAlign w:val="subscript"/>
        </w:rPr>
        <w:t>e</w:t>
      </w:r>
      <w:r w:rsidRPr="009718EB">
        <w:rPr>
          <w:rFonts w:ascii="Arial" w:hAnsi="Arial" w:cs="Arial"/>
        </w:rPr>
        <w:t xml:space="preserve"> (mg.g</w:t>
      </w:r>
      <w:r w:rsidRPr="009718EB">
        <w:rPr>
          <w:rFonts w:ascii="Cambria Math" w:hAnsi="Cambria Math" w:cs="Cambria Math"/>
        </w:rPr>
        <w:t>⁻</w:t>
      </w:r>
      <w:r w:rsidRPr="009718EB">
        <w:rPr>
          <w:rFonts w:ascii="Arial" w:hAnsi="Arial" w:cs="Arial"/>
        </w:rPr>
        <w:t>¹) is the amount of solute adsorbed at equilibrium; C</w:t>
      </w:r>
      <w:r w:rsidRPr="009718EB">
        <w:rPr>
          <w:rFonts w:ascii="Arial" w:hAnsi="Arial" w:cs="Arial"/>
          <w:vertAlign w:val="subscript"/>
        </w:rPr>
        <w:t>e</w:t>
      </w:r>
      <w:r w:rsidRPr="009718EB">
        <w:rPr>
          <w:rFonts w:ascii="Arial" w:hAnsi="Arial" w:cs="Arial"/>
        </w:rPr>
        <w:t xml:space="preserve"> (mg.L</w:t>
      </w:r>
      <w:r w:rsidRPr="009718EB">
        <w:rPr>
          <w:rFonts w:ascii="Cambria Math" w:hAnsi="Cambria Math" w:cs="Cambria Math"/>
        </w:rPr>
        <w:t>⁻</w:t>
      </w:r>
      <w:r w:rsidRPr="009718EB">
        <w:rPr>
          <w:rFonts w:ascii="Arial" w:hAnsi="Arial" w:cs="Arial"/>
        </w:rPr>
        <w:t>¹) is the solute concentration in solution at equilibrium; Q</w:t>
      </w:r>
      <w:r w:rsidRPr="009718EB">
        <w:rPr>
          <w:rFonts w:ascii="Arial" w:hAnsi="Arial" w:cs="Arial"/>
          <w:vertAlign w:val="subscript"/>
        </w:rPr>
        <w:t>max</w:t>
      </w:r>
      <w:r w:rsidRPr="009718EB">
        <w:rPr>
          <w:rFonts w:ascii="Arial" w:hAnsi="Arial" w:cs="Arial"/>
        </w:rPr>
        <w:t xml:space="preserve"> (mg.g</w:t>
      </w:r>
      <w:r w:rsidRPr="009718EB">
        <w:rPr>
          <w:rFonts w:ascii="Cambria Math" w:hAnsi="Cambria Math" w:cs="Cambria Math"/>
        </w:rPr>
        <w:t>⁻</w:t>
      </w:r>
      <w:r w:rsidRPr="009718EB">
        <w:rPr>
          <w:rFonts w:ascii="Arial" w:hAnsi="Arial" w:cs="Arial"/>
        </w:rPr>
        <w:t>¹) is the maximum adsorption capacity; K</w:t>
      </w:r>
      <w:r w:rsidRPr="009718EB">
        <w:rPr>
          <w:rFonts w:ascii="Arial" w:hAnsi="Arial" w:cs="Arial"/>
          <w:vertAlign w:val="subscript"/>
        </w:rPr>
        <w:t>L</w:t>
      </w:r>
      <w:r w:rsidRPr="009718EB">
        <w:rPr>
          <w:rFonts w:ascii="Arial" w:hAnsi="Arial" w:cs="Arial"/>
        </w:rPr>
        <w:t xml:space="preserve"> ​ (L.g</w:t>
      </w:r>
      <w:r w:rsidRPr="009718EB">
        <w:rPr>
          <w:rFonts w:ascii="Cambria Math" w:hAnsi="Cambria Math" w:cs="Cambria Math"/>
        </w:rPr>
        <w:t>⁻</w:t>
      </w:r>
      <w:r w:rsidRPr="009718EB">
        <w:rPr>
          <w:rFonts w:ascii="Arial" w:hAnsi="Arial" w:cs="Arial"/>
        </w:rPr>
        <w:t xml:space="preserve">¹) is the Langmuir constant related to the affinity of the adsorbent for the adsorbate. </w:t>
      </w:r>
    </w:p>
    <w:p w14:paraId="0E5E1ABC" w14:textId="77777777" w:rsidR="009718EB" w:rsidRPr="009718EB" w:rsidRDefault="009718EB" w:rsidP="009718EB">
      <w:pPr>
        <w:pStyle w:val="Body"/>
        <w:spacing w:after="0"/>
        <w:rPr>
          <w:rFonts w:ascii="Arial" w:hAnsi="Arial" w:cs="Arial"/>
        </w:rPr>
      </w:pPr>
      <w:r w:rsidRPr="009718EB">
        <w:rPr>
          <w:rFonts w:ascii="Arial" w:hAnsi="Arial" w:cs="Arial"/>
        </w:rPr>
        <w:t>The Langmuir constants K</w:t>
      </w:r>
      <w:r w:rsidRPr="009718EB">
        <w:rPr>
          <w:rFonts w:ascii="Arial" w:hAnsi="Arial" w:cs="Arial"/>
          <w:vertAlign w:val="subscript"/>
        </w:rPr>
        <w:t>L</w:t>
      </w:r>
      <w:r w:rsidRPr="009718EB">
        <w:rPr>
          <w:rFonts w:ascii="Arial" w:hAnsi="Arial" w:cs="Arial"/>
        </w:rPr>
        <w:t>​ and Q</w:t>
      </w:r>
      <w:r w:rsidRPr="009718EB">
        <w:rPr>
          <w:rFonts w:ascii="Arial" w:hAnsi="Arial" w:cs="Arial"/>
          <w:vertAlign w:val="subscript"/>
        </w:rPr>
        <w:t>max</w:t>
      </w:r>
      <w:r w:rsidRPr="009718EB">
        <w:rPr>
          <w:rFonts w:ascii="Arial" w:hAnsi="Arial" w:cs="Arial"/>
        </w:rPr>
        <w:t xml:space="preserve"> are determined using the linear form of the Langmuir isotherm (equation 7) based on the fitting of the experimental data:</w:t>
      </w:r>
    </w:p>
    <w:p w14:paraId="4B345572" w14:textId="19226549" w:rsidR="009718EB" w:rsidRPr="009718EB" w:rsidRDefault="00BE62BF" w:rsidP="009718EB">
      <w:pPr>
        <w:pStyle w:val="Body"/>
        <w:spacing w:after="0"/>
        <w:rPr>
          <w:rFonts w:ascii="Arial" w:hAnsi="Arial" w:cs="Arial"/>
          <w:bCs/>
          <w:iCs/>
          <w:lang w:val="fr-FR"/>
        </w:rPr>
      </w:pPr>
      <m:oMathPara>
        <m:oMath>
          <m:f>
            <m:fPr>
              <m:ctrlPr>
                <w:rPr>
                  <w:rFonts w:ascii="Cambria Math" w:hAnsi="Cambria Math" w:cs="Arial"/>
                  <w:bCs/>
                  <w:iCs/>
                  <w:lang w:val="fr-FR"/>
                </w:rPr>
              </m:ctrlPr>
            </m:fPr>
            <m:num>
              <m:r>
                <m:rPr>
                  <m:sty m:val="p"/>
                </m:rPr>
                <w:rPr>
                  <w:rFonts w:ascii="Cambria Math" w:hAnsi="Cambria Math" w:cs="Arial"/>
                  <w:lang w:val="fr-FR"/>
                </w:rPr>
                <m:t>1</m:t>
              </m:r>
            </m:num>
            <m:den>
              <m:sSub>
                <m:sSubPr>
                  <m:ctrlPr>
                    <w:rPr>
                      <w:rFonts w:ascii="Cambria Math" w:hAnsi="Cambria Math" w:cs="Arial"/>
                      <w:bCs/>
                      <w:iCs/>
                      <w:lang w:val="fr-FR"/>
                    </w:rPr>
                  </m:ctrlPr>
                </m:sSubPr>
                <m:e>
                  <m:r>
                    <m:rPr>
                      <m:sty m:val="p"/>
                    </m:rPr>
                    <w:rPr>
                      <w:rFonts w:ascii="Cambria Math" w:hAnsi="Cambria Math" w:cs="Arial"/>
                      <w:lang w:val="fr-FR"/>
                    </w:rPr>
                    <m:t>Q</m:t>
                  </m:r>
                </m:e>
                <m:sub>
                  <m:r>
                    <m:rPr>
                      <m:sty m:val="p"/>
                    </m:rPr>
                    <w:rPr>
                      <w:rFonts w:ascii="Cambria Math" w:hAnsi="Cambria Math" w:cs="Arial"/>
                      <w:lang w:val="fr-FR"/>
                    </w:rPr>
                    <m:t>e</m:t>
                  </m:r>
                </m:sub>
              </m:sSub>
            </m:den>
          </m:f>
          <m:r>
            <m:rPr>
              <m:sty m:val="p"/>
            </m:rPr>
            <w:rPr>
              <w:rFonts w:ascii="Cambria Math" w:hAnsi="Cambria Math" w:cs="Arial"/>
              <w:lang w:val="fr-FR"/>
            </w:rPr>
            <m:t>=</m:t>
          </m:r>
          <m:d>
            <m:dPr>
              <m:begChr m:val="["/>
              <m:endChr m:val="]"/>
              <m:ctrlPr>
                <w:rPr>
                  <w:rFonts w:ascii="Cambria Math" w:hAnsi="Cambria Math" w:cs="Arial"/>
                  <w:bCs/>
                  <w:iCs/>
                  <w:lang w:val="fr-FR"/>
                </w:rPr>
              </m:ctrlPr>
            </m:dPr>
            <m:e>
              <m:d>
                <m:dPr>
                  <m:ctrlPr>
                    <w:rPr>
                      <w:rFonts w:ascii="Cambria Math" w:hAnsi="Cambria Math" w:cs="Arial"/>
                      <w:bCs/>
                      <w:iCs/>
                      <w:lang w:val="fr-FR"/>
                    </w:rPr>
                  </m:ctrlPr>
                </m:dPr>
                <m:e>
                  <m:f>
                    <m:fPr>
                      <m:ctrlPr>
                        <w:rPr>
                          <w:rFonts w:ascii="Cambria Math" w:hAnsi="Cambria Math" w:cs="Arial"/>
                          <w:bCs/>
                          <w:iCs/>
                          <w:lang w:val="fr-FR"/>
                        </w:rPr>
                      </m:ctrlPr>
                    </m:fPr>
                    <m:num>
                      <m:r>
                        <m:rPr>
                          <m:sty m:val="p"/>
                        </m:rPr>
                        <w:rPr>
                          <w:rFonts w:ascii="Cambria Math" w:hAnsi="Cambria Math" w:cs="Arial"/>
                          <w:lang w:val="fr-FR"/>
                        </w:rPr>
                        <m:t>1</m:t>
                      </m:r>
                    </m:num>
                    <m:den>
                      <m:sSub>
                        <m:sSubPr>
                          <m:ctrlPr>
                            <w:rPr>
                              <w:rFonts w:ascii="Cambria Math" w:hAnsi="Cambria Math" w:cs="Arial"/>
                              <w:bCs/>
                              <w:iCs/>
                              <w:lang w:val="fr-FR"/>
                            </w:rPr>
                          </m:ctrlPr>
                        </m:sSubPr>
                        <m:e>
                          <m:r>
                            <m:rPr>
                              <m:sty m:val="p"/>
                            </m:rPr>
                            <w:rPr>
                              <w:rFonts w:ascii="Cambria Math" w:hAnsi="Cambria Math" w:cs="Arial"/>
                              <w:lang w:val="fr-FR"/>
                            </w:rPr>
                            <m:t>Q</m:t>
                          </m:r>
                        </m:e>
                        <m:sub>
                          <m:r>
                            <m:rPr>
                              <m:sty m:val="p"/>
                            </m:rPr>
                            <w:rPr>
                              <w:rFonts w:ascii="Cambria Math" w:hAnsi="Cambria Math" w:cs="Arial"/>
                              <w:lang w:val="fr-FR"/>
                            </w:rPr>
                            <m:t>max</m:t>
                          </m:r>
                        </m:sub>
                      </m:sSub>
                      <m:r>
                        <m:rPr>
                          <m:sty m:val="p"/>
                        </m:rPr>
                        <w:rPr>
                          <w:rFonts w:ascii="Cambria Math" w:hAnsi="Cambria Math" w:cs="Arial"/>
                          <w:lang w:val="fr-FR"/>
                        </w:rPr>
                        <m:t>.</m:t>
                      </m:r>
                      <m:sSub>
                        <m:sSubPr>
                          <m:ctrlPr>
                            <w:rPr>
                              <w:rFonts w:ascii="Cambria Math" w:hAnsi="Cambria Math" w:cs="Arial"/>
                              <w:bCs/>
                              <w:iCs/>
                              <w:lang w:val="fr-FR"/>
                            </w:rPr>
                          </m:ctrlPr>
                        </m:sSubPr>
                        <m:e>
                          <m:r>
                            <m:rPr>
                              <m:sty m:val="p"/>
                            </m:rPr>
                            <w:rPr>
                              <w:rFonts w:ascii="Cambria Math" w:hAnsi="Cambria Math" w:cs="Arial"/>
                              <w:lang w:val="fr-FR"/>
                            </w:rPr>
                            <m:t>K</m:t>
                          </m:r>
                        </m:e>
                        <m:sub>
                          <m:r>
                            <m:rPr>
                              <m:sty m:val="p"/>
                            </m:rPr>
                            <w:rPr>
                              <w:rFonts w:ascii="Cambria Math" w:hAnsi="Cambria Math" w:cs="Arial"/>
                              <w:lang w:val="fr-FR"/>
                            </w:rPr>
                            <m:t>L</m:t>
                          </m:r>
                        </m:sub>
                      </m:sSub>
                    </m:den>
                  </m:f>
                </m:e>
              </m:d>
              <m:d>
                <m:dPr>
                  <m:ctrlPr>
                    <w:rPr>
                      <w:rFonts w:ascii="Cambria Math" w:hAnsi="Cambria Math" w:cs="Arial"/>
                      <w:bCs/>
                      <w:iCs/>
                      <w:lang w:val="fr-FR"/>
                    </w:rPr>
                  </m:ctrlPr>
                </m:dPr>
                <m:e>
                  <m:f>
                    <m:fPr>
                      <m:ctrlPr>
                        <w:rPr>
                          <w:rFonts w:ascii="Cambria Math" w:hAnsi="Cambria Math" w:cs="Arial"/>
                          <w:bCs/>
                          <w:iCs/>
                          <w:lang w:val="fr-FR"/>
                        </w:rPr>
                      </m:ctrlPr>
                    </m:fPr>
                    <m:num>
                      <m:r>
                        <m:rPr>
                          <m:sty m:val="p"/>
                        </m:rPr>
                        <w:rPr>
                          <w:rFonts w:ascii="Cambria Math" w:hAnsi="Cambria Math" w:cs="Arial"/>
                          <w:lang w:val="fr-FR"/>
                        </w:rPr>
                        <m:t>1</m:t>
                      </m:r>
                    </m:num>
                    <m:den>
                      <m:sSub>
                        <m:sSubPr>
                          <m:ctrlPr>
                            <w:rPr>
                              <w:rFonts w:ascii="Cambria Math" w:hAnsi="Cambria Math" w:cs="Arial"/>
                              <w:bCs/>
                              <w:iCs/>
                              <w:lang w:val="fr-FR"/>
                            </w:rPr>
                          </m:ctrlPr>
                        </m:sSubPr>
                        <m:e>
                          <m:r>
                            <m:rPr>
                              <m:sty m:val="p"/>
                            </m:rPr>
                            <w:rPr>
                              <w:rFonts w:ascii="Cambria Math" w:hAnsi="Cambria Math" w:cs="Arial"/>
                              <w:lang w:val="fr-FR"/>
                            </w:rPr>
                            <m:t>C</m:t>
                          </m:r>
                        </m:e>
                        <m:sub>
                          <m:r>
                            <m:rPr>
                              <m:sty m:val="p"/>
                            </m:rPr>
                            <w:rPr>
                              <w:rFonts w:ascii="Cambria Math" w:hAnsi="Cambria Math" w:cs="Arial"/>
                              <w:lang w:val="fr-FR"/>
                            </w:rPr>
                            <m:t>e</m:t>
                          </m:r>
                        </m:sub>
                      </m:sSub>
                    </m:den>
                  </m:f>
                </m:e>
              </m:d>
              <m:r>
                <m:rPr>
                  <m:sty m:val="p"/>
                </m:rPr>
                <w:rPr>
                  <w:rFonts w:ascii="Cambria Math" w:hAnsi="Cambria Math" w:cs="Arial"/>
                  <w:lang w:val="fr-FR"/>
                </w:rPr>
                <m:t>+</m:t>
              </m:r>
              <m:d>
                <m:dPr>
                  <m:ctrlPr>
                    <w:rPr>
                      <w:rFonts w:ascii="Cambria Math" w:hAnsi="Cambria Math" w:cs="Arial"/>
                      <w:bCs/>
                      <w:iCs/>
                      <w:lang w:val="fr-FR"/>
                    </w:rPr>
                  </m:ctrlPr>
                </m:dPr>
                <m:e>
                  <m:f>
                    <m:fPr>
                      <m:ctrlPr>
                        <w:rPr>
                          <w:rFonts w:ascii="Cambria Math" w:hAnsi="Cambria Math" w:cs="Arial"/>
                          <w:bCs/>
                          <w:iCs/>
                          <w:lang w:val="fr-FR"/>
                        </w:rPr>
                      </m:ctrlPr>
                    </m:fPr>
                    <m:num>
                      <m:r>
                        <m:rPr>
                          <m:sty m:val="p"/>
                        </m:rPr>
                        <w:rPr>
                          <w:rFonts w:ascii="Cambria Math" w:hAnsi="Cambria Math" w:cs="Arial"/>
                          <w:lang w:val="fr-FR"/>
                        </w:rPr>
                        <m:t>1</m:t>
                      </m:r>
                    </m:num>
                    <m:den>
                      <m:sSub>
                        <m:sSubPr>
                          <m:ctrlPr>
                            <w:rPr>
                              <w:rFonts w:ascii="Cambria Math" w:hAnsi="Cambria Math" w:cs="Arial"/>
                              <w:bCs/>
                              <w:iCs/>
                              <w:lang w:val="fr-FR"/>
                            </w:rPr>
                          </m:ctrlPr>
                        </m:sSubPr>
                        <m:e>
                          <m:r>
                            <m:rPr>
                              <m:sty m:val="p"/>
                            </m:rPr>
                            <w:rPr>
                              <w:rFonts w:ascii="Cambria Math" w:hAnsi="Cambria Math" w:cs="Arial"/>
                              <w:lang w:val="fr-FR"/>
                            </w:rPr>
                            <m:t>Q</m:t>
                          </m:r>
                        </m:e>
                        <m:sub>
                          <m:r>
                            <m:rPr>
                              <m:sty m:val="p"/>
                            </m:rPr>
                            <w:rPr>
                              <w:rFonts w:ascii="Cambria Math" w:hAnsi="Cambria Math" w:cs="Arial"/>
                              <w:lang w:val="fr-FR"/>
                            </w:rPr>
                            <m:t>max</m:t>
                          </m:r>
                        </m:sub>
                      </m:sSub>
                    </m:den>
                  </m:f>
                </m:e>
              </m:d>
            </m:e>
          </m:d>
          <m:r>
            <w:rPr>
              <w:rFonts w:ascii="Cambria Math" w:hAnsi="Cambria Math" w:cs="Arial"/>
              <w:lang w:val="fr-FR"/>
            </w:rPr>
            <m:t xml:space="preserve">         (7)</m:t>
          </m:r>
        </m:oMath>
      </m:oMathPara>
    </w:p>
    <w:p w14:paraId="31BEC444" w14:textId="79CDAD6A" w:rsidR="009718EB" w:rsidRDefault="009718EB" w:rsidP="009718EB">
      <w:pPr>
        <w:pStyle w:val="Body"/>
        <w:spacing w:after="0"/>
        <w:rPr>
          <w:rFonts w:ascii="Arial" w:hAnsi="Arial" w:cs="Arial"/>
        </w:rPr>
      </w:pPr>
      <w:r w:rsidRPr="009718EB">
        <w:rPr>
          <w:rFonts w:ascii="Arial" w:hAnsi="Arial" w:cs="Arial"/>
        </w:rPr>
        <w:t xml:space="preserve">The graphical representation </w:t>
      </w:r>
      <m:oMath>
        <m:f>
          <m:fPr>
            <m:ctrlPr>
              <w:rPr>
                <w:rFonts w:ascii="Cambria Math" w:hAnsi="Cambria Math" w:cs="Arial"/>
                <w:bCs/>
                <w:iCs/>
                <w:lang w:val="fr-FR"/>
              </w:rPr>
            </m:ctrlPr>
          </m:fPr>
          <m:num>
            <m:r>
              <m:rPr>
                <m:sty m:val="p"/>
              </m:rPr>
              <w:rPr>
                <w:rFonts w:ascii="Cambria Math" w:hAnsi="Cambria Math" w:cs="Arial"/>
              </w:rPr>
              <m:t>1</m:t>
            </m:r>
          </m:num>
          <m:den>
            <m:sSub>
              <m:sSubPr>
                <m:ctrlPr>
                  <w:rPr>
                    <w:rFonts w:ascii="Cambria Math" w:hAnsi="Cambria Math" w:cs="Arial"/>
                    <w:bCs/>
                    <w:iCs/>
                    <w:lang w:val="fr-FR"/>
                  </w:rPr>
                </m:ctrlPr>
              </m:sSubPr>
              <m:e>
                <m:r>
                  <m:rPr>
                    <m:sty m:val="p"/>
                  </m:rPr>
                  <w:rPr>
                    <w:rFonts w:ascii="Cambria Math" w:hAnsi="Cambria Math" w:cs="Arial"/>
                  </w:rPr>
                  <m:t>Q</m:t>
                </m:r>
              </m:e>
              <m:sub>
                <m:r>
                  <m:rPr>
                    <m:sty m:val="p"/>
                  </m:rPr>
                  <w:rPr>
                    <w:rFonts w:ascii="Cambria Math" w:hAnsi="Cambria Math" w:cs="Arial"/>
                  </w:rPr>
                  <m:t>e</m:t>
                </m:r>
              </m:sub>
            </m:sSub>
          </m:den>
        </m:f>
        <m:r>
          <m:rPr>
            <m:sty m:val="p"/>
          </m:rPr>
          <w:rPr>
            <w:rFonts w:ascii="Cambria Math" w:hAnsi="Cambria Math" w:cs="Arial"/>
          </w:rPr>
          <m:t>=f</m:t>
        </m:r>
        <m:d>
          <m:dPr>
            <m:ctrlPr>
              <w:rPr>
                <w:rFonts w:ascii="Cambria Math" w:hAnsi="Cambria Math" w:cs="Arial"/>
                <w:bCs/>
                <w:iCs/>
                <w:lang w:val="fr-FR"/>
              </w:rPr>
            </m:ctrlPr>
          </m:dPr>
          <m:e>
            <m:f>
              <m:fPr>
                <m:ctrlPr>
                  <w:rPr>
                    <w:rFonts w:ascii="Cambria Math" w:hAnsi="Cambria Math" w:cs="Arial"/>
                    <w:bCs/>
                    <w:iCs/>
                    <w:lang w:val="fr-FR"/>
                  </w:rPr>
                </m:ctrlPr>
              </m:fPr>
              <m:num>
                <m:r>
                  <m:rPr>
                    <m:sty m:val="p"/>
                  </m:rPr>
                  <w:rPr>
                    <w:rFonts w:ascii="Cambria Math" w:hAnsi="Cambria Math" w:cs="Arial"/>
                  </w:rPr>
                  <m:t>1</m:t>
                </m:r>
              </m:num>
              <m:den>
                <m:sSub>
                  <m:sSubPr>
                    <m:ctrlPr>
                      <w:rPr>
                        <w:rFonts w:ascii="Cambria Math" w:hAnsi="Cambria Math" w:cs="Arial"/>
                        <w:bCs/>
                        <w:iCs/>
                        <w:lang w:val="fr-FR"/>
                      </w:rPr>
                    </m:ctrlPr>
                  </m:sSubPr>
                  <m:e>
                    <m:r>
                      <m:rPr>
                        <m:sty m:val="p"/>
                      </m:rPr>
                      <w:rPr>
                        <w:rFonts w:ascii="Cambria Math" w:hAnsi="Cambria Math" w:cs="Arial"/>
                      </w:rPr>
                      <m:t>C</m:t>
                    </m:r>
                  </m:e>
                  <m:sub>
                    <m:r>
                      <m:rPr>
                        <m:sty m:val="p"/>
                      </m:rPr>
                      <w:rPr>
                        <w:rFonts w:ascii="Cambria Math" w:hAnsi="Cambria Math" w:cs="Arial"/>
                      </w:rPr>
                      <m:t>e</m:t>
                    </m:r>
                  </m:sub>
                </m:sSub>
              </m:den>
            </m:f>
          </m:e>
        </m:d>
      </m:oMath>
      <w:r w:rsidRPr="009718EB">
        <w:rPr>
          <w:rFonts w:ascii="Arial" w:hAnsi="Arial" w:cs="Arial"/>
          <w:bCs/>
          <w:iCs/>
        </w:rPr>
        <w:t xml:space="preserve"> </w:t>
      </w:r>
      <w:r w:rsidRPr="009718EB">
        <w:rPr>
          <w:rFonts w:ascii="Arial" w:hAnsi="Arial" w:cs="Arial"/>
        </w:rPr>
        <w:t>(Figure 2) yields a straight line with a slope of</w:t>
      </w:r>
      <m:oMath>
        <m:r>
          <w:rPr>
            <w:rFonts w:ascii="Cambria Math" w:hAnsi="Cambria Math" w:cs="Arial"/>
          </w:rPr>
          <m:t xml:space="preserve"> </m:t>
        </m:r>
        <m:f>
          <m:fPr>
            <m:ctrlPr>
              <w:rPr>
                <w:rFonts w:ascii="Cambria Math" w:hAnsi="Cambria Math" w:cs="Arial"/>
                <w:bCs/>
                <w:iCs/>
                <w:lang w:val="fr-FR"/>
              </w:rPr>
            </m:ctrlPr>
          </m:fPr>
          <m:num>
            <m:r>
              <m:rPr>
                <m:sty m:val="p"/>
              </m:rPr>
              <w:rPr>
                <w:rFonts w:ascii="Cambria Math" w:hAnsi="Cambria Math" w:cs="Arial"/>
              </w:rPr>
              <m:t>1</m:t>
            </m:r>
          </m:num>
          <m:den>
            <m:sSub>
              <m:sSubPr>
                <m:ctrlPr>
                  <w:rPr>
                    <w:rFonts w:ascii="Cambria Math" w:hAnsi="Cambria Math" w:cs="Arial"/>
                    <w:bCs/>
                    <w:iCs/>
                    <w:lang w:val="fr-FR"/>
                  </w:rPr>
                </m:ctrlPr>
              </m:sSubPr>
              <m:e>
                <m:r>
                  <m:rPr>
                    <m:sty m:val="p"/>
                  </m:rPr>
                  <w:rPr>
                    <w:rFonts w:ascii="Cambria Math" w:hAnsi="Cambria Math" w:cs="Arial"/>
                  </w:rPr>
                  <m:t>Q</m:t>
                </m:r>
              </m:e>
              <m:sub>
                <m:r>
                  <m:rPr>
                    <m:sty m:val="p"/>
                  </m:rPr>
                  <w:rPr>
                    <w:rFonts w:ascii="Cambria Math" w:hAnsi="Cambria Math" w:cs="Arial"/>
                  </w:rPr>
                  <m:t>max</m:t>
                </m:r>
              </m:sub>
            </m:sSub>
            <m:r>
              <m:rPr>
                <m:sty m:val="p"/>
              </m:rPr>
              <w:rPr>
                <w:rFonts w:ascii="Cambria Math" w:hAnsi="Cambria Math" w:cs="Arial"/>
              </w:rPr>
              <m:t>.</m:t>
            </m:r>
            <m:sSub>
              <m:sSubPr>
                <m:ctrlPr>
                  <w:rPr>
                    <w:rFonts w:ascii="Cambria Math" w:hAnsi="Cambria Math" w:cs="Arial"/>
                    <w:bCs/>
                    <w:iCs/>
                    <w:lang w:val="fr-FR"/>
                  </w:rPr>
                </m:ctrlPr>
              </m:sSubPr>
              <m:e>
                <m:r>
                  <m:rPr>
                    <m:sty m:val="p"/>
                  </m:rPr>
                  <w:rPr>
                    <w:rFonts w:ascii="Cambria Math" w:hAnsi="Cambria Math" w:cs="Arial"/>
                  </w:rPr>
                  <m:t>K</m:t>
                </m:r>
              </m:e>
              <m:sub>
                <m:r>
                  <m:rPr>
                    <m:sty m:val="p"/>
                  </m:rPr>
                  <w:rPr>
                    <w:rFonts w:ascii="Cambria Math" w:hAnsi="Cambria Math" w:cs="Arial"/>
                  </w:rPr>
                  <m:t>L</m:t>
                </m:r>
              </m:sub>
            </m:sSub>
          </m:den>
        </m:f>
      </m:oMath>
      <w:r w:rsidRPr="009718EB">
        <w:rPr>
          <w:rFonts w:ascii="Arial" w:hAnsi="Arial" w:cs="Arial"/>
        </w:rPr>
        <w:t xml:space="preserve"> and an intercept of </w:t>
      </w:r>
      <m:oMath>
        <m:f>
          <m:fPr>
            <m:ctrlPr>
              <w:rPr>
                <w:rFonts w:ascii="Cambria Math" w:hAnsi="Cambria Math" w:cs="Arial"/>
                <w:bCs/>
                <w:iCs/>
                <w:lang w:val="fr-FR"/>
              </w:rPr>
            </m:ctrlPr>
          </m:fPr>
          <m:num>
            <m:r>
              <m:rPr>
                <m:sty m:val="p"/>
              </m:rPr>
              <w:rPr>
                <w:rFonts w:ascii="Cambria Math" w:hAnsi="Cambria Math" w:cs="Arial"/>
              </w:rPr>
              <m:t>1</m:t>
            </m:r>
          </m:num>
          <m:den>
            <m:sSub>
              <m:sSubPr>
                <m:ctrlPr>
                  <w:rPr>
                    <w:rFonts w:ascii="Cambria Math" w:hAnsi="Cambria Math" w:cs="Arial"/>
                    <w:bCs/>
                    <w:iCs/>
                    <w:lang w:val="fr-FR"/>
                  </w:rPr>
                </m:ctrlPr>
              </m:sSubPr>
              <m:e>
                <m:r>
                  <m:rPr>
                    <m:sty m:val="p"/>
                  </m:rPr>
                  <w:rPr>
                    <w:rFonts w:ascii="Cambria Math" w:hAnsi="Cambria Math" w:cs="Arial"/>
                  </w:rPr>
                  <m:t>Q</m:t>
                </m:r>
              </m:e>
              <m:sub>
                <m:r>
                  <m:rPr>
                    <m:sty m:val="p"/>
                  </m:rPr>
                  <w:rPr>
                    <w:rFonts w:ascii="Cambria Math" w:hAnsi="Cambria Math" w:cs="Arial"/>
                  </w:rPr>
                  <m:t>max</m:t>
                </m:r>
              </m:sub>
            </m:sSub>
          </m:den>
        </m:f>
      </m:oMath>
      <w:r w:rsidRPr="009718EB">
        <w:rPr>
          <w:rFonts w:ascii="Arial" w:hAnsi="Arial" w:cs="Arial"/>
        </w:rPr>
        <w:t>​.</w:t>
      </w:r>
    </w:p>
    <w:p w14:paraId="148EB30A" w14:textId="77777777" w:rsidR="009718EB" w:rsidRPr="009718EB" w:rsidRDefault="009718EB" w:rsidP="009718EB">
      <w:pPr>
        <w:pStyle w:val="Body"/>
        <w:spacing w:after="0"/>
        <w:rPr>
          <w:rFonts w:ascii="Arial" w:hAnsi="Arial" w:cs="Arial"/>
        </w:rPr>
      </w:pPr>
    </w:p>
    <w:p w14:paraId="7E7C33F9" w14:textId="77777777" w:rsidR="009718EB" w:rsidRDefault="009718EB" w:rsidP="009718EB">
      <w:pPr>
        <w:pStyle w:val="Body"/>
        <w:spacing w:after="0"/>
        <w:rPr>
          <w:rFonts w:ascii="Arial" w:hAnsi="Arial" w:cs="Arial"/>
          <w:b/>
          <w:bCs/>
          <w:sz w:val="22"/>
          <w:szCs w:val="22"/>
        </w:rPr>
      </w:pPr>
      <w:r w:rsidRPr="009718EB">
        <w:rPr>
          <w:rFonts w:ascii="Arial" w:hAnsi="Arial" w:cs="Arial"/>
          <w:b/>
          <w:bCs/>
          <w:sz w:val="22"/>
          <w:szCs w:val="22"/>
        </w:rPr>
        <w:t>2.6. Freundlich model</w:t>
      </w:r>
    </w:p>
    <w:p w14:paraId="1E9A2631" w14:textId="77777777" w:rsidR="009718EB" w:rsidRPr="009718EB" w:rsidRDefault="009718EB" w:rsidP="009718EB">
      <w:pPr>
        <w:pStyle w:val="Body"/>
        <w:spacing w:after="0"/>
        <w:rPr>
          <w:rFonts w:ascii="Arial" w:hAnsi="Arial" w:cs="Arial"/>
          <w:b/>
          <w:bCs/>
          <w:sz w:val="22"/>
          <w:szCs w:val="22"/>
        </w:rPr>
      </w:pPr>
    </w:p>
    <w:p w14:paraId="7DE2DE66" w14:textId="77777777" w:rsidR="009718EB" w:rsidRPr="009718EB" w:rsidRDefault="009718EB" w:rsidP="009718EB">
      <w:pPr>
        <w:pStyle w:val="Body"/>
        <w:spacing w:after="0"/>
        <w:rPr>
          <w:rFonts w:ascii="Arial" w:hAnsi="Arial" w:cs="Arial"/>
        </w:rPr>
      </w:pPr>
      <w:r w:rsidRPr="009718EB">
        <w:rPr>
          <w:rFonts w:ascii="Arial" w:hAnsi="Arial" w:cs="Arial"/>
        </w:rPr>
        <w:t xml:space="preserve">The Freundlich isotherm, which is empirical in nature, is based on the assumption that adsorption occurs on a heterogeneous surface composed of sites with different energies. Unlike the Langmuir model, this model assumes the formation of multiple layers of adsorbate molecules on the adsorbent surface </w:t>
      </w:r>
      <w:r w:rsidRPr="009718EB">
        <w:rPr>
          <w:rFonts w:ascii="Arial" w:hAnsi="Arial" w:cs="Arial"/>
        </w:rPr>
        <w:fldChar w:fldCharType="begin"/>
      </w:r>
      <w:r w:rsidRPr="009718EB">
        <w:rPr>
          <w:rFonts w:ascii="Arial" w:hAnsi="Arial" w:cs="Arial"/>
        </w:rPr>
        <w:instrText xml:space="preserve"> ADDIN ZOTERO_ITEM CSL_CITATION {"citationID":"a35fzN6t","properties":{"formattedCitation":"(Freundlich 1907)","plainCitation":"(Freundlich 1907)","noteIndex":0},"citationItems":[{"id":446,"uris":["http://zotero.org/users/18768689/items/76XHDU42"],"itemData":{"id":446,"type":"article-journal","container-title":"Zeitschrift für Physikalische Chemie","DOI":"10.1515/zpch-1907-5723","ISSN":"2196-7156, 0942-9352","issue":"1","language":"en","page":"385-470","source":"DOI.org (Crossref)","title":"Über die Adsorption in Lösungen","volume":"57U","author":[{"family":"Freundlich","given":"Herbert"}],"issued":{"date-parts":[["1907",10,1]]}}}],"schema":"https://github.com/citation-style-language/schema/raw/master/csl-citation.json"} </w:instrText>
      </w:r>
      <w:r w:rsidRPr="009718EB">
        <w:rPr>
          <w:rFonts w:ascii="Arial" w:hAnsi="Arial" w:cs="Arial"/>
        </w:rPr>
        <w:fldChar w:fldCharType="separate"/>
      </w:r>
      <w:r w:rsidRPr="009718EB">
        <w:rPr>
          <w:rFonts w:ascii="Arial" w:hAnsi="Arial" w:cs="Arial"/>
        </w:rPr>
        <w:t>(Freundlich 1907)</w:t>
      </w:r>
      <w:r w:rsidRPr="009718EB">
        <w:rPr>
          <w:rFonts w:ascii="Arial" w:hAnsi="Arial" w:cs="Arial"/>
        </w:rPr>
        <w:fldChar w:fldCharType="end"/>
      </w:r>
      <w:r w:rsidRPr="009718EB">
        <w:rPr>
          <w:rFonts w:ascii="Arial" w:hAnsi="Arial" w:cs="Arial"/>
        </w:rPr>
        <w:t>. The adsorption equilibrium according to Freundlich is expressed by equation (8) below:</w:t>
      </w:r>
    </w:p>
    <w:p w14:paraId="037AF482" w14:textId="66EC5CE0" w:rsidR="009718EB" w:rsidRPr="009718EB" w:rsidRDefault="00BE62BF" w:rsidP="009718EB">
      <w:pPr>
        <w:pStyle w:val="Body"/>
        <w:spacing w:after="0"/>
        <w:rPr>
          <w:rFonts w:ascii="Arial" w:hAnsi="Arial" w:cs="Arial"/>
          <w:bCs/>
          <w:iCs/>
          <w:lang w:val="fr-FR"/>
        </w:rPr>
      </w:pPr>
      <m:oMathPara>
        <m:oMath>
          <m:sSub>
            <m:sSubPr>
              <m:ctrlPr>
                <w:rPr>
                  <w:rFonts w:ascii="Cambria Math" w:hAnsi="Cambria Math" w:cs="Arial"/>
                  <w:bCs/>
                  <w:iCs/>
                  <w:lang w:val="fr-FR"/>
                </w:rPr>
              </m:ctrlPr>
            </m:sSubPr>
            <m:e>
              <m:r>
                <m:rPr>
                  <m:sty m:val="p"/>
                </m:rPr>
                <w:rPr>
                  <w:rFonts w:ascii="Cambria Math" w:hAnsi="Cambria Math" w:cs="Arial"/>
                  <w:lang w:val="fr-FR"/>
                </w:rPr>
                <m:t>Q</m:t>
              </m:r>
            </m:e>
            <m:sub>
              <m:r>
                <m:rPr>
                  <m:sty m:val="p"/>
                </m:rPr>
                <w:rPr>
                  <w:rFonts w:ascii="Cambria Math" w:hAnsi="Cambria Math" w:cs="Arial"/>
                  <w:lang w:val="fr-FR"/>
                </w:rPr>
                <m:t>e</m:t>
              </m:r>
            </m:sub>
          </m:sSub>
          <m:r>
            <m:rPr>
              <m:sty m:val="p"/>
            </m:rPr>
            <w:rPr>
              <w:rFonts w:ascii="Cambria Math" w:hAnsi="Cambria Math" w:cs="Arial"/>
              <w:lang w:val="fr-FR"/>
            </w:rPr>
            <m:t>=</m:t>
          </m:r>
          <m:sSub>
            <m:sSubPr>
              <m:ctrlPr>
                <w:rPr>
                  <w:rFonts w:ascii="Cambria Math" w:hAnsi="Cambria Math" w:cs="Arial"/>
                  <w:bCs/>
                  <w:iCs/>
                  <w:lang w:val="fr-FR"/>
                </w:rPr>
              </m:ctrlPr>
            </m:sSubPr>
            <m:e>
              <m:r>
                <m:rPr>
                  <m:sty m:val="p"/>
                </m:rPr>
                <w:rPr>
                  <w:rFonts w:ascii="Cambria Math" w:hAnsi="Cambria Math" w:cs="Arial"/>
                  <w:lang w:val="fr-FR"/>
                </w:rPr>
                <m:t>K</m:t>
              </m:r>
            </m:e>
            <m:sub>
              <m:r>
                <m:rPr>
                  <m:sty m:val="p"/>
                </m:rPr>
                <w:rPr>
                  <w:rFonts w:ascii="Cambria Math" w:hAnsi="Cambria Math" w:cs="Arial"/>
                  <w:lang w:val="fr-FR"/>
                </w:rPr>
                <m:t>F</m:t>
              </m:r>
            </m:sub>
          </m:sSub>
          <m:r>
            <m:rPr>
              <m:sty m:val="p"/>
            </m:rPr>
            <w:rPr>
              <w:rFonts w:ascii="Cambria Math" w:hAnsi="Cambria Math" w:cs="Arial"/>
              <w:lang w:val="fr-FR"/>
            </w:rPr>
            <m:t>.</m:t>
          </m:r>
          <m:sSubSup>
            <m:sSubSupPr>
              <m:ctrlPr>
                <w:rPr>
                  <w:rFonts w:ascii="Cambria Math" w:hAnsi="Cambria Math" w:cs="Arial"/>
                  <w:bCs/>
                  <w:iCs/>
                  <w:lang w:val="fr-FR"/>
                </w:rPr>
              </m:ctrlPr>
            </m:sSubSupPr>
            <m:e>
              <m:r>
                <m:rPr>
                  <m:sty m:val="p"/>
                </m:rPr>
                <w:rPr>
                  <w:rFonts w:ascii="Cambria Math" w:hAnsi="Cambria Math" w:cs="Arial"/>
                  <w:lang w:val="fr-FR"/>
                </w:rPr>
                <m:t>C</m:t>
              </m:r>
            </m:e>
            <m:sub>
              <m:r>
                <m:rPr>
                  <m:sty m:val="p"/>
                </m:rPr>
                <w:rPr>
                  <w:rFonts w:ascii="Cambria Math" w:hAnsi="Cambria Math" w:cs="Arial"/>
                  <w:lang w:val="fr-FR"/>
                </w:rPr>
                <m:t>e</m:t>
              </m:r>
            </m:sub>
            <m:sup>
              <m:f>
                <m:fPr>
                  <m:ctrlPr>
                    <w:rPr>
                      <w:rFonts w:ascii="Cambria Math" w:hAnsi="Cambria Math" w:cs="Arial"/>
                      <w:bCs/>
                      <w:iCs/>
                      <w:lang w:val="fr-FR"/>
                    </w:rPr>
                  </m:ctrlPr>
                </m:fPr>
                <m:num>
                  <m:r>
                    <m:rPr>
                      <m:sty m:val="p"/>
                    </m:rPr>
                    <w:rPr>
                      <w:rFonts w:ascii="Cambria Math" w:hAnsi="Cambria Math" w:cs="Arial"/>
                      <w:lang w:val="fr-FR"/>
                    </w:rPr>
                    <m:t>1</m:t>
                  </m:r>
                </m:num>
                <m:den>
                  <m:sSub>
                    <m:sSubPr>
                      <m:ctrlPr>
                        <w:rPr>
                          <w:rFonts w:ascii="Cambria Math" w:hAnsi="Cambria Math" w:cs="Arial"/>
                          <w:bCs/>
                          <w:iCs/>
                          <w:lang w:val="fr-FR"/>
                        </w:rPr>
                      </m:ctrlPr>
                    </m:sSubPr>
                    <m:e>
                      <m:r>
                        <m:rPr>
                          <m:sty m:val="p"/>
                        </m:rPr>
                        <w:rPr>
                          <w:rFonts w:ascii="Cambria Math" w:hAnsi="Cambria Math" w:cs="Arial"/>
                          <w:lang w:val="fr-FR"/>
                        </w:rPr>
                        <m:t>n</m:t>
                      </m:r>
                    </m:e>
                    <m:sub>
                      <m:r>
                        <m:rPr>
                          <m:sty m:val="p"/>
                        </m:rPr>
                        <w:rPr>
                          <w:rFonts w:ascii="Cambria Math" w:hAnsi="Cambria Math" w:cs="Arial"/>
                          <w:lang w:val="fr-FR"/>
                        </w:rPr>
                        <m:t>F</m:t>
                      </m:r>
                    </m:sub>
                  </m:sSub>
                </m:den>
              </m:f>
            </m:sup>
          </m:sSubSup>
          <m:r>
            <m:rPr>
              <m:sty m:val="p"/>
            </m:rPr>
            <w:rPr>
              <w:rFonts w:ascii="Cambria Math" w:hAnsi="Cambria Math" w:cs="Arial"/>
              <w:lang w:val="fr-FR"/>
            </w:rPr>
            <m:t xml:space="preserve">     </m:t>
          </m:r>
          <m:r>
            <w:rPr>
              <w:rFonts w:ascii="Cambria Math" w:hAnsi="Cambria Math" w:cs="Arial"/>
              <w:lang w:val="fr-FR"/>
            </w:rPr>
            <m:t xml:space="preserve"> (8)    </m:t>
          </m:r>
        </m:oMath>
      </m:oMathPara>
    </w:p>
    <w:p w14:paraId="1F02BFAC" w14:textId="77777777" w:rsidR="009718EB" w:rsidRPr="009718EB" w:rsidRDefault="009718EB" w:rsidP="009718EB">
      <w:pPr>
        <w:pStyle w:val="Body"/>
        <w:spacing w:after="0"/>
        <w:rPr>
          <w:rFonts w:ascii="Arial" w:hAnsi="Arial" w:cs="Arial"/>
        </w:rPr>
      </w:pPr>
      <w:r w:rsidRPr="009718EB">
        <w:rPr>
          <w:rFonts w:ascii="Arial" w:hAnsi="Arial" w:cs="Arial"/>
        </w:rPr>
        <w:t>where</w:t>
      </w:r>
      <w:r w:rsidRPr="009718EB">
        <w:rPr>
          <w:rFonts w:ascii="Arial" w:hAnsi="Arial" w:cs="Arial"/>
        </w:rPr>
        <w:br/>
        <w:t>Q</w:t>
      </w:r>
      <w:r w:rsidRPr="009718EB">
        <w:rPr>
          <w:rFonts w:ascii="Arial" w:hAnsi="Arial" w:cs="Arial"/>
          <w:vertAlign w:val="subscript"/>
        </w:rPr>
        <w:t>e</w:t>
      </w:r>
      <w:r w:rsidRPr="009718EB">
        <w:rPr>
          <w:rFonts w:ascii="Arial" w:hAnsi="Arial" w:cs="Arial"/>
        </w:rPr>
        <w:t>​ is the amount adsorbed at equilibrium (mg.g</w:t>
      </w:r>
      <w:r w:rsidRPr="009718EB">
        <w:rPr>
          <w:rFonts w:ascii="Cambria Math" w:hAnsi="Cambria Math" w:cs="Cambria Math"/>
        </w:rPr>
        <w:t>⁻</w:t>
      </w:r>
      <w:r w:rsidRPr="009718EB">
        <w:rPr>
          <w:rFonts w:ascii="Arial" w:hAnsi="Arial" w:cs="Arial"/>
        </w:rPr>
        <w:t>¹) ; C</w:t>
      </w:r>
      <w:r w:rsidRPr="009718EB">
        <w:rPr>
          <w:rFonts w:ascii="Arial" w:hAnsi="Arial" w:cs="Arial"/>
          <w:vertAlign w:val="subscript"/>
        </w:rPr>
        <w:t>e</w:t>
      </w:r>
      <w:r w:rsidRPr="009718EB">
        <w:rPr>
          <w:rFonts w:ascii="Arial" w:hAnsi="Arial" w:cs="Arial"/>
        </w:rPr>
        <w:t xml:space="preserve"> is the solute concentration at equilibrium (mg.L</w:t>
      </w:r>
      <w:r w:rsidRPr="009718EB">
        <w:rPr>
          <w:rFonts w:ascii="Cambria Math" w:hAnsi="Cambria Math" w:cs="Cambria Math"/>
        </w:rPr>
        <w:t>⁻</w:t>
      </w:r>
      <w:r w:rsidRPr="009718EB">
        <w:rPr>
          <w:rFonts w:ascii="Arial" w:hAnsi="Arial" w:cs="Arial"/>
        </w:rPr>
        <w:t>¹) ; K</w:t>
      </w:r>
      <w:r w:rsidRPr="009718EB">
        <w:rPr>
          <w:rFonts w:ascii="Arial" w:hAnsi="Arial" w:cs="Arial"/>
          <w:vertAlign w:val="subscript"/>
        </w:rPr>
        <w:t>F</w:t>
      </w:r>
      <w:r w:rsidRPr="009718EB">
        <w:rPr>
          <w:rFonts w:ascii="Arial" w:hAnsi="Arial" w:cs="Arial"/>
        </w:rPr>
        <w:t xml:space="preserve"> is the Freundlich constant related to adsorption capacity (L.g</w:t>
      </w:r>
      <w:r w:rsidRPr="009718EB">
        <w:rPr>
          <w:rFonts w:ascii="Cambria Math" w:hAnsi="Cambria Math" w:cs="Cambria Math"/>
        </w:rPr>
        <w:t>⁻</w:t>
      </w:r>
      <w:r w:rsidRPr="009718EB">
        <w:rPr>
          <w:rFonts w:ascii="Arial" w:hAnsi="Arial" w:cs="Arial"/>
        </w:rPr>
        <w:t>¹) ; n</w:t>
      </w:r>
      <w:r w:rsidRPr="009718EB">
        <w:rPr>
          <w:rFonts w:ascii="Arial" w:hAnsi="Arial" w:cs="Arial"/>
          <w:vertAlign w:val="subscript"/>
        </w:rPr>
        <w:t>F</w:t>
      </w:r>
      <w:r w:rsidRPr="009718EB">
        <w:rPr>
          <w:rFonts w:ascii="Arial" w:hAnsi="Arial" w:cs="Arial"/>
        </w:rPr>
        <w:t xml:space="preserve"> indicates the effect of concentration on adsorption capacity and represents the adsorption intensity.</w:t>
      </w:r>
    </w:p>
    <w:p w14:paraId="477FF5E9" w14:textId="77777777" w:rsidR="009718EB" w:rsidRPr="009718EB" w:rsidRDefault="009718EB" w:rsidP="009718EB">
      <w:pPr>
        <w:pStyle w:val="Body"/>
        <w:spacing w:after="0"/>
        <w:rPr>
          <w:rFonts w:ascii="Arial" w:hAnsi="Arial" w:cs="Arial"/>
        </w:rPr>
      </w:pPr>
      <w:r w:rsidRPr="009718EB">
        <w:rPr>
          <w:rFonts w:ascii="Arial" w:hAnsi="Arial" w:cs="Arial"/>
        </w:rPr>
        <w:t>Equation (9) represents the linear form of the Freundlich equation:</w:t>
      </w:r>
    </w:p>
    <w:p w14:paraId="1309CFFA" w14:textId="0CED818B" w:rsidR="009718EB" w:rsidRPr="009718EB" w:rsidRDefault="00BE62BF" w:rsidP="009718EB">
      <w:pPr>
        <w:pStyle w:val="Body"/>
        <w:spacing w:after="0"/>
        <w:rPr>
          <w:rFonts w:ascii="Arial" w:hAnsi="Arial" w:cs="Arial"/>
          <w:bCs/>
          <w:iCs/>
          <w:lang w:val="fr-FR"/>
        </w:rPr>
      </w:pPr>
      <m:oMathPara>
        <m:oMath>
          <m:func>
            <m:funcPr>
              <m:ctrlPr>
                <w:rPr>
                  <w:rFonts w:ascii="Cambria Math" w:hAnsi="Cambria Math" w:cs="Arial"/>
                  <w:bCs/>
                  <w:iCs/>
                  <w:lang w:val="fr-FR"/>
                </w:rPr>
              </m:ctrlPr>
            </m:funcPr>
            <m:fName>
              <m:r>
                <m:rPr>
                  <m:sty m:val="p"/>
                </m:rPr>
                <w:rPr>
                  <w:rFonts w:ascii="Cambria Math" w:hAnsi="Cambria Math" w:cs="Arial"/>
                  <w:lang w:val="fr-FR"/>
                </w:rPr>
                <m:t>ln</m:t>
              </m:r>
            </m:fName>
            <m:e>
              <m:sSub>
                <m:sSubPr>
                  <m:ctrlPr>
                    <w:rPr>
                      <w:rFonts w:ascii="Cambria Math" w:hAnsi="Cambria Math" w:cs="Arial"/>
                      <w:bCs/>
                      <w:iCs/>
                      <w:lang w:val="fr-FR"/>
                    </w:rPr>
                  </m:ctrlPr>
                </m:sSubPr>
                <m:e>
                  <m:r>
                    <m:rPr>
                      <m:sty m:val="p"/>
                    </m:rPr>
                    <w:rPr>
                      <w:rFonts w:ascii="Cambria Math" w:hAnsi="Cambria Math" w:cs="Arial"/>
                      <w:lang w:val="fr-FR"/>
                    </w:rPr>
                    <m:t>Q</m:t>
                  </m:r>
                </m:e>
                <m:sub>
                  <m:r>
                    <m:rPr>
                      <m:sty m:val="p"/>
                    </m:rPr>
                    <w:rPr>
                      <w:rFonts w:ascii="Cambria Math" w:hAnsi="Cambria Math" w:cs="Arial"/>
                      <w:lang w:val="fr-FR"/>
                    </w:rPr>
                    <m:t>e</m:t>
                  </m:r>
                </m:sub>
              </m:sSub>
            </m:e>
          </m:func>
          <m:r>
            <m:rPr>
              <m:sty m:val="p"/>
            </m:rPr>
            <w:rPr>
              <w:rFonts w:ascii="Cambria Math" w:hAnsi="Cambria Math" w:cs="Arial"/>
              <w:lang w:val="fr-FR"/>
            </w:rPr>
            <m:t>=</m:t>
          </m:r>
          <m:func>
            <m:funcPr>
              <m:ctrlPr>
                <w:rPr>
                  <w:rFonts w:ascii="Cambria Math" w:hAnsi="Cambria Math" w:cs="Arial"/>
                  <w:bCs/>
                  <w:iCs/>
                  <w:lang w:val="fr-FR"/>
                </w:rPr>
              </m:ctrlPr>
            </m:funcPr>
            <m:fName>
              <m:r>
                <m:rPr>
                  <m:sty m:val="p"/>
                </m:rPr>
                <w:rPr>
                  <w:rFonts w:ascii="Cambria Math" w:hAnsi="Cambria Math" w:cs="Arial"/>
                  <w:lang w:val="fr-FR"/>
                </w:rPr>
                <m:t>ln</m:t>
              </m:r>
            </m:fName>
            <m:e>
              <m:sSub>
                <m:sSubPr>
                  <m:ctrlPr>
                    <w:rPr>
                      <w:rFonts w:ascii="Cambria Math" w:hAnsi="Cambria Math" w:cs="Arial"/>
                      <w:bCs/>
                      <w:iCs/>
                      <w:lang w:val="fr-FR"/>
                    </w:rPr>
                  </m:ctrlPr>
                </m:sSubPr>
                <m:e>
                  <m:r>
                    <m:rPr>
                      <m:sty m:val="p"/>
                    </m:rPr>
                    <w:rPr>
                      <w:rFonts w:ascii="Cambria Math" w:hAnsi="Cambria Math" w:cs="Arial"/>
                      <w:lang w:val="fr-FR"/>
                    </w:rPr>
                    <m:t>K</m:t>
                  </m:r>
                </m:e>
                <m:sub>
                  <m:r>
                    <m:rPr>
                      <m:sty m:val="p"/>
                    </m:rPr>
                    <w:rPr>
                      <w:rFonts w:ascii="Cambria Math" w:hAnsi="Cambria Math" w:cs="Arial"/>
                      <w:lang w:val="fr-FR"/>
                    </w:rPr>
                    <m:t>F</m:t>
                  </m:r>
                </m:sub>
              </m:sSub>
            </m:e>
          </m:func>
          <m:r>
            <m:rPr>
              <m:sty m:val="p"/>
            </m:rPr>
            <w:rPr>
              <w:rFonts w:ascii="Cambria Math" w:hAnsi="Cambria Math" w:cs="Arial"/>
              <w:lang w:val="fr-FR"/>
            </w:rPr>
            <m:t>+</m:t>
          </m:r>
          <m:f>
            <m:fPr>
              <m:ctrlPr>
                <w:rPr>
                  <w:rFonts w:ascii="Cambria Math" w:hAnsi="Cambria Math" w:cs="Arial"/>
                  <w:bCs/>
                  <w:iCs/>
                  <w:lang w:val="fr-FR"/>
                </w:rPr>
              </m:ctrlPr>
            </m:fPr>
            <m:num>
              <m:r>
                <m:rPr>
                  <m:sty m:val="p"/>
                </m:rPr>
                <w:rPr>
                  <w:rFonts w:ascii="Cambria Math" w:hAnsi="Cambria Math" w:cs="Arial"/>
                  <w:lang w:val="fr-FR"/>
                </w:rPr>
                <m:t>1</m:t>
              </m:r>
            </m:num>
            <m:den>
              <m:sSub>
                <m:sSubPr>
                  <m:ctrlPr>
                    <w:rPr>
                      <w:rFonts w:ascii="Cambria Math" w:hAnsi="Cambria Math" w:cs="Arial"/>
                      <w:bCs/>
                      <w:iCs/>
                      <w:lang w:val="fr-FR"/>
                    </w:rPr>
                  </m:ctrlPr>
                </m:sSubPr>
                <m:e>
                  <m:r>
                    <m:rPr>
                      <m:sty m:val="p"/>
                    </m:rPr>
                    <w:rPr>
                      <w:rFonts w:ascii="Cambria Math" w:hAnsi="Cambria Math" w:cs="Arial"/>
                      <w:lang w:val="fr-FR"/>
                    </w:rPr>
                    <m:t>n</m:t>
                  </m:r>
                </m:e>
                <m:sub>
                  <m:r>
                    <m:rPr>
                      <m:sty m:val="p"/>
                    </m:rPr>
                    <w:rPr>
                      <w:rFonts w:ascii="Cambria Math" w:hAnsi="Cambria Math" w:cs="Arial"/>
                      <w:lang w:val="fr-FR"/>
                    </w:rPr>
                    <m:t>F</m:t>
                  </m:r>
                </m:sub>
              </m:sSub>
            </m:den>
          </m:f>
          <m:func>
            <m:funcPr>
              <m:ctrlPr>
                <w:rPr>
                  <w:rFonts w:ascii="Cambria Math" w:hAnsi="Cambria Math" w:cs="Arial"/>
                  <w:bCs/>
                  <w:iCs/>
                  <w:lang w:val="fr-FR"/>
                </w:rPr>
              </m:ctrlPr>
            </m:funcPr>
            <m:fName>
              <m:r>
                <m:rPr>
                  <m:sty m:val="p"/>
                </m:rPr>
                <w:rPr>
                  <w:rFonts w:ascii="Cambria Math" w:hAnsi="Cambria Math" w:cs="Arial"/>
                  <w:lang w:val="fr-FR"/>
                </w:rPr>
                <m:t>ln</m:t>
              </m:r>
            </m:fName>
            <m:e>
              <m:sSub>
                <m:sSubPr>
                  <m:ctrlPr>
                    <w:rPr>
                      <w:rFonts w:ascii="Cambria Math" w:hAnsi="Cambria Math" w:cs="Arial"/>
                      <w:bCs/>
                      <w:iCs/>
                      <w:lang w:val="fr-FR"/>
                    </w:rPr>
                  </m:ctrlPr>
                </m:sSubPr>
                <m:e>
                  <m:r>
                    <m:rPr>
                      <m:sty m:val="p"/>
                    </m:rPr>
                    <w:rPr>
                      <w:rFonts w:ascii="Cambria Math" w:hAnsi="Cambria Math" w:cs="Arial"/>
                      <w:lang w:val="fr-FR"/>
                    </w:rPr>
                    <m:t>C</m:t>
                  </m:r>
                </m:e>
                <m:sub>
                  <m:r>
                    <m:rPr>
                      <m:sty m:val="p"/>
                    </m:rPr>
                    <w:rPr>
                      <w:rFonts w:ascii="Cambria Math" w:hAnsi="Cambria Math" w:cs="Arial"/>
                      <w:lang w:val="fr-FR"/>
                    </w:rPr>
                    <m:t>e</m:t>
                  </m:r>
                </m:sub>
              </m:sSub>
            </m:e>
          </m:func>
          <m:r>
            <w:rPr>
              <w:rFonts w:ascii="Cambria Math" w:hAnsi="Cambria Math" w:cs="Arial"/>
              <w:lang w:val="fr-FR"/>
            </w:rPr>
            <m:t xml:space="preserve">         (9)</m:t>
          </m:r>
        </m:oMath>
      </m:oMathPara>
    </w:p>
    <w:p w14:paraId="7A7C659C" w14:textId="334ECD27" w:rsidR="009718EB" w:rsidRPr="009718EB" w:rsidRDefault="009718EB" w:rsidP="009718EB">
      <w:pPr>
        <w:pStyle w:val="Body"/>
        <w:spacing w:after="0"/>
        <w:rPr>
          <w:rFonts w:ascii="Arial" w:hAnsi="Arial" w:cs="Arial"/>
        </w:rPr>
      </w:pPr>
      <w:r w:rsidRPr="009718EB">
        <w:rPr>
          <w:rFonts w:ascii="Arial" w:hAnsi="Arial" w:cs="Arial"/>
        </w:rPr>
        <w:t xml:space="preserve">The graphical representation </w:t>
      </w:r>
      <m:oMath>
        <m:func>
          <m:funcPr>
            <m:ctrlPr>
              <w:rPr>
                <w:rFonts w:ascii="Cambria Math" w:hAnsi="Cambria Math" w:cs="Arial"/>
                <w:bCs/>
                <w:iCs/>
                <w:lang w:val="fr-FR"/>
              </w:rPr>
            </m:ctrlPr>
          </m:funcPr>
          <m:fName>
            <m:r>
              <m:rPr>
                <m:sty m:val="p"/>
              </m:rPr>
              <w:rPr>
                <w:rFonts w:ascii="Cambria Math" w:hAnsi="Cambria Math" w:cs="Arial"/>
              </w:rPr>
              <m:t>ln</m:t>
            </m:r>
          </m:fName>
          <m:e>
            <m:sSub>
              <m:sSubPr>
                <m:ctrlPr>
                  <w:rPr>
                    <w:rFonts w:ascii="Cambria Math" w:hAnsi="Cambria Math" w:cs="Arial"/>
                    <w:bCs/>
                    <w:iCs/>
                    <w:lang w:val="fr-FR"/>
                  </w:rPr>
                </m:ctrlPr>
              </m:sSubPr>
              <m:e>
                <m:r>
                  <m:rPr>
                    <m:sty m:val="p"/>
                  </m:rPr>
                  <w:rPr>
                    <w:rFonts w:ascii="Cambria Math" w:hAnsi="Cambria Math" w:cs="Arial"/>
                  </w:rPr>
                  <m:t>Q</m:t>
                </m:r>
              </m:e>
              <m:sub>
                <m:r>
                  <m:rPr>
                    <m:sty m:val="p"/>
                  </m:rPr>
                  <w:rPr>
                    <w:rFonts w:ascii="Cambria Math" w:hAnsi="Cambria Math" w:cs="Arial"/>
                  </w:rPr>
                  <m:t>e</m:t>
                </m:r>
              </m:sub>
            </m:sSub>
          </m:e>
        </m:func>
        <m:r>
          <m:rPr>
            <m:sty m:val="p"/>
          </m:rPr>
          <w:rPr>
            <w:rFonts w:ascii="Cambria Math" w:hAnsi="Cambria Math" w:cs="Arial"/>
          </w:rPr>
          <m:t>=f(</m:t>
        </m:r>
        <m:func>
          <m:funcPr>
            <m:ctrlPr>
              <w:rPr>
                <w:rFonts w:ascii="Cambria Math" w:hAnsi="Cambria Math" w:cs="Arial"/>
                <w:bCs/>
                <w:iCs/>
                <w:lang w:val="fr-FR"/>
              </w:rPr>
            </m:ctrlPr>
          </m:funcPr>
          <m:fName>
            <m:r>
              <m:rPr>
                <m:sty m:val="p"/>
              </m:rPr>
              <w:rPr>
                <w:rFonts w:ascii="Cambria Math" w:hAnsi="Cambria Math" w:cs="Arial"/>
              </w:rPr>
              <m:t>ln</m:t>
            </m:r>
          </m:fName>
          <m:e>
            <m:sSub>
              <m:sSubPr>
                <m:ctrlPr>
                  <w:rPr>
                    <w:rFonts w:ascii="Cambria Math" w:hAnsi="Cambria Math" w:cs="Arial"/>
                    <w:bCs/>
                    <w:iCs/>
                    <w:lang w:val="fr-FR"/>
                  </w:rPr>
                </m:ctrlPr>
              </m:sSubPr>
              <m:e>
                <m:r>
                  <m:rPr>
                    <m:sty m:val="p"/>
                  </m:rPr>
                  <w:rPr>
                    <w:rFonts w:ascii="Cambria Math" w:hAnsi="Cambria Math" w:cs="Arial"/>
                  </w:rPr>
                  <m:t>C</m:t>
                </m:r>
              </m:e>
              <m:sub>
                <m:r>
                  <m:rPr>
                    <m:sty m:val="p"/>
                  </m:rPr>
                  <w:rPr>
                    <w:rFonts w:ascii="Cambria Math" w:hAnsi="Cambria Math" w:cs="Arial"/>
                  </w:rPr>
                  <m:t>e</m:t>
                </m:r>
              </m:sub>
            </m:sSub>
          </m:e>
        </m:func>
        <m:r>
          <m:rPr>
            <m:sty m:val="p"/>
          </m:rPr>
          <w:rPr>
            <w:rFonts w:ascii="Cambria Math" w:hAnsi="Cambria Math" w:cs="Arial"/>
          </w:rPr>
          <m:t>)</m:t>
        </m:r>
      </m:oMath>
      <w:r w:rsidRPr="009718EB">
        <w:rPr>
          <w:rFonts w:ascii="Arial" w:hAnsi="Arial" w:cs="Arial"/>
          <w:iCs/>
        </w:rPr>
        <w:t xml:space="preserve"> </w:t>
      </w:r>
      <w:r w:rsidRPr="009718EB">
        <w:rPr>
          <w:rFonts w:ascii="Arial" w:hAnsi="Arial" w:cs="Arial"/>
        </w:rPr>
        <w:t xml:space="preserve">(Figure 3) yields a straight line with a slope of </w:t>
      </w:r>
      <m:oMath>
        <m:f>
          <m:fPr>
            <m:ctrlPr>
              <w:rPr>
                <w:rFonts w:ascii="Cambria Math" w:hAnsi="Cambria Math" w:cs="Arial"/>
                <w:bCs/>
                <w:iCs/>
                <w:lang w:val="fr-FR"/>
              </w:rPr>
            </m:ctrlPr>
          </m:fPr>
          <m:num>
            <m:r>
              <m:rPr>
                <m:sty m:val="p"/>
              </m:rPr>
              <w:rPr>
                <w:rFonts w:ascii="Cambria Math" w:hAnsi="Cambria Math" w:cs="Arial"/>
              </w:rPr>
              <m:t>1</m:t>
            </m:r>
          </m:num>
          <m:den>
            <m:r>
              <m:rPr>
                <m:sty m:val="p"/>
              </m:rPr>
              <w:rPr>
                <w:rFonts w:ascii="Cambria Math" w:hAnsi="Cambria Math" w:cs="Arial"/>
              </w:rPr>
              <m:t xml:space="preserve"> </m:t>
            </m:r>
            <m:sSub>
              <m:sSubPr>
                <m:ctrlPr>
                  <w:rPr>
                    <w:rFonts w:ascii="Cambria Math" w:hAnsi="Cambria Math" w:cs="Arial"/>
                    <w:bCs/>
                    <w:iCs/>
                    <w:lang w:val="fr-FR"/>
                  </w:rPr>
                </m:ctrlPr>
              </m:sSubPr>
              <m:e>
                <m:r>
                  <m:rPr>
                    <m:sty m:val="p"/>
                  </m:rPr>
                  <w:rPr>
                    <w:rFonts w:ascii="Cambria Math" w:hAnsi="Cambria Math" w:cs="Arial"/>
                  </w:rPr>
                  <m:t>n</m:t>
                </m:r>
              </m:e>
              <m:sub>
                <m:r>
                  <m:rPr>
                    <m:sty m:val="p"/>
                  </m:rPr>
                  <w:rPr>
                    <w:rFonts w:ascii="Cambria Math" w:hAnsi="Cambria Math" w:cs="Arial"/>
                  </w:rPr>
                  <m:t>F</m:t>
                </m:r>
              </m:sub>
            </m:sSub>
          </m:den>
        </m:f>
      </m:oMath>
      <w:r w:rsidRPr="009718EB">
        <w:rPr>
          <w:rFonts w:ascii="Arial" w:hAnsi="Arial" w:cs="Arial"/>
          <w:iCs/>
        </w:rPr>
        <w:t xml:space="preserve"> </w:t>
      </w:r>
      <w:r w:rsidRPr="009718EB">
        <w:rPr>
          <w:rFonts w:ascii="Arial" w:hAnsi="Arial" w:cs="Arial"/>
        </w:rPr>
        <w:t xml:space="preserve">​ and an intercept of </w:t>
      </w:r>
      <w:r w:rsidRPr="009718EB">
        <w:rPr>
          <w:rFonts w:ascii="Arial" w:hAnsi="Arial" w:cs="Arial"/>
          <w:iCs/>
        </w:rPr>
        <w:t xml:space="preserve"> </w:t>
      </w:r>
      <m:oMath>
        <m:func>
          <m:funcPr>
            <m:ctrlPr>
              <w:rPr>
                <w:rFonts w:ascii="Cambria Math" w:hAnsi="Cambria Math" w:cs="Arial"/>
                <w:bCs/>
                <w:iCs/>
                <w:lang w:val="fr-FR"/>
              </w:rPr>
            </m:ctrlPr>
          </m:funcPr>
          <m:fName>
            <m:r>
              <m:rPr>
                <m:sty m:val="p"/>
              </m:rPr>
              <w:rPr>
                <w:rFonts w:ascii="Cambria Math" w:hAnsi="Cambria Math" w:cs="Arial"/>
              </w:rPr>
              <m:t>ln</m:t>
            </m:r>
          </m:fName>
          <m:e>
            <m:sSub>
              <m:sSubPr>
                <m:ctrlPr>
                  <w:rPr>
                    <w:rFonts w:ascii="Cambria Math" w:hAnsi="Cambria Math" w:cs="Arial"/>
                    <w:bCs/>
                    <w:iCs/>
                    <w:lang w:val="fr-FR"/>
                  </w:rPr>
                </m:ctrlPr>
              </m:sSubPr>
              <m:e>
                <m:r>
                  <m:rPr>
                    <m:sty m:val="p"/>
                  </m:rPr>
                  <w:rPr>
                    <w:rFonts w:ascii="Cambria Math" w:hAnsi="Cambria Math" w:cs="Arial"/>
                  </w:rPr>
                  <m:t>K</m:t>
                </m:r>
              </m:e>
              <m:sub>
                <m:r>
                  <m:rPr>
                    <m:sty m:val="p"/>
                  </m:rPr>
                  <w:rPr>
                    <w:rFonts w:ascii="Cambria Math" w:hAnsi="Cambria Math" w:cs="Arial"/>
                  </w:rPr>
                  <m:t>F</m:t>
                </m:r>
              </m:sub>
            </m:sSub>
          </m:e>
        </m:func>
      </m:oMath>
      <w:r w:rsidRPr="009718EB">
        <w:rPr>
          <w:rFonts w:ascii="Arial" w:hAnsi="Arial" w:cs="Arial"/>
        </w:rPr>
        <w:t>​.</w:t>
      </w:r>
    </w:p>
    <w:p w14:paraId="0F41A062" w14:textId="77777777" w:rsidR="00790ADA" w:rsidRPr="009718EB" w:rsidRDefault="00790ADA" w:rsidP="00441B6F">
      <w:pPr>
        <w:pStyle w:val="Body"/>
        <w:spacing w:after="0"/>
        <w:rPr>
          <w:rFonts w:ascii="Arial" w:hAnsi="Arial" w:cs="Arial"/>
        </w:rPr>
      </w:pPr>
    </w:p>
    <w:p w14:paraId="3DB10C96" w14:textId="77777777"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46EF4FB2" w14:textId="4EBF3221" w:rsidR="00DE6484" w:rsidRDefault="00DE6484" w:rsidP="00DE6484">
      <w:pPr>
        <w:jc w:val="both"/>
        <w:rPr>
          <w:rFonts w:ascii="Arial" w:hAnsi="Arial" w:cs="Arial"/>
          <w:b/>
          <w:bCs/>
        </w:rPr>
      </w:pPr>
    </w:p>
    <w:p w14:paraId="17D1E2CC" w14:textId="77777777" w:rsidR="003D59A8" w:rsidRPr="00DE6484" w:rsidRDefault="003D59A8" w:rsidP="00DE6484">
      <w:pPr>
        <w:jc w:val="both"/>
        <w:rPr>
          <w:rFonts w:ascii="Arial" w:hAnsi="Arial" w:cs="Arial"/>
          <w:b/>
          <w:bCs/>
        </w:rPr>
      </w:pPr>
    </w:p>
    <w:p w14:paraId="65D135C1" w14:textId="77777777" w:rsidR="00DE6484" w:rsidRDefault="00DE6484" w:rsidP="00DE6484">
      <w:pPr>
        <w:jc w:val="both"/>
        <w:rPr>
          <w:rFonts w:ascii="Arial" w:hAnsi="Arial" w:cs="Arial"/>
          <w:b/>
          <w:bCs/>
        </w:rPr>
      </w:pPr>
      <w:r w:rsidRPr="00DE6484">
        <w:rPr>
          <w:rFonts w:ascii="Arial" w:hAnsi="Arial" w:cs="Arial"/>
          <w:b/>
          <w:bCs/>
        </w:rPr>
        <w:t xml:space="preserve">3.1. </w:t>
      </w:r>
      <w:r w:rsidRPr="00DE6484">
        <w:rPr>
          <w:rFonts w:ascii="Arial" w:hAnsi="Arial" w:cs="Arial"/>
          <w:b/>
          <w:bCs/>
          <w:sz w:val="22"/>
          <w:szCs w:val="22"/>
        </w:rPr>
        <w:t>Pyrolysis yield and mass loss (burn-off)</w:t>
      </w:r>
    </w:p>
    <w:p w14:paraId="74E507E8" w14:textId="77777777" w:rsidR="003D59A8" w:rsidRPr="00DE6484" w:rsidRDefault="003D59A8" w:rsidP="00DE6484">
      <w:pPr>
        <w:jc w:val="both"/>
        <w:rPr>
          <w:rFonts w:ascii="Arial" w:hAnsi="Arial" w:cs="Arial"/>
          <w:b/>
          <w:bCs/>
        </w:rPr>
      </w:pPr>
    </w:p>
    <w:p w14:paraId="26082201" w14:textId="0CE79050" w:rsidR="00DE6484" w:rsidRDefault="00DE6484" w:rsidP="00DE6484">
      <w:pPr>
        <w:jc w:val="both"/>
        <w:rPr>
          <w:rFonts w:ascii="Arial" w:hAnsi="Arial" w:cs="Arial"/>
        </w:rPr>
      </w:pPr>
      <w:r w:rsidRPr="00DE6484">
        <w:rPr>
          <w:rFonts w:ascii="Arial" w:hAnsi="Arial" w:cs="Arial"/>
        </w:rPr>
        <w:t xml:space="preserve">Pyrolysis yield and mass loss (burn-off) are key parameters for evaluating the efficiency of converting corncob into activated carbon. For each type of carbon (RMA-2M-400, RMA-2M-500, RMA-2M-600), the values were determined in triplicate (n = 3) and reported as averages. The results (Table 1) show that mass loss increases with activation temperature, while yield decreases, consistent with the findings of </w:t>
      </w:r>
      <w:r w:rsidRPr="00DE6484">
        <w:rPr>
          <w:rFonts w:ascii="Arial" w:hAnsi="Arial" w:cs="Arial"/>
        </w:rPr>
        <w:fldChar w:fldCharType="begin"/>
      </w:r>
      <w:r w:rsidRPr="00DE6484">
        <w:rPr>
          <w:rFonts w:ascii="Arial" w:hAnsi="Arial" w:cs="Arial"/>
        </w:rPr>
        <w:instrText xml:space="preserve"> ADDIN ZOTERO_ITEM CSL_CITATION {"citationID":"LbTJ8smG","properties":{"formattedCitation":"(Lua et Yang 2004)","plainCitation":"(Lua et Yang 2004)","noteIndex":0},"citationItems":[{"id":447,"uris":["http://zotero.org/users/18768689/items/I4FTZWRK"],"itemData":{"id":447,"type":"article-journal","container-title":"Journal of Colloid and Interface Science","DOI":"10.1016/j.jcis.2003.10.001","ISSN":"00219797","issue":"2","journalAbbreviation":"Journal of Colloid and Interface Science","language":"en","license":"https://www.elsevier.com/tdm/userlicense/1.0/","page":"594-601","source":"DOI.org (Crossref)","title":"Effect of activation temperature on the textural and chemical properties of potassium hydroxide activated carbon prepared from pistachio-nut shell","volume":"274","author":[{"family":"Lua","given":"Aik Chong"},{"family":"Yang","given":"Ting"}],"issued":{"date-parts":[["2004",6]]}}}],"schema":"https://github.com/citation-style-language/schema/raw/master/csl-citation.json"} </w:instrText>
      </w:r>
      <w:r w:rsidRPr="00DE6484">
        <w:rPr>
          <w:rFonts w:ascii="Arial" w:hAnsi="Arial" w:cs="Arial"/>
        </w:rPr>
        <w:fldChar w:fldCharType="separate"/>
      </w:r>
      <w:r w:rsidRPr="00DE6484">
        <w:rPr>
          <w:rFonts w:ascii="Arial" w:hAnsi="Arial" w:cs="Arial"/>
        </w:rPr>
        <w:t>Lua et Yang (2004)</w:t>
      </w:r>
      <w:r w:rsidRPr="00DE6484">
        <w:rPr>
          <w:rFonts w:ascii="Arial" w:hAnsi="Arial" w:cs="Arial"/>
        </w:rPr>
        <w:fldChar w:fldCharType="end"/>
      </w:r>
      <w:r w:rsidRPr="00DE6484">
        <w:rPr>
          <w:rFonts w:ascii="Arial" w:hAnsi="Arial" w:cs="Arial"/>
        </w:rPr>
        <w:t xml:space="preserve"> and </w:t>
      </w:r>
      <w:r w:rsidRPr="00DE6484">
        <w:rPr>
          <w:rFonts w:ascii="Arial" w:hAnsi="Arial" w:cs="Arial"/>
        </w:rPr>
        <w:fldChar w:fldCharType="begin"/>
      </w:r>
      <w:r w:rsidRPr="00DE6484">
        <w:rPr>
          <w:rFonts w:ascii="Arial" w:hAnsi="Arial" w:cs="Arial"/>
        </w:rPr>
        <w:instrText xml:space="preserve"> ADDIN ZOTERO_ITEM CSL_CITATION {"citationID":"yBWlmDee","properties":{"formattedCitation":"(Ioannidou et Zabaniotou 2007)","plainCitation":"(Ioannidou et Zabaniotou 2007)","dontUpdate":true,"noteIndex":0},"citationItems":[{"id":448,"uris":["http://zotero.org/users/18768689/items/IVUQXUZR"],"itemData":{"id":448,"type":"article-journal","container-title":"Renewable and Sustainable Energy Reviews","DOI":"10.1016/j.rser.2006.03.013","ISSN":"13640321","issue":"9","journalAbbreviation":"Renewable and Sustainable Energy Reviews","language":"en","page":"1966-2005","source":"DOI.org (Crossref)","title":"Agricultural residues as precursors for activated carbon production—A review","volume":"11","author":[{"family":"Ioannidou","given":"O."},{"family":"Zabaniotou","given":"A."}],"issued":{"date-parts":[["2007",12]]}}}],"schema":"https://github.com/citation-style-language/schema/raw/master/csl-citation.json"} </w:instrText>
      </w:r>
      <w:r w:rsidRPr="00DE6484">
        <w:rPr>
          <w:rFonts w:ascii="Arial" w:hAnsi="Arial" w:cs="Arial"/>
        </w:rPr>
        <w:fldChar w:fldCharType="separate"/>
      </w:r>
      <w:r w:rsidRPr="00DE6484">
        <w:rPr>
          <w:rFonts w:ascii="Arial" w:hAnsi="Arial" w:cs="Arial"/>
        </w:rPr>
        <w:t xml:space="preserve">Ioannidou </w:t>
      </w:r>
      <w:r w:rsidR="003D59A8">
        <w:rPr>
          <w:rFonts w:ascii="Arial" w:hAnsi="Arial" w:cs="Arial"/>
        </w:rPr>
        <w:t>and</w:t>
      </w:r>
      <w:r w:rsidRPr="00DE6484">
        <w:rPr>
          <w:rFonts w:ascii="Arial" w:hAnsi="Arial" w:cs="Arial"/>
        </w:rPr>
        <w:t xml:space="preserve"> Zabaniotou (2007)</w:t>
      </w:r>
      <w:r w:rsidRPr="00DE6484">
        <w:rPr>
          <w:rFonts w:ascii="Arial" w:hAnsi="Arial" w:cs="Arial"/>
        </w:rPr>
        <w:fldChar w:fldCharType="end"/>
      </w:r>
      <w:r w:rsidRPr="00DE6484">
        <w:rPr>
          <w:rFonts w:ascii="Arial" w:hAnsi="Arial" w:cs="Arial"/>
        </w:rPr>
        <w:t xml:space="preserve">. This decrease in yield is attributed first to the primary decomposition of the biomass and subsequently to the secondary decomposition of the carbonaceous residues </w:t>
      </w:r>
      <w:r w:rsidRPr="00DE6484">
        <w:rPr>
          <w:rFonts w:ascii="Arial" w:hAnsi="Arial" w:cs="Arial"/>
        </w:rPr>
        <w:fldChar w:fldCharType="begin"/>
      </w:r>
      <w:r w:rsidRPr="00DE6484">
        <w:rPr>
          <w:rFonts w:ascii="Arial" w:hAnsi="Arial" w:cs="Arial"/>
        </w:rPr>
        <w:instrText xml:space="preserve"> ADDIN ZOTERO_ITEM CSL_CITATION {"citationID":"2d7riyrS","properties":{"formattedCitation":"(Ioannidou et Zabaniotou 2007)","plainCitation":"(Ioannidou et Zabaniotou 2007)","noteIndex":0},"citationItems":[{"id":448,"uris":["http://zotero.org/users/18768689/items/IVUQXUZR"],"itemData":{"id":448,"type":"article-journal","container-title":"Renewable and Sustainable Energy Reviews","DOI":"10.1016/j.rser.2006.03.013","ISSN":"13640321","issue":"9","journalAbbreviation":"Renewable and Sustainable Energy Reviews","language":"en","page":"1966-2005","source":"DOI.org (Crossref)","title":"Agricultural residues as precursors for activated carbon production—A review","volume":"11","author":[{"family":"Ioannidou","given":"O."},{"family":"Zabaniotou","given":"A."}],"issued":{"date-parts":[["2007",12]]}}}],"schema":"https://github.com/citation-style-language/schema/raw/master/csl-citation.json"} </w:instrText>
      </w:r>
      <w:r w:rsidRPr="00DE6484">
        <w:rPr>
          <w:rFonts w:ascii="Arial" w:hAnsi="Arial" w:cs="Arial"/>
        </w:rPr>
        <w:fldChar w:fldCharType="separate"/>
      </w:r>
      <w:r w:rsidRPr="00DE6484">
        <w:rPr>
          <w:rFonts w:ascii="Arial" w:hAnsi="Arial" w:cs="Arial"/>
        </w:rPr>
        <w:t xml:space="preserve">(Ioannidou </w:t>
      </w:r>
      <w:r w:rsidR="003D59A8">
        <w:rPr>
          <w:rFonts w:ascii="Arial" w:hAnsi="Arial" w:cs="Arial"/>
        </w:rPr>
        <w:t>and</w:t>
      </w:r>
      <w:r w:rsidRPr="00DE6484">
        <w:rPr>
          <w:rFonts w:ascii="Arial" w:hAnsi="Arial" w:cs="Arial"/>
        </w:rPr>
        <w:t xml:space="preserve"> Zabaniotou 2007)</w:t>
      </w:r>
      <w:r w:rsidRPr="00DE6484">
        <w:rPr>
          <w:rFonts w:ascii="Arial" w:hAnsi="Arial" w:cs="Arial"/>
        </w:rPr>
        <w:fldChar w:fldCharType="end"/>
      </w:r>
      <w:r w:rsidRPr="00DE6484">
        <w:rPr>
          <w:rFonts w:ascii="Arial" w:hAnsi="Arial" w:cs="Arial"/>
        </w:rPr>
        <w:t>. The yields obtained range from 39.37% to 58.62%. Mass losses greater than 50% were observed at 600 °C, while between 400 and 500 °C they remained below 50%.</w:t>
      </w:r>
    </w:p>
    <w:p w14:paraId="60146791" w14:textId="77777777" w:rsidR="003D59A8" w:rsidRPr="00DE6484" w:rsidRDefault="003D59A8" w:rsidP="00DE6484">
      <w:pPr>
        <w:jc w:val="both"/>
        <w:rPr>
          <w:rFonts w:ascii="Arial" w:hAnsi="Arial" w:cs="Arial"/>
        </w:rPr>
      </w:pPr>
    </w:p>
    <w:p w14:paraId="210D41A1" w14:textId="77777777" w:rsidR="00DE6484" w:rsidRDefault="00DE6484" w:rsidP="00DE6484">
      <w:pPr>
        <w:jc w:val="both"/>
        <w:rPr>
          <w:rFonts w:ascii="Arial" w:hAnsi="Arial" w:cs="Arial"/>
        </w:rPr>
      </w:pPr>
      <w:r w:rsidRPr="00DE6484">
        <w:rPr>
          <w:rFonts w:ascii="Arial" w:hAnsi="Arial" w:cs="Arial"/>
          <w:b/>
          <w:bCs/>
        </w:rPr>
        <w:t>Table 1.</w:t>
      </w:r>
      <w:r w:rsidRPr="00DE6484">
        <w:rPr>
          <w:rFonts w:ascii="Arial" w:hAnsi="Arial" w:cs="Arial"/>
        </w:rPr>
        <w:t xml:space="preserve"> Mass loss and pyrolysis yield of corncob</w:t>
      </w:r>
    </w:p>
    <w:p w14:paraId="39759784" w14:textId="77777777" w:rsidR="003D59A8" w:rsidRPr="00DE6484" w:rsidRDefault="003D59A8" w:rsidP="00DE6484">
      <w:pPr>
        <w:jc w:val="both"/>
        <w:rPr>
          <w:rFonts w:ascii="Arial" w:hAnsi="Arial" w:cs="Arial"/>
        </w:rPr>
      </w:pPr>
    </w:p>
    <w:tbl>
      <w:tblPr>
        <w:tblStyle w:val="Grilledutableau1"/>
        <w:tblW w:w="5382" w:type="pct"/>
        <w:jc w:val="center"/>
        <w:tblBorders>
          <w:left w:val="none" w:sz="0" w:space="0" w:color="auto"/>
          <w:right w:val="none" w:sz="0" w:space="0" w:color="auto"/>
        </w:tblBorders>
        <w:tblLayout w:type="fixed"/>
        <w:tblLook w:val="04A0" w:firstRow="1" w:lastRow="0" w:firstColumn="1" w:lastColumn="0" w:noHBand="0" w:noVBand="1"/>
      </w:tblPr>
      <w:tblGrid>
        <w:gridCol w:w="1795"/>
        <w:gridCol w:w="1518"/>
        <w:gridCol w:w="2900"/>
        <w:gridCol w:w="2622"/>
      </w:tblGrid>
      <w:tr w:rsidR="00DE6484" w:rsidRPr="00DE6484" w14:paraId="63CEB2D7" w14:textId="77777777" w:rsidTr="005E114C">
        <w:trPr>
          <w:trHeight w:val="334"/>
          <w:jc w:val="center"/>
        </w:trPr>
        <w:tc>
          <w:tcPr>
            <w:tcW w:w="1016" w:type="pct"/>
            <w:vMerge w:val="restart"/>
          </w:tcPr>
          <w:p w14:paraId="149B78FC" w14:textId="77777777" w:rsidR="00DE6484" w:rsidRPr="00DE6484" w:rsidRDefault="00DE6484" w:rsidP="00DE6484">
            <w:pPr>
              <w:jc w:val="both"/>
              <w:rPr>
                <w:rFonts w:ascii="Arial" w:eastAsia="Times New Roman" w:hAnsi="Arial" w:cs="Arial"/>
                <w:b/>
                <w:bCs/>
              </w:rPr>
            </w:pPr>
          </w:p>
          <w:p w14:paraId="2B7D1791" w14:textId="77777777" w:rsidR="00DE6484" w:rsidRPr="00DE6484" w:rsidRDefault="00DE6484" w:rsidP="00DE6484">
            <w:pPr>
              <w:jc w:val="both"/>
              <w:rPr>
                <w:rFonts w:ascii="Arial" w:eastAsia="Times New Roman" w:hAnsi="Arial" w:cs="Arial"/>
                <w:b/>
                <w:bCs/>
              </w:rPr>
            </w:pPr>
          </w:p>
          <w:p w14:paraId="78FDDC1B" w14:textId="77777777" w:rsidR="00DE6484" w:rsidRPr="00DE6484" w:rsidRDefault="00DE6484" w:rsidP="00DE6484">
            <w:pPr>
              <w:jc w:val="both"/>
              <w:rPr>
                <w:rFonts w:ascii="Arial" w:eastAsia="Times New Roman" w:hAnsi="Arial" w:cs="Arial"/>
                <w:b/>
                <w:bCs/>
              </w:rPr>
            </w:pPr>
          </w:p>
          <w:p w14:paraId="3DF1EE1F" w14:textId="77777777" w:rsidR="00DE6484" w:rsidRPr="00DE6484" w:rsidRDefault="00DE6484" w:rsidP="00DE6484">
            <w:pPr>
              <w:jc w:val="both"/>
              <w:rPr>
                <w:rFonts w:ascii="Arial" w:eastAsia="Times New Roman" w:hAnsi="Arial" w:cs="Arial"/>
                <w:b/>
                <w:bCs/>
              </w:rPr>
            </w:pPr>
          </w:p>
          <w:p w14:paraId="0548EDE9" w14:textId="77777777" w:rsidR="00DE6484" w:rsidRPr="00DE6484" w:rsidRDefault="00DE6484" w:rsidP="00DE6484">
            <w:pPr>
              <w:jc w:val="both"/>
              <w:rPr>
                <w:rFonts w:ascii="Arial" w:eastAsia="Times New Roman" w:hAnsi="Arial" w:cs="Arial"/>
                <w:b/>
                <w:bCs/>
              </w:rPr>
            </w:pPr>
          </w:p>
          <w:p w14:paraId="59DBC488" w14:textId="77777777" w:rsidR="00DE6484" w:rsidRPr="00DE6484" w:rsidRDefault="00DE6484" w:rsidP="00DE6484">
            <w:pPr>
              <w:jc w:val="both"/>
              <w:rPr>
                <w:rFonts w:ascii="Arial" w:eastAsia="Times New Roman" w:hAnsi="Arial" w:cs="Arial"/>
                <w:b/>
                <w:bCs/>
              </w:rPr>
            </w:pPr>
          </w:p>
          <w:p w14:paraId="5F0F7AC8" w14:textId="77777777" w:rsidR="00DE6484" w:rsidRPr="00DE6484" w:rsidRDefault="00DE6484" w:rsidP="00DE6484">
            <w:pPr>
              <w:jc w:val="both"/>
              <w:rPr>
                <w:rFonts w:ascii="Arial" w:eastAsia="Times New Roman" w:hAnsi="Arial" w:cs="Arial"/>
                <w:b/>
                <w:bCs/>
              </w:rPr>
            </w:pPr>
            <w:r w:rsidRPr="00DE6484">
              <w:rPr>
                <w:rFonts w:ascii="Arial" w:eastAsia="Times New Roman" w:hAnsi="Arial" w:cs="Arial"/>
                <w:b/>
                <w:bCs/>
              </w:rPr>
              <w:t>Activation temperature</w:t>
            </w:r>
          </w:p>
        </w:tc>
        <w:tc>
          <w:tcPr>
            <w:tcW w:w="859" w:type="pct"/>
            <w:vMerge w:val="restart"/>
          </w:tcPr>
          <w:p w14:paraId="6FE641A4" w14:textId="77777777" w:rsidR="00DE6484" w:rsidRPr="00DE6484" w:rsidRDefault="00DE6484" w:rsidP="00DE6484">
            <w:pPr>
              <w:jc w:val="both"/>
              <w:rPr>
                <w:rFonts w:ascii="Arial" w:eastAsia="Times New Roman" w:hAnsi="Arial" w:cs="Arial"/>
                <w:b/>
                <w:bCs/>
              </w:rPr>
            </w:pPr>
          </w:p>
          <w:p w14:paraId="6F711B80" w14:textId="77777777" w:rsidR="00DE6484" w:rsidRPr="00DE6484" w:rsidRDefault="00DE6484" w:rsidP="00DE6484">
            <w:pPr>
              <w:jc w:val="both"/>
              <w:rPr>
                <w:rFonts w:ascii="Arial" w:eastAsia="Times New Roman" w:hAnsi="Arial" w:cs="Arial"/>
                <w:b/>
                <w:bCs/>
              </w:rPr>
            </w:pPr>
          </w:p>
          <w:p w14:paraId="6138DF21" w14:textId="77777777" w:rsidR="00DE6484" w:rsidRPr="00DE6484" w:rsidRDefault="00DE6484" w:rsidP="00DE6484">
            <w:pPr>
              <w:jc w:val="both"/>
              <w:rPr>
                <w:rFonts w:ascii="Arial" w:eastAsia="Times New Roman" w:hAnsi="Arial" w:cs="Arial"/>
                <w:b/>
                <w:bCs/>
              </w:rPr>
            </w:pPr>
          </w:p>
          <w:p w14:paraId="5DD4E8E7" w14:textId="77777777" w:rsidR="00DE6484" w:rsidRPr="00DE6484" w:rsidRDefault="00DE6484" w:rsidP="00DE6484">
            <w:pPr>
              <w:jc w:val="both"/>
              <w:rPr>
                <w:rFonts w:ascii="Arial" w:eastAsia="Times New Roman" w:hAnsi="Arial" w:cs="Arial"/>
                <w:b/>
                <w:bCs/>
              </w:rPr>
            </w:pPr>
          </w:p>
          <w:p w14:paraId="4BF7BFAF" w14:textId="77777777" w:rsidR="00DE6484" w:rsidRPr="00DE6484" w:rsidRDefault="00DE6484" w:rsidP="00DE6484">
            <w:pPr>
              <w:jc w:val="both"/>
              <w:rPr>
                <w:rFonts w:ascii="Arial" w:eastAsia="Times New Roman" w:hAnsi="Arial" w:cs="Arial"/>
                <w:b/>
                <w:bCs/>
              </w:rPr>
            </w:pPr>
          </w:p>
          <w:p w14:paraId="7A816746" w14:textId="77777777" w:rsidR="00DE6484" w:rsidRPr="00DE6484" w:rsidRDefault="00DE6484" w:rsidP="00DE6484">
            <w:pPr>
              <w:jc w:val="both"/>
              <w:rPr>
                <w:rFonts w:ascii="Arial" w:eastAsia="Times New Roman" w:hAnsi="Arial" w:cs="Arial"/>
                <w:b/>
                <w:bCs/>
              </w:rPr>
            </w:pPr>
          </w:p>
          <w:p w14:paraId="5163EC4E" w14:textId="77777777" w:rsidR="00DE6484" w:rsidRPr="00DE6484" w:rsidRDefault="00DE6484" w:rsidP="00DE6484">
            <w:pPr>
              <w:jc w:val="both"/>
              <w:rPr>
                <w:rFonts w:ascii="Arial" w:eastAsia="Times New Roman" w:hAnsi="Arial" w:cs="Arial"/>
                <w:b/>
                <w:bCs/>
              </w:rPr>
            </w:pPr>
          </w:p>
          <w:p w14:paraId="016D3A31" w14:textId="77777777" w:rsidR="00DE6484" w:rsidRPr="00DE6484" w:rsidRDefault="00DE6484" w:rsidP="00DE6484">
            <w:pPr>
              <w:jc w:val="both"/>
              <w:rPr>
                <w:rFonts w:ascii="Arial" w:eastAsia="Times New Roman" w:hAnsi="Arial" w:cs="Arial"/>
                <w:b/>
                <w:bCs/>
              </w:rPr>
            </w:pPr>
            <w:r w:rsidRPr="00DE6484">
              <w:rPr>
                <w:rFonts w:ascii="Arial" w:eastAsia="Times New Roman" w:hAnsi="Arial" w:cs="Arial"/>
                <w:b/>
                <w:bCs/>
              </w:rPr>
              <w:t>Samples</w:t>
            </w:r>
          </w:p>
        </w:tc>
        <w:tc>
          <w:tcPr>
            <w:tcW w:w="1641" w:type="pct"/>
          </w:tcPr>
          <w:p w14:paraId="565E12B6" w14:textId="77777777" w:rsidR="00DE6484" w:rsidRPr="00DE6484" w:rsidRDefault="00DE6484" w:rsidP="00DE6484">
            <w:pPr>
              <w:jc w:val="both"/>
              <w:rPr>
                <w:rFonts w:ascii="Arial" w:eastAsia="Times New Roman" w:hAnsi="Arial" w:cs="Arial"/>
                <w:b/>
                <w:bCs/>
              </w:rPr>
            </w:pPr>
          </w:p>
          <w:p w14:paraId="7200B0B3" w14:textId="77777777" w:rsidR="00DE6484" w:rsidRPr="00DE6484" w:rsidRDefault="00DE6484" w:rsidP="00DE6484">
            <w:pPr>
              <w:jc w:val="both"/>
              <w:rPr>
                <w:rFonts w:ascii="Arial" w:eastAsia="Times New Roman" w:hAnsi="Arial" w:cs="Arial"/>
                <w:b/>
                <w:bCs/>
              </w:rPr>
            </w:pPr>
          </w:p>
          <w:p w14:paraId="1F87AD81" w14:textId="77777777" w:rsidR="00DE6484" w:rsidRPr="00DE6484" w:rsidRDefault="00DE6484" w:rsidP="00DE6484">
            <w:pPr>
              <w:jc w:val="both"/>
              <w:rPr>
                <w:rFonts w:ascii="Arial" w:eastAsia="Times New Roman" w:hAnsi="Arial" w:cs="Arial"/>
                <w:b/>
                <w:bCs/>
              </w:rPr>
            </w:pPr>
            <w:r w:rsidRPr="00DE6484">
              <w:rPr>
                <w:rFonts w:ascii="Arial" w:eastAsia="Times New Roman" w:hAnsi="Arial" w:cs="Arial"/>
                <w:b/>
                <w:bCs/>
              </w:rPr>
              <w:t>Mass loss</w:t>
            </w:r>
          </w:p>
        </w:tc>
        <w:tc>
          <w:tcPr>
            <w:tcW w:w="1484" w:type="pct"/>
          </w:tcPr>
          <w:p w14:paraId="3317E5B0" w14:textId="77777777" w:rsidR="00DE6484" w:rsidRPr="00DE6484" w:rsidRDefault="00DE6484" w:rsidP="00DE6484">
            <w:pPr>
              <w:jc w:val="both"/>
              <w:rPr>
                <w:rFonts w:ascii="Arial" w:eastAsia="Times New Roman" w:hAnsi="Arial" w:cs="Arial"/>
                <w:b/>
                <w:bCs/>
              </w:rPr>
            </w:pPr>
          </w:p>
          <w:p w14:paraId="36D350C7" w14:textId="77777777" w:rsidR="00DE6484" w:rsidRPr="00DE6484" w:rsidRDefault="00DE6484" w:rsidP="00DE6484">
            <w:pPr>
              <w:jc w:val="both"/>
              <w:rPr>
                <w:rFonts w:ascii="Arial" w:eastAsia="Times New Roman" w:hAnsi="Arial" w:cs="Arial"/>
                <w:b/>
                <w:bCs/>
              </w:rPr>
            </w:pPr>
            <w:r w:rsidRPr="00DE6484">
              <w:rPr>
                <w:rFonts w:ascii="Arial" w:eastAsia="Times New Roman" w:hAnsi="Arial" w:cs="Arial"/>
                <w:b/>
                <w:bCs/>
              </w:rPr>
              <w:t>Yield after pyrolysis (corn cobs)</w:t>
            </w:r>
          </w:p>
        </w:tc>
      </w:tr>
      <w:tr w:rsidR="00DE6484" w:rsidRPr="00DE6484" w14:paraId="0C435668" w14:textId="77777777" w:rsidTr="005E114C">
        <w:trPr>
          <w:trHeight w:val="861"/>
          <w:jc w:val="center"/>
        </w:trPr>
        <w:tc>
          <w:tcPr>
            <w:tcW w:w="1016" w:type="pct"/>
            <w:vMerge/>
          </w:tcPr>
          <w:p w14:paraId="0BAFC610" w14:textId="77777777" w:rsidR="00DE6484" w:rsidRPr="00DE6484" w:rsidRDefault="00DE6484" w:rsidP="00DE6484">
            <w:pPr>
              <w:jc w:val="both"/>
              <w:rPr>
                <w:rFonts w:ascii="Arial" w:eastAsia="Times New Roman" w:hAnsi="Arial" w:cs="Arial"/>
              </w:rPr>
            </w:pPr>
          </w:p>
        </w:tc>
        <w:tc>
          <w:tcPr>
            <w:tcW w:w="859" w:type="pct"/>
            <w:vMerge/>
          </w:tcPr>
          <w:p w14:paraId="714E1320" w14:textId="77777777" w:rsidR="00DE6484" w:rsidRPr="00DE6484" w:rsidRDefault="00DE6484" w:rsidP="00DE6484">
            <w:pPr>
              <w:jc w:val="both"/>
              <w:rPr>
                <w:rFonts w:ascii="Arial" w:eastAsia="Times New Roman" w:hAnsi="Arial" w:cs="Arial"/>
              </w:rPr>
            </w:pPr>
          </w:p>
        </w:tc>
        <w:tc>
          <w:tcPr>
            <w:tcW w:w="1641" w:type="pct"/>
          </w:tcPr>
          <w:p w14:paraId="5B409F1F" w14:textId="77777777" w:rsidR="00DE6484" w:rsidRPr="00DE6484" w:rsidRDefault="00DE6484" w:rsidP="00DE6484">
            <w:pPr>
              <w:jc w:val="both"/>
              <w:rPr>
                <w:rFonts w:ascii="Arial" w:eastAsia="Times New Roman" w:hAnsi="Arial" w:cs="Arial"/>
              </w:rPr>
            </w:pPr>
          </w:p>
          <w:p w14:paraId="592542B3" w14:textId="524D9650" w:rsidR="00DE6484" w:rsidRPr="00DE6484" w:rsidRDefault="00DE6484" w:rsidP="00DE6484">
            <w:pPr>
              <w:jc w:val="both"/>
              <w:rPr>
                <w:rFonts w:ascii="Arial" w:eastAsia="Times New Roman" w:hAnsi="Arial" w:cs="Arial"/>
              </w:rPr>
            </w:pPr>
            <m:oMathPara>
              <m:oMath>
                <m:r>
                  <m:rPr>
                    <m:sty m:val="p"/>
                  </m:rPr>
                  <w:rPr>
                    <w:rFonts w:ascii="Cambria Math" w:hAnsi="Cambria Math" w:cs="Arial"/>
                  </w:rPr>
                  <m:t>∆m</m:t>
                </m:r>
                <m:d>
                  <m:dPr>
                    <m:ctrlPr>
                      <w:rPr>
                        <w:rFonts w:ascii="Cambria Math" w:hAnsi="Cambria Math" w:cs="Arial"/>
                        <w:iCs/>
                      </w:rPr>
                    </m:ctrlPr>
                  </m:dPr>
                  <m:e>
                    <m:r>
                      <m:rPr>
                        <m:sty m:val="p"/>
                      </m:rPr>
                      <w:rPr>
                        <w:rFonts w:ascii="Cambria Math" w:hAnsi="Cambria Math" w:cs="Arial"/>
                      </w:rPr>
                      <m:t>g</m:t>
                    </m:r>
                  </m:e>
                </m:d>
              </m:oMath>
            </m:oMathPara>
          </w:p>
          <w:p w14:paraId="057CB016" w14:textId="77777777" w:rsidR="00DE6484" w:rsidRPr="00DE6484" w:rsidRDefault="00DE6484" w:rsidP="00DE6484">
            <w:pPr>
              <w:jc w:val="both"/>
              <w:rPr>
                <w:rFonts w:ascii="Arial" w:eastAsia="Times New Roman" w:hAnsi="Arial" w:cs="Arial"/>
              </w:rPr>
            </w:pPr>
          </w:p>
        </w:tc>
        <w:tc>
          <w:tcPr>
            <w:tcW w:w="1484" w:type="pct"/>
          </w:tcPr>
          <w:p w14:paraId="1B7BF46A" w14:textId="77777777" w:rsidR="00DE6484" w:rsidRPr="00DE6484" w:rsidRDefault="00DE6484" w:rsidP="00DE6484">
            <w:pPr>
              <w:jc w:val="both"/>
              <w:rPr>
                <w:rFonts w:ascii="Arial" w:eastAsia="Times New Roman" w:hAnsi="Arial" w:cs="Arial"/>
              </w:rPr>
            </w:pPr>
          </w:p>
          <w:p w14:paraId="7D5C57BA" w14:textId="77777777" w:rsidR="00DE6484" w:rsidRPr="00DE6484" w:rsidRDefault="00DE6484" w:rsidP="00DE6484">
            <w:pPr>
              <w:jc w:val="both"/>
              <w:rPr>
                <w:rFonts w:ascii="Arial" w:eastAsia="Times New Roman" w:hAnsi="Arial" w:cs="Arial"/>
              </w:rPr>
            </w:pPr>
            <w:r w:rsidRPr="00DE6484">
              <w:rPr>
                <w:rFonts w:ascii="Arial" w:eastAsia="Times New Roman" w:hAnsi="Arial" w:cs="Arial"/>
              </w:rPr>
              <w:t>(</w:t>
            </w:r>
            <w:proofErr w:type="spellStart"/>
            <w:r w:rsidRPr="00DE6484">
              <w:rPr>
                <w:rFonts w:ascii="Arial" w:eastAsia="Times New Roman" w:hAnsi="Arial" w:cs="Arial"/>
              </w:rPr>
              <w:t>Rdt</w:t>
            </w:r>
            <w:proofErr w:type="spellEnd"/>
            <w:r w:rsidRPr="00DE6484">
              <w:rPr>
                <w:rFonts w:ascii="Arial" w:eastAsia="Times New Roman" w:hAnsi="Arial" w:cs="Arial"/>
              </w:rPr>
              <w:t xml:space="preserve"> (%) ± SD)</w:t>
            </w:r>
          </w:p>
          <w:p w14:paraId="5A9E76E0" w14:textId="77777777" w:rsidR="00DE6484" w:rsidRPr="00DE6484" w:rsidRDefault="00DE6484" w:rsidP="00DE6484">
            <w:pPr>
              <w:jc w:val="both"/>
              <w:rPr>
                <w:rFonts w:ascii="Arial" w:eastAsia="Times New Roman" w:hAnsi="Arial" w:cs="Arial"/>
              </w:rPr>
            </w:pPr>
          </w:p>
        </w:tc>
      </w:tr>
      <w:tr w:rsidR="00DE6484" w:rsidRPr="00DE6484" w14:paraId="40DB8564" w14:textId="77777777" w:rsidTr="005E114C">
        <w:trPr>
          <w:trHeight w:val="304"/>
          <w:jc w:val="center"/>
        </w:trPr>
        <w:tc>
          <w:tcPr>
            <w:tcW w:w="1016" w:type="pct"/>
          </w:tcPr>
          <w:p w14:paraId="0E567DE5" w14:textId="77777777" w:rsidR="00DE6484" w:rsidRPr="00DE6484" w:rsidRDefault="00DE6484" w:rsidP="00DE6484">
            <w:pPr>
              <w:jc w:val="both"/>
              <w:rPr>
                <w:rFonts w:ascii="Arial" w:eastAsia="Times New Roman" w:hAnsi="Arial" w:cs="Arial"/>
              </w:rPr>
            </w:pPr>
          </w:p>
          <w:p w14:paraId="272870D1" w14:textId="77777777" w:rsidR="00DE6484" w:rsidRPr="00DE6484" w:rsidRDefault="00DE6484" w:rsidP="00DE6484">
            <w:pPr>
              <w:jc w:val="both"/>
              <w:rPr>
                <w:rFonts w:ascii="Arial" w:eastAsia="Times New Roman" w:hAnsi="Arial" w:cs="Arial"/>
              </w:rPr>
            </w:pPr>
            <w:r w:rsidRPr="00DE6484">
              <w:rPr>
                <w:rFonts w:ascii="Arial" w:eastAsia="Times New Roman" w:hAnsi="Arial" w:cs="Arial"/>
              </w:rPr>
              <w:t>400 °C</w:t>
            </w:r>
          </w:p>
          <w:p w14:paraId="557CC55C" w14:textId="77777777" w:rsidR="00DE6484" w:rsidRPr="00DE6484" w:rsidRDefault="00DE6484" w:rsidP="00DE6484">
            <w:pPr>
              <w:jc w:val="both"/>
              <w:rPr>
                <w:rFonts w:ascii="Arial" w:eastAsia="Times New Roman" w:hAnsi="Arial" w:cs="Arial"/>
              </w:rPr>
            </w:pPr>
          </w:p>
        </w:tc>
        <w:tc>
          <w:tcPr>
            <w:tcW w:w="859" w:type="pct"/>
          </w:tcPr>
          <w:p w14:paraId="2EAC468B" w14:textId="77777777" w:rsidR="00DE6484" w:rsidRPr="00DE6484" w:rsidRDefault="00DE6484" w:rsidP="00DE6484">
            <w:pPr>
              <w:jc w:val="both"/>
              <w:rPr>
                <w:rFonts w:ascii="Arial" w:eastAsia="Times New Roman" w:hAnsi="Arial" w:cs="Arial"/>
              </w:rPr>
            </w:pPr>
          </w:p>
          <w:p w14:paraId="221B2075" w14:textId="77777777" w:rsidR="00DE6484" w:rsidRPr="00DE6484" w:rsidRDefault="00DE6484" w:rsidP="00DE6484">
            <w:pPr>
              <w:jc w:val="both"/>
              <w:rPr>
                <w:rFonts w:ascii="Arial" w:eastAsia="Times New Roman" w:hAnsi="Arial" w:cs="Arial"/>
              </w:rPr>
            </w:pPr>
            <w:r w:rsidRPr="00DE6484">
              <w:rPr>
                <w:rFonts w:ascii="Arial" w:eastAsia="Times New Roman" w:hAnsi="Arial" w:cs="Arial"/>
              </w:rPr>
              <w:t>RMA-2M-400</w:t>
            </w:r>
          </w:p>
          <w:p w14:paraId="05B8F9CE" w14:textId="77777777" w:rsidR="00DE6484" w:rsidRPr="00DE6484" w:rsidRDefault="00DE6484" w:rsidP="00DE6484">
            <w:pPr>
              <w:jc w:val="both"/>
              <w:rPr>
                <w:rFonts w:ascii="Arial" w:eastAsia="Times New Roman" w:hAnsi="Arial" w:cs="Arial"/>
              </w:rPr>
            </w:pPr>
          </w:p>
        </w:tc>
        <w:tc>
          <w:tcPr>
            <w:tcW w:w="1641" w:type="pct"/>
          </w:tcPr>
          <w:p w14:paraId="24540A63" w14:textId="77777777" w:rsidR="00DE6484" w:rsidRPr="00DE6484" w:rsidRDefault="00DE6484" w:rsidP="00DE6484">
            <w:pPr>
              <w:jc w:val="both"/>
              <w:rPr>
                <w:rFonts w:ascii="Arial" w:eastAsia="Times New Roman" w:hAnsi="Arial" w:cs="Arial"/>
              </w:rPr>
            </w:pPr>
          </w:p>
          <w:p w14:paraId="471F346F" w14:textId="77777777" w:rsidR="00DE6484" w:rsidRPr="00DE6484" w:rsidRDefault="00DE6484" w:rsidP="00DE6484">
            <w:pPr>
              <w:jc w:val="both"/>
              <w:rPr>
                <w:rFonts w:ascii="Arial" w:eastAsia="Times New Roman" w:hAnsi="Arial" w:cs="Arial"/>
              </w:rPr>
            </w:pPr>
            <w:r w:rsidRPr="00DE6484">
              <w:rPr>
                <w:rFonts w:ascii="Arial" w:eastAsia="Times New Roman" w:hAnsi="Arial" w:cs="Arial"/>
              </w:rPr>
              <w:t xml:space="preserve">41.37 </w:t>
            </w:r>
            <w:r w:rsidRPr="00DE6484">
              <w:rPr>
                <w:rFonts w:ascii="Arial" w:eastAsia="Times New Roman" w:hAnsi="Arial" w:cs="Arial"/>
                <w:b/>
                <w:bCs/>
              </w:rPr>
              <w:t>± 0,18%</w:t>
            </w:r>
          </w:p>
          <w:p w14:paraId="132B5035" w14:textId="77777777" w:rsidR="00DE6484" w:rsidRPr="00DE6484" w:rsidRDefault="00DE6484" w:rsidP="00DE6484">
            <w:pPr>
              <w:jc w:val="both"/>
              <w:rPr>
                <w:rFonts w:ascii="Arial" w:eastAsia="Times New Roman" w:hAnsi="Arial" w:cs="Arial"/>
              </w:rPr>
            </w:pPr>
          </w:p>
        </w:tc>
        <w:tc>
          <w:tcPr>
            <w:tcW w:w="1484" w:type="pct"/>
          </w:tcPr>
          <w:p w14:paraId="7FB0B879" w14:textId="77777777" w:rsidR="00DE6484" w:rsidRPr="00DE6484" w:rsidRDefault="00DE6484" w:rsidP="00DE6484">
            <w:pPr>
              <w:jc w:val="both"/>
              <w:rPr>
                <w:rFonts w:ascii="Arial" w:hAnsi="Arial" w:cs="Arial"/>
              </w:rPr>
            </w:pPr>
          </w:p>
          <w:p w14:paraId="39A1F524" w14:textId="77777777" w:rsidR="00DE6484" w:rsidRPr="00DE6484" w:rsidRDefault="00DE6484" w:rsidP="00DE6484">
            <w:pPr>
              <w:jc w:val="both"/>
              <w:rPr>
                <w:rFonts w:ascii="Arial" w:eastAsia="Times New Roman" w:hAnsi="Arial" w:cs="Arial"/>
              </w:rPr>
            </w:pPr>
            <w:r w:rsidRPr="00DE6484">
              <w:rPr>
                <w:rFonts w:ascii="Arial" w:hAnsi="Arial" w:cs="Arial"/>
                <w:b/>
                <w:bCs/>
              </w:rPr>
              <w:t>58.62 ± 0,18%</w:t>
            </w:r>
          </w:p>
          <w:p w14:paraId="1546313C" w14:textId="77777777" w:rsidR="00DE6484" w:rsidRPr="00DE6484" w:rsidRDefault="00DE6484" w:rsidP="00DE6484">
            <w:pPr>
              <w:jc w:val="both"/>
              <w:rPr>
                <w:rFonts w:ascii="Arial" w:eastAsia="Times New Roman" w:hAnsi="Arial" w:cs="Arial"/>
              </w:rPr>
            </w:pPr>
          </w:p>
        </w:tc>
      </w:tr>
      <w:tr w:rsidR="00DE6484" w:rsidRPr="00DE6484" w14:paraId="72811876" w14:textId="77777777" w:rsidTr="005E114C">
        <w:trPr>
          <w:trHeight w:val="480"/>
          <w:jc w:val="center"/>
        </w:trPr>
        <w:tc>
          <w:tcPr>
            <w:tcW w:w="1016" w:type="pct"/>
          </w:tcPr>
          <w:p w14:paraId="409928D1" w14:textId="77777777" w:rsidR="00DE6484" w:rsidRPr="00DE6484" w:rsidRDefault="00DE6484" w:rsidP="00DE6484">
            <w:pPr>
              <w:jc w:val="both"/>
              <w:rPr>
                <w:rFonts w:ascii="Arial" w:eastAsia="Times New Roman" w:hAnsi="Arial" w:cs="Arial"/>
              </w:rPr>
            </w:pPr>
            <w:bookmarkStart w:id="2" w:name="_Hlk205307727"/>
          </w:p>
          <w:p w14:paraId="4EBFAB72" w14:textId="77777777" w:rsidR="00DE6484" w:rsidRPr="00DE6484" w:rsidRDefault="00DE6484" w:rsidP="00DE6484">
            <w:pPr>
              <w:jc w:val="both"/>
              <w:rPr>
                <w:rFonts w:ascii="Arial" w:eastAsia="Times New Roman" w:hAnsi="Arial" w:cs="Arial"/>
              </w:rPr>
            </w:pPr>
            <w:r w:rsidRPr="00DE6484">
              <w:rPr>
                <w:rFonts w:ascii="Arial" w:eastAsia="Times New Roman" w:hAnsi="Arial" w:cs="Arial"/>
              </w:rPr>
              <w:t>500 °C</w:t>
            </w:r>
          </w:p>
          <w:p w14:paraId="2A21263B" w14:textId="77777777" w:rsidR="00DE6484" w:rsidRPr="00DE6484" w:rsidRDefault="00DE6484" w:rsidP="00DE6484">
            <w:pPr>
              <w:jc w:val="both"/>
              <w:rPr>
                <w:rFonts w:ascii="Arial" w:eastAsia="Times New Roman" w:hAnsi="Arial" w:cs="Arial"/>
              </w:rPr>
            </w:pPr>
          </w:p>
        </w:tc>
        <w:tc>
          <w:tcPr>
            <w:tcW w:w="859" w:type="pct"/>
          </w:tcPr>
          <w:p w14:paraId="54C47BE6" w14:textId="77777777" w:rsidR="00DE6484" w:rsidRPr="00DE6484" w:rsidRDefault="00DE6484" w:rsidP="00DE6484">
            <w:pPr>
              <w:jc w:val="both"/>
              <w:rPr>
                <w:rFonts w:ascii="Arial" w:eastAsia="Times New Roman" w:hAnsi="Arial" w:cs="Arial"/>
              </w:rPr>
            </w:pPr>
          </w:p>
          <w:p w14:paraId="10D217ED" w14:textId="77777777" w:rsidR="00DE6484" w:rsidRPr="00DE6484" w:rsidRDefault="00DE6484" w:rsidP="00DE6484">
            <w:pPr>
              <w:jc w:val="both"/>
              <w:rPr>
                <w:rFonts w:ascii="Arial" w:eastAsia="Times New Roman" w:hAnsi="Arial" w:cs="Arial"/>
              </w:rPr>
            </w:pPr>
            <w:r w:rsidRPr="00DE6484">
              <w:rPr>
                <w:rFonts w:ascii="Arial" w:eastAsia="Times New Roman" w:hAnsi="Arial" w:cs="Arial"/>
              </w:rPr>
              <w:t>RMA-2M-500</w:t>
            </w:r>
          </w:p>
          <w:p w14:paraId="66EC8BC1" w14:textId="77777777" w:rsidR="00DE6484" w:rsidRPr="00DE6484" w:rsidRDefault="00DE6484" w:rsidP="00DE6484">
            <w:pPr>
              <w:jc w:val="both"/>
              <w:rPr>
                <w:rFonts w:ascii="Arial" w:eastAsia="Times New Roman" w:hAnsi="Arial" w:cs="Arial"/>
              </w:rPr>
            </w:pPr>
          </w:p>
        </w:tc>
        <w:tc>
          <w:tcPr>
            <w:tcW w:w="1641" w:type="pct"/>
          </w:tcPr>
          <w:p w14:paraId="1BBA4ED8" w14:textId="77777777" w:rsidR="00DE6484" w:rsidRPr="00DE6484" w:rsidRDefault="00DE6484" w:rsidP="00DE6484">
            <w:pPr>
              <w:jc w:val="both"/>
              <w:rPr>
                <w:rFonts w:ascii="Arial" w:eastAsia="Times New Roman" w:hAnsi="Arial" w:cs="Arial"/>
              </w:rPr>
            </w:pPr>
          </w:p>
          <w:p w14:paraId="556F853E" w14:textId="77777777" w:rsidR="00DE6484" w:rsidRPr="00DE6484" w:rsidRDefault="00DE6484" w:rsidP="00DE6484">
            <w:pPr>
              <w:jc w:val="both"/>
              <w:rPr>
                <w:rFonts w:ascii="Arial" w:eastAsia="Times New Roman" w:hAnsi="Arial" w:cs="Arial"/>
              </w:rPr>
            </w:pPr>
            <w:r w:rsidRPr="00DE6484">
              <w:rPr>
                <w:rFonts w:ascii="Arial" w:eastAsia="Times New Roman" w:hAnsi="Arial" w:cs="Arial"/>
              </w:rPr>
              <w:t xml:space="preserve">45.27 </w:t>
            </w:r>
            <w:r w:rsidRPr="00DE6484">
              <w:rPr>
                <w:rFonts w:ascii="Arial" w:hAnsi="Arial" w:cs="Arial"/>
                <w:b/>
                <w:bCs/>
              </w:rPr>
              <w:t>± 0,22</w:t>
            </w:r>
          </w:p>
          <w:p w14:paraId="32576E05" w14:textId="77777777" w:rsidR="00DE6484" w:rsidRPr="00DE6484" w:rsidRDefault="00DE6484" w:rsidP="00DE6484">
            <w:pPr>
              <w:jc w:val="both"/>
              <w:rPr>
                <w:rFonts w:ascii="Arial" w:eastAsia="Times New Roman" w:hAnsi="Arial" w:cs="Arial"/>
              </w:rPr>
            </w:pPr>
          </w:p>
        </w:tc>
        <w:tc>
          <w:tcPr>
            <w:tcW w:w="1484" w:type="pct"/>
          </w:tcPr>
          <w:p w14:paraId="5F248F21" w14:textId="77777777" w:rsidR="00DE6484" w:rsidRPr="00DE6484" w:rsidRDefault="00DE6484" w:rsidP="00DE6484">
            <w:pPr>
              <w:jc w:val="both"/>
              <w:rPr>
                <w:rFonts w:ascii="Arial" w:hAnsi="Arial" w:cs="Arial"/>
              </w:rPr>
            </w:pPr>
          </w:p>
          <w:p w14:paraId="1893D29C" w14:textId="77777777" w:rsidR="00DE6484" w:rsidRPr="00DE6484" w:rsidRDefault="00DE6484" w:rsidP="00DE6484">
            <w:pPr>
              <w:jc w:val="both"/>
              <w:rPr>
                <w:rFonts w:ascii="Arial" w:eastAsia="Times New Roman" w:hAnsi="Arial" w:cs="Arial"/>
                <w:b/>
                <w:bCs/>
              </w:rPr>
            </w:pPr>
            <w:r w:rsidRPr="00DE6484">
              <w:rPr>
                <w:rFonts w:ascii="Arial" w:hAnsi="Arial" w:cs="Arial"/>
                <w:b/>
                <w:bCs/>
              </w:rPr>
              <w:t>54.72 ± 0,22</w:t>
            </w:r>
          </w:p>
          <w:p w14:paraId="7A037A8B" w14:textId="77777777" w:rsidR="00DE6484" w:rsidRPr="00DE6484" w:rsidRDefault="00DE6484" w:rsidP="00DE6484">
            <w:pPr>
              <w:jc w:val="both"/>
              <w:rPr>
                <w:rFonts w:ascii="Arial" w:eastAsia="Times New Roman" w:hAnsi="Arial" w:cs="Arial"/>
                <w:b/>
                <w:bCs/>
              </w:rPr>
            </w:pPr>
          </w:p>
        </w:tc>
      </w:tr>
      <w:tr w:rsidR="00DE6484" w:rsidRPr="00DE6484" w14:paraId="3A1FEED1" w14:textId="77777777" w:rsidTr="005E114C">
        <w:trPr>
          <w:trHeight w:val="378"/>
          <w:jc w:val="center"/>
        </w:trPr>
        <w:tc>
          <w:tcPr>
            <w:tcW w:w="1016" w:type="pct"/>
          </w:tcPr>
          <w:p w14:paraId="5D944B58" w14:textId="77777777" w:rsidR="00DE6484" w:rsidRPr="00DE6484" w:rsidRDefault="00DE6484" w:rsidP="00DE6484">
            <w:pPr>
              <w:jc w:val="both"/>
              <w:rPr>
                <w:rFonts w:ascii="Arial" w:eastAsia="Times New Roman" w:hAnsi="Arial" w:cs="Arial"/>
              </w:rPr>
            </w:pPr>
          </w:p>
          <w:p w14:paraId="1D1B5F24" w14:textId="77777777" w:rsidR="00DE6484" w:rsidRPr="00DE6484" w:rsidRDefault="00DE6484" w:rsidP="00DE6484">
            <w:pPr>
              <w:jc w:val="both"/>
              <w:rPr>
                <w:rFonts w:ascii="Arial" w:eastAsia="Times New Roman" w:hAnsi="Arial" w:cs="Arial"/>
              </w:rPr>
            </w:pPr>
            <w:r w:rsidRPr="00DE6484">
              <w:rPr>
                <w:rFonts w:ascii="Arial" w:eastAsia="Times New Roman" w:hAnsi="Arial" w:cs="Arial"/>
              </w:rPr>
              <w:t>600 °C</w:t>
            </w:r>
          </w:p>
          <w:p w14:paraId="3E1D9855" w14:textId="77777777" w:rsidR="00DE6484" w:rsidRPr="00DE6484" w:rsidRDefault="00DE6484" w:rsidP="00DE6484">
            <w:pPr>
              <w:jc w:val="both"/>
              <w:rPr>
                <w:rFonts w:ascii="Arial" w:eastAsia="Times New Roman" w:hAnsi="Arial" w:cs="Arial"/>
              </w:rPr>
            </w:pPr>
          </w:p>
        </w:tc>
        <w:tc>
          <w:tcPr>
            <w:tcW w:w="859" w:type="pct"/>
          </w:tcPr>
          <w:p w14:paraId="1069CDD2" w14:textId="77777777" w:rsidR="00DE6484" w:rsidRPr="00DE6484" w:rsidRDefault="00DE6484" w:rsidP="00DE6484">
            <w:pPr>
              <w:jc w:val="both"/>
              <w:rPr>
                <w:rFonts w:ascii="Arial" w:eastAsia="Times New Roman" w:hAnsi="Arial" w:cs="Arial"/>
              </w:rPr>
            </w:pPr>
          </w:p>
          <w:p w14:paraId="4609BC11" w14:textId="77777777" w:rsidR="00DE6484" w:rsidRPr="00DE6484" w:rsidRDefault="00DE6484" w:rsidP="00DE6484">
            <w:pPr>
              <w:jc w:val="both"/>
              <w:rPr>
                <w:rFonts w:ascii="Arial" w:eastAsia="Times New Roman" w:hAnsi="Arial" w:cs="Arial"/>
              </w:rPr>
            </w:pPr>
            <w:r w:rsidRPr="00DE6484">
              <w:rPr>
                <w:rFonts w:ascii="Arial" w:eastAsia="Times New Roman" w:hAnsi="Arial" w:cs="Arial"/>
              </w:rPr>
              <w:t>RMA-2M-600</w:t>
            </w:r>
          </w:p>
          <w:p w14:paraId="7E80BCA7" w14:textId="77777777" w:rsidR="00DE6484" w:rsidRPr="00DE6484" w:rsidRDefault="00DE6484" w:rsidP="00DE6484">
            <w:pPr>
              <w:jc w:val="both"/>
              <w:rPr>
                <w:rFonts w:ascii="Arial" w:eastAsia="Times New Roman" w:hAnsi="Arial" w:cs="Arial"/>
              </w:rPr>
            </w:pPr>
          </w:p>
        </w:tc>
        <w:tc>
          <w:tcPr>
            <w:tcW w:w="1641" w:type="pct"/>
          </w:tcPr>
          <w:p w14:paraId="2BD242C3" w14:textId="77777777" w:rsidR="00DE6484" w:rsidRPr="00DE6484" w:rsidRDefault="00DE6484" w:rsidP="00DE6484">
            <w:pPr>
              <w:jc w:val="both"/>
              <w:rPr>
                <w:rFonts w:ascii="Arial" w:eastAsia="Times New Roman" w:hAnsi="Arial" w:cs="Arial"/>
              </w:rPr>
            </w:pPr>
          </w:p>
          <w:p w14:paraId="3C58027D" w14:textId="77777777" w:rsidR="00DE6484" w:rsidRPr="00DE6484" w:rsidRDefault="00DE6484" w:rsidP="00DE6484">
            <w:pPr>
              <w:jc w:val="both"/>
              <w:rPr>
                <w:rFonts w:ascii="Arial" w:eastAsia="Times New Roman" w:hAnsi="Arial" w:cs="Arial"/>
              </w:rPr>
            </w:pPr>
            <w:r w:rsidRPr="00DE6484">
              <w:rPr>
                <w:rFonts w:ascii="Arial" w:eastAsia="Times New Roman" w:hAnsi="Arial" w:cs="Arial"/>
              </w:rPr>
              <w:t xml:space="preserve">60.62 </w:t>
            </w:r>
            <w:r w:rsidRPr="00DE6484">
              <w:rPr>
                <w:rFonts w:ascii="Arial" w:hAnsi="Arial" w:cs="Arial"/>
                <w:b/>
                <w:bCs/>
              </w:rPr>
              <w:t>± 0,20</w:t>
            </w:r>
          </w:p>
          <w:p w14:paraId="17645279" w14:textId="77777777" w:rsidR="00DE6484" w:rsidRPr="00DE6484" w:rsidRDefault="00DE6484" w:rsidP="00DE6484">
            <w:pPr>
              <w:jc w:val="both"/>
              <w:rPr>
                <w:rFonts w:ascii="Arial" w:eastAsia="Times New Roman" w:hAnsi="Arial" w:cs="Arial"/>
              </w:rPr>
            </w:pPr>
          </w:p>
        </w:tc>
        <w:tc>
          <w:tcPr>
            <w:tcW w:w="1484" w:type="pct"/>
          </w:tcPr>
          <w:p w14:paraId="7EBCB65B" w14:textId="77777777" w:rsidR="00DE6484" w:rsidRPr="00DE6484" w:rsidRDefault="00DE6484" w:rsidP="00DE6484">
            <w:pPr>
              <w:jc w:val="both"/>
              <w:rPr>
                <w:rFonts w:ascii="Arial" w:eastAsia="Times New Roman" w:hAnsi="Arial" w:cs="Arial"/>
              </w:rPr>
            </w:pPr>
          </w:p>
          <w:p w14:paraId="28ACCF6D" w14:textId="77777777" w:rsidR="00DE6484" w:rsidRPr="00DE6484" w:rsidRDefault="00DE6484" w:rsidP="00DE6484">
            <w:pPr>
              <w:jc w:val="both"/>
              <w:rPr>
                <w:rFonts w:ascii="Arial" w:eastAsia="Times New Roman" w:hAnsi="Arial" w:cs="Arial"/>
                <w:b/>
                <w:bCs/>
              </w:rPr>
            </w:pPr>
            <w:r w:rsidRPr="00DE6484">
              <w:rPr>
                <w:rFonts w:ascii="Arial" w:hAnsi="Arial" w:cs="Arial"/>
                <w:b/>
                <w:bCs/>
              </w:rPr>
              <w:t>39.38 ± 0,20</w:t>
            </w:r>
          </w:p>
          <w:p w14:paraId="089E4093" w14:textId="77777777" w:rsidR="00DE6484" w:rsidRPr="00DE6484" w:rsidRDefault="00DE6484" w:rsidP="00DE6484">
            <w:pPr>
              <w:jc w:val="both"/>
              <w:rPr>
                <w:rFonts w:ascii="Arial" w:hAnsi="Arial" w:cs="Arial"/>
                <w:b/>
                <w:bCs/>
              </w:rPr>
            </w:pPr>
          </w:p>
        </w:tc>
      </w:tr>
      <w:bookmarkEnd w:id="2"/>
    </w:tbl>
    <w:p w14:paraId="7619903B" w14:textId="77777777" w:rsidR="00DE6484" w:rsidRPr="00DE6484" w:rsidRDefault="00DE6484" w:rsidP="00DE6484">
      <w:pPr>
        <w:jc w:val="both"/>
        <w:rPr>
          <w:rFonts w:ascii="Arial" w:hAnsi="Arial" w:cs="Arial"/>
        </w:rPr>
      </w:pPr>
    </w:p>
    <w:p w14:paraId="4DBF0C23" w14:textId="06F4D120" w:rsidR="00DE6484" w:rsidRPr="00DE6484" w:rsidRDefault="00DE6484" w:rsidP="00DE6484">
      <w:pPr>
        <w:jc w:val="both"/>
        <w:rPr>
          <w:rFonts w:ascii="Arial" w:hAnsi="Arial" w:cs="Arial"/>
        </w:rPr>
      </w:pPr>
      <w:r w:rsidRPr="00DE6484">
        <w:rPr>
          <w:rFonts w:ascii="Arial" w:hAnsi="Arial" w:cs="Arial"/>
        </w:rPr>
        <w:t xml:space="preserve">The burn-off represents the fraction of organic matter removed during chemical activation. The measured values are 41.37% (RMA-2M-400), 45.27% (RMA-2M-500), and 60.62% (RMA-2M-600). Increasing the pyrolysis temperature leads to higher mass loss as a result of enhanced thermal degradation of lignocellulosic components (hemicellulose, cellulose, lignin). At low temperatures (200–300 °C), only a limited fraction of volatile compounds is released, whereas at higher temperatures (400–600 °C) decomposition becomes more pronounced, thereby increasing mass loss </w:t>
      </w:r>
      <w:r w:rsidRPr="00DE6484">
        <w:rPr>
          <w:rFonts w:ascii="Arial" w:hAnsi="Arial" w:cs="Arial"/>
        </w:rPr>
        <w:fldChar w:fldCharType="begin"/>
      </w:r>
      <w:r w:rsidRPr="00DE6484">
        <w:rPr>
          <w:rFonts w:ascii="Arial" w:hAnsi="Arial" w:cs="Arial"/>
        </w:rPr>
        <w:instrText xml:space="preserve"> ADDIN ZOTERO_ITEM CSL_CITATION {"citationID":"tJOZJNDB","properties":{"formattedCitation":"(Ioannidou et Zabaniotou 2007; Demirbas 2004)","plainCitation":"(Ioannidou et Zabaniotou 2007; Demirbas 2004)","noteIndex":0},"citationItems":[{"id":448,"uris":["http://zotero.org/users/18768689/items/IVUQXUZR"],"itemData":{"id":448,"type":"article-journal","container-title":"Renewable and Sustainable Energy Reviews","DOI":"10.1016/j.rser.2006.03.013","ISSN":"13640321","issue":"9","journalAbbreviation":"Renewable and Sustainable Energy Reviews","language":"en","page":"1966-2005","source":"DOI.org (Crossref)","title":"Agricultural residues as precursors for activated carbon production—A review","volume":"11","author":[{"family":"Ioannidou","given":"O."},{"family":"Zabaniotou","given":"A."}],"issued":{"date-parts":[["2007",12]]}}},{"id":449,"uris":["http://zotero.org/users/18768689/items/HTDQ2EC6"],"itemData":{"id":449,"type":"article-journal","container-title":"Progress in Energy and Combustion Science","DOI":"10.1016/j.pecs.2003.10.004","ISSN":"03601285","issue":"2","journalAbbreviation":"Progress in Energy and Combustion Science","language":"en","license":"https://www.elsevier.com/tdm/userlicense/1.0/","page":"219-230","source":"DOI.org (Crossref)","title":"Combustion characteristics of different biomass fuels","volume":"30","author":[{"family":"Demirbas","given":"A"}],"issued":{"date-parts":[["2004"]]}}}],"schema":"https://github.com/citation-style-language/schema/raw/master/csl-citation.json"} </w:instrText>
      </w:r>
      <w:r w:rsidRPr="00DE6484">
        <w:rPr>
          <w:rFonts w:ascii="Arial" w:hAnsi="Arial" w:cs="Arial"/>
        </w:rPr>
        <w:fldChar w:fldCharType="separate"/>
      </w:r>
      <w:r w:rsidRPr="00DE6484">
        <w:rPr>
          <w:rFonts w:ascii="Arial" w:hAnsi="Arial" w:cs="Arial"/>
        </w:rPr>
        <w:t xml:space="preserve">(Ioannidou </w:t>
      </w:r>
      <w:r w:rsidR="003D59A8">
        <w:rPr>
          <w:rFonts w:ascii="Arial" w:hAnsi="Arial" w:cs="Arial"/>
        </w:rPr>
        <w:t>and</w:t>
      </w:r>
      <w:r w:rsidRPr="00DE6484">
        <w:rPr>
          <w:rFonts w:ascii="Arial" w:hAnsi="Arial" w:cs="Arial"/>
        </w:rPr>
        <w:t xml:space="preserve"> Zabaniotou 2007; Demirbas 2004)</w:t>
      </w:r>
      <w:r w:rsidRPr="00DE6484">
        <w:rPr>
          <w:rFonts w:ascii="Arial" w:hAnsi="Arial" w:cs="Arial"/>
        </w:rPr>
        <w:fldChar w:fldCharType="end"/>
      </w:r>
      <w:r w:rsidRPr="00DE6484">
        <w:rPr>
          <w:rFonts w:ascii="Arial" w:hAnsi="Arial" w:cs="Arial"/>
        </w:rPr>
        <w:t>.</w:t>
      </w:r>
    </w:p>
    <w:p w14:paraId="3541795A" w14:textId="385D41F0" w:rsidR="00DE6484" w:rsidRPr="00DE6484" w:rsidRDefault="00DE6484" w:rsidP="00DE6484">
      <w:pPr>
        <w:jc w:val="both"/>
        <w:rPr>
          <w:rFonts w:ascii="Arial" w:hAnsi="Arial" w:cs="Arial"/>
        </w:rPr>
      </w:pPr>
      <w:r w:rsidRPr="00DE6484">
        <w:rPr>
          <w:rFonts w:ascii="Arial" w:hAnsi="Arial" w:cs="Arial"/>
        </w:rPr>
        <w:t>For H</w:t>
      </w:r>
      <w:r w:rsidRPr="00DE6484">
        <w:rPr>
          <w:rFonts w:ascii="Arial" w:hAnsi="Arial" w:cs="Arial"/>
          <w:vertAlign w:val="subscript"/>
        </w:rPr>
        <w:t>3</w:t>
      </w:r>
      <w:r w:rsidRPr="00DE6484">
        <w:rPr>
          <w:rFonts w:ascii="Arial" w:hAnsi="Arial" w:cs="Arial"/>
        </w:rPr>
        <w:t>PO</w:t>
      </w:r>
      <w:r w:rsidRPr="00DE6484">
        <w:rPr>
          <w:rFonts w:ascii="Arial" w:hAnsi="Arial" w:cs="Arial"/>
          <w:vertAlign w:val="subscript"/>
        </w:rPr>
        <w:t xml:space="preserve">4 </w:t>
      </w:r>
      <w:r w:rsidRPr="00DE6484">
        <w:rPr>
          <w:rFonts w:ascii="Arial" w:hAnsi="Arial" w:cs="Arial"/>
        </w:rPr>
        <w:t xml:space="preserve">activated carbons, typical burn-off values of approximately 20–50% are frequently reported and depend on the impregnation ratio, temperature, and activation time </w:t>
      </w:r>
      <w:r w:rsidRPr="00DE6484">
        <w:rPr>
          <w:rFonts w:ascii="Arial" w:hAnsi="Arial" w:cs="Arial"/>
        </w:rPr>
        <w:fldChar w:fldCharType="begin"/>
      </w:r>
      <w:r w:rsidRPr="00DE6484">
        <w:rPr>
          <w:rFonts w:ascii="Arial" w:hAnsi="Arial" w:cs="Arial"/>
        </w:rPr>
        <w:instrText xml:space="preserve"> ADDIN ZOTERO_ITEM CSL_CITATION {"citationID":"2nQQ1fmF","properties":{"formattedCitation":"(Ioannidou et Zabaniotou 2007; Jagtoyen et Derbyshire 1998)","plainCitation":"(Ioannidou et Zabaniotou 2007; Jagtoyen et Derbyshire 1998)","noteIndex":0},"citationItems":[{"id":448,"uris":["http://zotero.org/users/18768689/items/IVUQXUZR"],"itemData":{"id":448,"type":"article-journal","container-title":"Renewable and Sustainable Energy Reviews","DOI":"10.1016/j.rser.2006.03.013","ISSN":"13640321","issue":"9","journalAbbreviation":"Renewable and Sustainable Energy Reviews","language":"en","page":"1966-2005","source":"DOI.org (Crossref)","title":"Agricultural residues as precursors for activated carbon production—A review","volume":"11","author":[{"family":"Ioannidou","given":"O."},{"family":"Zabaniotou","given":"A."}],"issued":{"date-parts":[["2007",12]]}}},{"id":319,"uris":["http://zotero.org/users/18768689/items/IZ82NSGD"],"itemData":{"id":319,"type":"article-journal","container-title":"Carbon","DOI":"10.1016/S0008-6223(98)00082-7","ISSN":"00086223","issue":"7-8","journalAbbreviation":"Carbon","language":"en","license":"https://www.elsevier.com/tdm/userlicense/1.0/","page":"1085-1097","source":"DOI.org (Crossref)","title":"Activated carbons from yellow poplar and white oak by H3PO4 activation","volume":"36","author":[{"family":"Jagtoyen","given":"Marit"},{"family":"Derbyshire","given":"Frank"}],"issued":{"date-parts":[["1998"]]}}}],"schema":"https://github.com/citation-style-language/schema/raw/master/csl-citation.json"} </w:instrText>
      </w:r>
      <w:r w:rsidRPr="00DE6484">
        <w:rPr>
          <w:rFonts w:ascii="Arial" w:hAnsi="Arial" w:cs="Arial"/>
        </w:rPr>
        <w:fldChar w:fldCharType="separate"/>
      </w:r>
      <w:r w:rsidRPr="00DE6484">
        <w:rPr>
          <w:rFonts w:ascii="Arial" w:hAnsi="Arial" w:cs="Arial"/>
        </w:rPr>
        <w:t xml:space="preserve">(Ioannidou </w:t>
      </w:r>
      <w:r w:rsidR="003D59A8">
        <w:rPr>
          <w:rFonts w:ascii="Arial" w:hAnsi="Arial" w:cs="Arial"/>
        </w:rPr>
        <w:t>and</w:t>
      </w:r>
      <w:r w:rsidRPr="00DE6484">
        <w:rPr>
          <w:rFonts w:ascii="Arial" w:hAnsi="Arial" w:cs="Arial"/>
        </w:rPr>
        <w:t xml:space="preserve"> Zabaniotou 2007; Jagtoyen </w:t>
      </w:r>
      <w:r w:rsidR="003D59A8">
        <w:rPr>
          <w:rFonts w:ascii="Arial" w:hAnsi="Arial" w:cs="Arial"/>
        </w:rPr>
        <w:t>and</w:t>
      </w:r>
      <w:r w:rsidRPr="00DE6484">
        <w:rPr>
          <w:rFonts w:ascii="Arial" w:hAnsi="Arial" w:cs="Arial"/>
        </w:rPr>
        <w:t xml:space="preserve"> Derbyshire 1998)</w:t>
      </w:r>
      <w:r w:rsidRPr="00DE6484">
        <w:rPr>
          <w:rFonts w:ascii="Arial" w:hAnsi="Arial" w:cs="Arial"/>
        </w:rPr>
        <w:fldChar w:fldCharType="end"/>
      </w:r>
      <w:r w:rsidRPr="00DE6484">
        <w:rPr>
          <w:rFonts w:ascii="Arial" w:hAnsi="Arial" w:cs="Arial"/>
        </w:rPr>
        <w:t xml:space="preserve">. Orthophosphoric acid acts as a dehydrating agent, promotes the introduction of phosphorus-containing groups (confirmed by FTIR), and facilitates the development of the pore structure </w:t>
      </w:r>
      <w:r w:rsidRPr="00DE6484">
        <w:rPr>
          <w:rFonts w:ascii="Arial" w:hAnsi="Arial" w:cs="Arial"/>
        </w:rPr>
        <w:fldChar w:fldCharType="begin"/>
      </w:r>
      <w:r w:rsidRPr="00DE6484">
        <w:rPr>
          <w:rFonts w:ascii="Arial" w:hAnsi="Arial" w:cs="Arial"/>
        </w:rPr>
        <w:instrText xml:space="preserve"> ADDIN ZOTERO_ITEM CSL_CITATION {"citationID":"u2DXfBlO","properties":{"formattedCitation":"(Jagtoyen et Derbyshire 1998)","plainCitation":"(Jagtoyen et Derbyshire 1998)","noteIndex":0},"citationItems":[{"id":319,"uris":["http://zotero.org/users/18768689/items/IZ82NSGD"],"itemData":{"id":319,"type":"article-journal","container-title":"Carbon","DOI":"10.1016/S0008-6223(98)00082-7","ISSN":"00086223","issue":"7-8","journalAbbreviation":"Carbon","language":"en","license":"https://www.elsevier.com/tdm/userlicense/1.0/","page":"1085-1097","source":"DOI.org (Crossref)","title":"Activated carbons from yellow poplar and white oak by H3PO4 activation","volume":"36","author":[{"family":"Jagtoyen","given":"Marit"},{"family":"Derbyshire","given":"Frank"}],"issued":{"date-parts":[["1998"]]}}}],"schema":"https://github.com/citation-style-language/schema/raw/master/csl-citation.json"} </w:instrText>
      </w:r>
      <w:r w:rsidRPr="00DE6484">
        <w:rPr>
          <w:rFonts w:ascii="Arial" w:hAnsi="Arial" w:cs="Arial"/>
        </w:rPr>
        <w:fldChar w:fldCharType="separate"/>
      </w:r>
      <w:r w:rsidRPr="00DE6484">
        <w:rPr>
          <w:rFonts w:ascii="Arial" w:hAnsi="Arial" w:cs="Arial"/>
        </w:rPr>
        <w:t xml:space="preserve">(Jagtoyen </w:t>
      </w:r>
      <w:r w:rsidR="003D59A8">
        <w:rPr>
          <w:rFonts w:ascii="Arial" w:hAnsi="Arial" w:cs="Arial"/>
        </w:rPr>
        <w:t>and</w:t>
      </w:r>
      <w:r w:rsidRPr="00DE6484">
        <w:rPr>
          <w:rFonts w:ascii="Arial" w:hAnsi="Arial" w:cs="Arial"/>
        </w:rPr>
        <w:t xml:space="preserve"> Derbyshire 1998)</w:t>
      </w:r>
      <w:r w:rsidRPr="00DE6484">
        <w:rPr>
          <w:rFonts w:ascii="Arial" w:hAnsi="Arial" w:cs="Arial"/>
        </w:rPr>
        <w:fldChar w:fldCharType="end"/>
      </w:r>
      <w:r w:rsidRPr="00DE6484">
        <w:rPr>
          <w:rFonts w:ascii="Arial" w:hAnsi="Arial" w:cs="Arial"/>
        </w:rPr>
        <w:t xml:space="preserve">. </w:t>
      </w:r>
      <w:r w:rsidRPr="00DE6484">
        <w:rPr>
          <w:rFonts w:ascii="Arial" w:hAnsi="Arial" w:cs="Arial"/>
        </w:rPr>
        <w:lastRenderedPageBreak/>
        <w:t xml:space="preserve">A burn-off in the range of 30–60% is generally associated with good development of micro-/mesopores and high adsorption capacities </w:t>
      </w:r>
      <w:r w:rsidRPr="00DE6484">
        <w:rPr>
          <w:rFonts w:ascii="Arial" w:hAnsi="Arial" w:cs="Arial"/>
        </w:rPr>
        <w:fldChar w:fldCharType="begin"/>
      </w:r>
      <w:r w:rsidRPr="00DE6484">
        <w:rPr>
          <w:rFonts w:ascii="Arial" w:hAnsi="Arial" w:cs="Arial"/>
        </w:rPr>
        <w:instrText xml:space="preserve"> ADDIN ZOTERO_ITEM CSL_CITATION {"citationID":"mtD0DVCx","properties":{"formattedCitation":"(Molina-Sabio et Rodr\\uc0\\u305{}\\uc0\\u769{}guez-Reinoso 2004; Yeo 2020)","plainCitation":"(Molina-Sabio et Rodrı́guez-Reinoso 2004; Yeo 2020)","noteIndex":0},"citationItems":[{"id":450,"uris":["http://zotero.org/users/18768689/items/3U3S8UY9"],"itemData":{"id":450,"type":"article-journal","container-title":"Colloids and Surfaces A: Physicochemical and Engineering Aspects","DOI":"10.1016/j.colsurfa.2004.04.007","ISSN":"09277757","issue":"1-3","journalAbbreviation":"Colloids and Surfaces A: Physicochemical and Engineering Aspects","language":"en","license":"https://www.elsevier.com/tdm/userlicense/1.0/","page":"15-25","source":"DOI.org (Crossref)","title":"Role of chemical activation in the development of carbon porosity","volume":"241","author":[{"family":"Molina-Sabio","given":"M"},{"family":"Rodrı́guez-Reinoso","given":"F"}],"issued":{"date-parts":[["2004",7]]}}},{"id":317,"uris":["http://zotero.org/users/18768689/items/65TTCR56"],"itemData":{"id":317,"type":"report","genre":"Master de Physique-chimie option Environnement","publisher":"Université Jean Lorougnon Guédé, République de Côte d’Ivoire","title":"Adsorption des colorants des eaux usées sur du charbon actif et brut issu de la coque d’arachide","author":[{"family":"Yeo","given":"N. A"}],"issued":{"date-parts":[["2020"]]}}}],"schema":"https://github.com/citation-style-language/schema/raw/master/csl-citation.json"} </w:instrText>
      </w:r>
      <w:r w:rsidRPr="00DE6484">
        <w:rPr>
          <w:rFonts w:ascii="Arial" w:hAnsi="Arial" w:cs="Arial"/>
        </w:rPr>
        <w:fldChar w:fldCharType="separate"/>
      </w:r>
      <w:r w:rsidRPr="00DE6484">
        <w:rPr>
          <w:rFonts w:ascii="Arial" w:hAnsi="Arial" w:cs="Arial"/>
        </w:rPr>
        <w:t>(Molina-Sabio et Rodrı́guez-Reinoso 2004; Yeo 2020)</w:t>
      </w:r>
      <w:r w:rsidRPr="00DE6484">
        <w:rPr>
          <w:rFonts w:ascii="Arial" w:hAnsi="Arial" w:cs="Arial"/>
        </w:rPr>
        <w:fldChar w:fldCharType="end"/>
      </w:r>
      <w:r w:rsidRPr="00DE6484">
        <w:rPr>
          <w:rFonts w:ascii="Arial" w:hAnsi="Arial" w:cs="Arial"/>
        </w:rPr>
        <w:t xml:space="preserve">, while a burn-off greater than 60% may indicate over-activation and weakening of the carbon matrix </w:t>
      </w:r>
      <w:r w:rsidRPr="00DE6484">
        <w:rPr>
          <w:rFonts w:ascii="Arial" w:hAnsi="Arial" w:cs="Arial"/>
        </w:rPr>
        <w:fldChar w:fldCharType="begin"/>
      </w:r>
      <w:r w:rsidRPr="00DE6484">
        <w:rPr>
          <w:rFonts w:ascii="Arial" w:hAnsi="Arial" w:cs="Arial"/>
        </w:rPr>
        <w:instrText xml:space="preserve"> ADDIN ZOTERO_ITEM CSL_CITATION {"citationID":"RYL1eX07","properties":{"formattedCitation":"(Ioannidou et Zabaniotou 2007)","plainCitation":"(Ioannidou et Zabaniotou 2007)","noteIndex":0},"citationItems":[{"id":448,"uris":["http://zotero.org/users/18768689/items/IVUQXUZR"],"itemData":{"id":448,"type":"article-journal","container-title":"Renewable and Sustainable Energy Reviews","DOI":"10.1016/j.rser.2006.03.013","ISSN":"13640321","issue":"9","journalAbbreviation":"Renewable and Sustainable Energy Reviews","language":"en","page":"1966-2005","source":"DOI.org (Crossref)","title":"Agricultural residues as precursors for activated carbon production—A review","volume":"11","author":[{"family":"Ioannidou","given":"O."},{"family":"Zabaniotou","given":"A."}],"issued":{"date-parts":[["2007",12]]}}}],"schema":"https://github.com/citation-style-language/schema/raw/master/csl-citation.json"} </w:instrText>
      </w:r>
      <w:r w:rsidRPr="00DE6484">
        <w:rPr>
          <w:rFonts w:ascii="Arial" w:hAnsi="Arial" w:cs="Arial"/>
        </w:rPr>
        <w:fldChar w:fldCharType="separate"/>
      </w:r>
      <w:r w:rsidRPr="00DE6484">
        <w:rPr>
          <w:rFonts w:ascii="Arial" w:hAnsi="Arial" w:cs="Arial"/>
        </w:rPr>
        <w:t xml:space="preserve">(Ioannidou </w:t>
      </w:r>
      <w:r w:rsidR="003D59A8">
        <w:rPr>
          <w:rFonts w:ascii="Arial" w:hAnsi="Arial" w:cs="Arial"/>
        </w:rPr>
        <w:t>and</w:t>
      </w:r>
      <w:r w:rsidRPr="00DE6484">
        <w:rPr>
          <w:rFonts w:ascii="Arial" w:hAnsi="Arial" w:cs="Arial"/>
        </w:rPr>
        <w:t xml:space="preserve"> Zabaniotou 2007)</w:t>
      </w:r>
      <w:r w:rsidRPr="00DE6484">
        <w:rPr>
          <w:rFonts w:ascii="Arial" w:hAnsi="Arial" w:cs="Arial"/>
        </w:rPr>
        <w:fldChar w:fldCharType="end"/>
      </w:r>
      <w:r w:rsidRPr="00DE6484">
        <w:rPr>
          <w:rFonts w:ascii="Arial" w:hAnsi="Arial" w:cs="Arial"/>
        </w:rPr>
        <w:t>.</w:t>
      </w:r>
    </w:p>
    <w:p w14:paraId="2BD934FC" w14:textId="77777777" w:rsidR="00DE6484" w:rsidRPr="00DE6484" w:rsidRDefault="00DE6484" w:rsidP="00DE6484">
      <w:pPr>
        <w:jc w:val="both"/>
        <w:rPr>
          <w:rFonts w:ascii="Arial" w:hAnsi="Arial" w:cs="Arial"/>
        </w:rPr>
      </w:pPr>
      <w:r w:rsidRPr="00DE6484">
        <w:rPr>
          <w:rFonts w:ascii="Arial" w:hAnsi="Arial" w:cs="Arial"/>
        </w:rPr>
        <w:t>In this context, RMA-2M-400 and RMA-2M-500 (41.37% and 45.27%) fall within the favorable range. RMA-2M-600 (60.62%) is at the upper threshold, suggesting increased pore opening (higher mesoporosity and possible emergence of macropores) and a potential risk of over-activation.</w:t>
      </w:r>
    </w:p>
    <w:p w14:paraId="46D25F5E" w14:textId="44D2B6A1" w:rsidR="00DE6484" w:rsidRPr="00DE6484" w:rsidRDefault="00DE6484" w:rsidP="00DE6484">
      <w:pPr>
        <w:jc w:val="both"/>
        <w:rPr>
          <w:rFonts w:ascii="Arial" w:hAnsi="Arial" w:cs="Arial"/>
        </w:rPr>
      </w:pPr>
      <w:r w:rsidRPr="00DE6484">
        <w:rPr>
          <w:rFonts w:ascii="Arial" w:hAnsi="Arial" w:cs="Arial"/>
        </w:rPr>
        <w:t xml:space="preserve">After pyrolysis, the measured yields are 58.62% (RMA-2M-400), 54.72% (RMA-2M-500), and 39.37% (RMA-2M-600). Yield, defined as the ratio of the mass of carbon obtained to the initial biomass mass, decreases as temperature increases, reflecting greater mass losses. At high temperatures, thermolabile organic compounds volatilize, reducing the amount of residual carbonaceous material </w:t>
      </w:r>
      <w:r w:rsidRPr="00DE6484">
        <w:rPr>
          <w:rFonts w:ascii="Arial" w:hAnsi="Arial" w:cs="Arial"/>
        </w:rPr>
        <w:fldChar w:fldCharType="begin"/>
      </w:r>
      <w:r w:rsidRPr="00DE6484">
        <w:rPr>
          <w:rFonts w:ascii="Arial" w:hAnsi="Arial" w:cs="Arial"/>
        </w:rPr>
        <w:instrText xml:space="preserve"> ADDIN ZOTERO_ITEM CSL_CITATION {"citationID":"pnFMPqYv","properties":{"formattedCitation":"(Lua et Yang 2004)","plainCitation":"(Lua et Yang 2004)","noteIndex":0},"citationItems":[{"id":447,"uris":["http://zotero.org/users/18768689/items/I4FTZWRK"],"itemData":{"id":447,"type":"article-journal","container-title":"Journal of Colloid and Interface Science","DOI":"10.1016/j.jcis.2003.10.001","ISSN":"00219797","issue":"2","journalAbbreviation":"Journal of Colloid and Interface Science","language":"en","license":"https://www.elsevier.com/tdm/userlicense/1.0/","page":"594-601","source":"DOI.org (Crossref)","title":"Effect of activation temperature on the textural and chemical properties of potassium hydroxide activated carbon prepared from pistachio-nut shell","volume":"274","author":[{"family":"Lua","given":"Aik Chong"},{"family":"Yang","given":"Ting"}],"issued":{"date-parts":[["2004",6]]}}}],"schema":"https://github.com/citation-style-language/schema/raw/master/csl-citation.json"} </w:instrText>
      </w:r>
      <w:r w:rsidRPr="00DE6484">
        <w:rPr>
          <w:rFonts w:ascii="Arial" w:hAnsi="Arial" w:cs="Arial"/>
        </w:rPr>
        <w:fldChar w:fldCharType="separate"/>
      </w:r>
      <w:r w:rsidRPr="00DE6484">
        <w:rPr>
          <w:rFonts w:ascii="Arial" w:hAnsi="Arial" w:cs="Arial"/>
        </w:rPr>
        <w:t xml:space="preserve">(Lua </w:t>
      </w:r>
      <w:r w:rsidR="003D59A8">
        <w:rPr>
          <w:rFonts w:ascii="Arial" w:hAnsi="Arial" w:cs="Arial"/>
        </w:rPr>
        <w:t>and</w:t>
      </w:r>
      <w:r w:rsidRPr="00DE6484">
        <w:rPr>
          <w:rFonts w:ascii="Arial" w:hAnsi="Arial" w:cs="Arial"/>
        </w:rPr>
        <w:t xml:space="preserve"> Yang 2004)</w:t>
      </w:r>
      <w:r w:rsidRPr="00DE6484">
        <w:rPr>
          <w:rFonts w:ascii="Arial" w:hAnsi="Arial" w:cs="Arial"/>
        </w:rPr>
        <w:fldChar w:fldCharType="end"/>
      </w:r>
      <w:r w:rsidRPr="00DE6484">
        <w:rPr>
          <w:rFonts w:ascii="Arial" w:hAnsi="Arial" w:cs="Arial"/>
        </w:rPr>
        <w:t xml:space="preserve">. The resulting material (activated carbon) is lightweight, highly porous, and rich in carbon </w:t>
      </w:r>
      <w:r w:rsidRPr="00DE6484">
        <w:rPr>
          <w:rFonts w:ascii="Arial" w:hAnsi="Arial" w:cs="Arial"/>
        </w:rPr>
        <w:fldChar w:fldCharType="begin"/>
      </w:r>
      <w:r w:rsidRPr="00DE6484">
        <w:rPr>
          <w:rFonts w:ascii="Arial" w:hAnsi="Arial" w:cs="Arial"/>
        </w:rPr>
        <w:instrText xml:space="preserve"> ADDIN ZOTERO_ITEM CSL_CITATION {"citationID":"zoQtStmO","properties":{"formattedCitation":"(ResearchGate, s.\\uc0\\u160{}d.)","plainCitation":"(ResearchGate, s. d.)","noteIndex":0},"citationItems":[{"id":451,"uris":["http://zotero.org/users/18768689/items/S7PYENIX"],"itemData":{"id":451,"type":"webpage","abstract":"PDF | On Jan 1, 2013, S.E. Allaire and others published Le biochar dans les milieux poreux : Une solution miracle en environnement ? | Find, read and cite all the research you need on ResearchGate","container-title":"ResearchGate","language":"en","title":"(PDF) Le biochar dans les milieux poreux : Une solution miracle en environnement ?","title-short":"(PDF) Le biochar dans les milieux poreux","URL":"https://www.researchgate.net/publication/308071666_Le_biochar_dans_les_milieux_poreux_Une_solution_miracle_en_environnement","accessed":{"date-parts":[["2025",11,30]]}}}],"schema":"https://github.com/citation-style-language/schema/raw/master/csl-citation.json"} </w:instrText>
      </w:r>
      <w:r w:rsidRPr="00DE6484">
        <w:rPr>
          <w:rFonts w:ascii="Arial" w:hAnsi="Arial" w:cs="Arial"/>
        </w:rPr>
        <w:fldChar w:fldCharType="separate"/>
      </w:r>
      <w:r w:rsidRPr="00DE6484">
        <w:rPr>
          <w:rFonts w:ascii="Arial" w:hAnsi="Arial" w:cs="Arial"/>
        </w:rPr>
        <w:t>(Allaire and Lange, 2013)</w:t>
      </w:r>
      <w:r w:rsidRPr="00DE6484">
        <w:rPr>
          <w:rFonts w:ascii="Arial" w:hAnsi="Arial" w:cs="Arial"/>
        </w:rPr>
        <w:fldChar w:fldCharType="end"/>
      </w:r>
      <w:r w:rsidRPr="00DE6484">
        <w:rPr>
          <w:rFonts w:ascii="Arial" w:hAnsi="Arial" w:cs="Arial"/>
        </w:rPr>
        <w:t xml:space="preserve">. Consequently, higher pyrolysis temperatures produce more porous activated carbons with higher fixed carbon content, but in smaller quantities </w:t>
      </w:r>
      <w:r w:rsidRPr="00DE6484">
        <w:rPr>
          <w:rFonts w:ascii="Arial" w:hAnsi="Arial" w:cs="Arial"/>
        </w:rPr>
        <w:fldChar w:fldCharType="begin"/>
      </w:r>
      <w:r w:rsidRPr="00DE6484">
        <w:rPr>
          <w:rFonts w:ascii="Arial" w:hAnsi="Arial" w:cs="Arial"/>
        </w:rPr>
        <w:instrText xml:space="preserve"> ADDIN ZOTERO_ITEM CSL_CITATION {"citationID":"4zqW9DYG","properties":{"formattedCitation":"(Lua et Yang 2004)","plainCitation":"(Lua et Yang 2004)","noteIndex":0},"citationItems":[{"id":447,"uris":["http://zotero.org/users/18768689/items/I4FTZWRK"],"itemData":{"id":447,"type":"article-journal","container-title":"Journal of Colloid and Interface Science","DOI":"10.1016/j.jcis.2003.10.001","ISSN":"00219797","issue":"2","journalAbbreviation":"Journal of Colloid and Interface Science","language":"en","license":"https://www.elsevier.com/tdm/userlicense/1.0/","page":"594-601","source":"DOI.org (Crossref)","title":"Effect of activation temperature on the textural and chemical properties of potassium hydroxide activated carbon prepared from pistachio-nut shell","volume":"274","author":[{"family":"Lua","given":"Aik Chong"},{"family":"Yang","given":"Ting"}],"issued":{"date-parts":[["2004",6]]}}}],"schema":"https://github.com/citation-style-language/schema/raw/master/csl-citation.json"} </w:instrText>
      </w:r>
      <w:r w:rsidRPr="00DE6484">
        <w:rPr>
          <w:rFonts w:ascii="Arial" w:hAnsi="Arial" w:cs="Arial"/>
        </w:rPr>
        <w:fldChar w:fldCharType="separate"/>
      </w:r>
      <w:r w:rsidRPr="00DE6484">
        <w:rPr>
          <w:rFonts w:ascii="Arial" w:hAnsi="Arial" w:cs="Arial"/>
        </w:rPr>
        <w:t>(Lua et Yang 2004)</w:t>
      </w:r>
      <w:r w:rsidRPr="00DE6484">
        <w:rPr>
          <w:rFonts w:ascii="Arial" w:hAnsi="Arial" w:cs="Arial"/>
        </w:rPr>
        <w:fldChar w:fldCharType="end"/>
      </w:r>
      <w:r w:rsidRPr="00DE6484">
        <w:rPr>
          <w:rFonts w:ascii="Arial" w:hAnsi="Arial" w:cs="Arial"/>
        </w:rPr>
        <w:t>.</w:t>
      </w:r>
    </w:p>
    <w:p w14:paraId="0FA17F5B" w14:textId="51771909" w:rsidR="00DE6484" w:rsidRDefault="00DE6484" w:rsidP="00DE6484">
      <w:pPr>
        <w:jc w:val="both"/>
        <w:rPr>
          <w:rFonts w:ascii="Arial" w:hAnsi="Arial" w:cs="Arial"/>
        </w:rPr>
      </w:pPr>
      <w:r w:rsidRPr="00DE6484">
        <w:rPr>
          <w:rFonts w:ascii="Arial" w:hAnsi="Arial" w:cs="Arial"/>
        </w:rPr>
        <w:t>The yield of 54.72% obtained at 500 °C with H</w:t>
      </w:r>
      <w:r w:rsidRPr="00DE6484">
        <w:rPr>
          <w:rFonts w:ascii="Arial" w:hAnsi="Arial" w:cs="Arial"/>
          <w:vertAlign w:val="subscript"/>
        </w:rPr>
        <w:t>3</w:t>
      </w:r>
      <w:r w:rsidRPr="00DE6484">
        <w:rPr>
          <w:rFonts w:ascii="Arial" w:hAnsi="Arial" w:cs="Arial"/>
        </w:rPr>
        <w:t>PO</w:t>
      </w:r>
      <w:r w:rsidRPr="00DE6484">
        <w:rPr>
          <w:rFonts w:ascii="Arial" w:hAnsi="Arial" w:cs="Arial"/>
          <w:vertAlign w:val="subscript"/>
        </w:rPr>
        <w:t xml:space="preserve">4 </w:t>
      </w:r>
      <w:r w:rsidRPr="00DE6484">
        <w:rPr>
          <w:rFonts w:ascii="Arial" w:hAnsi="Arial" w:cs="Arial"/>
        </w:rPr>
        <w:t xml:space="preserve">is slightly higher than the value reported by  </w:t>
      </w:r>
      <w:r w:rsidRPr="00DE6484">
        <w:rPr>
          <w:rFonts w:ascii="Arial" w:hAnsi="Arial" w:cs="Arial"/>
        </w:rPr>
        <w:fldChar w:fldCharType="begin"/>
      </w:r>
      <w:r w:rsidRPr="00DE6484">
        <w:rPr>
          <w:rFonts w:ascii="Arial" w:hAnsi="Arial" w:cs="Arial"/>
        </w:rPr>
        <w:instrText xml:space="preserve"> ADDIN ZOTERO_ITEM CSL_CITATION {"citationID":"75yx9I5Y","properties":{"formattedCitation":"(Rodr\\uc0\\u237{}guez Arana et Mazzoco 2010)","plainCitation":"(Rodríguez Arana et Mazzoco 2010)","dontUpdate":true,"noteIndex":0},"citationItems":[{"id":453,"uris":["http://zotero.org/users/18768689/items/LW7CLFKC"],"itemData":{"id":453,"type":"article-journal","container-title":"Journal of Hazardous Materials","DOI":"10.1016/j.jhazmat.2010.04.086","ISSN":"03043894","issue":"1-3","journalAbbreviation":"Journal of Hazardous Materials","language":"en","license":"https://www.elsevier.com/tdm/userlicense/1.0/","page":"656-661","source":"DOI.org (Crossref)","title":"Adsorption studies of methylene blue and phenol onto black stone cherries prepared by chemical activation","volume":"180","author":[{"family":"Rodríguez Arana","given":"José María Ramos"},{"family":"Mazzoco","given":"René Reyes"}],"issued":{"date-parts":[["2010",8,15]]}}}],"schema":"https://github.com/citation-style-language/schema/raw/master/csl-citation.json"} </w:instrText>
      </w:r>
      <w:r w:rsidRPr="00DE6484">
        <w:rPr>
          <w:rFonts w:ascii="Arial" w:hAnsi="Arial" w:cs="Arial"/>
        </w:rPr>
        <w:fldChar w:fldCharType="separate"/>
      </w:r>
      <w:r w:rsidRPr="00DE6484">
        <w:rPr>
          <w:rFonts w:ascii="Arial" w:hAnsi="Arial" w:cs="Arial"/>
        </w:rPr>
        <w:t>Rodríguez Arana and Mazzoco (2010)</w:t>
      </w:r>
      <w:r w:rsidRPr="00DE6484">
        <w:rPr>
          <w:rFonts w:ascii="Arial" w:hAnsi="Arial" w:cs="Arial"/>
        </w:rPr>
        <w:fldChar w:fldCharType="end"/>
      </w:r>
      <w:r w:rsidRPr="00DE6484">
        <w:rPr>
          <w:rFonts w:ascii="Arial" w:hAnsi="Arial" w:cs="Arial"/>
        </w:rPr>
        <w:t xml:space="preserve"> (48.16%) for black cherry shells impregnated with phosphoric acid and activated between 500 and 550 °C. This difference may be attributed to the concentration of the activating agent and the nature of the biomass, two parameters known to influence yield </w:t>
      </w:r>
      <w:r w:rsidRPr="00DE6484">
        <w:rPr>
          <w:rFonts w:ascii="Arial" w:hAnsi="Arial" w:cs="Arial"/>
        </w:rPr>
        <w:fldChar w:fldCharType="begin"/>
      </w:r>
      <w:r w:rsidRPr="00DE6484">
        <w:rPr>
          <w:rFonts w:ascii="Arial" w:hAnsi="Arial" w:cs="Arial"/>
        </w:rPr>
        <w:instrText xml:space="preserve"> ADDIN ZOTERO_ITEM CSL_CITATION {"citationID":"hStnqTHf","properties":{"formattedCitation":"(Kouadio et al. 2022)","plainCitation":"(Kouadio et al. 2022)","noteIndex":0},"citationItems":[{"id":325,"uris":["http://zotero.org/users/18768689/items/BC7S7MN9"],"itemData":{"id":325,"type":"article-journal","abstract":"This work is concerned with the analysis of physical and chemical parameters and the adsorption capacity of activated coals from cocoa pod shells. These shells were crushed by a Retsch SK100 mill and sieved by a Retsch type sieve. Only particles with a diameter of between 0.5 and 1mm were retained. Pyrolysis was carried out at 450°C in a muffle furnace of the Nabatherm 30-3000°C type. The shells were previously impregnated with orthophosphoric acid in concentrations ranging from 5 to 25%. The results indicate pyrolysis yields of less than 50% for all coals. The ash content varies from 19.4% to 3.2%. These activated coals have good porosity with maximum iodine and methylene blue index values of 1472.09mg/g and 606.55mg/g respectively. These characteristics led to the choice of CA10 and 20 coals for adsorption tests with the Blue 16 and methyl red dyes. The equilibrium time obtained during the adsorption of the two dyes on the two types of activated carbons is 60 min. The adsorption kinetics of two dyes follow the pseudo second order model with correlation coefficients greater than 0.9.","language":"fr","source":"Zotero","title":"Etude expérimentale de l’adsorption du bleu 16 et du méthyle rouge sur du charbon issu de la coque de la cabosse de cacao","author":[{"family":"Kouadio","given":"David Léonce"},{"family":"Diarra","given":"Moussa"},{"family":"Djassou","given":"Adjoavi Colette"},{"family":"Dibi","given":"Brou"},{"family":"Dongui","given":"Bini Kouamé"},{"family":"Mamadou","given":"Kone"},{"family":"Traore","given":"Karim Sory"}],"issued":{"date-parts":[["2022"]]}}}],"schema":"https://github.com/citation-style-language/schema/raw/master/csl-citation.json"} </w:instrText>
      </w:r>
      <w:r w:rsidRPr="00DE6484">
        <w:rPr>
          <w:rFonts w:ascii="Arial" w:hAnsi="Arial" w:cs="Arial"/>
        </w:rPr>
        <w:fldChar w:fldCharType="separate"/>
      </w:r>
      <w:r w:rsidRPr="00DE6484">
        <w:rPr>
          <w:rFonts w:ascii="Arial" w:hAnsi="Arial" w:cs="Arial"/>
        </w:rPr>
        <w:t xml:space="preserve">(Kouadio </w:t>
      </w:r>
      <w:r w:rsidR="003D59A8">
        <w:rPr>
          <w:rFonts w:ascii="Arial" w:hAnsi="Arial" w:cs="Arial"/>
        </w:rPr>
        <w:t>and</w:t>
      </w:r>
      <w:r w:rsidRPr="00DE6484">
        <w:rPr>
          <w:rFonts w:ascii="Arial" w:hAnsi="Arial" w:cs="Arial"/>
        </w:rPr>
        <w:t xml:space="preserve"> al. 2022)</w:t>
      </w:r>
      <w:r w:rsidRPr="00DE6484">
        <w:rPr>
          <w:rFonts w:ascii="Arial" w:hAnsi="Arial" w:cs="Arial"/>
        </w:rPr>
        <w:fldChar w:fldCharType="end"/>
      </w:r>
      <w:r w:rsidRPr="00DE6484">
        <w:rPr>
          <w:rFonts w:ascii="Arial" w:hAnsi="Arial" w:cs="Arial"/>
        </w:rPr>
        <w:t xml:space="preserve">. Furthermore, </w:t>
      </w:r>
      <w:r w:rsidRPr="00DE6484">
        <w:rPr>
          <w:rFonts w:ascii="Arial" w:hAnsi="Arial" w:cs="Arial"/>
        </w:rPr>
        <w:fldChar w:fldCharType="begin"/>
      </w:r>
      <w:r w:rsidRPr="00DE6484">
        <w:rPr>
          <w:rFonts w:ascii="Arial" w:hAnsi="Arial" w:cs="Arial"/>
        </w:rPr>
        <w:instrText xml:space="preserve"> ADDIN ZOTERO_ITEM CSL_CITATION {"citationID":"YLcTX7Ss","properties":{"formattedCitation":"(Rodr\\uc0\\u237{}guez Arana et Mazzoco 2010)","plainCitation":"(Rodríguez Arana et Mazzoco 2010)","noteIndex":0},"citationItems":[{"id":453,"uris":["http://zotero.org/users/18768689/items/LW7CLFKC"],"itemData":{"id":453,"type":"article-journal","container-title":"Journal of Hazardous Materials","DOI":"10.1016/j.jhazmat.2010.04.086","ISSN":"03043894","issue":"1-3","journalAbbreviation":"Journal of Hazardous Materials","language":"en","license":"https://www.elsevier.com/tdm/userlicense/1.0/","page":"656-661","source":"DOI.org (Crossref)","title":"Adsorption studies of methylene blue and phenol onto black stone cherries prepared by chemical activation","volume":"180","author":[{"family":"Rodríguez Arana","given":"José María Ramos"},{"family":"Mazzoco","given":"René Reyes"}],"issued":{"date-parts":[["2010",8,15]]}}}],"schema":"https://github.com/citation-style-language/schema/raw/master/csl-citation.json"} </w:instrText>
      </w:r>
      <w:r w:rsidRPr="00DE6484">
        <w:rPr>
          <w:rFonts w:ascii="Arial" w:hAnsi="Arial" w:cs="Arial"/>
        </w:rPr>
        <w:fldChar w:fldCharType="separate"/>
      </w:r>
      <w:r w:rsidRPr="00DE6484">
        <w:rPr>
          <w:rFonts w:ascii="Arial" w:hAnsi="Arial" w:cs="Arial"/>
        </w:rPr>
        <w:t xml:space="preserve">(Rodríguez Arana </w:t>
      </w:r>
      <w:r w:rsidR="003D59A8">
        <w:rPr>
          <w:rFonts w:ascii="Arial" w:hAnsi="Arial" w:cs="Arial"/>
        </w:rPr>
        <w:t>and</w:t>
      </w:r>
      <w:r w:rsidRPr="00DE6484">
        <w:rPr>
          <w:rFonts w:ascii="Arial" w:hAnsi="Arial" w:cs="Arial"/>
        </w:rPr>
        <w:t xml:space="preserve"> Mazzoco 2010)</w:t>
      </w:r>
      <w:r w:rsidRPr="00DE6484">
        <w:rPr>
          <w:rFonts w:ascii="Arial" w:hAnsi="Arial" w:cs="Arial"/>
        </w:rPr>
        <w:fldChar w:fldCharType="end"/>
      </w:r>
      <w:r w:rsidRPr="00DE6484">
        <w:rPr>
          <w:rFonts w:ascii="Arial" w:hAnsi="Arial" w:cs="Arial"/>
        </w:rPr>
        <w:t xml:space="preserve">  reported that, under H</w:t>
      </w:r>
      <w:r w:rsidRPr="00DE6484">
        <w:rPr>
          <w:rFonts w:ascii="Arial" w:hAnsi="Arial" w:cs="Arial"/>
          <w:vertAlign w:val="subscript"/>
        </w:rPr>
        <w:t>3</w:t>
      </w:r>
      <w:r w:rsidRPr="00DE6484">
        <w:rPr>
          <w:rFonts w:ascii="Arial" w:hAnsi="Arial" w:cs="Arial"/>
        </w:rPr>
        <w:t>PO</w:t>
      </w:r>
      <w:r w:rsidRPr="00DE6484">
        <w:rPr>
          <w:rFonts w:ascii="Arial" w:hAnsi="Arial" w:cs="Arial"/>
          <w:vertAlign w:val="subscript"/>
        </w:rPr>
        <w:t>4</w:t>
      </w:r>
      <w:r w:rsidRPr="00DE6484">
        <w:rPr>
          <w:rFonts w:ascii="Arial" w:hAnsi="Arial" w:cs="Arial"/>
        </w:rPr>
        <w:t xml:space="preserve"> activation, optimal carbonization temperatures generally lie between 500 and 550 °C.</w:t>
      </w:r>
    </w:p>
    <w:p w14:paraId="1A4F80B6" w14:textId="77777777" w:rsidR="003D59A8" w:rsidRPr="00DE6484" w:rsidRDefault="003D59A8" w:rsidP="00DE6484">
      <w:pPr>
        <w:jc w:val="both"/>
        <w:rPr>
          <w:rFonts w:ascii="Arial" w:hAnsi="Arial" w:cs="Arial"/>
        </w:rPr>
      </w:pPr>
    </w:p>
    <w:p w14:paraId="419F703E" w14:textId="77777777" w:rsidR="00DE6484" w:rsidRPr="003D59A8" w:rsidRDefault="00DE6484" w:rsidP="00DE6484">
      <w:pPr>
        <w:jc w:val="both"/>
        <w:rPr>
          <w:rFonts w:ascii="Arial" w:hAnsi="Arial" w:cs="Arial"/>
          <w:b/>
          <w:bCs/>
          <w:sz w:val="22"/>
          <w:szCs w:val="22"/>
        </w:rPr>
      </w:pPr>
      <w:r w:rsidRPr="00DE6484">
        <w:rPr>
          <w:rFonts w:ascii="Arial" w:hAnsi="Arial" w:cs="Arial"/>
          <w:b/>
          <w:bCs/>
          <w:sz w:val="22"/>
          <w:szCs w:val="22"/>
        </w:rPr>
        <w:t>3.2. Specific surface area</w:t>
      </w:r>
    </w:p>
    <w:p w14:paraId="517D370F" w14:textId="77777777" w:rsidR="003D59A8" w:rsidRPr="00DE6484" w:rsidRDefault="003D59A8" w:rsidP="00DE6484">
      <w:pPr>
        <w:jc w:val="both"/>
        <w:rPr>
          <w:rFonts w:ascii="Arial" w:hAnsi="Arial" w:cs="Arial"/>
          <w:b/>
          <w:bCs/>
        </w:rPr>
      </w:pPr>
    </w:p>
    <w:p w14:paraId="1CA1DE7B" w14:textId="77777777" w:rsidR="00DE6484" w:rsidRDefault="00DE6484" w:rsidP="00DE6484">
      <w:pPr>
        <w:jc w:val="both"/>
        <w:rPr>
          <w:rFonts w:ascii="Arial" w:hAnsi="Arial" w:cs="Arial"/>
        </w:rPr>
      </w:pPr>
      <w:r w:rsidRPr="00DE6484">
        <w:rPr>
          <w:rFonts w:ascii="Arial" w:hAnsi="Arial" w:cs="Arial"/>
        </w:rPr>
        <w:t>The specific surface area of the activated carbons prepared from corncob and activated at different temperatures was determined using the methylene blue method, based on equation (5). The results obtained are summarized in Table 2 below.</w:t>
      </w:r>
    </w:p>
    <w:p w14:paraId="2055B8FF" w14:textId="77777777" w:rsidR="003D59A8" w:rsidRPr="00DE6484" w:rsidRDefault="003D59A8" w:rsidP="00DE6484">
      <w:pPr>
        <w:jc w:val="both"/>
        <w:rPr>
          <w:rFonts w:ascii="Arial" w:hAnsi="Arial" w:cs="Arial"/>
        </w:rPr>
      </w:pPr>
    </w:p>
    <w:p w14:paraId="08E0D400" w14:textId="77777777" w:rsidR="00DE6484" w:rsidRPr="00DE6484" w:rsidRDefault="00DE6484" w:rsidP="00DE6484">
      <w:pPr>
        <w:jc w:val="both"/>
        <w:rPr>
          <w:rFonts w:ascii="Arial" w:hAnsi="Arial" w:cs="Arial"/>
        </w:rPr>
      </w:pPr>
      <w:r w:rsidRPr="00DE6484">
        <w:rPr>
          <w:rFonts w:ascii="Arial" w:hAnsi="Arial" w:cs="Arial"/>
          <w:b/>
          <w:bCs/>
        </w:rPr>
        <w:t>Table 2.</w:t>
      </w:r>
      <w:r w:rsidRPr="00DE6484">
        <w:rPr>
          <w:rFonts w:ascii="Arial" w:hAnsi="Arial" w:cs="Arial"/>
        </w:rPr>
        <w:t xml:space="preserve"> Specific surface area of corncob-based activated carbons as a function of activation temperature</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2733"/>
        <w:gridCol w:w="2739"/>
        <w:gridCol w:w="2736"/>
      </w:tblGrid>
      <w:tr w:rsidR="00DE6484" w:rsidRPr="00DE6484" w14:paraId="5945239F" w14:textId="77777777" w:rsidTr="005E114C">
        <w:trPr>
          <w:trHeight w:val="405"/>
        </w:trPr>
        <w:tc>
          <w:tcPr>
            <w:tcW w:w="2974" w:type="dxa"/>
            <w:vAlign w:val="center"/>
          </w:tcPr>
          <w:p w14:paraId="3431CA22" w14:textId="77777777" w:rsidR="00DE6484" w:rsidRPr="00DE6484" w:rsidRDefault="00DE6484" w:rsidP="00DE6484">
            <w:pPr>
              <w:jc w:val="both"/>
              <w:rPr>
                <w:rFonts w:ascii="Arial" w:hAnsi="Arial" w:cs="Arial"/>
                <w:lang w:val="fr-FR"/>
              </w:rPr>
            </w:pPr>
            <w:proofErr w:type="spellStart"/>
            <w:r w:rsidRPr="00DE6484">
              <w:rPr>
                <w:rFonts w:ascii="Arial" w:hAnsi="Arial" w:cs="Arial"/>
                <w:b/>
                <w:bCs/>
                <w:lang w:val="fr-FR"/>
              </w:rPr>
              <w:t>Sample</w:t>
            </w:r>
            <w:proofErr w:type="spellEnd"/>
          </w:p>
        </w:tc>
        <w:tc>
          <w:tcPr>
            <w:tcW w:w="2975" w:type="dxa"/>
            <w:vAlign w:val="center"/>
          </w:tcPr>
          <w:p w14:paraId="752454C9" w14:textId="77777777" w:rsidR="00DE6484" w:rsidRPr="00DE6484" w:rsidRDefault="00DE6484" w:rsidP="00DE6484">
            <w:pPr>
              <w:jc w:val="both"/>
              <w:rPr>
                <w:rFonts w:ascii="Arial" w:hAnsi="Arial" w:cs="Arial"/>
                <w:lang w:val="fr-FR"/>
              </w:rPr>
            </w:pPr>
            <w:proofErr w:type="spellStart"/>
            <w:r w:rsidRPr="00DE6484">
              <w:rPr>
                <w:rFonts w:ascii="Arial" w:hAnsi="Arial" w:cs="Arial"/>
                <w:b/>
                <w:bCs/>
                <w:lang w:val="fr-FR"/>
              </w:rPr>
              <w:t>Q</w:t>
            </w:r>
            <w:r w:rsidRPr="00DE6484">
              <w:rPr>
                <w:rFonts w:ascii="Arial" w:hAnsi="Arial" w:cs="Arial"/>
                <w:b/>
                <w:bCs/>
                <w:vertAlign w:val="subscript"/>
                <w:lang w:val="fr-FR"/>
              </w:rPr>
              <w:t>m</w:t>
            </w:r>
            <w:proofErr w:type="spellEnd"/>
            <w:r w:rsidRPr="00DE6484">
              <w:rPr>
                <w:rFonts w:ascii="Arial" w:hAnsi="Arial" w:cs="Arial"/>
                <w:b/>
                <w:bCs/>
                <w:lang w:val="fr-FR"/>
              </w:rPr>
              <w:t xml:space="preserve"> ​ (</w:t>
            </w:r>
            <w:proofErr w:type="spellStart"/>
            <w:proofErr w:type="gramStart"/>
            <w:r w:rsidRPr="00DE6484">
              <w:rPr>
                <w:rFonts w:ascii="Arial" w:hAnsi="Arial" w:cs="Arial"/>
                <w:b/>
                <w:bCs/>
                <w:lang w:val="fr-FR"/>
              </w:rPr>
              <w:t>mg.g</w:t>
            </w:r>
            <w:proofErr w:type="spellEnd"/>
            <w:proofErr w:type="gramEnd"/>
            <w:r w:rsidRPr="00DE6484">
              <w:rPr>
                <w:rFonts w:ascii="Arial" w:hAnsi="Arial" w:cs="Arial"/>
                <w:b/>
                <w:bCs/>
                <w:vertAlign w:val="superscript"/>
                <w:lang w:val="fr-FR"/>
              </w:rPr>
              <w:sym w:font="Symbol" w:char="F02D"/>
            </w:r>
            <w:r w:rsidRPr="00DE6484">
              <w:rPr>
                <w:rFonts w:ascii="Arial" w:hAnsi="Arial" w:cs="Arial"/>
                <w:b/>
                <w:bCs/>
                <w:vertAlign w:val="superscript"/>
                <w:lang w:val="fr-FR"/>
              </w:rPr>
              <w:t>1</w:t>
            </w:r>
            <w:r w:rsidRPr="00DE6484">
              <w:rPr>
                <w:rFonts w:ascii="Arial" w:hAnsi="Arial" w:cs="Arial"/>
                <w:b/>
                <w:bCs/>
                <w:lang w:val="fr-FR"/>
              </w:rPr>
              <w:t>)</w:t>
            </w:r>
          </w:p>
        </w:tc>
        <w:tc>
          <w:tcPr>
            <w:tcW w:w="2975" w:type="dxa"/>
            <w:vAlign w:val="center"/>
          </w:tcPr>
          <w:p w14:paraId="0DD5AC71" w14:textId="77777777" w:rsidR="00DE6484" w:rsidRPr="00DE6484" w:rsidRDefault="00DE6484" w:rsidP="00DE6484">
            <w:pPr>
              <w:jc w:val="both"/>
              <w:rPr>
                <w:rFonts w:ascii="Arial" w:hAnsi="Arial" w:cs="Arial"/>
                <w:lang w:val="fr-FR"/>
              </w:rPr>
            </w:pPr>
            <w:r w:rsidRPr="00DE6484">
              <w:rPr>
                <w:rFonts w:ascii="Arial" w:hAnsi="Arial" w:cs="Arial"/>
                <w:b/>
                <w:bCs/>
                <w:lang w:val="fr-FR"/>
              </w:rPr>
              <w:t>S</w:t>
            </w:r>
            <w:r w:rsidRPr="00DE6484">
              <w:rPr>
                <w:rFonts w:ascii="Arial" w:hAnsi="Arial" w:cs="Arial"/>
                <w:b/>
                <w:bCs/>
                <w:vertAlign w:val="subscript"/>
                <w:lang w:val="fr-FR"/>
              </w:rPr>
              <w:t>L</w:t>
            </w:r>
            <w:r w:rsidRPr="00DE6484">
              <w:rPr>
                <w:rFonts w:ascii="Arial" w:hAnsi="Arial" w:cs="Arial"/>
                <w:b/>
                <w:bCs/>
                <w:lang w:val="fr-FR"/>
              </w:rPr>
              <w:t>​ (m</w:t>
            </w:r>
            <w:proofErr w:type="gramStart"/>
            <w:r w:rsidRPr="00DE6484">
              <w:rPr>
                <w:rFonts w:ascii="Arial" w:hAnsi="Arial" w:cs="Arial"/>
                <w:b/>
                <w:bCs/>
                <w:vertAlign w:val="superscript"/>
                <w:lang w:val="fr-FR"/>
              </w:rPr>
              <w:t>2</w:t>
            </w:r>
            <w:r w:rsidRPr="00DE6484">
              <w:rPr>
                <w:rFonts w:ascii="Arial" w:hAnsi="Arial" w:cs="Arial"/>
                <w:b/>
                <w:bCs/>
                <w:lang w:val="fr-FR"/>
              </w:rPr>
              <w:t>.g</w:t>
            </w:r>
            <w:proofErr w:type="gramEnd"/>
            <w:r w:rsidRPr="00DE6484">
              <w:rPr>
                <w:rFonts w:ascii="Arial" w:hAnsi="Arial" w:cs="Arial"/>
                <w:b/>
                <w:bCs/>
                <w:vertAlign w:val="superscript"/>
                <w:lang w:val="fr-FR"/>
              </w:rPr>
              <w:sym w:font="Symbol" w:char="F02D"/>
            </w:r>
            <w:r w:rsidRPr="00DE6484">
              <w:rPr>
                <w:rFonts w:ascii="Arial" w:hAnsi="Arial" w:cs="Arial"/>
                <w:b/>
                <w:bCs/>
                <w:vertAlign w:val="superscript"/>
                <w:lang w:val="fr-FR"/>
              </w:rPr>
              <w:t>1</w:t>
            </w:r>
            <w:r w:rsidRPr="00DE6484">
              <w:rPr>
                <w:rFonts w:ascii="Arial" w:hAnsi="Arial" w:cs="Arial"/>
                <w:b/>
                <w:bCs/>
                <w:lang w:val="fr-FR"/>
              </w:rPr>
              <w:t>)</w:t>
            </w:r>
          </w:p>
        </w:tc>
      </w:tr>
      <w:tr w:rsidR="00DE6484" w:rsidRPr="00DE6484" w14:paraId="5023C101" w14:textId="77777777" w:rsidTr="005E114C">
        <w:trPr>
          <w:trHeight w:val="405"/>
        </w:trPr>
        <w:tc>
          <w:tcPr>
            <w:tcW w:w="2974" w:type="dxa"/>
            <w:vAlign w:val="center"/>
          </w:tcPr>
          <w:p w14:paraId="4C7469EC" w14:textId="77777777" w:rsidR="00DE6484" w:rsidRPr="00DE6484" w:rsidRDefault="00DE6484" w:rsidP="00DE6484">
            <w:pPr>
              <w:jc w:val="both"/>
              <w:rPr>
                <w:rFonts w:ascii="Arial" w:hAnsi="Arial" w:cs="Arial"/>
                <w:lang w:val="fr-FR"/>
              </w:rPr>
            </w:pPr>
            <w:r w:rsidRPr="00DE6484">
              <w:rPr>
                <w:rFonts w:ascii="Arial" w:hAnsi="Arial" w:cs="Arial"/>
                <w:lang w:val="fr-FR"/>
              </w:rPr>
              <w:t>RMA-2M-400 °C</w:t>
            </w:r>
          </w:p>
        </w:tc>
        <w:tc>
          <w:tcPr>
            <w:tcW w:w="2975" w:type="dxa"/>
            <w:vAlign w:val="center"/>
          </w:tcPr>
          <w:p w14:paraId="29105070" w14:textId="77777777" w:rsidR="00DE6484" w:rsidRPr="00DE6484" w:rsidRDefault="00DE6484" w:rsidP="00DE6484">
            <w:pPr>
              <w:jc w:val="both"/>
              <w:rPr>
                <w:rFonts w:ascii="Arial" w:hAnsi="Arial" w:cs="Arial"/>
                <w:lang w:val="fr-FR"/>
              </w:rPr>
            </w:pPr>
            <w:r w:rsidRPr="00DE6484">
              <w:rPr>
                <w:rFonts w:ascii="Arial" w:hAnsi="Arial" w:cs="Arial"/>
                <w:lang w:val="fr-FR"/>
              </w:rPr>
              <w:t>62.11</w:t>
            </w:r>
          </w:p>
        </w:tc>
        <w:tc>
          <w:tcPr>
            <w:tcW w:w="2975" w:type="dxa"/>
            <w:vAlign w:val="center"/>
          </w:tcPr>
          <w:p w14:paraId="71EA9A06" w14:textId="77777777" w:rsidR="00DE6484" w:rsidRPr="00DE6484" w:rsidRDefault="00DE6484" w:rsidP="00DE6484">
            <w:pPr>
              <w:jc w:val="both"/>
              <w:rPr>
                <w:rFonts w:ascii="Arial" w:hAnsi="Arial" w:cs="Arial"/>
                <w:lang w:val="fr-FR"/>
              </w:rPr>
            </w:pPr>
            <w:r w:rsidRPr="00DE6484">
              <w:rPr>
                <w:rFonts w:ascii="Arial" w:hAnsi="Arial" w:cs="Arial"/>
                <w:lang w:val="fr-FR"/>
              </w:rPr>
              <w:t>93.79</w:t>
            </w:r>
          </w:p>
        </w:tc>
      </w:tr>
      <w:tr w:rsidR="00DE6484" w:rsidRPr="00DE6484" w14:paraId="562D39C8" w14:textId="77777777" w:rsidTr="005E114C">
        <w:trPr>
          <w:trHeight w:val="414"/>
        </w:trPr>
        <w:tc>
          <w:tcPr>
            <w:tcW w:w="2974" w:type="dxa"/>
            <w:vAlign w:val="center"/>
          </w:tcPr>
          <w:p w14:paraId="06B021B4" w14:textId="77777777" w:rsidR="00DE6484" w:rsidRPr="00DE6484" w:rsidRDefault="00DE6484" w:rsidP="00DE6484">
            <w:pPr>
              <w:jc w:val="both"/>
              <w:rPr>
                <w:rFonts w:ascii="Arial" w:hAnsi="Arial" w:cs="Arial"/>
                <w:lang w:val="fr-FR"/>
              </w:rPr>
            </w:pPr>
            <w:r w:rsidRPr="00DE6484">
              <w:rPr>
                <w:rFonts w:ascii="Arial" w:hAnsi="Arial" w:cs="Arial"/>
                <w:lang w:val="fr-FR"/>
              </w:rPr>
              <w:t>RMA-2M-500 °C</w:t>
            </w:r>
          </w:p>
        </w:tc>
        <w:tc>
          <w:tcPr>
            <w:tcW w:w="2975" w:type="dxa"/>
            <w:vAlign w:val="center"/>
          </w:tcPr>
          <w:p w14:paraId="2E099DCE" w14:textId="77777777" w:rsidR="00DE6484" w:rsidRPr="00DE6484" w:rsidRDefault="00DE6484" w:rsidP="00DE6484">
            <w:pPr>
              <w:jc w:val="both"/>
              <w:rPr>
                <w:rFonts w:ascii="Arial" w:hAnsi="Arial" w:cs="Arial"/>
                <w:lang w:val="fr-FR"/>
              </w:rPr>
            </w:pPr>
            <w:r w:rsidRPr="00DE6484">
              <w:rPr>
                <w:rFonts w:ascii="Arial" w:hAnsi="Arial" w:cs="Arial"/>
                <w:lang w:val="fr-FR"/>
              </w:rPr>
              <w:t>1250.00</w:t>
            </w:r>
          </w:p>
        </w:tc>
        <w:tc>
          <w:tcPr>
            <w:tcW w:w="2975" w:type="dxa"/>
            <w:vAlign w:val="center"/>
          </w:tcPr>
          <w:p w14:paraId="41F7B024" w14:textId="77777777" w:rsidR="00DE6484" w:rsidRPr="00DE6484" w:rsidRDefault="00DE6484" w:rsidP="00DE6484">
            <w:pPr>
              <w:jc w:val="both"/>
              <w:rPr>
                <w:rFonts w:ascii="Arial" w:hAnsi="Arial" w:cs="Arial"/>
                <w:lang w:val="fr-FR"/>
              </w:rPr>
            </w:pPr>
            <w:r w:rsidRPr="00DE6484">
              <w:rPr>
                <w:rFonts w:ascii="Arial" w:hAnsi="Arial" w:cs="Arial"/>
                <w:lang w:val="fr-FR"/>
              </w:rPr>
              <w:t>1887.45</w:t>
            </w:r>
          </w:p>
        </w:tc>
      </w:tr>
      <w:tr w:rsidR="00DE6484" w:rsidRPr="00DE6484" w14:paraId="4512260F" w14:textId="77777777" w:rsidTr="005E114C">
        <w:trPr>
          <w:trHeight w:val="405"/>
        </w:trPr>
        <w:tc>
          <w:tcPr>
            <w:tcW w:w="2974" w:type="dxa"/>
            <w:vAlign w:val="center"/>
          </w:tcPr>
          <w:p w14:paraId="200E8C4B" w14:textId="77777777" w:rsidR="00DE6484" w:rsidRPr="00DE6484" w:rsidRDefault="00DE6484" w:rsidP="00DE6484">
            <w:pPr>
              <w:jc w:val="both"/>
              <w:rPr>
                <w:rFonts w:ascii="Arial" w:hAnsi="Arial" w:cs="Arial"/>
                <w:lang w:val="fr-FR"/>
              </w:rPr>
            </w:pPr>
            <w:r w:rsidRPr="00DE6484">
              <w:rPr>
                <w:rFonts w:ascii="Arial" w:hAnsi="Arial" w:cs="Arial"/>
                <w:lang w:val="fr-FR"/>
              </w:rPr>
              <w:t>RMA-2M-600 °C</w:t>
            </w:r>
          </w:p>
        </w:tc>
        <w:tc>
          <w:tcPr>
            <w:tcW w:w="2975" w:type="dxa"/>
            <w:vAlign w:val="center"/>
          </w:tcPr>
          <w:p w14:paraId="6928DC88" w14:textId="77777777" w:rsidR="00DE6484" w:rsidRPr="00DE6484" w:rsidRDefault="00DE6484" w:rsidP="00DE6484">
            <w:pPr>
              <w:jc w:val="both"/>
              <w:rPr>
                <w:rFonts w:ascii="Arial" w:hAnsi="Arial" w:cs="Arial"/>
                <w:lang w:val="fr-FR"/>
              </w:rPr>
            </w:pPr>
            <w:r w:rsidRPr="00DE6484">
              <w:rPr>
                <w:rFonts w:ascii="Arial" w:hAnsi="Arial" w:cs="Arial"/>
                <w:lang w:val="fr-FR"/>
              </w:rPr>
              <w:t>344.83</w:t>
            </w:r>
          </w:p>
        </w:tc>
        <w:tc>
          <w:tcPr>
            <w:tcW w:w="2975" w:type="dxa"/>
            <w:vAlign w:val="center"/>
          </w:tcPr>
          <w:p w14:paraId="5FA12B97" w14:textId="77777777" w:rsidR="00DE6484" w:rsidRPr="00DE6484" w:rsidRDefault="00DE6484" w:rsidP="00DE6484">
            <w:pPr>
              <w:jc w:val="both"/>
              <w:rPr>
                <w:rFonts w:ascii="Arial" w:hAnsi="Arial" w:cs="Arial"/>
                <w:lang w:val="fr-FR"/>
              </w:rPr>
            </w:pPr>
            <w:r w:rsidRPr="00DE6484">
              <w:rPr>
                <w:rFonts w:ascii="Arial" w:hAnsi="Arial" w:cs="Arial"/>
                <w:lang w:val="fr-FR"/>
              </w:rPr>
              <w:t>520.68</w:t>
            </w:r>
          </w:p>
        </w:tc>
      </w:tr>
    </w:tbl>
    <w:p w14:paraId="644ADDFF" w14:textId="77777777" w:rsidR="00DE6484" w:rsidRPr="00DE6484" w:rsidRDefault="00DE6484" w:rsidP="00DE6484">
      <w:pPr>
        <w:jc w:val="both"/>
        <w:rPr>
          <w:rFonts w:ascii="Arial" w:hAnsi="Arial" w:cs="Arial"/>
        </w:rPr>
      </w:pPr>
    </w:p>
    <w:p w14:paraId="27336398" w14:textId="77777777" w:rsidR="00DE6484" w:rsidRPr="00DE6484" w:rsidRDefault="00DE6484" w:rsidP="00DE6484">
      <w:pPr>
        <w:jc w:val="both"/>
        <w:rPr>
          <w:rFonts w:ascii="Arial" w:hAnsi="Arial" w:cs="Arial"/>
        </w:rPr>
      </w:pPr>
      <w:r w:rsidRPr="00DE6484">
        <w:rPr>
          <w:rFonts w:ascii="Arial" w:hAnsi="Arial" w:cs="Arial"/>
        </w:rPr>
        <w:t>These results show a clear influence of activation temperature on the maximum adsorption capacity and the specific surface area of the activated carbon.</w:t>
      </w:r>
    </w:p>
    <w:p w14:paraId="79807D88" w14:textId="77777777" w:rsidR="00DE6484" w:rsidRPr="00DE6484" w:rsidRDefault="00DE6484" w:rsidP="00DE6484">
      <w:pPr>
        <w:jc w:val="both"/>
        <w:rPr>
          <w:rFonts w:ascii="Arial" w:hAnsi="Arial" w:cs="Arial"/>
        </w:rPr>
      </w:pPr>
      <w:r w:rsidRPr="00DE6484">
        <w:rPr>
          <w:rFonts w:ascii="Arial" w:hAnsi="Arial" w:cs="Arial"/>
        </w:rPr>
        <w:t>The evolution of the specific surface area as a function of temperature reveals a characteristic trend. At 400 °C, the specific surface area remains relatively low (93.79 m²·g</w:t>
      </w:r>
      <w:r w:rsidRPr="00DE6484">
        <w:rPr>
          <w:rFonts w:ascii="Cambria Math" w:hAnsi="Cambria Math" w:cs="Cambria Math"/>
        </w:rPr>
        <w:t>⁻</w:t>
      </w:r>
      <w:r w:rsidRPr="00DE6484">
        <w:rPr>
          <w:rFonts w:ascii="Arial" w:hAnsi="Arial" w:cs="Arial"/>
        </w:rPr>
        <w:t>¹), indicating incomplete activation and limited pore opening. Increasing the temperature to 500 °C results in a marked increase in surface area, reaching 1887.45 m²·g</w:t>
      </w:r>
      <w:r w:rsidRPr="00DE6484">
        <w:rPr>
          <w:rFonts w:ascii="Cambria Math" w:hAnsi="Cambria Math" w:cs="Cambria Math"/>
        </w:rPr>
        <w:t>⁻</w:t>
      </w:r>
      <w:r w:rsidRPr="00DE6484">
        <w:rPr>
          <w:rFonts w:ascii="Arial" w:hAnsi="Arial" w:cs="Arial"/>
        </w:rPr>
        <w:t>¹. This high value indicates that activation at 500 °C promotes the development of an optimal porous structure, consistent with findings from similar studies conducted on lignocellulosic biomasses activated with H</w:t>
      </w:r>
      <w:r w:rsidRPr="00DE6484">
        <w:rPr>
          <w:rFonts w:ascii="Arial" w:hAnsi="Arial" w:cs="Arial"/>
          <w:vertAlign w:val="subscript"/>
        </w:rPr>
        <w:t>3</w:t>
      </w:r>
      <w:r w:rsidRPr="00DE6484">
        <w:rPr>
          <w:rFonts w:ascii="Arial" w:hAnsi="Arial" w:cs="Arial"/>
        </w:rPr>
        <w:t>PO</w:t>
      </w:r>
      <w:r w:rsidRPr="00DE6484">
        <w:rPr>
          <w:rFonts w:ascii="Arial" w:hAnsi="Arial" w:cs="Arial"/>
          <w:vertAlign w:val="subscript"/>
        </w:rPr>
        <w:t>4</w:t>
      </w:r>
      <w:r w:rsidRPr="00DE6484">
        <w:rPr>
          <w:rFonts w:ascii="Arial" w:hAnsi="Arial" w:cs="Arial"/>
        </w:rPr>
        <w:t xml:space="preserve"> </w:t>
      </w:r>
      <w:r w:rsidRPr="00DE6484">
        <w:rPr>
          <w:rFonts w:ascii="Arial" w:hAnsi="Arial" w:cs="Arial"/>
        </w:rPr>
        <w:fldChar w:fldCharType="begin"/>
      </w:r>
      <w:r w:rsidRPr="00DE6484">
        <w:rPr>
          <w:rFonts w:ascii="Arial" w:hAnsi="Arial" w:cs="Arial"/>
        </w:rPr>
        <w:instrText xml:space="preserve"> ADDIN ZOTERO_ITEM CSL_CITATION {"citationID":"PGK5Twqn","properties":{"formattedCitation":"(Liou 2010; Demiral et Aydin \\uc0\\u350{}amdan 2016)","plainCitation":"(Liou 2010; Demiral et Aydin Şamdan 2016)","noteIndex":0},"citationItems":[{"id":454,"uris":["http://zotero.org/users/18768689/items/BQZP9NJ9"],"itemData":{"id":454,"type":"article-journal","container-title":"Chemical Engineering Journal","DOI":"10.1016/j.cej.2009.12.016","ISSN":"13858947","issue":"2","journalAbbreviation":"Chemical Engineering Journal","language":"en","page":"129-142","source":"DOI.org (Crossref)","title":"Development of mesoporous structure and high adsorption capacity of biomass-based activated carbon by phosphoric acid and zinc chloride activation","volume":"158","author":[{"family":"Liou","given":"Tzong-Horng"}],"issued":{"date-parts":[["2010",4]]}}},{"id":455,"uris":["http://zotero.org/users/18768689/items/2SUHT5HC"],"itemData":{"id":455,"type":"article-journal","container-title":"Anadolu University Journal of Science and Technology-A Applied Sciences and Engineering","DOI":"10.18038/btda.64281","ISSN":"2146-0205, 1302-3160","issue":"1","journalAbbreviation":"AUBTD-A","source":"DOI.org (Crossref)","title":"Preparation and Characterisation of Activated Carbon From Pumpkin Seed Shell Using H3PO4","URL":"http://dergipark.gov.tr/doi/10.18038/btda.64281","volume":"17","author":[{"family":"Demiral","given":"Ilknur"},{"family":"Aydin Şamdan","given":"Canan"}],"accessed":{"date-parts":[["2025",11,30]]},"issued":{"date-parts":[["2016",3,14]]}}}],"schema":"https://github.com/citation-style-language/schema/raw/master/csl-citation.json"} </w:instrText>
      </w:r>
      <w:r w:rsidRPr="00DE6484">
        <w:rPr>
          <w:rFonts w:ascii="Arial" w:hAnsi="Arial" w:cs="Arial"/>
        </w:rPr>
        <w:fldChar w:fldCharType="separate"/>
      </w:r>
      <w:r w:rsidRPr="00DE6484">
        <w:rPr>
          <w:rFonts w:ascii="Arial" w:hAnsi="Arial" w:cs="Arial"/>
        </w:rPr>
        <w:t>(Liou 2010; Demiral et Aydin Şamdan 2016)</w:t>
      </w:r>
      <w:r w:rsidRPr="00DE6484">
        <w:rPr>
          <w:rFonts w:ascii="Arial" w:hAnsi="Arial" w:cs="Arial"/>
        </w:rPr>
        <w:fldChar w:fldCharType="end"/>
      </w:r>
      <w:r w:rsidRPr="00DE6484">
        <w:rPr>
          <w:rFonts w:ascii="Arial" w:hAnsi="Arial" w:cs="Arial"/>
        </w:rPr>
        <w:t xml:space="preserve">. In a related study, </w:t>
      </w:r>
      <w:r w:rsidRPr="00DE6484">
        <w:rPr>
          <w:rFonts w:ascii="Arial" w:hAnsi="Arial" w:cs="Arial"/>
        </w:rPr>
        <w:fldChar w:fldCharType="begin"/>
      </w:r>
      <w:r w:rsidRPr="00DE6484">
        <w:rPr>
          <w:rFonts w:ascii="Arial" w:hAnsi="Arial" w:cs="Arial"/>
        </w:rPr>
        <w:instrText xml:space="preserve"> ADDIN ZOTERO_ITEM CSL_CITATION {"citationID":"w2ndugCb","properties":{"formattedCitation":"(Han et al. 2020)","plainCitation":"(Han et al. 2020)","noteIndex":0},"citationItems":[{"id":457,"uris":["http://zotero.org/users/18768689/items/P7ZFSB2S"],"itemData":{"id":457,"type":"article-journal","container-title":"Powder Technology","DOI":"10.1016/j.powtec.2020.02.013","ISSN":"00325910","journalAbbreviation":"Powder Technology","language":"en","page":"239-248","source":"DOI.org (Crossref)","title":"High adsorption of methylene blue by activated carbon prepared from phosphoric acid treated eucalyptus residue","volume":"366","author":[{"family":"Han","given":"Qiaoning"},{"family":"Wang","given":"Jing"},{"family":"Goodman","given":"Bernard A."},{"family":"Xie","given":"Junkang"},{"family":"Liu","given":"Zuguang"}],"issued":{"date-parts":[["2020",4]]}}}],"schema":"https://github.com/citation-style-language/schema/raw/master/csl-citation.json"} </w:instrText>
      </w:r>
      <w:r w:rsidRPr="00DE6484">
        <w:rPr>
          <w:rFonts w:ascii="Arial" w:hAnsi="Arial" w:cs="Arial"/>
        </w:rPr>
        <w:fldChar w:fldCharType="separate"/>
      </w:r>
      <w:r w:rsidRPr="00DE6484">
        <w:rPr>
          <w:rFonts w:ascii="Arial" w:hAnsi="Arial" w:cs="Arial"/>
        </w:rPr>
        <w:t>Han and al. (2020)</w:t>
      </w:r>
      <w:r w:rsidRPr="00DE6484">
        <w:rPr>
          <w:rFonts w:ascii="Arial" w:hAnsi="Arial" w:cs="Arial"/>
        </w:rPr>
        <w:fldChar w:fldCharType="end"/>
      </w:r>
      <w:r w:rsidRPr="00DE6484">
        <w:rPr>
          <w:rFonts w:ascii="Arial" w:hAnsi="Arial" w:cs="Arial"/>
        </w:rPr>
        <w:t xml:space="preserve"> reported a methylene blue adsorption capacity of 977 mg.g</w:t>
      </w:r>
      <w:r w:rsidRPr="00DE6484">
        <w:rPr>
          <w:rFonts w:ascii="Cambria Math" w:hAnsi="Cambria Math" w:cs="Cambria Math"/>
        </w:rPr>
        <w:t>⁻</w:t>
      </w:r>
      <w:r w:rsidRPr="00DE6484">
        <w:rPr>
          <w:rFonts w:ascii="Arial" w:hAnsi="Arial" w:cs="Arial"/>
        </w:rPr>
        <w:t xml:space="preserve">¹ for activated carbons produced from eucalyptus residues treated with phosphoric acid, confirming the effectiveness of </w:t>
      </w:r>
      <w:bookmarkStart w:id="3" w:name="_Hlk215334519"/>
      <w:r w:rsidRPr="00DE6484">
        <w:rPr>
          <w:rFonts w:ascii="Arial" w:hAnsi="Arial" w:cs="Arial"/>
        </w:rPr>
        <w:t>H</w:t>
      </w:r>
      <w:r w:rsidRPr="00DE6484">
        <w:rPr>
          <w:rFonts w:ascii="Arial" w:hAnsi="Arial" w:cs="Arial"/>
          <w:vertAlign w:val="subscript"/>
        </w:rPr>
        <w:t>3</w:t>
      </w:r>
      <w:r w:rsidRPr="00DE6484">
        <w:rPr>
          <w:rFonts w:ascii="Arial" w:hAnsi="Arial" w:cs="Arial"/>
        </w:rPr>
        <w:t>PO</w:t>
      </w:r>
      <w:r w:rsidRPr="00DE6484">
        <w:rPr>
          <w:rFonts w:ascii="Arial" w:hAnsi="Arial" w:cs="Arial"/>
          <w:vertAlign w:val="subscript"/>
        </w:rPr>
        <w:t>4</w:t>
      </w:r>
      <w:bookmarkEnd w:id="3"/>
      <w:r w:rsidRPr="00DE6484">
        <w:rPr>
          <w:rFonts w:ascii="Arial" w:hAnsi="Arial" w:cs="Arial"/>
        </w:rPr>
        <w:t xml:space="preserve"> activation in generating highly porous and efficient materials.</w:t>
      </w:r>
    </w:p>
    <w:p w14:paraId="515CB6E7" w14:textId="77777777" w:rsidR="00DE6484" w:rsidRPr="00DE6484" w:rsidRDefault="00DE6484" w:rsidP="00DE6484">
      <w:pPr>
        <w:jc w:val="both"/>
        <w:rPr>
          <w:rFonts w:ascii="Arial" w:hAnsi="Arial" w:cs="Arial"/>
        </w:rPr>
      </w:pPr>
      <w:r w:rsidRPr="00DE6484">
        <w:rPr>
          <w:rFonts w:ascii="Arial" w:hAnsi="Arial" w:cs="Arial"/>
        </w:rPr>
        <w:lastRenderedPageBreak/>
        <w:t>In contrast, when the temperature reaches 600 °C, the specific surface area decreases significantly to 520.68 m².g</w:t>
      </w:r>
      <w:r w:rsidRPr="00DE6484">
        <w:rPr>
          <w:rFonts w:ascii="Cambria Math" w:hAnsi="Cambria Math" w:cs="Cambria Math"/>
        </w:rPr>
        <w:t>⁻</w:t>
      </w:r>
      <w:r w:rsidRPr="00DE6484">
        <w:rPr>
          <w:rFonts w:ascii="Arial" w:hAnsi="Arial" w:cs="Arial"/>
        </w:rPr>
        <w:t xml:space="preserve">¹. This reduction can be attributed to excessive decomposition of the carbon matrix and partial fusion of the pore walls, leading to the collapse of the microporous structure </w:t>
      </w:r>
      <w:r w:rsidRPr="00DE6484">
        <w:rPr>
          <w:rFonts w:ascii="Arial" w:hAnsi="Arial" w:cs="Arial"/>
        </w:rPr>
        <w:fldChar w:fldCharType="begin"/>
      </w:r>
      <w:r w:rsidRPr="00DE6484">
        <w:rPr>
          <w:rFonts w:ascii="Arial" w:hAnsi="Arial" w:cs="Arial"/>
        </w:rPr>
        <w:instrText xml:space="preserve"> ADDIN ZOTERO_ITEM CSL_CITATION {"citationID":"q1hGQCyA","properties":{"formattedCitation":"(Ioannidou et Zabaniotou 2007)","plainCitation":"(Ioannidou et Zabaniotou 2007)","noteIndex":0},"citationItems":[{"id":448,"uris":["http://zotero.org/users/18768689/items/IVUQXUZR"],"itemData":{"id":448,"type":"article-journal","container-title":"Renewable and Sustainable Energy Reviews","DOI":"10.1016/j.rser.2006.03.013","ISSN":"13640321","issue":"9","journalAbbreviation":"Renewable and Sustainable Energy Reviews","language":"en","page":"1966-2005","source":"DOI.org (Crossref)","title":"Agricultural residues as precursors for activated carbon production—A review","volume":"11","author":[{"family":"Ioannidou","given":"O."},{"family":"Zabaniotou","given":"A."}],"issued":{"date-parts":[["2007",12]]}}}],"schema":"https://github.com/citation-style-language/schema/raw/master/csl-citation.json"} </w:instrText>
      </w:r>
      <w:r w:rsidRPr="00DE6484">
        <w:rPr>
          <w:rFonts w:ascii="Arial" w:hAnsi="Arial" w:cs="Arial"/>
        </w:rPr>
        <w:fldChar w:fldCharType="separate"/>
      </w:r>
      <w:r w:rsidRPr="00DE6484">
        <w:rPr>
          <w:rFonts w:ascii="Arial" w:hAnsi="Arial" w:cs="Arial"/>
        </w:rPr>
        <w:t>(Ioannidou et Zabaniotou 2007)</w:t>
      </w:r>
      <w:r w:rsidRPr="00DE6484">
        <w:rPr>
          <w:rFonts w:ascii="Arial" w:hAnsi="Arial" w:cs="Arial"/>
        </w:rPr>
        <w:fldChar w:fldCharType="end"/>
      </w:r>
      <w:r w:rsidRPr="00DE6484">
        <w:rPr>
          <w:rFonts w:ascii="Arial" w:hAnsi="Arial" w:cs="Arial"/>
        </w:rPr>
        <w:t xml:space="preserve">. This behavior is well documented in the literature: beyond a critical temperature, the specific surface area tends to decrease due to pore contraction and excessive volatilization of organic components </w:t>
      </w:r>
      <w:r w:rsidRPr="00DE6484">
        <w:rPr>
          <w:rFonts w:ascii="Arial" w:hAnsi="Arial" w:cs="Arial"/>
        </w:rPr>
        <w:fldChar w:fldCharType="begin"/>
      </w:r>
      <w:r w:rsidRPr="00DE6484">
        <w:rPr>
          <w:rFonts w:ascii="Arial" w:hAnsi="Arial" w:cs="Arial"/>
        </w:rPr>
        <w:instrText xml:space="preserve"> ADDIN ZOTERO_ITEM CSL_CITATION {"citationID":"nivWnL4N","properties":{"formattedCitation":"(\\uc0\\u171{}\\uc0\\u160{}Activated Carbon - Marsh, Harry; Rodr\\uc0\\u237{}guez Reinoso, Francisco\\uc0\\u160{}\\uc0\\u187{}, s.\\uc0\\u160{}d.)","plainCitation":"(« Activated Carbon - Marsh, Harry; Rodríguez Reinoso, Francisco », s. d.)","noteIndex":0},"citationItems":[{"id":187,"uris":["http://zotero.org/users/18768689/items/JWTSX5KN"],"itemData":{"id":187,"type":"webpage","abstract":"Recent years have seen an expansion in speciality uses of activated carbons including medicine, filtration, and the purification of liquids and gaseous media. Much of current research and information surrounding the nature and use of activated carbon is scattered throughout various literature, ...","language":"en","title":"Activated Carbon - Marsh, Harry; Rodríguez Reinoso, Francisco: 9780080444635 - AbeBooks","title-short":"Activated Carbon - Marsh, Harry; Rodríguez Reinoso, Francisco","URL":"https://www.abebooks.com/9780080444635/Activated-Carbon-Marsh-Harry-Rodr%C3%ADguez-0080444636/plp","accessed":{"date-parts":[["2025",11,8]]}}}],"schema":"https://github.com/citation-style-language/schema/raw/master/csl-citation.json"} </w:instrText>
      </w:r>
      <w:r w:rsidRPr="00DE6484">
        <w:rPr>
          <w:rFonts w:ascii="Arial" w:hAnsi="Arial" w:cs="Arial"/>
        </w:rPr>
        <w:fldChar w:fldCharType="separate"/>
      </w:r>
      <w:r w:rsidRPr="00DE6484">
        <w:rPr>
          <w:rFonts w:ascii="Arial" w:hAnsi="Arial" w:cs="Arial"/>
        </w:rPr>
        <w:t>(Marsh, Harry; Rodríguez Reinoso, 2006)</w:t>
      </w:r>
      <w:r w:rsidRPr="00DE6484">
        <w:rPr>
          <w:rFonts w:ascii="Arial" w:hAnsi="Arial" w:cs="Arial"/>
        </w:rPr>
        <w:fldChar w:fldCharType="end"/>
      </w:r>
      <w:r w:rsidRPr="00DE6484">
        <w:rPr>
          <w:rFonts w:ascii="Arial" w:hAnsi="Arial" w:cs="Arial"/>
        </w:rPr>
        <w:t>.</w:t>
      </w:r>
    </w:p>
    <w:p w14:paraId="6CE1965B" w14:textId="77777777" w:rsidR="00DE6484" w:rsidRDefault="00DE6484" w:rsidP="00DE6484">
      <w:pPr>
        <w:jc w:val="both"/>
        <w:rPr>
          <w:rFonts w:ascii="Arial" w:hAnsi="Arial" w:cs="Arial"/>
        </w:rPr>
      </w:pPr>
      <w:r w:rsidRPr="00DE6484">
        <w:rPr>
          <w:rFonts w:ascii="Arial" w:hAnsi="Arial" w:cs="Arial"/>
        </w:rPr>
        <w:t>The results obtained confirm that activation temperature plays a decisive role in the development of porosity in activated carbons. Activation at 500 °C appears to be the most favorable condition for corncob, providing the material with a high specific surface area and thus a strong adsorption potential.</w:t>
      </w:r>
    </w:p>
    <w:p w14:paraId="68ECF291" w14:textId="77777777" w:rsidR="003D59A8" w:rsidRPr="00DE6484" w:rsidRDefault="003D59A8" w:rsidP="00DE6484">
      <w:pPr>
        <w:jc w:val="both"/>
        <w:rPr>
          <w:rFonts w:ascii="Arial" w:hAnsi="Arial" w:cs="Arial"/>
        </w:rPr>
      </w:pPr>
    </w:p>
    <w:p w14:paraId="2552041E" w14:textId="77777777" w:rsidR="00DE6484" w:rsidRPr="003D59A8" w:rsidRDefault="00DE6484" w:rsidP="00DE6484">
      <w:pPr>
        <w:jc w:val="both"/>
        <w:rPr>
          <w:rFonts w:ascii="Arial" w:hAnsi="Arial" w:cs="Arial"/>
          <w:b/>
          <w:bCs/>
          <w:sz w:val="22"/>
          <w:szCs w:val="22"/>
          <w:vertAlign w:val="subscript"/>
        </w:rPr>
      </w:pPr>
      <w:r w:rsidRPr="00DE6484">
        <w:rPr>
          <w:rFonts w:ascii="Arial" w:hAnsi="Arial" w:cs="Arial"/>
          <w:b/>
          <w:bCs/>
          <w:sz w:val="22"/>
          <w:szCs w:val="22"/>
        </w:rPr>
        <w:t>3.3. Ash content, moisture content, and pH</w:t>
      </w:r>
      <w:r w:rsidRPr="00DE6484">
        <w:rPr>
          <w:rFonts w:ascii="Arial" w:hAnsi="Arial" w:cs="Arial"/>
          <w:b/>
          <w:bCs/>
          <w:sz w:val="22"/>
          <w:szCs w:val="22"/>
          <w:vertAlign w:val="subscript"/>
        </w:rPr>
        <w:t>PZC</w:t>
      </w:r>
    </w:p>
    <w:p w14:paraId="7189E676" w14:textId="77777777" w:rsidR="003D59A8" w:rsidRPr="00DE6484" w:rsidRDefault="003D59A8" w:rsidP="00DE6484">
      <w:pPr>
        <w:jc w:val="both"/>
        <w:rPr>
          <w:rFonts w:ascii="Arial" w:hAnsi="Arial" w:cs="Arial"/>
          <w:b/>
          <w:bCs/>
        </w:rPr>
      </w:pPr>
    </w:p>
    <w:p w14:paraId="5674AB78" w14:textId="77777777" w:rsidR="00DE6484" w:rsidRPr="00DE6484" w:rsidRDefault="00DE6484" w:rsidP="00DE6484">
      <w:pPr>
        <w:jc w:val="both"/>
        <w:rPr>
          <w:rFonts w:ascii="Arial" w:hAnsi="Arial" w:cs="Arial"/>
        </w:rPr>
      </w:pPr>
      <w:r w:rsidRPr="00DE6484">
        <w:rPr>
          <w:rFonts w:ascii="Arial" w:hAnsi="Arial" w:cs="Arial"/>
        </w:rPr>
        <w:t>The sample RMA-2M-500, which exhibited the highest specific surface area and the best pollutant removal efficiency, was selected for the determination of ash content, moisture content, and the point of zero charge (pH</w:t>
      </w:r>
      <w:r w:rsidRPr="00DE6484">
        <w:rPr>
          <w:rFonts w:ascii="Arial" w:hAnsi="Arial" w:cs="Arial"/>
          <w:vertAlign w:val="subscript"/>
        </w:rPr>
        <w:t>PZC</w:t>
      </w:r>
      <w:r w:rsidRPr="00DE6484">
        <w:rPr>
          <w:rFonts w:ascii="Arial" w:hAnsi="Arial" w:cs="Arial"/>
        </w:rPr>
        <w:t>). The results obtained are presented in Table 3. The determination of pH</w:t>
      </w:r>
      <w:r w:rsidRPr="00DE6484">
        <w:rPr>
          <w:rFonts w:ascii="Arial" w:hAnsi="Arial" w:cs="Arial"/>
          <w:vertAlign w:val="subscript"/>
        </w:rPr>
        <w:t>PZC</w:t>
      </w:r>
      <w:r w:rsidRPr="00DE6484">
        <w:rPr>
          <w:rFonts w:ascii="Arial" w:hAnsi="Arial" w:cs="Arial"/>
        </w:rPr>
        <w:t xml:space="preserve"> is illustrated in Figure 1.</w:t>
      </w:r>
    </w:p>
    <w:p w14:paraId="58CA21D2" w14:textId="77777777" w:rsidR="003D59A8" w:rsidRDefault="00DE6484" w:rsidP="00DE6484">
      <w:pPr>
        <w:jc w:val="both"/>
        <w:rPr>
          <w:rFonts w:ascii="Arial" w:hAnsi="Arial" w:cs="Arial"/>
        </w:rPr>
      </w:pPr>
      <w:r w:rsidRPr="00DE6484">
        <w:rPr>
          <w:rFonts w:ascii="Arial" w:hAnsi="Arial" w:cs="Arial"/>
          <w:b/>
          <w:bCs/>
        </w:rPr>
        <w:t xml:space="preserve">Table 3. </w:t>
      </w:r>
      <w:r w:rsidRPr="00DE6484">
        <w:rPr>
          <w:rFonts w:ascii="Arial" w:hAnsi="Arial" w:cs="Arial"/>
        </w:rPr>
        <w:t>Ash content, moisture content, and pH</w:t>
      </w:r>
      <w:r w:rsidRPr="00DE6484">
        <w:rPr>
          <w:rFonts w:ascii="Arial" w:hAnsi="Arial" w:cs="Arial"/>
          <w:vertAlign w:val="subscript"/>
        </w:rPr>
        <w:t>PZC</w:t>
      </w:r>
      <w:r w:rsidRPr="00DE6484">
        <w:rPr>
          <w:rFonts w:ascii="Arial" w:hAnsi="Arial" w:cs="Arial"/>
        </w:rPr>
        <w:t xml:space="preserve"> values for the RMA-2M-500 activated</w:t>
      </w:r>
      <w:r w:rsidR="003D59A8" w:rsidRPr="003D59A8">
        <w:rPr>
          <w:rFonts w:ascii="Arial" w:hAnsi="Arial" w:cs="Arial"/>
        </w:rPr>
        <w:t xml:space="preserve"> </w:t>
      </w:r>
      <w:r w:rsidR="003D59A8" w:rsidRPr="00DE6484">
        <w:rPr>
          <w:rFonts w:ascii="Arial" w:hAnsi="Arial" w:cs="Arial"/>
        </w:rPr>
        <w:t>carbon sample.</w:t>
      </w:r>
    </w:p>
    <w:p w14:paraId="54E2F9C0" w14:textId="421272C7" w:rsidR="00DE6484" w:rsidRPr="00DE6484" w:rsidRDefault="00DE6484" w:rsidP="00DE6484">
      <w:pPr>
        <w:jc w:val="both"/>
        <w:rPr>
          <w:rFonts w:ascii="Arial" w:hAnsi="Arial" w:cs="Arial"/>
        </w:rPr>
      </w:pPr>
      <w:r w:rsidRPr="00DE6484">
        <w:rPr>
          <w:rFonts w:ascii="Arial" w:hAnsi="Arial" w:cs="Arial"/>
        </w:rPr>
        <w:t xml:space="preserve"> </w:t>
      </w:r>
    </w:p>
    <w:tbl>
      <w:tblPr>
        <w:tblpPr w:leftFromText="180" w:rightFromText="180" w:vertAnchor="text" w:horzAnchor="margin" w:tblpY="-10"/>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84"/>
        <w:gridCol w:w="2912"/>
        <w:gridCol w:w="2912"/>
      </w:tblGrid>
      <w:tr w:rsidR="00DE6484" w:rsidRPr="00DE6484" w14:paraId="7C5EE1F3" w14:textId="77777777" w:rsidTr="005E114C">
        <w:trPr>
          <w:trHeight w:val="317"/>
        </w:trPr>
        <w:tc>
          <w:tcPr>
            <w:tcW w:w="1452" w:type="pct"/>
          </w:tcPr>
          <w:p w14:paraId="22942ED1" w14:textId="77777777" w:rsidR="00DE6484" w:rsidRPr="00DE6484" w:rsidRDefault="00DE6484" w:rsidP="00DE6484">
            <w:pPr>
              <w:jc w:val="both"/>
              <w:rPr>
                <w:rFonts w:ascii="Arial" w:hAnsi="Arial" w:cs="Arial"/>
                <w:b/>
              </w:rPr>
            </w:pPr>
          </w:p>
          <w:p w14:paraId="29D4C944" w14:textId="77777777" w:rsidR="00DE6484" w:rsidRPr="00DE6484" w:rsidRDefault="00DE6484" w:rsidP="00DE6484">
            <w:pPr>
              <w:jc w:val="both"/>
              <w:rPr>
                <w:rFonts w:ascii="Arial" w:hAnsi="Arial" w:cs="Arial"/>
                <w:b/>
              </w:rPr>
            </w:pPr>
            <w:r w:rsidRPr="00DE6484">
              <w:rPr>
                <w:rFonts w:ascii="Arial" w:hAnsi="Arial" w:cs="Arial"/>
                <w:b/>
              </w:rPr>
              <w:t>Settings</w:t>
            </w:r>
          </w:p>
        </w:tc>
        <w:tc>
          <w:tcPr>
            <w:tcW w:w="1774" w:type="pct"/>
          </w:tcPr>
          <w:p w14:paraId="6339F82A" w14:textId="77777777" w:rsidR="00DE6484" w:rsidRPr="00DE6484" w:rsidRDefault="00DE6484" w:rsidP="00DE6484">
            <w:pPr>
              <w:jc w:val="both"/>
              <w:rPr>
                <w:rFonts w:ascii="Arial" w:hAnsi="Arial" w:cs="Arial"/>
                <w:b/>
              </w:rPr>
            </w:pPr>
          </w:p>
          <w:p w14:paraId="41F24185" w14:textId="77777777" w:rsidR="00DE6484" w:rsidRPr="00DE6484" w:rsidRDefault="00DE6484" w:rsidP="00DE6484">
            <w:pPr>
              <w:jc w:val="both"/>
              <w:rPr>
                <w:rFonts w:ascii="Arial" w:hAnsi="Arial" w:cs="Arial"/>
                <w:b/>
              </w:rPr>
            </w:pPr>
            <w:r w:rsidRPr="00DE6484">
              <w:rPr>
                <w:rFonts w:ascii="Arial" w:hAnsi="Arial" w:cs="Arial"/>
                <w:b/>
              </w:rPr>
              <w:t>Activated carbon</w:t>
            </w:r>
          </w:p>
        </w:tc>
        <w:tc>
          <w:tcPr>
            <w:tcW w:w="1774" w:type="pct"/>
          </w:tcPr>
          <w:p w14:paraId="05C85221" w14:textId="77777777" w:rsidR="00DE6484" w:rsidRPr="00DE6484" w:rsidRDefault="00DE6484" w:rsidP="00DE6484">
            <w:pPr>
              <w:jc w:val="both"/>
              <w:rPr>
                <w:rFonts w:ascii="Arial" w:hAnsi="Arial" w:cs="Arial"/>
                <w:b/>
              </w:rPr>
            </w:pPr>
          </w:p>
          <w:p w14:paraId="7103620D" w14:textId="77777777" w:rsidR="00DE6484" w:rsidRPr="00DE6484" w:rsidRDefault="00DE6484" w:rsidP="00DE6484">
            <w:pPr>
              <w:jc w:val="both"/>
              <w:rPr>
                <w:rFonts w:ascii="Arial" w:hAnsi="Arial" w:cs="Arial"/>
                <w:b/>
              </w:rPr>
            </w:pPr>
            <w:r w:rsidRPr="00DE6484">
              <w:rPr>
                <w:rFonts w:ascii="Arial" w:hAnsi="Arial" w:cs="Arial"/>
                <w:b/>
              </w:rPr>
              <w:t>Normative references</w:t>
            </w:r>
          </w:p>
          <w:p w14:paraId="29D5710E" w14:textId="77777777" w:rsidR="00DE6484" w:rsidRPr="00DE6484" w:rsidRDefault="00DE6484" w:rsidP="00DE6484">
            <w:pPr>
              <w:jc w:val="both"/>
              <w:rPr>
                <w:rFonts w:ascii="Arial" w:hAnsi="Arial" w:cs="Arial"/>
                <w:b/>
              </w:rPr>
            </w:pPr>
          </w:p>
        </w:tc>
      </w:tr>
      <w:tr w:rsidR="00DE6484" w:rsidRPr="00DE6484" w14:paraId="5CBEF32E" w14:textId="77777777" w:rsidTr="005E114C">
        <w:trPr>
          <w:trHeight w:val="437"/>
        </w:trPr>
        <w:tc>
          <w:tcPr>
            <w:tcW w:w="1452" w:type="pct"/>
          </w:tcPr>
          <w:p w14:paraId="5F0F2C80" w14:textId="77777777" w:rsidR="00DE6484" w:rsidRPr="00DE6484" w:rsidRDefault="00DE6484" w:rsidP="00DE6484">
            <w:pPr>
              <w:jc w:val="both"/>
              <w:rPr>
                <w:rFonts w:ascii="Arial" w:hAnsi="Arial" w:cs="Arial"/>
                <w:b/>
              </w:rPr>
            </w:pPr>
          </w:p>
          <w:p w14:paraId="642B02D7" w14:textId="77777777" w:rsidR="00DE6484" w:rsidRPr="00DE6484" w:rsidRDefault="00DE6484" w:rsidP="00DE6484">
            <w:pPr>
              <w:jc w:val="both"/>
              <w:rPr>
                <w:rFonts w:ascii="Arial" w:hAnsi="Arial" w:cs="Arial"/>
                <w:b/>
              </w:rPr>
            </w:pPr>
            <w:r w:rsidRPr="00DE6484">
              <w:rPr>
                <w:rFonts w:ascii="Arial" w:hAnsi="Arial" w:cs="Arial"/>
                <w:b/>
              </w:rPr>
              <w:t>Humidity (%)</w:t>
            </w:r>
          </w:p>
          <w:p w14:paraId="6118D1DD" w14:textId="77777777" w:rsidR="00DE6484" w:rsidRPr="00DE6484" w:rsidRDefault="00DE6484" w:rsidP="00DE6484">
            <w:pPr>
              <w:jc w:val="both"/>
              <w:rPr>
                <w:rFonts w:ascii="Arial" w:hAnsi="Arial" w:cs="Arial"/>
                <w:b/>
              </w:rPr>
            </w:pPr>
          </w:p>
        </w:tc>
        <w:tc>
          <w:tcPr>
            <w:tcW w:w="1774" w:type="pct"/>
          </w:tcPr>
          <w:p w14:paraId="1037EA5F" w14:textId="77777777" w:rsidR="00DE6484" w:rsidRPr="00DE6484" w:rsidRDefault="00DE6484" w:rsidP="00DE6484">
            <w:pPr>
              <w:jc w:val="both"/>
              <w:rPr>
                <w:rFonts w:ascii="Arial" w:hAnsi="Arial" w:cs="Arial"/>
              </w:rPr>
            </w:pPr>
            <w:bookmarkStart w:id="4" w:name="_Hlk201722320"/>
          </w:p>
          <w:p w14:paraId="4C27053E" w14:textId="77777777" w:rsidR="00DE6484" w:rsidRPr="00DE6484" w:rsidRDefault="00DE6484" w:rsidP="00DE6484">
            <w:pPr>
              <w:jc w:val="both"/>
              <w:rPr>
                <w:rFonts w:ascii="Arial" w:hAnsi="Arial" w:cs="Arial"/>
              </w:rPr>
            </w:pPr>
            <w:r w:rsidRPr="00DE6484">
              <w:rPr>
                <w:rFonts w:ascii="Arial" w:hAnsi="Arial" w:cs="Arial"/>
              </w:rPr>
              <w:t>4.93</w:t>
            </w:r>
            <w:bookmarkEnd w:id="4"/>
          </w:p>
          <w:p w14:paraId="10010759" w14:textId="77777777" w:rsidR="00DE6484" w:rsidRPr="00DE6484" w:rsidRDefault="00DE6484" w:rsidP="00DE6484">
            <w:pPr>
              <w:jc w:val="both"/>
              <w:rPr>
                <w:rFonts w:ascii="Arial" w:hAnsi="Arial" w:cs="Arial"/>
              </w:rPr>
            </w:pPr>
          </w:p>
        </w:tc>
        <w:tc>
          <w:tcPr>
            <w:tcW w:w="1774" w:type="pct"/>
          </w:tcPr>
          <w:p w14:paraId="1283A36C" w14:textId="77777777" w:rsidR="00DE6484" w:rsidRPr="00DE6484" w:rsidRDefault="00DE6484" w:rsidP="00DE6484">
            <w:pPr>
              <w:jc w:val="both"/>
              <w:rPr>
                <w:rFonts w:ascii="Arial" w:hAnsi="Arial" w:cs="Arial"/>
              </w:rPr>
            </w:pPr>
          </w:p>
          <w:p w14:paraId="5F2121A7" w14:textId="77777777" w:rsidR="00DE6484" w:rsidRPr="00DE6484" w:rsidRDefault="00DE6484" w:rsidP="00DE6484">
            <w:pPr>
              <w:jc w:val="both"/>
              <w:rPr>
                <w:rFonts w:ascii="Arial" w:hAnsi="Arial" w:cs="Arial"/>
              </w:rPr>
            </w:pPr>
            <w:bookmarkStart w:id="5" w:name="_Hlk205707257"/>
            <w:r w:rsidRPr="00DE6484">
              <w:rPr>
                <w:rFonts w:ascii="Arial" w:hAnsi="Arial" w:cs="Arial"/>
              </w:rPr>
              <w:t>3 – 8 (max 10%)</w:t>
            </w:r>
          </w:p>
          <w:bookmarkEnd w:id="5"/>
          <w:p w14:paraId="1514DF15" w14:textId="77777777" w:rsidR="00DE6484" w:rsidRPr="00DE6484" w:rsidRDefault="00DE6484" w:rsidP="00DE6484">
            <w:pPr>
              <w:jc w:val="both"/>
              <w:rPr>
                <w:rFonts w:ascii="Arial" w:hAnsi="Arial" w:cs="Arial"/>
              </w:rPr>
            </w:pPr>
          </w:p>
        </w:tc>
      </w:tr>
      <w:tr w:rsidR="00DE6484" w:rsidRPr="00DE6484" w14:paraId="3BF49901" w14:textId="77777777" w:rsidTr="005E114C">
        <w:trPr>
          <w:trHeight w:val="437"/>
        </w:trPr>
        <w:tc>
          <w:tcPr>
            <w:tcW w:w="1452" w:type="pct"/>
          </w:tcPr>
          <w:p w14:paraId="248421A6" w14:textId="77777777" w:rsidR="00DE6484" w:rsidRPr="00DE6484" w:rsidRDefault="00DE6484" w:rsidP="00DE6484">
            <w:pPr>
              <w:jc w:val="both"/>
              <w:rPr>
                <w:rFonts w:ascii="Arial" w:hAnsi="Arial" w:cs="Arial"/>
                <w:b/>
              </w:rPr>
            </w:pPr>
          </w:p>
          <w:p w14:paraId="7C0BB365" w14:textId="77777777" w:rsidR="00DE6484" w:rsidRPr="00DE6484" w:rsidRDefault="00DE6484" w:rsidP="00DE6484">
            <w:pPr>
              <w:jc w:val="both"/>
              <w:rPr>
                <w:rFonts w:ascii="Arial" w:hAnsi="Arial" w:cs="Arial"/>
                <w:b/>
              </w:rPr>
            </w:pPr>
            <w:r w:rsidRPr="00DE6484">
              <w:rPr>
                <w:rFonts w:ascii="Arial" w:hAnsi="Arial" w:cs="Arial"/>
                <w:b/>
              </w:rPr>
              <w:t>Ash (%)</w:t>
            </w:r>
          </w:p>
          <w:p w14:paraId="67EE1E94" w14:textId="77777777" w:rsidR="00DE6484" w:rsidRPr="00DE6484" w:rsidRDefault="00DE6484" w:rsidP="00DE6484">
            <w:pPr>
              <w:jc w:val="both"/>
              <w:rPr>
                <w:rFonts w:ascii="Arial" w:hAnsi="Arial" w:cs="Arial"/>
                <w:b/>
              </w:rPr>
            </w:pPr>
          </w:p>
        </w:tc>
        <w:tc>
          <w:tcPr>
            <w:tcW w:w="1774" w:type="pct"/>
          </w:tcPr>
          <w:p w14:paraId="3517FB64" w14:textId="77777777" w:rsidR="00DE6484" w:rsidRPr="00DE6484" w:rsidRDefault="00DE6484" w:rsidP="00DE6484">
            <w:pPr>
              <w:jc w:val="both"/>
              <w:rPr>
                <w:rFonts w:ascii="Arial" w:hAnsi="Arial" w:cs="Arial"/>
              </w:rPr>
            </w:pPr>
          </w:p>
          <w:p w14:paraId="74140D2E" w14:textId="77777777" w:rsidR="00DE6484" w:rsidRPr="00DE6484" w:rsidRDefault="00DE6484" w:rsidP="00DE6484">
            <w:pPr>
              <w:jc w:val="both"/>
              <w:rPr>
                <w:rFonts w:ascii="Arial" w:hAnsi="Arial" w:cs="Arial"/>
              </w:rPr>
            </w:pPr>
            <w:r w:rsidRPr="00DE6484">
              <w:rPr>
                <w:rFonts w:ascii="Arial" w:hAnsi="Arial" w:cs="Arial"/>
              </w:rPr>
              <w:t>9.8</w:t>
            </w:r>
          </w:p>
          <w:p w14:paraId="404AA675" w14:textId="77777777" w:rsidR="00DE6484" w:rsidRPr="00DE6484" w:rsidRDefault="00DE6484" w:rsidP="00DE6484">
            <w:pPr>
              <w:jc w:val="both"/>
              <w:rPr>
                <w:rFonts w:ascii="Arial" w:hAnsi="Arial" w:cs="Arial"/>
              </w:rPr>
            </w:pPr>
          </w:p>
        </w:tc>
        <w:tc>
          <w:tcPr>
            <w:tcW w:w="1774" w:type="pct"/>
          </w:tcPr>
          <w:p w14:paraId="0AE09D04" w14:textId="77777777" w:rsidR="00DE6484" w:rsidRPr="00DE6484" w:rsidRDefault="00DE6484" w:rsidP="00DE6484">
            <w:pPr>
              <w:jc w:val="both"/>
              <w:rPr>
                <w:rFonts w:ascii="Arial" w:hAnsi="Arial" w:cs="Arial"/>
              </w:rPr>
            </w:pPr>
          </w:p>
          <w:p w14:paraId="65F45301" w14:textId="77777777" w:rsidR="00DE6484" w:rsidRPr="00DE6484" w:rsidRDefault="00DE6484" w:rsidP="00DE6484">
            <w:pPr>
              <w:jc w:val="both"/>
              <w:rPr>
                <w:rFonts w:ascii="Arial" w:hAnsi="Arial" w:cs="Arial"/>
              </w:rPr>
            </w:pPr>
            <w:r w:rsidRPr="00DE6484">
              <w:rPr>
                <w:rFonts w:ascii="Arial" w:hAnsi="Arial" w:cs="Arial"/>
              </w:rPr>
              <w:t>2 – 10 % (max 15%)</w:t>
            </w:r>
          </w:p>
          <w:p w14:paraId="6921422D" w14:textId="77777777" w:rsidR="00DE6484" w:rsidRPr="00DE6484" w:rsidRDefault="00DE6484" w:rsidP="00DE6484">
            <w:pPr>
              <w:jc w:val="both"/>
              <w:rPr>
                <w:rFonts w:ascii="Arial" w:hAnsi="Arial" w:cs="Arial"/>
              </w:rPr>
            </w:pPr>
          </w:p>
        </w:tc>
      </w:tr>
      <w:tr w:rsidR="00DE6484" w:rsidRPr="00DE6484" w14:paraId="3743F9E6" w14:textId="77777777" w:rsidTr="005E114C">
        <w:trPr>
          <w:trHeight w:val="437"/>
        </w:trPr>
        <w:tc>
          <w:tcPr>
            <w:tcW w:w="1452" w:type="pct"/>
          </w:tcPr>
          <w:p w14:paraId="319EA158" w14:textId="77777777" w:rsidR="00DE6484" w:rsidRPr="00DE6484" w:rsidRDefault="00DE6484" w:rsidP="00DE6484">
            <w:pPr>
              <w:jc w:val="both"/>
              <w:rPr>
                <w:rFonts w:ascii="Arial" w:hAnsi="Arial" w:cs="Arial"/>
                <w:b/>
              </w:rPr>
            </w:pPr>
            <w:bookmarkStart w:id="6" w:name="_Hlk201650339"/>
          </w:p>
          <w:p w14:paraId="2DA0689D" w14:textId="77777777" w:rsidR="00DE6484" w:rsidRPr="00DE6484" w:rsidRDefault="00DE6484" w:rsidP="00DE6484">
            <w:pPr>
              <w:jc w:val="both"/>
              <w:rPr>
                <w:rFonts w:ascii="Arial" w:hAnsi="Arial" w:cs="Arial"/>
                <w:b/>
                <w:vertAlign w:val="subscript"/>
              </w:rPr>
            </w:pPr>
            <w:bookmarkStart w:id="7" w:name="_Hlk212976726"/>
            <w:r w:rsidRPr="00DE6484">
              <w:rPr>
                <w:rFonts w:ascii="Arial" w:hAnsi="Arial" w:cs="Arial"/>
                <w:b/>
              </w:rPr>
              <w:t>pH</w:t>
            </w:r>
            <w:r w:rsidRPr="00DE6484">
              <w:rPr>
                <w:rFonts w:ascii="Arial" w:hAnsi="Arial" w:cs="Arial"/>
                <w:b/>
                <w:vertAlign w:val="subscript"/>
              </w:rPr>
              <w:t>PZC</w:t>
            </w:r>
            <w:bookmarkEnd w:id="6"/>
            <w:bookmarkEnd w:id="7"/>
          </w:p>
          <w:p w14:paraId="7DDA18FC" w14:textId="77777777" w:rsidR="00DE6484" w:rsidRPr="00DE6484" w:rsidRDefault="00DE6484" w:rsidP="00DE6484">
            <w:pPr>
              <w:jc w:val="both"/>
              <w:rPr>
                <w:rFonts w:ascii="Arial" w:hAnsi="Arial" w:cs="Arial"/>
                <w:b/>
              </w:rPr>
            </w:pPr>
          </w:p>
        </w:tc>
        <w:tc>
          <w:tcPr>
            <w:tcW w:w="1774" w:type="pct"/>
          </w:tcPr>
          <w:p w14:paraId="32FD8677" w14:textId="77777777" w:rsidR="00DE6484" w:rsidRPr="00DE6484" w:rsidRDefault="00DE6484" w:rsidP="00DE6484">
            <w:pPr>
              <w:jc w:val="both"/>
              <w:rPr>
                <w:rFonts w:ascii="Arial" w:hAnsi="Arial" w:cs="Arial"/>
              </w:rPr>
            </w:pPr>
          </w:p>
          <w:p w14:paraId="431C5414" w14:textId="77777777" w:rsidR="00DE6484" w:rsidRPr="00DE6484" w:rsidRDefault="00DE6484" w:rsidP="00DE6484">
            <w:pPr>
              <w:jc w:val="both"/>
              <w:rPr>
                <w:rFonts w:ascii="Arial" w:hAnsi="Arial" w:cs="Arial"/>
              </w:rPr>
            </w:pPr>
            <w:r w:rsidRPr="00DE6484">
              <w:rPr>
                <w:rFonts w:ascii="Arial" w:hAnsi="Arial" w:cs="Arial"/>
              </w:rPr>
              <w:t>3.4</w:t>
            </w:r>
          </w:p>
          <w:p w14:paraId="30D25CBB" w14:textId="77777777" w:rsidR="00DE6484" w:rsidRPr="00DE6484" w:rsidRDefault="00DE6484" w:rsidP="00DE6484">
            <w:pPr>
              <w:jc w:val="both"/>
              <w:rPr>
                <w:rFonts w:ascii="Arial" w:hAnsi="Arial" w:cs="Arial"/>
              </w:rPr>
            </w:pPr>
          </w:p>
        </w:tc>
        <w:tc>
          <w:tcPr>
            <w:tcW w:w="1774" w:type="pct"/>
          </w:tcPr>
          <w:p w14:paraId="113C4721" w14:textId="77777777" w:rsidR="00DE6484" w:rsidRPr="00DE6484" w:rsidRDefault="00DE6484" w:rsidP="00DE6484">
            <w:pPr>
              <w:jc w:val="both"/>
              <w:rPr>
                <w:rFonts w:ascii="Arial" w:hAnsi="Arial" w:cs="Arial"/>
              </w:rPr>
            </w:pPr>
          </w:p>
          <w:p w14:paraId="5081849E" w14:textId="77777777" w:rsidR="00DE6484" w:rsidRPr="00DE6484" w:rsidRDefault="00DE6484" w:rsidP="00DE6484">
            <w:pPr>
              <w:jc w:val="both"/>
              <w:rPr>
                <w:rFonts w:ascii="Arial" w:hAnsi="Arial" w:cs="Arial"/>
              </w:rPr>
            </w:pPr>
            <w:r w:rsidRPr="00DE6484">
              <w:rPr>
                <w:rFonts w:ascii="Arial" w:hAnsi="Arial" w:cs="Arial"/>
              </w:rPr>
              <w:t>-</w:t>
            </w:r>
          </w:p>
          <w:p w14:paraId="13C9941E" w14:textId="77777777" w:rsidR="00DE6484" w:rsidRPr="00DE6484" w:rsidRDefault="00DE6484" w:rsidP="00DE6484">
            <w:pPr>
              <w:jc w:val="both"/>
              <w:rPr>
                <w:rFonts w:ascii="Arial" w:hAnsi="Arial" w:cs="Arial"/>
              </w:rPr>
            </w:pPr>
          </w:p>
        </w:tc>
      </w:tr>
    </w:tbl>
    <w:p w14:paraId="45D6AC78" w14:textId="77777777" w:rsidR="00DE6484" w:rsidRPr="00DE6484" w:rsidRDefault="00DE6484" w:rsidP="00DE6484">
      <w:pPr>
        <w:jc w:val="both"/>
        <w:rPr>
          <w:rFonts w:ascii="Arial" w:hAnsi="Arial" w:cs="Arial"/>
        </w:rPr>
      </w:pPr>
    </w:p>
    <w:p w14:paraId="57A34F1C" w14:textId="77777777" w:rsidR="00DE6484" w:rsidRPr="00DE6484" w:rsidRDefault="00DE6484" w:rsidP="00DE6484">
      <w:pPr>
        <w:jc w:val="both"/>
        <w:rPr>
          <w:rFonts w:ascii="Arial" w:hAnsi="Arial" w:cs="Arial"/>
        </w:rPr>
      </w:pPr>
      <w:r w:rsidRPr="00DE6484">
        <w:rPr>
          <w:rFonts w:ascii="Arial" w:hAnsi="Arial" w:cs="Arial"/>
          <w:noProof/>
        </w:rPr>
        <w:lastRenderedPageBreak/>
        <w:drawing>
          <wp:inline distT="0" distB="0" distL="0" distR="0" wp14:anchorId="761EE47F" wp14:editId="1A30DFB7">
            <wp:extent cx="4785360" cy="3223260"/>
            <wp:effectExtent l="0" t="0" r="0" b="0"/>
            <wp:docPr id="887691155" name="Graphique 1">
              <a:extLst xmlns:a="http://schemas.openxmlformats.org/drawingml/2006/main">
                <a:ext uri="{FF2B5EF4-FFF2-40B4-BE49-F238E27FC236}">
                  <a16:creationId xmlns:a16="http://schemas.microsoft.com/office/drawing/2014/main" id="{180CEA9B-A06B-A601-DB10-799EE60983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F1EC502" w14:textId="77777777" w:rsidR="00DE6484" w:rsidRDefault="00DE6484" w:rsidP="00DE6484">
      <w:pPr>
        <w:jc w:val="both"/>
        <w:rPr>
          <w:rFonts w:ascii="Arial" w:hAnsi="Arial" w:cs="Arial"/>
        </w:rPr>
      </w:pPr>
      <w:r w:rsidRPr="00DE6484">
        <w:rPr>
          <w:rFonts w:ascii="Arial" w:hAnsi="Arial" w:cs="Arial"/>
          <w:b/>
          <w:bCs/>
        </w:rPr>
        <w:t>Figure 1:</w:t>
      </w:r>
      <w:r w:rsidRPr="00DE6484">
        <w:rPr>
          <w:rFonts w:ascii="Arial" w:hAnsi="Arial" w:cs="Arial"/>
        </w:rPr>
        <w:t xml:space="preserve"> Determination of pH at zero loading point (</w:t>
      </w:r>
      <w:proofErr w:type="spellStart"/>
      <w:r w:rsidRPr="00DE6484">
        <w:rPr>
          <w:rFonts w:ascii="Arial" w:hAnsi="Arial" w:cs="Arial"/>
          <w:bCs/>
        </w:rPr>
        <w:t>pH</w:t>
      </w:r>
      <w:r w:rsidRPr="00DE6484">
        <w:rPr>
          <w:rFonts w:ascii="Arial" w:hAnsi="Arial" w:cs="Arial"/>
          <w:bCs/>
          <w:vertAlign w:val="subscript"/>
        </w:rPr>
        <w:t>PZC</w:t>
      </w:r>
      <w:proofErr w:type="spellEnd"/>
      <w:r w:rsidRPr="00DE6484">
        <w:rPr>
          <w:rFonts w:ascii="Arial" w:hAnsi="Arial" w:cs="Arial"/>
        </w:rPr>
        <w:t>), contact time: 72 h, 350 rpm.</w:t>
      </w:r>
    </w:p>
    <w:p w14:paraId="3E31BC55" w14:textId="77777777" w:rsidR="003D59A8" w:rsidRPr="00DE6484" w:rsidRDefault="003D59A8" w:rsidP="00DE6484">
      <w:pPr>
        <w:jc w:val="both"/>
        <w:rPr>
          <w:rFonts w:ascii="Arial" w:hAnsi="Arial" w:cs="Arial"/>
          <w:b/>
          <w:bCs/>
        </w:rPr>
      </w:pPr>
    </w:p>
    <w:p w14:paraId="4A789D6A" w14:textId="46499A2C" w:rsidR="00DE6484" w:rsidRPr="00DE6484" w:rsidRDefault="00DE6484" w:rsidP="00DE6484">
      <w:pPr>
        <w:jc w:val="both"/>
        <w:rPr>
          <w:rFonts w:ascii="Arial" w:hAnsi="Arial" w:cs="Arial"/>
        </w:rPr>
      </w:pPr>
      <w:r w:rsidRPr="00DE6484">
        <w:rPr>
          <w:rFonts w:ascii="Arial" w:hAnsi="Arial" w:cs="Arial"/>
        </w:rPr>
        <w:t>The measured pH</w:t>
      </w:r>
      <w:r w:rsidRPr="00DE6484">
        <w:rPr>
          <w:rFonts w:ascii="Arial" w:hAnsi="Arial" w:cs="Arial"/>
          <w:vertAlign w:val="subscript"/>
        </w:rPr>
        <w:t>PZC</w:t>
      </w:r>
      <w:r w:rsidRPr="00DE6484">
        <w:rPr>
          <w:rFonts w:ascii="Arial" w:hAnsi="Arial" w:cs="Arial"/>
        </w:rPr>
        <w:t xml:space="preserve"> of 3.4 indicates an acidic surface character: the net surface charge of the RMA-2M-500 activated carbon is zero at pH = 3.4, where positive and negative surface charges compensate each other </w:t>
      </w:r>
      <w:r w:rsidRPr="00DE6484">
        <w:rPr>
          <w:rFonts w:ascii="Arial" w:hAnsi="Arial" w:cs="Arial"/>
        </w:rPr>
        <w:fldChar w:fldCharType="begin"/>
      </w:r>
      <w:r w:rsidRPr="00DE6484">
        <w:rPr>
          <w:rFonts w:ascii="Arial" w:hAnsi="Arial" w:cs="Arial"/>
        </w:rPr>
        <w:instrText xml:space="preserve"> ADDIN ZOTERO_ITEM CSL_CITATION {"citationID":"92rN6RtU","properties":{"formattedCitation":"(Bansal et Goyal 2005)","plainCitation":"(Bansal et Goyal 2005)","noteIndex":0},"citationItems":[{"id":458,"uris":["http://zotero.org/users/18768689/items/IC7LNEKI"],"itemData":{"id":458,"type":"book","edition":"0","ISBN":"978-1-4200-2881-2","language":"en","note":"DOI: 10.1201/9781420028812","publisher":"CRC Press","source":"DOI.org (Crossref)","title":"Activated Carbon Adsorption","URL":"https://www.taylorfrancis.com/books/9781420028812","author":[{"family":"Bansal","given":"Roop Chand"},{"family":"Goyal","given":"Meenakshi"}],"accessed":{"date-parts":[["2025",11,30]]},"issued":{"date-parts":[["2005",5,24]]}}}],"schema":"https://github.com/citation-style-language/schema/raw/master/csl-citation.json"} </w:instrText>
      </w:r>
      <w:r w:rsidRPr="00DE6484">
        <w:rPr>
          <w:rFonts w:ascii="Arial" w:hAnsi="Arial" w:cs="Arial"/>
        </w:rPr>
        <w:fldChar w:fldCharType="separate"/>
      </w:r>
      <w:r w:rsidRPr="00DE6484">
        <w:rPr>
          <w:rFonts w:ascii="Arial" w:hAnsi="Arial" w:cs="Arial"/>
        </w:rPr>
        <w:t xml:space="preserve">(Bansal </w:t>
      </w:r>
      <w:r w:rsidR="00C035C3">
        <w:rPr>
          <w:rFonts w:ascii="Arial" w:hAnsi="Arial" w:cs="Arial"/>
        </w:rPr>
        <w:t>and</w:t>
      </w:r>
      <w:r w:rsidRPr="00DE6484">
        <w:rPr>
          <w:rFonts w:ascii="Arial" w:hAnsi="Arial" w:cs="Arial"/>
        </w:rPr>
        <w:t xml:space="preserve"> Goyal 2005)</w:t>
      </w:r>
      <w:r w:rsidRPr="00DE6484">
        <w:rPr>
          <w:rFonts w:ascii="Arial" w:hAnsi="Arial" w:cs="Arial"/>
        </w:rPr>
        <w:fldChar w:fldCharType="end"/>
      </w:r>
      <w:r w:rsidRPr="00DE6484">
        <w:rPr>
          <w:rFonts w:ascii="Arial" w:hAnsi="Arial" w:cs="Arial"/>
        </w:rPr>
        <w:t>. This behavior is typical of H</w:t>
      </w:r>
      <w:r w:rsidRPr="00DE6484">
        <w:rPr>
          <w:rFonts w:ascii="Arial" w:hAnsi="Arial" w:cs="Arial"/>
          <w:vertAlign w:val="subscript"/>
        </w:rPr>
        <w:t>3</w:t>
      </w:r>
      <w:r w:rsidRPr="00DE6484">
        <w:rPr>
          <w:rFonts w:ascii="Arial" w:hAnsi="Arial" w:cs="Arial"/>
        </w:rPr>
        <w:t>PO</w:t>
      </w:r>
      <w:r w:rsidRPr="00DE6484">
        <w:rPr>
          <w:rFonts w:ascii="Arial" w:hAnsi="Arial" w:cs="Arial"/>
          <w:vertAlign w:val="subscript"/>
        </w:rPr>
        <w:t>4</w:t>
      </w:r>
      <w:r w:rsidRPr="00DE6484">
        <w:rPr>
          <w:rFonts w:ascii="Arial" w:hAnsi="Arial" w:cs="Arial"/>
        </w:rPr>
        <w:t>-activated lignocellulosic biomass–derived activated carbons, in which the presence of acidic groups (carboxyl, phenolic, phosphate) lowers the pH</w:t>
      </w:r>
      <w:r w:rsidRPr="00DE6484">
        <w:rPr>
          <w:rFonts w:ascii="Arial" w:hAnsi="Arial" w:cs="Arial"/>
          <w:vertAlign w:val="subscript"/>
        </w:rPr>
        <w:t>PZC</w:t>
      </w:r>
      <w:r w:rsidRPr="00DE6484">
        <w:rPr>
          <w:rFonts w:ascii="Arial" w:hAnsi="Arial" w:cs="Arial"/>
        </w:rPr>
        <w:t>. Several studies have confirmed the acidic nature of the surfaces of H</w:t>
      </w:r>
      <w:r w:rsidRPr="00DE6484">
        <w:rPr>
          <w:rFonts w:ascii="Arial" w:hAnsi="Arial" w:cs="Arial"/>
          <w:vertAlign w:val="subscript"/>
        </w:rPr>
        <w:t>3</w:t>
      </w:r>
      <w:r w:rsidRPr="00DE6484">
        <w:rPr>
          <w:rFonts w:ascii="Arial" w:hAnsi="Arial" w:cs="Arial"/>
        </w:rPr>
        <w:t>PO</w:t>
      </w:r>
      <w:r w:rsidRPr="00DE6484">
        <w:rPr>
          <w:rFonts w:ascii="Arial" w:hAnsi="Arial" w:cs="Arial"/>
          <w:vertAlign w:val="subscript"/>
        </w:rPr>
        <w:t>4</w:t>
      </w:r>
      <w:r w:rsidRPr="00DE6484">
        <w:rPr>
          <w:rFonts w:ascii="Arial" w:hAnsi="Arial" w:cs="Arial"/>
        </w:rPr>
        <w:t>-activated lignocellulosic carbons, with pH</w:t>
      </w:r>
      <w:r w:rsidRPr="00DE6484">
        <w:rPr>
          <w:rFonts w:ascii="Arial" w:hAnsi="Arial" w:cs="Arial"/>
          <w:vertAlign w:val="subscript"/>
        </w:rPr>
        <w:t>PZC</w:t>
      </w:r>
      <w:r w:rsidRPr="00DE6484">
        <w:rPr>
          <w:rFonts w:ascii="Arial" w:hAnsi="Arial" w:cs="Arial"/>
        </w:rPr>
        <w:t xml:space="preserve"> values generally ranging between 2 and 4 </w:t>
      </w:r>
      <w:r w:rsidRPr="00DE6484">
        <w:rPr>
          <w:rFonts w:ascii="Arial" w:hAnsi="Arial" w:cs="Arial"/>
        </w:rPr>
        <w:fldChar w:fldCharType="begin"/>
      </w:r>
      <w:r w:rsidRPr="00DE6484">
        <w:rPr>
          <w:rFonts w:ascii="Arial" w:hAnsi="Arial" w:cs="Arial"/>
        </w:rPr>
        <w:instrText xml:space="preserve"> ADDIN ZOTERO_ITEM CSL_CITATION {"citationID":"r0D55Un1","properties":{"formattedCitation":"(Bansal et Goyal 2005; Moreno-Castilla 2004)","plainCitation":"(Bansal et Goyal 2005; Moreno-Castilla 2004)","noteIndex":0},"citationItems":[{"id":458,"uris":["http://zotero.org/users/18768689/items/IC7LNEKI"],"itemData":{"id":458,"type":"book","edition":"0","ISBN":"978-1-4200-2881-2","language":"en","note":"DOI: 10.1201/9781420028812","publisher":"CRC Press","source":"DOI.org (Crossref)","title":"Activated Carbon Adsorption","URL":"https://www.taylorfrancis.com/books/9781420028812","author":[{"family":"Bansal","given":"Roop Chand"},{"family":"Goyal","given":"Meenakshi"}],"accessed":{"date-parts":[["2025",11,30]]},"issued":{"date-parts":[["2005",5,24]]}}},{"id":310,"uris":["http://zotero.org/users/18768689/items/RP95DUDY"],"itemData":{"id":310,"type":"article-journal","container-title":"Carbon","DOI":"10.1016/j.carbon.2003.09.022","ISSN":"00086223","issue":"1","journalAbbreviation":"Carbon","language":"en","license":"https://www.elsevier.com/tdm/userlicense/1.0/","page":"83-94","source":"DOI.org (Crossref)","title":"Adsorption of organic molecules from aqueous solutions on carbon materials","volume":"42","author":[{"family":"Moreno-Castilla","given":"Carlos"}],"issued":{"date-parts":[["2004"]]}}}],"schema":"https://github.com/citation-style-language/schema/raw/master/csl-citation.json"} </w:instrText>
      </w:r>
      <w:r w:rsidRPr="00DE6484">
        <w:rPr>
          <w:rFonts w:ascii="Arial" w:hAnsi="Arial" w:cs="Arial"/>
        </w:rPr>
        <w:fldChar w:fldCharType="separate"/>
      </w:r>
      <w:r w:rsidRPr="00DE6484">
        <w:rPr>
          <w:rFonts w:ascii="Arial" w:hAnsi="Arial" w:cs="Arial"/>
        </w:rPr>
        <w:t xml:space="preserve">(Bansal </w:t>
      </w:r>
      <w:r w:rsidR="00C035C3">
        <w:rPr>
          <w:rFonts w:ascii="Arial" w:hAnsi="Arial" w:cs="Arial"/>
        </w:rPr>
        <w:t>and</w:t>
      </w:r>
      <w:r w:rsidRPr="00DE6484">
        <w:rPr>
          <w:rFonts w:ascii="Arial" w:hAnsi="Arial" w:cs="Arial"/>
        </w:rPr>
        <w:t xml:space="preserve"> Goyal 2005; Moreno-Castilla 2004)</w:t>
      </w:r>
      <w:r w:rsidRPr="00DE6484">
        <w:rPr>
          <w:rFonts w:ascii="Arial" w:hAnsi="Arial" w:cs="Arial"/>
        </w:rPr>
        <w:fldChar w:fldCharType="end"/>
      </w:r>
      <w:r w:rsidRPr="00DE6484">
        <w:rPr>
          <w:rFonts w:ascii="Arial" w:hAnsi="Arial" w:cs="Arial"/>
        </w:rPr>
        <w:t>.</w:t>
      </w:r>
    </w:p>
    <w:p w14:paraId="103BD47C" w14:textId="77777777" w:rsidR="00DE6484" w:rsidRPr="00DE6484" w:rsidRDefault="00DE6484" w:rsidP="00DE6484">
      <w:pPr>
        <w:jc w:val="both"/>
        <w:rPr>
          <w:rFonts w:ascii="Arial" w:hAnsi="Arial" w:cs="Arial"/>
        </w:rPr>
      </w:pPr>
      <w:r w:rsidRPr="00DE6484">
        <w:rPr>
          <w:rFonts w:ascii="Arial" w:hAnsi="Arial" w:cs="Arial"/>
        </w:rPr>
        <w:fldChar w:fldCharType="begin"/>
      </w:r>
      <w:r w:rsidRPr="00DE6484">
        <w:rPr>
          <w:rFonts w:ascii="Arial" w:hAnsi="Arial" w:cs="Arial"/>
        </w:rPr>
        <w:instrText xml:space="preserve"> ADDIN ZOTERO_ITEM CSL_CITATION {"citationID":"pVJ0gqHw","properties":{"formattedCitation":"(Alhawtali et al. 2024)","plainCitation":"(Alhawtali et al. 2024)","noteIndex":0},"citationItems":[{"id":459,"uris":["http://zotero.org/users/18768689/items/RN52KUS5"],"itemData":{"id":459,"type":"article-journal","abstract":"The removal of lead metals from wastewater was carried out with carbon microspheres (CMs) prepared from date palm leaflets using a hydrothermal carbonization process (HTC). The prepared CMs were subsequently activated with phosphoric acid using the incipient wetness impregnation method. The prepared sample had a low Brunauer–Emmet–Teller (BET) surface area of 2.21 m2·g−1, which increased substantially to 808 m2·g−1 after the activation process. Various characterization techniques, such as scanning electron microscopy, BET analysis, Fourier transform infrared, and elemental analysis (CHNS), were used to evaluate the morphological structure and physico-chemical properties of the CMs before and after activation. The increase in surface area is an indicator of the activation process, which enhances the absorption properties of the material. The results demonstrated that the activated CMs had a notable adsorption capacity, with a maximum adsorption capacity of 136 mg·g−1 for lead (II) ions. This finding suggests that the activated CMs are highly effective in removing lead pollutants from water. This research underscores the promise of utilizing activated carbon materials extracted from palm leaflets as an eco-friendly method with high potential for water purification, specifically in eliminating heavy metal pollutants, particularly lead (II), contributing to sustainability through biomass reuse.","container-title":"C","DOI":"10.3390/c10010026","ISSN":"2311-5629","issue":"1","journalAbbreviation":"C","language":"en","page":"26","source":"DOI.org (Crossref)","title":"Date Palm Leaflet-Derived Carbon Microspheres Activated Using Phosphoric Acid for Efficient Lead (II) Adsorption","volume":"10","author":[{"family":"Alhawtali","given":"Saeed"},{"family":"El-Harbawi","given":"Mohanad"},{"family":"El Blidi","given":"Lahssen"},{"family":"Alrashed","given":"Maher M."},{"family":"Alzobidi","given":"Abdulrahman"},{"family":"Yin","given":"Chun-Yang"}],"issued":{"date-parts":[["2024",3,12]]}}}],"schema":"https://github.com/citation-style-language/schema/raw/master/csl-citation.json"} </w:instrText>
      </w:r>
      <w:r w:rsidRPr="00DE6484">
        <w:rPr>
          <w:rFonts w:ascii="Arial" w:hAnsi="Arial" w:cs="Arial"/>
        </w:rPr>
        <w:fldChar w:fldCharType="separate"/>
      </w:r>
      <w:r w:rsidRPr="00DE6484">
        <w:rPr>
          <w:rFonts w:ascii="Arial" w:hAnsi="Arial" w:cs="Arial"/>
        </w:rPr>
        <w:t>Alhawtali and al. (2024)</w:t>
      </w:r>
      <w:r w:rsidRPr="00DE6484">
        <w:rPr>
          <w:rFonts w:ascii="Arial" w:hAnsi="Arial" w:cs="Arial"/>
        </w:rPr>
        <w:fldChar w:fldCharType="end"/>
      </w:r>
      <w:r w:rsidRPr="00DE6484">
        <w:rPr>
          <w:rFonts w:ascii="Arial" w:hAnsi="Arial" w:cs="Arial"/>
        </w:rPr>
        <w:t xml:space="preserve"> reported a pH</w:t>
      </w:r>
      <w:r w:rsidRPr="00DE6484">
        <w:rPr>
          <w:rFonts w:ascii="Arial" w:hAnsi="Arial" w:cs="Arial"/>
          <w:vertAlign w:val="subscript"/>
        </w:rPr>
        <w:t>PZC</w:t>
      </w:r>
      <w:r w:rsidRPr="00DE6484">
        <w:rPr>
          <w:rFonts w:ascii="Arial" w:hAnsi="Arial" w:cs="Arial"/>
        </w:rPr>
        <w:t xml:space="preserve"> of 2.39 for carbon microspheres derived from date-palm leaves and activated with H</w:t>
      </w:r>
      <w:r w:rsidRPr="00DE6484">
        <w:rPr>
          <w:rFonts w:ascii="Arial" w:hAnsi="Arial" w:cs="Arial"/>
          <w:vertAlign w:val="subscript"/>
        </w:rPr>
        <w:t>3</w:t>
      </w:r>
      <w:r w:rsidRPr="00DE6484">
        <w:rPr>
          <w:rFonts w:ascii="Arial" w:hAnsi="Arial" w:cs="Arial"/>
        </w:rPr>
        <w:t>PO</w:t>
      </w:r>
      <w:r w:rsidRPr="00DE6484">
        <w:rPr>
          <w:rFonts w:ascii="Arial" w:hAnsi="Arial" w:cs="Arial"/>
          <w:vertAlign w:val="subscript"/>
        </w:rPr>
        <w:t>4</w:t>
      </w:r>
      <w:r w:rsidRPr="00DE6484">
        <w:rPr>
          <w:rFonts w:ascii="Arial" w:hAnsi="Arial" w:cs="Arial"/>
        </w:rPr>
        <w:t xml:space="preserve">, while </w:t>
      </w:r>
      <w:r w:rsidRPr="00DE6484">
        <w:rPr>
          <w:rFonts w:ascii="Arial" w:hAnsi="Arial" w:cs="Arial"/>
        </w:rPr>
        <w:fldChar w:fldCharType="begin"/>
      </w:r>
      <w:r w:rsidRPr="00DE6484">
        <w:rPr>
          <w:rFonts w:ascii="Arial" w:hAnsi="Arial" w:cs="Arial"/>
        </w:rPr>
        <w:instrText xml:space="preserve"> ADDIN ZOTERO_ITEM CSL_CITATION {"citationID":"0GhsGEsu","properties":{"formattedCitation":"(Mandal et al. 2024)","plainCitation":"(Mandal et al. 2024)","noteIndex":0},"citationItems":[{"id":461,"uris":["http://zotero.org/users/18768689/items/ITI7UEXN"],"itemData":{"id":461,"type":"article-journal","abstract":"The massive growth in the human population along with advancements in healthcare, have led to various active pharmaceuticals entering into the water stream, causing harmful genotoxic, mutagenic, and ecotoxicological effects on all living organisms.\n          , \n            \n              The massive growth in the human population, along with an improved healthcare system, resulted in the discharge of a large variety of active pharmaceuticals, including antibiotics, into the water stream leading to genotoxic, mutagenic, and ecotoxicological effects on plants, animals, and human. In this study, cost-effective and environmentally sustainable activated carbon adsorbents with composite pore structures have been prepared from agricultural waste materials, peanut shells and areca nut fibers, through a facile method. Phosphoric acid (H\n              3\n              PO\n              4\n              ) of two different concentrations (20% and 40%) was used for preparing the activated carbons. All the activated carbon samples showed reasonably high specific surface area (SSA) ranging between 580–780 m\n              2\n              g\n              −1\n              . The SSA of the activated carbon obtained from peanut shells was higher than those obtained from the areca nut fibers. The adsorption characteristics of the prepared activated carbons were assessed for the common active pharmaceuticals, paracetamol, amoxicillin, and aspirin, in an aqueous medium. The rate of adsorption of the activated carbon was very high, and about 90% of the paracetamol was adsorbed within 5 min of contact. The adsorption kinetics followed a pseudo-second-order kinetic model. The paracetamol adsorption capacity of the activated carbons obtained from the Langmuir adsorption isotherm (monolayer) model was 67 mg g\n              −1\n              . Regeneration and reuse of the adsorbent for the removal of paracetamol were also studied for up to 5 cycles. The present research work ensures the “3 Rs” principle [reduce (waste), reuse and recycle] of environmental sustainability.","container-title":"RSC Sustainability","DOI":"10.1039/D4SU00262H","ISSN":"2753-8125","issue":"10","journalAbbreviation":"RSC Sustainability","language":"en","page":"3022-3035","source":"DOI.org (Crossref)","title":"Activated carbon with composite pore structures made from peanut shell and areca nut fibers as sustainable adsorbent material for the efficient removal of active pharmaceuticals from aqueous media","volume":"2","author":[{"family":"Mandal","given":"Sujata"},{"family":"Stephen","given":"Dayana"},{"family":"Janardhanan","given":"Sreeram Kalarical"}],"issued":{"date-parts":[["2024"]]}}}],"schema":"https://github.com/citation-style-language/schema/raw/master/csl-citation.json"} </w:instrText>
      </w:r>
      <w:r w:rsidRPr="00DE6484">
        <w:rPr>
          <w:rFonts w:ascii="Arial" w:hAnsi="Arial" w:cs="Arial"/>
        </w:rPr>
        <w:fldChar w:fldCharType="separate"/>
      </w:r>
      <w:r w:rsidRPr="00DE6484">
        <w:rPr>
          <w:rFonts w:ascii="Arial" w:hAnsi="Arial" w:cs="Arial"/>
        </w:rPr>
        <w:t>Mandal and al. (2024)</w:t>
      </w:r>
      <w:r w:rsidRPr="00DE6484">
        <w:rPr>
          <w:rFonts w:ascii="Arial" w:hAnsi="Arial" w:cs="Arial"/>
        </w:rPr>
        <w:fldChar w:fldCharType="end"/>
      </w:r>
      <w:r w:rsidRPr="00DE6484">
        <w:rPr>
          <w:rFonts w:ascii="Arial" w:hAnsi="Arial" w:cs="Arial"/>
        </w:rPr>
        <w:t xml:space="preserve"> reported pH</w:t>
      </w:r>
      <w:r w:rsidRPr="00DE6484">
        <w:rPr>
          <w:rFonts w:ascii="Arial" w:hAnsi="Arial" w:cs="Arial"/>
          <w:vertAlign w:val="subscript"/>
        </w:rPr>
        <w:t>PZC</w:t>
      </w:r>
      <w:r w:rsidRPr="00DE6484">
        <w:rPr>
          <w:rFonts w:ascii="Arial" w:hAnsi="Arial" w:cs="Arial"/>
        </w:rPr>
        <w:t xml:space="preserve"> values ranging from 3.6 to 3.8 for activated carbons produced from peanut shells and areca fibers treated with H</w:t>
      </w:r>
      <w:r w:rsidRPr="00DE6484">
        <w:rPr>
          <w:rFonts w:ascii="Arial" w:hAnsi="Arial" w:cs="Arial"/>
          <w:vertAlign w:val="subscript"/>
        </w:rPr>
        <w:t>3</w:t>
      </w:r>
      <w:r w:rsidRPr="00DE6484">
        <w:rPr>
          <w:rFonts w:ascii="Arial" w:hAnsi="Arial" w:cs="Arial"/>
        </w:rPr>
        <w:t>PO</w:t>
      </w:r>
      <w:r w:rsidRPr="00DE6484">
        <w:rPr>
          <w:rFonts w:ascii="Arial" w:hAnsi="Arial" w:cs="Arial"/>
          <w:vertAlign w:val="subscript"/>
        </w:rPr>
        <w:t>4</w:t>
      </w:r>
      <w:r w:rsidRPr="00DE6484">
        <w:rPr>
          <w:rFonts w:ascii="Arial" w:hAnsi="Arial" w:cs="Arial"/>
        </w:rPr>
        <w:t>.</w:t>
      </w:r>
    </w:p>
    <w:p w14:paraId="62535EE1" w14:textId="5E4B8122" w:rsidR="00DE6484" w:rsidRPr="00DE6484" w:rsidRDefault="00DE6484" w:rsidP="00DE6484">
      <w:pPr>
        <w:jc w:val="both"/>
        <w:rPr>
          <w:rFonts w:ascii="Arial" w:hAnsi="Arial" w:cs="Arial"/>
        </w:rPr>
      </w:pPr>
      <w:r w:rsidRPr="00DE6484">
        <w:rPr>
          <w:rFonts w:ascii="Arial" w:hAnsi="Arial" w:cs="Arial"/>
        </w:rPr>
        <w:t xml:space="preserve">Surface speciation therefore depends on the solution pH: for pH &gt; 3.4, the surface becomes predominantly negative and favors the adsorption of cations; for pH &lt; 3.4, it becomes positively charged and favors the adsorption of anions </w:t>
      </w:r>
      <w:r w:rsidRPr="00DE6484">
        <w:rPr>
          <w:rFonts w:ascii="Arial" w:hAnsi="Arial" w:cs="Arial"/>
        </w:rPr>
        <w:fldChar w:fldCharType="begin"/>
      </w:r>
      <w:r w:rsidRPr="00DE6484">
        <w:rPr>
          <w:rFonts w:ascii="Arial" w:hAnsi="Arial" w:cs="Arial"/>
        </w:rPr>
        <w:instrText xml:space="preserve"> ADDIN ZOTERO_ITEM CSL_CITATION {"citationID":"3K95ohYS","properties":{"formattedCitation":"(Daifullah et al. 2004; Mohan et Pittman 2007)","plainCitation":"(Daifullah et al. 2004; Mohan et Pittman 2007)","noteIndex":0},"citationItems":[{"id":439,"uris":["http://zotero.org/users/18768689/items/XZ4M2V5B"],"itemData":{"id":439,"type":"article-journal","container-title":"Colloids and Surfaces A: Physicochemical and Engineering Aspects","DOI":"10.1016/j.colsurfa.2003.12.020","ISSN":"09277757","issue":"1-3","journalAbbreviation":"Colloids and Surfaces A: Physicochemical and Engineering Aspects","language":"en","license":"https://www.elsevier.com/tdm/userlicense/1.0/","page":"1-10","source":"DOI.org (Crossref)","title":"A study of the factors affecting the removal of humic acid by activated carbon prepared from biomass material","volume":"235","author":[{"family":"Daifullah","given":"A.A.M"},{"family":"Girgis","given":"B.S"},{"family":"Gad","given":"H.M.H"}],"issued":{"date-parts":[["2004",3]]}}},{"id":463,"uris":["http://zotero.org/users/18768689/items/9BU2Q8WI"],"itemData":{"id":463,"type":"article-journal","container-title":"Journal of Hazardous Materials","DOI":"10.1016/j.jhazmat.2007.01.006","ISSN":"03043894","issue":"1-2","journalAbbreviation":"Journal of Hazardous Materials","language":"en","license":"https://www.elsevier.com/tdm/userlicense/1.0/","page":"1-53","source":"DOI.org (Crossref)","title":"Arsenic removal from water/wastewater using adsorbents—A critical review","volume":"142","author":[{"family":"Mohan","given":"Dinesh"},{"family":"Pittman","given":"Charles U."}],"issued":{"date-parts":[["2007",4]]}}}],"schema":"https://github.com/citation-style-language/schema/raw/master/csl-citation.json"} </w:instrText>
      </w:r>
      <w:r w:rsidRPr="00DE6484">
        <w:rPr>
          <w:rFonts w:ascii="Arial" w:hAnsi="Arial" w:cs="Arial"/>
        </w:rPr>
        <w:fldChar w:fldCharType="separate"/>
      </w:r>
      <w:r w:rsidRPr="00DE6484">
        <w:rPr>
          <w:rFonts w:ascii="Arial" w:hAnsi="Arial" w:cs="Arial"/>
        </w:rPr>
        <w:t xml:space="preserve">(Daifullah </w:t>
      </w:r>
      <w:r w:rsidR="00C035C3">
        <w:rPr>
          <w:rFonts w:ascii="Arial" w:hAnsi="Arial" w:cs="Arial"/>
        </w:rPr>
        <w:t>and</w:t>
      </w:r>
      <w:r w:rsidRPr="00DE6484">
        <w:rPr>
          <w:rFonts w:ascii="Arial" w:hAnsi="Arial" w:cs="Arial"/>
        </w:rPr>
        <w:t xml:space="preserve"> al. 2004; Mohan </w:t>
      </w:r>
      <w:r w:rsidR="00C035C3">
        <w:rPr>
          <w:rFonts w:ascii="Arial" w:hAnsi="Arial" w:cs="Arial"/>
        </w:rPr>
        <w:t>and</w:t>
      </w:r>
      <w:r w:rsidRPr="00DE6484">
        <w:rPr>
          <w:rFonts w:ascii="Arial" w:hAnsi="Arial" w:cs="Arial"/>
        </w:rPr>
        <w:t xml:space="preserve"> Pittman 2007)</w:t>
      </w:r>
      <w:r w:rsidRPr="00DE6484">
        <w:rPr>
          <w:rFonts w:ascii="Arial" w:hAnsi="Arial" w:cs="Arial"/>
        </w:rPr>
        <w:fldChar w:fldCharType="end"/>
      </w:r>
      <w:r w:rsidRPr="00DE6484">
        <w:rPr>
          <w:rFonts w:ascii="Arial" w:hAnsi="Arial" w:cs="Arial"/>
        </w:rPr>
        <w:t>. FTIR analysis confirms the presence of acidic functional groups on the materials studied.</w:t>
      </w:r>
    </w:p>
    <w:p w14:paraId="336BC2AB" w14:textId="77777777" w:rsidR="00DE6484" w:rsidRPr="00DE6484" w:rsidRDefault="00DE6484" w:rsidP="00DE6484">
      <w:pPr>
        <w:jc w:val="both"/>
        <w:rPr>
          <w:rFonts w:ascii="Arial" w:hAnsi="Arial" w:cs="Arial"/>
        </w:rPr>
      </w:pPr>
      <w:r w:rsidRPr="00DE6484">
        <w:rPr>
          <w:rFonts w:ascii="Arial" w:hAnsi="Arial" w:cs="Arial"/>
        </w:rPr>
        <w:t xml:space="preserve">Ash content and moisture content are major parameters in the characterization of activated carbons. According to ASTM Standard D2866 </w:t>
      </w:r>
      <w:r w:rsidRPr="00DE6484">
        <w:rPr>
          <w:rFonts w:ascii="Arial" w:hAnsi="Arial" w:cs="Arial"/>
        </w:rPr>
        <w:fldChar w:fldCharType="begin"/>
      </w:r>
      <w:r w:rsidRPr="00DE6484">
        <w:rPr>
          <w:rFonts w:ascii="Arial" w:hAnsi="Arial" w:cs="Arial"/>
        </w:rPr>
        <w:instrText xml:space="preserve"> ADDIN ZOTERO_ITEM CSL_CITATION {"citationID":"Wc6vMvIa","properties":{"formattedCitation":"(D28 Committee, s.\\uc0\\u160{}d.)","plainCitation":"(D28 Committee, s. d.)","noteIndex":0},"citationItems":[{"id":464,"uris":["http://zotero.org/users/18768689/items/6MCVK284"],"itemData":{"id":464,"type":"standard","DOI":"10.1520/D2866-11","language":"en","publisher":"ASTM International","source":"DOI.org (Crossref)","title":"Test Method for Total Ash Content of Activated Carbon","URL":"http://www.astm.org/cgi-bin/resolver.cgi?D2866-11","author":[{"literal":"D28 Committee"}],"accessed":{"date-parts":[["2025",11,30]]}}}],"schema":"https://github.com/citation-style-language/schema/raw/master/csl-citation.json"} </w:instrText>
      </w:r>
      <w:r w:rsidRPr="00DE6484">
        <w:rPr>
          <w:rFonts w:ascii="Arial" w:hAnsi="Arial" w:cs="Arial"/>
        </w:rPr>
        <w:fldChar w:fldCharType="separate"/>
      </w:r>
      <w:r w:rsidRPr="00DE6484">
        <w:rPr>
          <w:rFonts w:ascii="Arial" w:hAnsi="Arial" w:cs="Arial"/>
        </w:rPr>
        <w:t>(D28 Committee, s. d.)</w:t>
      </w:r>
      <w:r w:rsidRPr="00DE6484">
        <w:rPr>
          <w:rFonts w:ascii="Arial" w:hAnsi="Arial" w:cs="Arial"/>
        </w:rPr>
        <w:fldChar w:fldCharType="end"/>
      </w:r>
      <w:r w:rsidRPr="00DE6484">
        <w:rPr>
          <w:rFonts w:ascii="Arial" w:hAnsi="Arial" w:cs="Arial"/>
        </w:rPr>
        <w:t xml:space="preserve">, ash content corresponds to the mineral fraction remaining after complete combustion of the carbon at high temperature. The measured value (9.8%) falls within the recommended range for good-quality activated carbon (2–10%, max. 15%). A high ash content can reduce the specific surface area by occupying pores or increasing the inert fraction </w:t>
      </w:r>
      <w:r w:rsidRPr="00DE6484">
        <w:rPr>
          <w:rFonts w:ascii="Arial" w:hAnsi="Arial" w:cs="Arial"/>
        </w:rPr>
        <w:fldChar w:fldCharType="begin"/>
      </w:r>
      <w:r w:rsidRPr="00DE6484">
        <w:rPr>
          <w:rFonts w:ascii="Arial" w:hAnsi="Arial" w:cs="Arial"/>
        </w:rPr>
        <w:instrText xml:space="preserve"> ADDIN ZOTERO_ITEM CSL_CITATION {"citationID":"rs0Jd2R3","properties":{"formattedCitation":"(Patnukao et Pavasant 2008)","plainCitation":"(Patnukao et Pavasant 2008)","noteIndex":0},"citationItems":[{"id":465,"uris":["http://zotero.org/users/18768689/items/TBCU9HXM"],"itemData":{"id":465,"type":"article-journal","container-title":"Bioresource Technology","DOI":"10.1016/j.biortech.2006.10.049","ISSN":"09608524","issue":"17","journalAbbreviation":"Bioresource Technology","language":"en","license":"https://www.elsevier.com/tdm/userlicense/1.0/","page":"8540-8543","source":"DOI.org (Crossref)","title":"Activated carbon from Eucalyptus camaldulensis Dehn bark using phosphoric acid activation","volume":"99","author":[{"family":"Patnukao","given":"Phussadee"},{"family":"Pavasant","given":"Prasert"}],"issued":{"date-parts":[["2008",11]]}}}],"schema":"https://github.com/citation-style-language/schema/raw/master/csl-citation.json"} </w:instrText>
      </w:r>
      <w:r w:rsidRPr="00DE6484">
        <w:rPr>
          <w:rFonts w:ascii="Arial" w:hAnsi="Arial" w:cs="Arial"/>
        </w:rPr>
        <w:fldChar w:fldCharType="separate"/>
      </w:r>
      <w:r w:rsidRPr="00DE6484">
        <w:rPr>
          <w:rFonts w:ascii="Arial" w:hAnsi="Arial" w:cs="Arial"/>
        </w:rPr>
        <w:t>(Patnukao et Pavasant 2008)</w:t>
      </w:r>
      <w:r w:rsidRPr="00DE6484">
        <w:rPr>
          <w:rFonts w:ascii="Arial" w:hAnsi="Arial" w:cs="Arial"/>
        </w:rPr>
        <w:fldChar w:fldCharType="end"/>
      </w:r>
      <w:r w:rsidRPr="00DE6484">
        <w:rPr>
          <w:rFonts w:ascii="Arial" w:hAnsi="Arial" w:cs="Arial"/>
        </w:rPr>
        <w:t>.</w:t>
      </w:r>
    </w:p>
    <w:p w14:paraId="4817E74C" w14:textId="3CFA492E" w:rsidR="00DE6484" w:rsidRDefault="00DE6484" w:rsidP="00DE6484">
      <w:pPr>
        <w:jc w:val="both"/>
        <w:rPr>
          <w:rFonts w:ascii="Arial" w:hAnsi="Arial" w:cs="Arial"/>
        </w:rPr>
      </w:pPr>
      <w:r w:rsidRPr="00DE6484">
        <w:rPr>
          <w:rFonts w:ascii="Arial" w:hAnsi="Arial" w:cs="Arial"/>
        </w:rPr>
        <w:t xml:space="preserve">Moisture content (or residual moisture), expressed as a percentage of mass, reflects the amount of water retained within the material. The value obtained (4.93%) is low, indicating effective drying; it is consistent with common recommendations (3–8%, max. 10%) </w:t>
      </w:r>
      <w:r w:rsidRPr="00DE6484">
        <w:rPr>
          <w:rFonts w:ascii="Arial" w:hAnsi="Arial" w:cs="Arial"/>
        </w:rPr>
        <w:fldChar w:fldCharType="begin"/>
      </w:r>
      <w:r w:rsidRPr="00DE6484">
        <w:rPr>
          <w:rFonts w:ascii="Arial" w:hAnsi="Arial" w:cs="Arial"/>
        </w:rPr>
        <w:instrText xml:space="preserve"> ADDIN ZOTERO_ITEM CSL_CITATION {"citationID":"2bXaqlF6","properties":{"formattedCitation":"(Foo et Hameed 2010)","plainCitation":"(Foo et Hameed 2010)","noteIndex":0},"citationItems":[{"id":466,"uris":["http://zotero.org/users/18768689/items/X9J5EVW4"],"itemData":{"id":466,"type":"article-journal","container-title":"Chemical Engineering Journal","DOI":"10.1016/j.cej.2009.09.013","ISSN":"13858947","issue":"1","journalAbbreviation":"Chemical Engineering Journal","language":"en","page":"2-10","source":"DOI.org (Crossref)","title":"Insights into the modeling of adsorption isotherm systems","volume":"156","author":[{"family":"Foo","given":"K.Y."},{"family":"Hameed","given":"B.H."}],"issued":{"date-parts":[["2010",1]]}}}],"schema":"https://github.com/citation-style-language/schema/raw/master/csl-citation.json"} </w:instrText>
      </w:r>
      <w:r w:rsidRPr="00DE6484">
        <w:rPr>
          <w:rFonts w:ascii="Arial" w:hAnsi="Arial" w:cs="Arial"/>
        </w:rPr>
        <w:fldChar w:fldCharType="separate"/>
      </w:r>
      <w:r w:rsidRPr="00DE6484">
        <w:rPr>
          <w:rFonts w:ascii="Arial" w:hAnsi="Arial" w:cs="Arial"/>
        </w:rPr>
        <w:t>(Foo et Hameed 2010)</w:t>
      </w:r>
      <w:r w:rsidRPr="00DE6484">
        <w:rPr>
          <w:rFonts w:ascii="Arial" w:hAnsi="Arial" w:cs="Arial"/>
        </w:rPr>
        <w:fldChar w:fldCharType="end"/>
      </w:r>
      <w:r w:rsidRPr="00DE6484">
        <w:rPr>
          <w:rFonts w:ascii="Arial" w:hAnsi="Arial" w:cs="Arial"/>
        </w:rPr>
        <w:t xml:space="preserve">. This parameter directly affects stability, storage, and adsorption performance. Excessively high moisture content can reduce adsorption capacity by occupying or temporarily blocking micropores, thereby preventing target molecules from accessing them </w:t>
      </w:r>
      <w:r w:rsidRPr="00DE6484">
        <w:rPr>
          <w:rFonts w:ascii="Arial" w:hAnsi="Arial" w:cs="Arial"/>
        </w:rPr>
        <w:fldChar w:fldCharType="begin"/>
      </w:r>
      <w:r w:rsidRPr="00DE6484">
        <w:rPr>
          <w:rFonts w:ascii="Arial" w:hAnsi="Arial" w:cs="Arial"/>
        </w:rPr>
        <w:instrText xml:space="preserve"> ADDIN ZOTERO_ITEM CSL_CITATION {"citationID":"8l7n2We1","properties":{"formattedCitation":"(Bansal et Goyal 2005; Foo et Hameed 2010)","plainCitation":"(Bansal et Goyal 2005; Foo et Hameed 2010)","noteIndex":0},"citationItems":[{"id":458,"uris":["http://zotero.org/users/18768689/items/IC7LNEKI"],"itemData":{"id":458,"type":"book","edition":"0","ISBN":"978-1-4200-2881-2","language":"en","note":"DOI: 10.1201/9781420028812","publisher":"CRC Press","source":"DOI.org (Crossref)","title":"Activated Carbon Adsorption","URL":"https://www.taylorfrancis.com/books/9781420028812","author":[{"family":"Bansal","given":"Roop Chand"},{"family":"Goyal","given":"Meenakshi"}],"accessed":{"date-parts":[["2025",11,30]]},"issued":{"date-parts":[["2005",5,24]]}}},{"id":466,"uris":["http://zotero.org/users/18768689/items/X9J5EVW4"],"itemData":{"id":466,"type":"article-journal","container-title":"Chemical Engineering Journal","DOI":"10.1016/j.cej.2009.09.013","ISSN":"13858947","issue":"1","journalAbbreviation":"Chemical Engineering Journal","language":"en","page":"2-10","source":"DOI.org (Crossref)","title":"Insights into the modeling of adsorption isotherm systems","volume":"156","author":[{"family":"Foo","given":"K.Y."},{"family":"Hameed","given":"B.H."}],"issued":{"date-parts":[["2010",1]]}}}],"schema":"https://github.com/citation-style-language/schema/raw/master/csl-citation.json"} </w:instrText>
      </w:r>
      <w:r w:rsidRPr="00DE6484">
        <w:rPr>
          <w:rFonts w:ascii="Arial" w:hAnsi="Arial" w:cs="Arial"/>
        </w:rPr>
        <w:fldChar w:fldCharType="separate"/>
      </w:r>
      <w:r w:rsidRPr="00DE6484">
        <w:rPr>
          <w:rFonts w:ascii="Arial" w:hAnsi="Arial" w:cs="Arial"/>
        </w:rPr>
        <w:t xml:space="preserve">(Bansal </w:t>
      </w:r>
      <w:r w:rsidR="00C035C3">
        <w:rPr>
          <w:rFonts w:ascii="Arial" w:hAnsi="Arial" w:cs="Arial"/>
        </w:rPr>
        <w:t>and</w:t>
      </w:r>
      <w:r w:rsidRPr="00DE6484">
        <w:rPr>
          <w:rFonts w:ascii="Arial" w:hAnsi="Arial" w:cs="Arial"/>
        </w:rPr>
        <w:t xml:space="preserve"> Goyal 2005; Foo </w:t>
      </w:r>
      <w:r w:rsidR="00C035C3">
        <w:rPr>
          <w:rFonts w:ascii="Arial" w:hAnsi="Arial" w:cs="Arial"/>
        </w:rPr>
        <w:t>and</w:t>
      </w:r>
      <w:r w:rsidRPr="00DE6484">
        <w:rPr>
          <w:rFonts w:ascii="Arial" w:hAnsi="Arial" w:cs="Arial"/>
        </w:rPr>
        <w:t xml:space="preserve"> Hameed 2010)</w:t>
      </w:r>
      <w:r w:rsidRPr="00DE6484">
        <w:rPr>
          <w:rFonts w:ascii="Arial" w:hAnsi="Arial" w:cs="Arial"/>
        </w:rPr>
        <w:fldChar w:fldCharType="end"/>
      </w:r>
      <w:r w:rsidRPr="00DE6484">
        <w:rPr>
          <w:rFonts w:ascii="Arial" w:hAnsi="Arial" w:cs="Arial"/>
        </w:rPr>
        <w:t>.</w:t>
      </w:r>
    </w:p>
    <w:p w14:paraId="63CD3146" w14:textId="77777777" w:rsidR="003D59A8" w:rsidRPr="00DE6484" w:rsidRDefault="003D59A8" w:rsidP="00DE6484">
      <w:pPr>
        <w:jc w:val="both"/>
        <w:rPr>
          <w:rFonts w:ascii="Arial" w:hAnsi="Arial" w:cs="Arial"/>
        </w:rPr>
      </w:pPr>
    </w:p>
    <w:p w14:paraId="58112BE5" w14:textId="77777777" w:rsidR="00DE6484" w:rsidRPr="003D59A8" w:rsidRDefault="00DE6484" w:rsidP="00DE6484">
      <w:pPr>
        <w:jc w:val="both"/>
        <w:rPr>
          <w:rFonts w:ascii="Arial" w:hAnsi="Arial" w:cs="Arial"/>
          <w:b/>
          <w:bCs/>
          <w:sz w:val="22"/>
          <w:szCs w:val="22"/>
        </w:rPr>
      </w:pPr>
      <w:r w:rsidRPr="00DE6484">
        <w:rPr>
          <w:rFonts w:ascii="Arial" w:hAnsi="Arial" w:cs="Arial"/>
          <w:b/>
          <w:bCs/>
          <w:sz w:val="22"/>
          <w:szCs w:val="22"/>
        </w:rPr>
        <w:t>3.4. FTIR analysis</w:t>
      </w:r>
    </w:p>
    <w:p w14:paraId="7211E703" w14:textId="77777777" w:rsidR="003D59A8" w:rsidRPr="00DE6484" w:rsidRDefault="003D59A8" w:rsidP="00DE6484">
      <w:pPr>
        <w:jc w:val="both"/>
        <w:rPr>
          <w:rFonts w:ascii="Arial" w:hAnsi="Arial" w:cs="Arial"/>
          <w:b/>
          <w:bCs/>
        </w:rPr>
      </w:pPr>
    </w:p>
    <w:p w14:paraId="25CDCF81" w14:textId="77777777" w:rsidR="00DE6484" w:rsidRPr="00DE6484" w:rsidRDefault="00DE6484" w:rsidP="00DE6484">
      <w:pPr>
        <w:jc w:val="both"/>
        <w:rPr>
          <w:rFonts w:ascii="Arial" w:hAnsi="Arial" w:cs="Arial"/>
        </w:rPr>
      </w:pPr>
      <w:r w:rsidRPr="00DE6484">
        <w:rPr>
          <w:rFonts w:ascii="Arial" w:hAnsi="Arial" w:cs="Arial"/>
        </w:rPr>
        <w:t>Fourier Transform Infrared (FTIR) spectroscopy revealed the presence of several functional groups characteristic of the activated carbon surface. The spectrum corresponding to the RMA-2M-500 activated carbon is shown in Figure 2, where the main absorption bands associated with these functional groups can be observed.</w:t>
      </w:r>
    </w:p>
    <w:p w14:paraId="639E3D23" w14:textId="77777777" w:rsidR="00DE6484" w:rsidRPr="00DE6484" w:rsidRDefault="00DE6484" w:rsidP="00DE6484">
      <w:pPr>
        <w:jc w:val="both"/>
        <w:rPr>
          <w:rFonts w:ascii="Arial" w:hAnsi="Arial" w:cs="Arial"/>
          <w:iCs/>
        </w:rPr>
      </w:pPr>
      <w:r w:rsidRPr="00DE6484">
        <w:rPr>
          <w:rFonts w:ascii="Arial" w:hAnsi="Arial" w:cs="Arial"/>
          <w:iCs/>
          <w:noProof/>
        </w:rPr>
        <w:drawing>
          <wp:inline distT="0" distB="0" distL="0" distR="0" wp14:anchorId="60032175" wp14:editId="62816A91">
            <wp:extent cx="5283200" cy="3739311"/>
            <wp:effectExtent l="0" t="0" r="0" b="0"/>
            <wp:docPr id="209106479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08602" cy="3757290"/>
                    </a:xfrm>
                    <a:prstGeom prst="rect">
                      <a:avLst/>
                    </a:prstGeom>
                    <a:noFill/>
                  </pic:spPr>
                </pic:pic>
              </a:graphicData>
            </a:graphic>
          </wp:inline>
        </w:drawing>
      </w:r>
    </w:p>
    <w:p w14:paraId="489C472C" w14:textId="77777777" w:rsidR="00DE6484" w:rsidRDefault="00DE6484" w:rsidP="00DE6484">
      <w:pPr>
        <w:jc w:val="both"/>
        <w:rPr>
          <w:rFonts w:ascii="Arial" w:hAnsi="Arial" w:cs="Arial"/>
          <w:vertAlign w:val="subscript"/>
        </w:rPr>
      </w:pPr>
      <w:r w:rsidRPr="00DE6484">
        <w:rPr>
          <w:rFonts w:ascii="Arial" w:hAnsi="Arial" w:cs="Arial"/>
          <w:b/>
          <w:bCs/>
        </w:rPr>
        <w:t>Figure 2.</w:t>
      </w:r>
      <w:r w:rsidRPr="00DE6484">
        <w:rPr>
          <w:rFonts w:ascii="Arial" w:hAnsi="Arial" w:cs="Arial"/>
        </w:rPr>
        <w:t xml:space="preserve"> Fourier Transform Infrared (FTIR) spectrum of corncob-based activated carbon produced at 500 °C using 2 M H</w:t>
      </w:r>
      <w:r w:rsidRPr="00DE6484">
        <w:rPr>
          <w:rFonts w:ascii="Arial" w:hAnsi="Arial" w:cs="Arial"/>
          <w:vertAlign w:val="subscript"/>
        </w:rPr>
        <w:t>3</w:t>
      </w:r>
      <w:r w:rsidRPr="00DE6484">
        <w:rPr>
          <w:rFonts w:ascii="Arial" w:hAnsi="Arial" w:cs="Arial"/>
        </w:rPr>
        <w:t>PO</w:t>
      </w:r>
      <w:r w:rsidRPr="00DE6484">
        <w:rPr>
          <w:rFonts w:ascii="Arial" w:hAnsi="Arial" w:cs="Arial"/>
          <w:vertAlign w:val="subscript"/>
        </w:rPr>
        <w:t>4</w:t>
      </w:r>
    </w:p>
    <w:p w14:paraId="1136CC9A" w14:textId="77777777" w:rsidR="003D59A8" w:rsidRPr="00DE6484" w:rsidRDefault="003D59A8" w:rsidP="00DE6484">
      <w:pPr>
        <w:jc w:val="both"/>
        <w:rPr>
          <w:rFonts w:ascii="Arial" w:hAnsi="Arial" w:cs="Arial"/>
        </w:rPr>
      </w:pPr>
    </w:p>
    <w:p w14:paraId="2E634C8F" w14:textId="77777777" w:rsidR="00DE6484" w:rsidRPr="00DE6484" w:rsidRDefault="00DE6484" w:rsidP="00DE6484">
      <w:pPr>
        <w:jc w:val="both"/>
        <w:rPr>
          <w:rFonts w:ascii="Arial" w:hAnsi="Arial" w:cs="Arial"/>
        </w:rPr>
      </w:pPr>
      <w:r w:rsidRPr="00DE6484">
        <w:rPr>
          <w:rFonts w:ascii="Arial" w:hAnsi="Arial" w:cs="Arial"/>
        </w:rPr>
        <w:t>The FTIR spectrum shows bands around ~3400 cm</w:t>
      </w:r>
      <w:r w:rsidRPr="00DE6484">
        <w:rPr>
          <w:rFonts w:ascii="Cambria Math" w:hAnsi="Cambria Math" w:cs="Cambria Math"/>
        </w:rPr>
        <w:t>⁻</w:t>
      </w:r>
      <w:r w:rsidRPr="00DE6484">
        <w:rPr>
          <w:rFonts w:ascii="Arial" w:hAnsi="Arial" w:cs="Arial"/>
        </w:rPr>
        <w:t xml:space="preserve">¹ corresponding to O–H stretching vibrations, likely arising from adsorbed water or phenolic groups </w:t>
      </w:r>
      <w:r w:rsidRPr="00DE6484">
        <w:rPr>
          <w:rFonts w:ascii="Arial" w:hAnsi="Arial" w:cs="Arial"/>
        </w:rPr>
        <w:fldChar w:fldCharType="begin"/>
      </w:r>
      <w:r w:rsidRPr="00DE6484">
        <w:rPr>
          <w:rFonts w:ascii="Arial" w:hAnsi="Arial" w:cs="Arial"/>
        </w:rPr>
        <w:instrText xml:space="preserve"> ADDIN ZOTERO_ITEM CSL_CITATION {"citationID":"lUFywK2e","properties":{"formattedCitation":"(Yakout et Sharaf El-Deen 2016; Coates 2000; Kriz Pavia (Author), s.\\uc0\\u160{}d.)","plainCitation":"(Yakout et Sharaf El-Deen 2016; Coates 2000; Kriz Pavia (Author), s. d.)","dontUpdate":true,"noteIndex":0},"citationItems":[{"id":467,"uris":["http://zotero.org/users/18768689/items/SVG8JFPK"],"itemData":{"id":467,"type":"article-journal","container-title":"Arabian Journal of Chemistry","DOI":"10.1016/j.arabjc.2011.12.002","ISSN":"18785352","journalAbbreviation":"Arabian Journal of Chemistry","language":"en","page":"S1155-S1162","source":"DOI.org (Crossref)","title":"Characterization of activated carbon prepared by phosphoric acid activation of olive stones","volume":"9","author":[{"family":"Yakout","given":"S.M."},{"family":"Sharaf El-Deen","given":"G."}],"issued":{"date-parts":[["2016",11]]}}},{"id":469,"uris":["http://zotero.org/users/18768689/items/BHRV8CLS"],"itemData":{"id":469,"type":"chapter","abstract":"Abstract\n            The vibrational spectrum of a molecule is considered to be a unique physical property and is characteristic of the molecule. As such, the infrared spectrum can be used as a fingerprint for identification by the comparison of the spectrum from an “unknown” with previously recorded reference spectra. This is the basis of computer</w:instrText>
      </w:r>
      <w:r w:rsidRPr="00DE6484">
        <w:rPr>
          <w:rFonts w:ascii="Cambria Math" w:hAnsi="Cambria Math" w:cs="Cambria Math"/>
        </w:rPr>
        <w:instrText>‐</w:instrText>
      </w:r>
      <w:r w:rsidRPr="00DE6484">
        <w:rPr>
          <w:rFonts w:ascii="Arial" w:hAnsi="Arial" w:cs="Arial"/>
        </w:rPr>
        <w:instrText>based spectral searching. In the absence of a suitable reference database, it is possible to effect a basic interpretation of the spectrum from first principles, leading to characterization, and possibly even identification of an unknown sample. This first principles approach is based on the fact that structural features of the molecule, whether they are the backbone of the molecule or the functional groups attached to the molecule, produce characteristic and reproducible absorptions in the spectrum. This information can indicate whether there is backbone to the structure and, if so, whether the backbone consists of linear or branched chains. Next it is possible to determine if there is unsaturation and/or aromatic rings in the structure. Finally, it is possible to deduce whether specific functional groups are present. If detected, one is also able to determine local orientation of the group and its local environment and/or location in the structure. The origins of the sample, its prehistory, and the manner in which the sample is handled all have impact on the final result. Basic rules of interpretation exist and, if followed, a simple, first</w:instrText>
      </w:r>
      <w:r w:rsidRPr="00DE6484">
        <w:rPr>
          <w:rFonts w:ascii="Cambria Math" w:hAnsi="Cambria Math" w:cs="Cambria Math"/>
        </w:rPr>
        <w:instrText>‐</w:instrText>
      </w:r>
      <w:r w:rsidRPr="00DE6484">
        <w:rPr>
          <w:rFonts w:ascii="Arial" w:hAnsi="Arial" w:cs="Arial"/>
        </w:rPr>
        <w:instrText xml:space="preserve">pass interpretation leading to material characterization is possible. This article addresses these issues in a simple, logical fashion. Practical examples are included to help guide the reader through the basic concepts of infrared spectral interpretation.","container-title":"Encyclopedia of Analytical Chemistry","edition":"1","ISBN":"978-0-471-97670-7","language":"en","note":"DOI: 10.1002/9780470027318.a5606","publisher":"Wiley","source":"DOI.org (Crossref)","title":"Interpretation of Infrared Spectra, A Practical Approach","URL":"https://onlinelibrary.wiley.com/doi/10.1002/9780470027318.a5606","editor":[{"family":"Meyers","given":"Robert A."}],"author":[{"family":"Coates","given":"John"}],"accessed":{"date-parts":[["2025",11,30]]},"issued":{"date-parts":[["2000",10,30]]}}},{"id":470,"uris":["http://zotero.org/users/18768689/items/S8ALFZJN"],"itemData":{"id":470,"type":"book","abstract":"In this laboratory textbook for students of organic chemistry, experiments are designed to utilize microscale glassware and equipment. The textbook features a large number of traditional organic reactions and syntheses, as well as the isolation of natural products and experiments with a biological or health sciences focus. The organization of the text is based on essays and topics of current interest. The lab manual contains a comprehensive treatment of laboratory techniques.","language":"English","publisher":"Thomson Brooks/Cole","source":"Amazon","title":"Introduction to spectroscopy","author":[{"family":"Kriz Pavia (Author)","given":"Lampman (Author)"}]}}],"schema":"https://github.com/citation-style-language/schema/raw/master/csl-citation.json"} </w:instrText>
      </w:r>
      <w:r w:rsidRPr="00DE6484">
        <w:rPr>
          <w:rFonts w:ascii="Arial" w:hAnsi="Arial" w:cs="Arial"/>
        </w:rPr>
        <w:fldChar w:fldCharType="separate"/>
      </w:r>
      <w:r w:rsidRPr="00DE6484">
        <w:rPr>
          <w:rFonts w:ascii="Arial" w:hAnsi="Arial" w:cs="Arial"/>
        </w:rPr>
        <w:t>(Yakout et Sharaf El-Deen 2016; Coates 2000; Kriz Pavia, 2001)</w:t>
      </w:r>
      <w:r w:rsidRPr="00DE6484">
        <w:rPr>
          <w:rFonts w:ascii="Arial" w:hAnsi="Arial" w:cs="Arial"/>
        </w:rPr>
        <w:fldChar w:fldCharType="end"/>
      </w:r>
      <w:r w:rsidRPr="00DE6484">
        <w:rPr>
          <w:rFonts w:ascii="Arial" w:hAnsi="Arial" w:cs="Arial"/>
        </w:rPr>
        <w:t xml:space="preserve">. This feature reflects weakly to moderately hydrogen-bonded O–H stretches, consistent with phenolic or alcoholic groups, as well as weakly bridged carboxylic O–H groups when the broad continuum typical of strongly hydrogen-bonded acids is absent </w:t>
      </w:r>
      <w:r w:rsidRPr="00DE6484">
        <w:rPr>
          <w:rFonts w:ascii="Arial" w:hAnsi="Arial" w:cs="Arial"/>
        </w:rPr>
        <w:fldChar w:fldCharType="begin"/>
      </w:r>
      <w:r w:rsidRPr="00DE6484">
        <w:rPr>
          <w:rFonts w:ascii="Arial" w:hAnsi="Arial" w:cs="Arial"/>
        </w:rPr>
        <w:instrText xml:space="preserve"> ADDIN ZOTERO_ITEM CSL_CITATION {"citationID":"RxhyddTj","properties":{"formattedCitation":"(Socrates 2001)","plainCitation":"(Socrates 2001)","noteIndex":0},"citationItems":[{"id":207,"uris":["http://zotero.org/users/18768689/items/FAXWIYAR"],"itemData":{"id":207,"type":"paper-conference","abstract":"The third edition of this highly successful manual is not only a revised text but has been extended to meet the interpretive needs of Raman users as well as those working in the IR region. The result is a uniquely practical, comprehensive and detailed source for spectral interpretation. Combining in one volume, the correlation charts and tables for spectral interpretation for these two complementary techniques, this book will be of great benefit to those using or considering either technique.In addition to the new Raman coverage the new edition offers:* new section on macromolecules including synthetic polymers and biomolecules;* expansion of the section on NIR (near infrared region) to reflect recent growth in this area;* extended chapter on inorganic compounds including minerals and glasses;* redrawn and updated charts plus a number of new charts covering data new to this edition.This new edition will be invaluable in every industrial, university, government and hospital laboratory where infrared (FT-IR) and Raman spectral data need to be analysed.","source":"Semantic Scholar","title":"Infrared and Raman characteristic group frequencies : tables and charts","title-short":"Infrared and Raman characteristic group frequencies","URL":"https://www.semanticscholar.org/paper/Infrared-and-Raman-characteristic-group-frequencies-Socrates/c13c5a33c987b1483b8ac9a06db0f4f51b7c23f9","author":[{"family":"Socrates","given":"G."}],"accessed":{"date-parts":[["2025",11,8]]},"issued":{"date-parts":[["2001"]]}}}],"schema":"https://github.com/citation-style-language/schema/raw/master/csl-citation.json"} </w:instrText>
      </w:r>
      <w:r w:rsidRPr="00DE6484">
        <w:rPr>
          <w:rFonts w:ascii="Arial" w:hAnsi="Arial" w:cs="Arial"/>
        </w:rPr>
        <w:fldChar w:fldCharType="separate"/>
      </w:r>
      <w:r w:rsidRPr="00DE6484">
        <w:rPr>
          <w:rFonts w:ascii="Arial" w:hAnsi="Arial" w:cs="Arial"/>
        </w:rPr>
        <w:t>(Socrates 2001)</w:t>
      </w:r>
      <w:r w:rsidRPr="00DE6484">
        <w:rPr>
          <w:rFonts w:ascii="Arial" w:hAnsi="Arial" w:cs="Arial"/>
        </w:rPr>
        <w:fldChar w:fldCharType="end"/>
      </w:r>
    </w:p>
    <w:p w14:paraId="327CE12B" w14:textId="77777777" w:rsidR="00DE6484" w:rsidRPr="00DE6484" w:rsidRDefault="00DE6484" w:rsidP="00DE6484">
      <w:pPr>
        <w:jc w:val="both"/>
        <w:rPr>
          <w:rFonts w:ascii="Arial" w:hAnsi="Arial" w:cs="Arial"/>
        </w:rPr>
      </w:pPr>
      <w:r w:rsidRPr="00DE6484">
        <w:rPr>
          <w:rFonts w:ascii="Arial" w:hAnsi="Arial" w:cs="Arial"/>
        </w:rPr>
        <w:t>Bands located between 1716 and 1666 cm</w:t>
      </w:r>
      <w:r w:rsidRPr="00DE6484">
        <w:rPr>
          <w:rFonts w:ascii="Cambria Math" w:hAnsi="Cambria Math" w:cs="Cambria Math"/>
        </w:rPr>
        <w:t>⁻</w:t>
      </w:r>
      <w:r w:rsidRPr="00DE6484">
        <w:rPr>
          <w:rFonts w:ascii="Arial" w:hAnsi="Arial" w:cs="Arial"/>
        </w:rPr>
        <w:t xml:space="preserve">¹ are characteristic of carbonyl (C=O) groups, particularly those associated with aromatic acidic functionalities </w:t>
      </w:r>
      <w:r w:rsidRPr="00DE6484">
        <w:rPr>
          <w:rFonts w:ascii="Arial" w:hAnsi="Arial" w:cs="Arial"/>
        </w:rPr>
        <w:fldChar w:fldCharType="begin"/>
      </w:r>
      <w:r w:rsidRPr="00DE6484">
        <w:rPr>
          <w:rFonts w:ascii="Arial" w:hAnsi="Arial" w:cs="Arial"/>
        </w:rPr>
        <w:instrText xml:space="preserve"> ADDIN ZOTERO_ITEM CSL_CITATION {"citationID":"CoOPhu11","properties":{"formattedCitation":"(Coates 2000; \\uc0\\u171{}\\uc0\\u160{}Spectrometric Identification of Organic Compounds, 7ed 2005 \\uc0\\u8722{} Silverstein, Webster &amp; Kiemle | Request PDF\\uc0\\u160{}\\uc0\\u187{} 2025)","plainCitation":"(Coates 2000; « Spectrometric Identification of Organic Compounds, 7ed 2005 − Silverstein, Webster &amp; Kiemle | Request PDF » 2025)","noteIndex":0},"citationItems":[{"id":469,"uris":["http://zotero.org/users/18768689/items/BHRV8CLS"],"itemData":{"id":469,"type":"chapter","abstract":"Abstract\n            The vibrational spectrum of a molecule is considered to be a unique physical property and is characteristic of the molecule. As such, the infrared spectrum can be used as a fingerprint for identification by the comparison of the spectrum from an “unknown” with previously recorded reference spectra. This is the basis of computer</w:instrText>
      </w:r>
      <w:r w:rsidRPr="00DE6484">
        <w:rPr>
          <w:rFonts w:ascii="Cambria Math" w:hAnsi="Cambria Math" w:cs="Cambria Math"/>
        </w:rPr>
        <w:instrText>‐</w:instrText>
      </w:r>
      <w:r w:rsidRPr="00DE6484">
        <w:rPr>
          <w:rFonts w:ascii="Arial" w:hAnsi="Arial" w:cs="Arial"/>
        </w:rPr>
        <w:instrText>based spectral searching. In the absence of a suitable reference database, it is possible to effect a basic interpretation of the spectrum from first principles, leading to characterization, and possibly even identification of an unknown sample. This first principles approach is based on the fact that structural features of the molecule, whether they are the backbone of the molecule or the functional groups attached to the molecule, produce characteristic and reproducible absorptions in the spectrum. This information can indicate whether there is backbone to the structure and, if so, whether the backbone consists of linear or branched chains. Next it is possible to determine if there is unsaturation and/or aromatic rings in the structure. Finally, it is possible to deduce whether specific functional groups are present. If detected, one is also able to determine local orientation of the group and its local environment and/or location in the structure. The origins of the sample, its prehistory, and the manner in which the sample is handled all have impact on the final result. Basic rules of interpretation exist and, if followed, a simple, first</w:instrText>
      </w:r>
      <w:r w:rsidRPr="00DE6484">
        <w:rPr>
          <w:rFonts w:ascii="Cambria Math" w:hAnsi="Cambria Math" w:cs="Cambria Math"/>
        </w:rPr>
        <w:instrText>‐</w:instrText>
      </w:r>
      <w:r w:rsidRPr="00DE6484">
        <w:rPr>
          <w:rFonts w:ascii="Arial" w:hAnsi="Arial" w:cs="Arial"/>
        </w:rPr>
        <w:instrText xml:space="preserve">pass interpretation leading to material characterization is possible. This article addresses these issues in a simple, logical fashion. Practical examples are included to help guide the reader through the basic concepts of infrared spectral interpretation.","container-title":"Encyclopedia of Analytical Chemistry","edition":"1","ISBN":"978-0-471-97670-7","language":"en","note":"DOI: 10.1002/9780470027318.a5606","publisher":"Wiley","source":"DOI.org (Crossref)","title":"Interpretation of Infrared Spectra, A Practical Approach","URL":"https://onlinelibrary.wiley.com/doi/10.1002/9780470027318.a5606","editor":[{"family":"Meyers","given":"Robert A."}],"author":[{"family":"Coates","given":"John"}],"accessed":{"date-parts":[["2025",11,30]]},"issued":{"date-parts":[["2000",10,30]]}}},{"id":212,"uris":["http://zotero.org/users/18768689/items/6ZB72JFU"],"itemData":{"id":212,"type":"article-journal","abstract":"Request PDF | On Jan 1, 2005, R.M. Silverstein and others published Spectrometric identification of organic compounds, 7ed 2005 − silverstein, webster &amp; kiemle | Find, read and cite all the research you need on ResearchGate","container-title":"ResearchGate","language":"en","source":"www.researchgate.net","title":"Spectrometric identification of organic compounds, 7ed 2005 − silverstein, webster &amp; kiemle | Request PDF","URL":"https://www.researchgate.net/publication/307888033_Spectrometric_identification_of_organic_compounds_7ed_2005_-_silverstein_webster_kiemle","accessed":{"date-parts":[["2025",11,8]]},"issued":{"date-parts":[["2025",8,6]]}}}],"schema":"https://github.com/citation-style-language/schema/raw/master/csl-citation.json"} </w:instrText>
      </w:r>
      <w:r w:rsidRPr="00DE6484">
        <w:rPr>
          <w:rFonts w:ascii="Arial" w:hAnsi="Arial" w:cs="Arial"/>
        </w:rPr>
        <w:fldChar w:fldCharType="separate"/>
      </w:r>
      <w:r w:rsidRPr="00DE6484">
        <w:rPr>
          <w:rFonts w:ascii="Arial" w:hAnsi="Arial" w:cs="Arial"/>
        </w:rPr>
        <w:t>(Coates 2000; Silverstein, Webster &amp; Kiemle, 2025)</w:t>
      </w:r>
      <w:r w:rsidRPr="00DE6484">
        <w:rPr>
          <w:rFonts w:ascii="Arial" w:hAnsi="Arial" w:cs="Arial"/>
        </w:rPr>
        <w:fldChar w:fldCharType="end"/>
      </w:r>
      <w:r w:rsidRPr="00DE6484">
        <w:rPr>
          <w:rFonts w:ascii="Arial" w:hAnsi="Arial" w:cs="Arial"/>
        </w:rPr>
        <w:t xml:space="preserve">. Similar O–H and C=O signatures have been reported for biomass-derived chars by </w:t>
      </w:r>
      <w:r w:rsidRPr="00DE6484">
        <w:rPr>
          <w:rFonts w:ascii="Arial" w:hAnsi="Arial" w:cs="Arial"/>
        </w:rPr>
        <w:fldChar w:fldCharType="begin"/>
      </w:r>
      <w:r w:rsidRPr="00DE6484">
        <w:rPr>
          <w:rFonts w:ascii="Arial" w:hAnsi="Arial" w:cs="Arial"/>
        </w:rPr>
        <w:instrText xml:space="preserve"> ADDIN ZOTERO_ITEM CSL_CITATION {"citationID":"VqKEtiLX","properties":{"formattedCitation":"(Abdulqader et al. 2024)","plainCitation":"(Abdulqader et al. 2024)","noteIndex":0},"citationItems":[{"id":473,"uris":["http://zotero.org/users/18768689/items/XSNFS78H"],"itemData":{"id":473,"type":"article-journal","container-title":"AUIQ Complementary Biological System","DOI":"10.70176/3007-973X.1003","ISSN":"3007-973X","issue":"1","journalAbbreviation":"AUIQ Complementary Biological System","language":"en","page":"1-9","source":"DOI.org (Crossref)","title":"Conversion of Chicken Rice Waste into Char via Hydrothermal, Pyrolysis, and Microwave Carbonization Processes: A Comparative Study","title-short":"Conversion of Chicken Rice Waste into Char via Hydrothermal, Pyrolysis, and Microwave Carbonization Processes","volume":"1","author":[{"family":"Abdulqader","given":"Mahmod A."},{"family":"Suliman","given":"Muhammad Akromin"},{"family":"Ahmed","given":"Tabit Abas"},{"family":"Wu","given":"Ruihong"},{"family":"Bobaker","given":"Aiman. M."},{"family":"Tiyasha","given":"Tiyasha"},{"family":"Yassin","given":"Mohamed A."},{"family":"Al-Areeq","given":"Nabil"}],"issued":{"date-parts":[["2024",7,1]]}}}],"schema":"https://github.com/citation-style-language/schema/raw/master/csl-citation.json"} </w:instrText>
      </w:r>
      <w:r w:rsidRPr="00DE6484">
        <w:rPr>
          <w:rFonts w:ascii="Arial" w:hAnsi="Arial" w:cs="Arial"/>
        </w:rPr>
        <w:fldChar w:fldCharType="separate"/>
      </w:r>
      <w:r w:rsidRPr="00DE6484">
        <w:rPr>
          <w:rFonts w:ascii="Arial" w:hAnsi="Arial" w:cs="Arial"/>
        </w:rPr>
        <w:t>Abdulqader and al. (2024)</w:t>
      </w:r>
      <w:r w:rsidRPr="00DE6484">
        <w:rPr>
          <w:rFonts w:ascii="Arial" w:hAnsi="Arial" w:cs="Arial"/>
        </w:rPr>
        <w:fldChar w:fldCharType="end"/>
      </w:r>
      <w:r w:rsidRPr="00DE6484">
        <w:rPr>
          <w:rFonts w:ascii="Arial" w:hAnsi="Arial" w:cs="Arial"/>
        </w:rPr>
        <w:t xml:space="preserve"> and </w:t>
      </w:r>
      <w:r w:rsidRPr="00DE6484">
        <w:rPr>
          <w:rFonts w:ascii="Arial" w:hAnsi="Arial" w:cs="Arial"/>
        </w:rPr>
        <w:fldChar w:fldCharType="begin"/>
      </w:r>
      <w:r w:rsidRPr="00DE6484">
        <w:rPr>
          <w:rFonts w:ascii="Arial" w:hAnsi="Arial" w:cs="Arial"/>
        </w:rPr>
        <w:instrText xml:space="preserve"> ADDIN ZOTERO_ITEM CSL_CITATION {"citationID":"KYHmBfAM","properties":{"formattedCitation":"(Jawad et al. 2016)","plainCitation":"(Jawad et al. 2016)","noteIndex":0},"citationItems":[{"id":474,"uris":["http://zotero.org/users/18768689/items/XVMU2L9X"],"itemData":{"id":474,"type":"article-journal","container-title":"Desalination and Water Treatment","DOI":"10.1080/19443994.2016.1144534","ISSN":"19443986","issue":"52","journalAbbreviation":"Desalination and Water Treatment","language":"en","page":"25194-25206","source":"DOI.org (Crossref)","title":"Adsorption of methylene blue onto activated carbon developed from biomass waste by H2SO4 activation: kinetic, equilibrium and thermodynamic studies","title-short":"Adsorption of methylene blue onto activated carbon developed from biomass waste by H2SO4 activation","volume":"57","author":[{"family":"Jawad","given":"Ali H."},{"family":"Rashid","given":"Ramlah Abd"},{"family":"Ishak","given":"Mohd Azlan Mohd"},{"family":"Wilson","given":"Lee D."}],"issued":{"date-parts":[["2016",11]]}}}],"schema":"https://github.com/citation-style-language/schema/raw/master/csl-citation.json"} </w:instrText>
      </w:r>
      <w:r w:rsidRPr="00DE6484">
        <w:rPr>
          <w:rFonts w:ascii="Arial" w:hAnsi="Arial" w:cs="Arial"/>
        </w:rPr>
        <w:fldChar w:fldCharType="separate"/>
      </w:r>
      <w:r w:rsidRPr="00DE6484">
        <w:rPr>
          <w:rFonts w:ascii="Arial" w:hAnsi="Arial" w:cs="Arial"/>
        </w:rPr>
        <w:t>Jawad and al. (2016)</w:t>
      </w:r>
      <w:r w:rsidRPr="00DE6484">
        <w:rPr>
          <w:rFonts w:ascii="Arial" w:hAnsi="Arial" w:cs="Arial"/>
        </w:rPr>
        <w:fldChar w:fldCharType="end"/>
      </w:r>
      <w:r w:rsidRPr="00DE6484">
        <w:rPr>
          <w:rFonts w:ascii="Arial" w:hAnsi="Arial" w:cs="Arial"/>
        </w:rPr>
        <w:t>, supporting these assignments for the corncob-derived activated carbons.</w:t>
      </w:r>
    </w:p>
    <w:p w14:paraId="7BD6F294" w14:textId="77777777" w:rsidR="00DE6484" w:rsidRPr="00DE6484" w:rsidRDefault="00DE6484" w:rsidP="00DE6484">
      <w:pPr>
        <w:jc w:val="both"/>
        <w:rPr>
          <w:rFonts w:ascii="Arial" w:hAnsi="Arial" w:cs="Arial"/>
        </w:rPr>
      </w:pPr>
      <w:r w:rsidRPr="00DE6484">
        <w:rPr>
          <w:rFonts w:ascii="Arial" w:hAnsi="Arial" w:cs="Arial"/>
        </w:rPr>
        <w:t>Phosphorus-containing groups resulting from H</w:t>
      </w:r>
      <w:r w:rsidRPr="00DE6484">
        <w:rPr>
          <w:rFonts w:ascii="Arial" w:hAnsi="Arial" w:cs="Arial"/>
          <w:vertAlign w:val="subscript"/>
        </w:rPr>
        <w:t>3</w:t>
      </w:r>
      <w:r w:rsidRPr="00DE6484">
        <w:rPr>
          <w:rFonts w:ascii="Arial" w:hAnsi="Arial" w:cs="Arial"/>
        </w:rPr>
        <w:t>PO</w:t>
      </w:r>
      <w:r w:rsidRPr="00DE6484">
        <w:rPr>
          <w:rFonts w:ascii="Arial" w:hAnsi="Arial" w:cs="Arial"/>
          <w:vertAlign w:val="subscript"/>
        </w:rPr>
        <w:t xml:space="preserve">4 </w:t>
      </w:r>
      <w:r w:rsidRPr="00DE6484">
        <w:rPr>
          <w:rFonts w:ascii="Arial" w:hAnsi="Arial" w:cs="Arial"/>
        </w:rPr>
        <w:t>activation are evidenced by the band near 1049 cm</w:t>
      </w:r>
      <w:r w:rsidRPr="00DE6484">
        <w:rPr>
          <w:rFonts w:ascii="Cambria Math" w:hAnsi="Cambria Math" w:cs="Cambria Math"/>
        </w:rPr>
        <w:t>⁻</w:t>
      </w:r>
      <w:r w:rsidRPr="00DE6484">
        <w:rPr>
          <w:rFonts w:ascii="Arial" w:hAnsi="Arial" w:cs="Arial"/>
        </w:rPr>
        <w:t>¹, attributed to P–O–C, along with components around 1334 cm</w:t>
      </w:r>
      <w:r w:rsidRPr="00DE6484">
        <w:rPr>
          <w:rFonts w:ascii="Cambria Math" w:hAnsi="Cambria Math" w:cs="Cambria Math"/>
        </w:rPr>
        <w:t>⁻</w:t>
      </w:r>
      <w:r w:rsidRPr="00DE6484">
        <w:rPr>
          <w:rFonts w:ascii="Arial" w:hAnsi="Arial" w:cs="Arial"/>
        </w:rPr>
        <w:t xml:space="preserve">¹ corresponding to P=O vibrations </w:t>
      </w:r>
      <w:r w:rsidRPr="00DE6484">
        <w:rPr>
          <w:rFonts w:ascii="Arial" w:hAnsi="Arial" w:cs="Arial"/>
        </w:rPr>
        <w:fldChar w:fldCharType="begin"/>
      </w:r>
      <w:r w:rsidRPr="00DE6484">
        <w:rPr>
          <w:rFonts w:ascii="Arial" w:hAnsi="Arial" w:cs="Arial"/>
        </w:rPr>
        <w:instrText xml:space="preserve"> ADDIN ZOTERO_ITEM CSL_CITATION {"citationID":"aFLA8EfF","properties":{"formattedCitation":"(Abdulqader et al. 2024; Alhawtali et al. 2024)","plainCitation":"(Abdulqader et al. 2024; Alhawtali et al. 2024)","noteIndex":0},"citationItems":[{"id":473,"uris":["http://zotero.org/users/18768689/items/XSNFS78H"],"itemData":{"id":473,"type":"article-journal","container-title":"AUIQ Complementary Biological System","DOI":"10.70176/3007-973X.1003","ISSN":"3007-973X","issue":"1","journalAbbreviation":"AUIQ Complementary Biological System","language":"en","page":"1-9","source":"DOI.org (Crossref)","title":"Conversion of Chicken Rice Waste into Char via Hydrothermal, Pyrolysis, and Microwave Carbonization Processes: A Comparative Study","title-short":"Conversion of Chicken Rice Waste into Char via Hydrothermal, Pyrolysis, and Microwave Carbonization Processes","volume":"1","author":[{"family":"Abdulqader","given":"Mahmod A."},{"family":"Suliman","given":"Muhammad Akromin"},{"family":"Ahmed","given":"Tabit Abas"},{"family":"Wu","given":"Ruihong"},{"family":"Bobaker","given":"Aiman. M."},{"family":"Tiyasha","given":"Tiyasha"},{"family":"Yassin","given":"Mohamed A."},{"family":"Al-Areeq","given":"Nabil"}],"issued":{"date-parts":[["2024",7,1]]}}},{"id":459,"uris":["http://zotero.org/users/18768689/items/RN52KUS5"],"itemData":{"id":459,"type":"article-journal","abstract":"The removal of lead metals from wastewater was carried out with carbon microspheres (CMs) prepared from date palm leaflets using a hydrothermal carbonization process (HTC). The prepared CMs were subsequently activated with phosphoric acid using the incipient wetness impregnation method. The prepared sample had a low Brunauer–Emmet–Teller (BET) surface area of 2.21 m2·g−1, which increased substantially to 808 m2·g−1 after the activation process. Various characterization techniques, such as scanning electron microscopy, BET analysis, Fourier transform infrared, and elemental analysis (CHNS), were used to evaluate the morphological structure and physico-chemical properties of the CMs before and after activation. The increase in surface area is an indicator of the activation process, which enhances the absorption properties of the material. The results demonstrated that the activated CMs had a notable adsorption capacity, with a maximum adsorption capacity of 136 mg·g−1 for lead (II) ions. This finding suggests that the activated CMs are highly effective in removing lead pollutants from water. This research underscores the promise of utilizing activated carbon materials extracted from palm leaflets as an eco-friendly method with high potential for water purification, specifically in eliminating heavy metal pollutants, particularly lead (II), contributing to sustainability through biomass reuse.","container-title":"C","DOI":"10.3390/c10010026","ISSN":"2311-5629","issue":"1","journalAbbreviation":"C","language":"en","page":"26","source":"DOI.org (Crossref)","title":"Date Palm Leaflet-Derived Carbon Microspheres Activated Using Phosphoric Acid for Efficient Lead (II) Adsorption","volume":"10","author":[{"family":"Alhawtali","given":"Saeed"},{"family":"El-Harbawi","given":"Mohanad"},{"family":"El Blidi","given":"Lahssen"},{"family":"Alrashed","given":"Maher M."},{"family":"Alzobidi","given":"Abdulrahman"},{"family":"Yin","given":"Chun-Yang"}],"issued":{"date-parts":[["2024",3,12]]}}}],"schema":"https://github.com/citation-style-language/schema/raw/master/csl-citation.json"} </w:instrText>
      </w:r>
      <w:r w:rsidRPr="00DE6484">
        <w:rPr>
          <w:rFonts w:ascii="Arial" w:hAnsi="Arial" w:cs="Arial"/>
        </w:rPr>
        <w:fldChar w:fldCharType="separate"/>
      </w:r>
      <w:r w:rsidRPr="00DE6484">
        <w:rPr>
          <w:rFonts w:ascii="Arial" w:hAnsi="Arial" w:cs="Arial"/>
        </w:rPr>
        <w:t>(Abdulqader and al. 2024; Alhawtali and al. 2024)</w:t>
      </w:r>
      <w:r w:rsidRPr="00DE6484">
        <w:rPr>
          <w:rFonts w:ascii="Arial" w:hAnsi="Arial" w:cs="Arial"/>
        </w:rPr>
        <w:fldChar w:fldCharType="end"/>
      </w:r>
      <w:r w:rsidRPr="00DE6484">
        <w:rPr>
          <w:rFonts w:ascii="Arial" w:hAnsi="Arial" w:cs="Arial"/>
        </w:rPr>
        <w:t>. Low-frequency modes between 460 and 440 cm</w:t>
      </w:r>
      <w:r w:rsidRPr="00DE6484">
        <w:rPr>
          <w:rFonts w:ascii="Cambria Math" w:hAnsi="Cambria Math" w:cs="Cambria Math"/>
        </w:rPr>
        <w:t>⁻</w:t>
      </w:r>
      <w:r w:rsidRPr="00DE6484">
        <w:rPr>
          <w:rFonts w:ascii="Arial" w:hAnsi="Arial" w:cs="Arial"/>
        </w:rPr>
        <w:t xml:space="preserve">¹ suggest phosphate-related contributions and the possible formation of Si–P bonds (Figure 2.f) in the presence of native silica from the corncob, a phenomenon expected during phosphate–silica condensation processes </w:t>
      </w:r>
      <w:r w:rsidRPr="00DE6484">
        <w:rPr>
          <w:rFonts w:ascii="Arial" w:hAnsi="Arial" w:cs="Arial"/>
        </w:rPr>
        <w:fldChar w:fldCharType="begin"/>
      </w:r>
      <w:r w:rsidRPr="00DE6484">
        <w:rPr>
          <w:rFonts w:ascii="Arial" w:hAnsi="Arial" w:cs="Arial"/>
        </w:rPr>
        <w:instrText xml:space="preserve"> ADDIN ZOTERO_ITEM CSL_CITATION {"citationID":"EY1FttRr","properties":{"formattedCitation":"(Abdulqader et al. 2024; Gottipati 2012; Sangoremi 2025)","plainCitation":"(Abdulqader et al. 2024; Gottipati 2012; Sangoremi 2025)","noteIndex":0},"citationItems":[{"id":473,"uris":["http://zotero.org/users/18768689/items/XSNFS78H"],"itemData":{"id":473,"type":"article-journal","container-title":"AUIQ Complementary Biological System","DOI":"10.70176/3007-973X.1003","ISSN":"3007-973X","issue":"1","journalAbbreviation":"AUIQ Complementary Biological System","language":"en","page":"1-9","source":"DOI.org (Crossref)","title":"Conversion of Chicken Rice Waste into Char via Hydrothermal, Pyrolysis, and Microwave Carbonization Processes: A Comparative Study","title-short":"Conversion of Chicken Rice Waste into Char via Hydrothermal, Pyrolysis, and Microwave Carbonization Processes","volume":"1","author":[{"family":"Abdulqader","given":"Mahmod A."},{"family":"Suliman","given":"Muhammad Akromin"},{"family":"Ahmed","given":"Tabit Abas"},{"family":"Wu","given":"Ruihong"},{"family":"Bobaker","given":"Aiman. M."},{"family":"Tiyasha","given":"Tiyasha"},{"family":"Yassin","given":"Mohamed A."},{"family":"Al-Areeq","given":"Nabil"}],"issued":{"date-parts":[["2024",7,1]]}}},{"id":475,"uris":["http://zotero.org/users/18768689/items/L74QA5BQ"],"itemData":{"id":475,"type":"paper-conference","abstract":"Water pollution has been a major challenge to environmental engineers today due to the release of toxic heavy metals from various industries. Among various heavy metals, hexavalent chromium [Cr(VI)] is considered as highly toxic due to its carcinogenicity and various health disorders. Different sources of Cr(VI) pollution include effluents from mining, electroplating, leather tanning and electroplating industries. Among various technologies, adsorptive removal of Cr(VI) by using different adsorbents is more promising and economical. Among various adsorbents used, activated carbon (AC) is well known for its high adsorption capacity due to large surface area and pore volume. In recent years, immense research has been focused towards converting the agricultural or lignocellulosic wastes into activated carbon, since this technology not only solves the problem of waste disposal but also converts a potential waste into a valuable product that can be used as an adsorbent for effluent treatment. Bael fruit (Aegle Marmelos) shell, a lignocellulosic material was selected as the precursor for the preparation of microporous (&lt; 2 nm) activated carbon in the present investigation. Activated carbon was prepared through chemical activation using phosphoric acid (AC-PA), zinc chloride (AC-ZC), and potassium hydroxide (AC-PH). The effect of various process parameters such as impregnation, carbonization temperature, and holding time on porous characteristics of the activated carbon was investigated. \nCharacterization of AC by N2 adsorption-desorption isotherms at 77 K was carried out. Total surface area, micropore and mesopore surface area, total pore volume, micropore and \nmesopore volume, and pore size distribution of the samples were determined. The porous characteristics of prepared ACs were analyzed by applying various isotherm equations like \nBrunauer-Emmett-Teller (BET), Dubinin-Radushkevich (DR), and Dubinin-Astakhov (DA). The AC-PA prepared at optimum conditions (30% impregnation, 400oC carbonization temperature and 60 min holding time) constitutes highly microporous structure with micropore surface area(1625 m2/g) and micropore volume (0.56 cc/g). The pore size distribution of the prepared samples at optimized conditions shows that samples are comprised greatly with micropores(average pore diameter of 1.68 nm, 1.69 nm, and 1.54 nm for AC-PA, AC-ZC, and AC-PH, XVIII respectively). The Scanning Electron Microscope (SEM) analysis revealed the heterogeneous surface structure of the samples and clearly depicts the presence of macropores which acts as channels to the microporous network while TEM analysis visualized the presence of micropores. The surface groups present on the AC surface were determined by the Fourier Transform Infrared Spectroscopy (FTIR) analysis. The proximate and ultimate analyses were carried out by using CHNS analyzer and by standard methods, respectively. The batch adsorption studies of Cr(VI) on ACs were carried out at optimum conditions by H3PO4, ZnCl2 and KOH activations. The effect of various process parameters like pH, initial metal concentration, adsorbent dose, contact time, and temperature on the efficiency of Cr(VI) removal was investigated. Maximum adsorption of Cr(VI) on AC-PA (98.74 %) was observed at pH 2 . No significant change in efficiency was observed for AC-PA in pH range 2.0 – 5.0 and the 76 % removal was observed at neutral pH. The optimum conditions for adsorbent dose and temperature were determined as 3.0 g/L and 30 oC, respectively. Initial Cr(VI) concentration has no effect on AC-PA in the studied range (2 – 10 mg/L) and in case of AC- ZC and AC-PH, 8.0 mg/L and 2.0 mg/L were determined as optimum concentrations. The time required to reach equilibrium is different for different ACs (90, 150, and 240 min for AC- PA, AC-ZC and ACPH, respectively). The adsorption equilibrium data was well explained by Freundlich isotherm and DR isotherm parameters suggested that the adsorption of Cr(VI) on prepared ACs is physical adsorption. The kinetic data were better followed the pseudo-second order kinetics and both film and pore diffusion mechanisms played important role. The exothermic nature and the randomness of the process were estimated from thermodynamic parameters. The porous characteristics and Cr(VI) removal efficiencies of prepared AC were very high compared to the commercial AC. The spent activated carbon was regenerated by using hot water (80 oC) and mild acid (0.1 M H2SO4) and the adsorption capacities and porous characteristics were compared with the mother sample. Chromium(VI) adsorption process was modeled through Designing of Experiments(DoE) by using Full Factorial Design (FFD). Factorial design was used to reduce the number of experiments in order to achieve the best overall optimization of the process. Two-level and fourfactor full factorial design was used to develop model equations for Cr(VI) removal by using Design Expert 7.1.6 software. The interpretation of effect of main factors and their interactions was carried out and the developed models were validated by conducting experiments at the predicted conditions. For AC-PA, along with main factors interactions such as pH * concentration of Cr(VI), concentration of Cr(VI) * adsorbent dose, and pH * concentration of Cr(VI) * adsorbent dose * temperature were found to be significant on the response.","source":"Semantic Scholar","title":"Preparation and Characterization of Microporous Activated Carbon from Biomass and its Application in the Removal ofChromium(VI) from Aqueous Phase","URL":"https://www.semanticscholar.org/paper/Preparation-and-Characterization-of-Microporous-and-Gottipati/9f9297b9a7047da0a83dce6685b269a25993f08f","author":[{"family":"Gottipati","given":"Ramakrishna"}],"accessed":{"date-parts":[["2025",11,30]]},"issued":{"date-parts":[["2012"]]}}},{"id":477,"uris":["http://zotero.org/users/18768689/items/R2TKQRAH"],"itemData":{"id":477,"type":"article-journal","abstract":"This study focuses on the preparation and characterization of adsorbent derived from maize cob, emphasizing its potential for removing contaminants from aqueous solutions.  Maize cobs were collected, dried, prepared, and subjected physiochemical and elemental analysis. Characterization was done using scanning electron microscopy and Electron Dispersive X-ray spectrometer (SEM/EDX) and Fourier-transform infrared spectroscopy (FTIR). The results indicate that the elements carbon and oxygen had greater values (42.69% and 40.22%, respectively), whereas the elements sodium, calcium, and nitrogen had lower values (5.64%, 2.56%, and 1.28%, respectively). The maize cob material showed a unique pH of 6.5 which firmly indicates that this corncob material might be employed as an effective adsorbent for purifying water. Also, the high fixed carbon content (65.50%) revealed that the maize cob material is of good quality, and appropriate for adsorption. Moreover, the FTIR peaks validate the absorptive properties of maize cob due to the presence of adsorbents’ functional groups; -OH, C=N, and C=O, which control the adsorption mechanism in addition to their behavior during adsorption. On the other hand, the micrograph images of the material made of maize cobs display the aggregation of the adsorbent particles and the observed closed pores following adsorption resulted in a more distinct and transparent adsorbent structure for maize cobs.","container-title":"International Journal of Research and Scientific Innovation","DOI":"10.51244/IJRSI.2025.120500020","ISSN":"23212705","issue":"V","journalAbbreviation":"IJRSI","page":"259-269","source":"DOI.org (Crossref)","title":"Preparation and Characterization of Adsorbent Derived from Maize Cob","volume":"XII","author":[{"family":"Sangoremi","given":"Abidemi Anthony"}],"issued":{"date-parts":[["2025"]]}}}],"schema":"https://github.com/citation-style-language/schema/raw/master/csl-citation.json"} </w:instrText>
      </w:r>
      <w:r w:rsidRPr="00DE6484">
        <w:rPr>
          <w:rFonts w:ascii="Arial" w:hAnsi="Arial" w:cs="Arial"/>
        </w:rPr>
        <w:fldChar w:fldCharType="separate"/>
      </w:r>
      <w:r w:rsidRPr="00DE6484">
        <w:rPr>
          <w:rFonts w:ascii="Arial" w:hAnsi="Arial" w:cs="Arial"/>
        </w:rPr>
        <w:t>(Abdulqader et al. 2024; Gottipati 2012; Sangoremi 2025)</w:t>
      </w:r>
      <w:r w:rsidRPr="00DE6484">
        <w:rPr>
          <w:rFonts w:ascii="Arial" w:hAnsi="Arial" w:cs="Arial"/>
        </w:rPr>
        <w:fldChar w:fldCharType="end"/>
      </w:r>
      <w:r w:rsidRPr="00DE6484">
        <w:rPr>
          <w:rFonts w:ascii="Arial" w:hAnsi="Arial" w:cs="Arial"/>
        </w:rPr>
        <w:t>.</w:t>
      </w:r>
    </w:p>
    <w:p w14:paraId="00250E4E" w14:textId="77777777" w:rsidR="00DE6484" w:rsidRPr="00DE6484" w:rsidRDefault="00DE6484" w:rsidP="00DE6484">
      <w:pPr>
        <w:jc w:val="both"/>
        <w:rPr>
          <w:rFonts w:ascii="Arial" w:hAnsi="Arial" w:cs="Arial"/>
        </w:rPr>
      </w:pPr>
      <w:r w:rsidRPr="00DE6484">
        <w:rPr>
          <w:rFonts w:ascii="Arial" w:hAnsi="Arial" w:cs="Arial"/>
        </w:rPr>
        <w:lastRenderedPageBreak/>
        <w:t>The aromatic C=C stretching observed at 1623 cm</w:t>
      </w:r>
      <w:r w:rsidRPr="00DE6484">
        <w:rPr>
          <w:rFonts w:ascii="Cambria Math" w:hAnsi="Cambria Math" w:cs="Cambria Math"/>
        </w:rPr>
        <w:t>⁻</w:t>
      </w:r>
      <w:r w:rsidRPr="00DE6484">
        <w:rPr>
          <w:rFonts w:ascii="Arial" w:hAnsi="Arial" w:cs="Arial"/>
        </w:rPr>
        <w:t>¹ confirms the development of an aromatic/graphitic carbon framework during thermal treatment. The band at 1377 cm</w:t>
      </w:r>
      <w:r w:rsidRPr="00DE6484">
        <w:rPr>
          <w:rFonts w:ascii="Cambria Math" w:hAnsi="Cambria Math" w:cs="Cambria Math"/>
        </w:rPr>
        <w:t>⁻</w:t>
      </w:r>
      <w:r w:rsidRPr="00DE6484">
        <w:rPr>
          <w:rFonts w:ascii="Arial" w:hAnsi="Arial" w:cs="Arial"/>
        </w:rPr>
        <w:t>¹ indicates the presence of CH</w:t>
      </w:r>
      <w:r w:rsidRPr="00DE6484">
        <w:rPr>
          <w:rFonts w:ascii="Arial" w:hAnsi="Arial" w:cs="Arial"/>
          <w:vertAlign w:val="subscript"/>
        </w:rPr>
        <w:t>3</w:t>
      </w:r>
      <w:r w:rsidRPr="00DE6484">
        <w:rPr>
          <w:rFonts w:ascii="Arial" w:hAnsi="Arial" w:cs="Arial"/>
        </w:rPr>
        <w:t xml:space="preserve"> groups </w:t>
      </w:r>
      <w:r w:rsidRPr="00DE6484">
        <w:rPr>
          <w:rFonts w:ascii="Arial" w:hAnsi="Arial" w:cs="Arial"/>
        </w:rPr>
        <w:fldChar w:fldCharType="begin"/>
      </w:r>
      <w:r w:rsidRPr="00DE6484">
        <w:rPr>
          <w:rFonts w:ascii="Arial" w:hAnsi="Arial" w:cs="Arial"/>
        </w:rPr>
        <w:instrText xml:space="preserve"> ADDIN ZOTERO_ITEM CSL_CITATION {"citationID":"R4CVLkRM","properties":{"formattedCitation":"(\\uc0\\u171{}\\uc0\\u160{}Activated Carbon - Marsh, Harry; Rodr\\uc0\\u237{}guez Reinoso, Francisco\\uc0\\u160{}\\uc0\\u187{}, s.\\uc0\\u160{}d.)","plainCitation":"(« Activated Carbon - Marsh, Harry; Rodríguez Reinoso, Francisco », s. d.)","noteIndex":0},"citationItems":[{"id":187,"uris":["http://zotero.org/users/18768689/items/JWTSX5KN"],"itemData":{"id":187,"type":"webpage","abstract":"Recent years have seen an expansion in speciality uses of activated carbons including medicine, filtration, and the purification of liquids and gaseous media. Much of current research and information surrounding the nature and use of activated carbon is scattered throughout various literature, ...","language":"en","title":"Activated Carbon - Marsh, Harry; Rodríguez Reinoso, Francisco: 9780080444635 - AbeBooks","title-short":"Activated Carbon - Marsh, Harry; Rodríguez Reinoso, Francisco","URL":"https://www.abebooks.com/9780080444635/Activated-Carbon-Marsh-Harry-Rodr%C3%ADguez-0080444636/plp","accessed":{"date-parts":[["2025",11,8]]}}}],"schema":"https://github.com/citation-style-language/schema/raw/master/csl-citation.json"} </w:instrText>
      </w:r>
      <w:r w:rsidRPr="00DE6484">
        <w:rPr>
          <w:rFonts w:ascii="Arial" w:hAnsi="Arial" w:cs="Arial"/>
        </w:rPr>
        <w:fldChar w:fldCharType="separate"/>
      </w:r>
      <w:r w:rsidRPr="00DE6484">
        <w:rPr>
          <w:rFonts w:ascii="Arial" w:hAnsi="Arial" w:cs="Arial"/>
        </w:rPr>
        <w:t>(Marsh, Harry; Rodríguez Reinoso, Francisco, 2006)</w:t>
      </w:r>
      <w:r w:rsidRPr="00DE6484">
        <w:rPr>
          <w:rFonts w:ascii="Arial" w:hAnsi="Arial" w:cs="Arial"/>
        </w:rPr>
        <w:fldChar w:fldCharType="end"/>
      </w:r>
      <w:r w:rsidRPr="00DE6484">
        <w:rPr>
          <w:rFonts w:ascii="Arial" w:hAnsi="Arial" w:cs="Arial"/>
        </w:rPr>
        <w:t>.</w:t>
      </w:r>
    </w:p>
    <w:p w14:paraId="28A2879A" w14:textId="77777777" w:rsidR="00DE6484" w:rsidRDefault="00DE6484" w:rsidP="00DE6484">
      <w:pPr>
        <w:jc w:val="both"/>
        <w:rPr>
          <w:rFonts w:ascii="Arial" w:hAnsi="Arial" w:cs="Arial"/>
        </w:rPr>
      </w:pPr>
      <w:r w:rsidRPr="00DE6484">
        <w:rPr>
          <w:rFonts w:ascii="Arial" w:hAnsi="Arial" w:cs="Arial"/>
        </w:rPr>
        <w:t>Rich in functional groups, these activated carbons exhibit strong affinity toward cationic dyes (including methylene blue) and enhance the adsorption of both metallic and organic pollutants, owing to the combination of their acidic, oxygenated, and phosphorus-containing surface functionalities.</w:t>
      </w:r>
    </w:p>
    <w:p w14:paraId="24EE70F6" w14:textId="77777777" w:rsidR="003D59A8" w:rsidRPr="00DE6484" w:rsidRDefault="003D59A8" w:rsidP="00DE6484">
      <w:pPr>
        <w:jc w:val="both"/>
        <w:rPr>
          <w:rFonts w:ascii="Arial" w:hAnsi="Arial" w:cs="Arial"/>
        </w:rPr>
      </w:pPr>
    </w:p>
    <w:p w14:paraId="7E38DA70" w14:textId="77777777" w:rsidR="00DE6484" w:rsidRPr="003D59A8" w:rsidRDefault="00DE6484" w:rsidP="00DE6484">
      <w:pPr>
        <w:jc w:val="both"/>
        <w:rPr>
          <w:rFonts w:ascii="Arial" w:hAnsi="Arial" w:cs="Arial"/>
          <w:b/>
          <w:bCs/>
          <w:sz w:val="22"/>
          <w:szCs w:val="22"/>
        </w:rPr>
      </w:pPr>
      <w:r w:rsidRPr="00DE6484">
        <w:rPr>
          <w:rFonts w:ascii="Arial" w:hAnsi="Arial" w:cs="Arial"/>
          <w:b/>
          <w:bCs/>
          <w:sz w:val="22"/>
          <w:szCs w:val="22"/>
        </w:rPr>
        <w:t>3.6. SEM–EDS analysis</w:t>
      </w:r>
    </w:p>
    <w:p w14:paraId="1FC1C8BF" w14:textId="77777777" w:rsidR="003D59A8" w:rsidRPr="00DE6484" w:rsidRDefault="003D59A8" w:rsidP="00DE6484">
      <w:pPr>
        <w:jc w:val="both"/>
        <w:rPr>
          <w:rFonts w:ascii="Arial" w:hAnsi="Arial" w:cs="Arial"/>
          <w:b/>
          <w:bCs/>
        </w:rPr>
      </w:pPr>
    </w:p>
    <w:p w14:paraId="6620EB74" w14:textId="77777777" w:rsidR="00DE6484" w:rsidRDefault="00DE6484" w:rsidP="00DE6484">
      <w:pPr>
        <w:jc w:val="both"/>
        <w:rPr>
          <w:rFonts w:ascii="Arial" w:hAnsi="Arial" w:cs="Arial"/>
        </w:rPr>
      </w:pPr>
      <w:r w:rsidRPr="00DE6484">
        <w:rPr>
          <w:rFonts w:ascii="Arial" w:hAnsi="Arial" w:cs="Arial"/>
        </w:rPr>
        <w:t>The EDS results for the RMA-2M-500 activated carbon (Table 4, Figure 3) show a well-defined organization of the surface composition. Phosphorus appears at approximately 4.7 wt % (2.1 at.%), confirming the incorporation of phosphate groups into the carbon matrix. Carbon reaches nearly 65 wt % (73 at.%), indicating an enrichment in aromatic structures, while oxygen accounts for about 28 wt % (24 at.%). Mineral elements such as calcium and silica persist only as trace components.</w:t>
      </w:r>
    </w:p>
    <w:p w14:paraId="3E170507" w14:textId="77777777" w:rsidR="003D59A8" w:rsidRPr="00DE6484" w:rsidRDefault="003D59A8" w:rsidP="00DE6484">
      <w:pPr>
        <w:jc w:val="both"/>
        <w:rPr>
          <w:rFonts w:ascii="Arial" w:hAnsi="Arial" w:cs="Arial"/>
        </w:rPr>
      </w:pPr>
    </w:p>
    <w:p w14:paraId="17F5A938" w14:textId="77777777" w:rsidR="00DE6484" w:rsidRDefault="00DE6484" w:rsidP="00DE6484">
      <w:pPr>
        <w:jc w:val="both"/>
        <w:rPr>
          <w:rFonts w:ascii="Arial" w:hAnsi="Arial" w:cs="Arial"/>
        </w:rPr>
      </w:pPr>
      <w:r w:rsidRPr="00DE6484">
        <w:rPr>
          <w:rFonts w:ascii="Arial" w:hAnsi="Arial" w:cs="Arial"/>
          <w:b/>
          <w:bCs/>
        </w:rPr>
        <w:t>Table 4.</w:t>
      </w:r>
      <w:r w:rsidRPr="00DE6484">
        <w:rPr>
          <w:rFonts w:ascii="Arial" w:hAnsi="Arial" w:cs="Arial"/>
        </w:rPr>
        <w:t xml:space="preserve"> Elemental composition of corncob-based activated carbon activated with phosphoric acid (H</w:t>
      </w:r>
      <w:r w:rsidRPr="00DE6484">
        <w:rPr>
          <w:rFonts w:ascii="Cambria Math" w:hAnsi="Cambria Math" w:cs="Cambria Math"/>
        </w:rPr>
        <w:t>₃</w:t>
      </w:r>
      <w:r w:rsidRPr="00DE6484">
        <w:rPr>
          <w:rFonts w:ascii="Arial" w:hAnsi="Arial" w:cs="Arial"/>
        </w:rPr>
        <w:t>PO</w:t>
      </w:r>
      <w:r w:rsidRPr="00DE6484">
        <w:rPr>
          <w:rFonts w:ascii="Cambria Math" w:hAnsi="Cambria Math" w:cs="Cambria Math"/>
        </w:rPr>
        <w:t>₄</w:t>
      </w:r>
      <w:r w:rsidRPr="00DE6484">
        <w:rPr>
          <w:rFonts w:ascii="Arial" w:hAnsi="Arial" w:cs="Arial"/>
        </w:rPr>
        <w:t>).</w:t>
      </w:r>
    </w:p>
    <w:p w14:paraId="1EE3E487" w14:textId="77777777" w:rsidR="003D59A8" w:rsidRPr="00DE6484" w:rsidRDefault="003D59A8" w:rsidP="00DE6484">
      <w:pPr>
        <w:jc w:val="both"/>
        <w:rPr>
          <w:rFonts w:ascii="Arial" w:hAnsi="Arial" w:cs="Arial"/>
        </w:rPr>
      </w:pP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1072"/>
        <w:gridCol w:w="1206"/>
        <w:gridCol w:w="1805"/>
        <w:gridCol w:w="1035"/>
        <w:gridCol w:w="1634"/>
      </w:tblGrid>
      <w:tr w:rsidR="00DE6484" w:rsidRPr="00DE6484" w14:paraId="7288B81A" w14:textId="77777777" w:rsidTr="005E114C">
        <w:trPr>
          <w:trHeight w:val="864"/>
        </w:trPr>
        <w:tc>
          <w:tcPr>
            <w:tcW w:w="0" w:type="auto"/>
          </w:tcPr>
          <w:p w14:paraId="46698849" w14:textId="77777777" w:rsidR="00DE6484" w:rsidRPr="00DE6484" w:rsidRDefault="00DE6484" w:rsidP="00DE6484">
            <w:pPr>
              <w:jc w:val="both"/>
              <w:rPr>
                <w:rFonts w:ascii="Arial" w:hAnsi="Arial" w:cs="Arial"/>
                <w:b/>
                <w:bCs/>
                <w:iCs/>
              </w:rPr>
            </w:pPr>
            <w:r w:rsidRPr="00DE6484">
              <w:rPr>
                <w:rFonts w:ascii="Arial" w:hAnsi="Arial" w:cs="Arial"/>
                <w:b/>
                <w:bCs/>
                <w:iCs/>
              </w:rPr>
              <w:t>Element</w:t>
            </w:r>
          </w:p>
        </w:tc>
        <w:tc>
          <w:tcPr>
            <w:tcW w:w="0" w:type="auto"/>
          </w:tcPr>
          <w:p w14:paraId="599E222C" w14:textId="77777777" w:rsidR="00DE6484" w:rsidRPr="00DE6484" w:rsidRDefault="00DE6484" w:rsidP="00DE6484">
            <w:pPr>
              <w:jc w:val="both"/>
              <w:rPr>
                <w:rFonts w:ascii="Arial" w:hAnsi="Arial" w:cs="Arial"/>
                <w:b/>
                <w:bCs/>
                <w:iCs/>
              </w:rPr>
            </w:pPr>
            <w:r w:rsidRPr="00DE6484">
              <w:rPr>
                <w:rFonts w:ascii="Arial" w:hAnsi="Arial" w:cs="Arial"/>
                <w:b/>
                <w:bCs/>
                <w:iCs/>
              </w:rPr>
              <w:t>Weight %</w:t>
            </w:r>
          </w:p>
        </w:tc>
        <w:tc>
          <w:tcPr>
            <w:tcW w:w="0" w:type="auto"/>
          </w:tcPr>
          <w:p w14:paraId="2291E108" w14:textId="77777777" w:rsidR="00DE6484" w:rsidRPr="00DE6484" w:rsidRDefault="00DE6484" w:rsidP="00DE6484">
            <w:pPr>
              <w:jc w:val="both"/>
              <w:rPr>
                <w:rFonts w:ascii="Arial" w:hAnsi="Arial" w:cs="Arial"/>
                <w:b/>
                <w:bCs/>
                <w:iCs/>
              </w:rPr>
            </w:pPr>
            <w:r w:rsidRPr="00DE6484">
              <w:rPr>
                <w:rFonts w:ascii="Arial" w:hAnsi="Arial" w:cs="Arial"/>
                <w:b/>
                <w:bCs/>
                <w:iCs/>
              </w:rPr>
              <w:t>Weight % Error</w:t>
            </w:r>
          </w:p>
        </w:tc>
        <w:tc>
          <w:tcPr>
            <w:tcW w:w="0" w:type="auto"/>
          </w:tcPr>
          <w:p w14:paraId="5172AAB9" w14:textId="77777777" w:rsidR="00DE6484" w:rsidRPr="00DE6484" w:rsidRDefault="00DE6484" w:rsidP="00DE6484">
            <w:pPr>
              <w:jc w:val="both"/>
              <w:rPr>
                <w:rFonts w:ascii="Arial" w:hAnsi="Arial" w:cs="Arial"/>
                <w:b/>
                <w:bCs/>
                <w:iCs/>
              </w:rPr>
            </w:pPr>
            <w:r w:rsidRPr="00DE6484">
              <w:rPr>
                <w:rFonts w:ascii="Arial" w:hAnsi="Arial" w:cs="Arial"/>
                <w:b/>
                <w:bCs/>
                <w:iCs/>
              </w:rPr>
              <w:t>Atom %</w:t>
            </w:r>
          </w:p>
        </w:tc>
        <w:tc>
          <w:tcPr>
            <w:tcW w:w="0" w:type="auto"/>
          </w:tcPr>
          <w:p w14:paraId="370C6B9A" w14:textId="77777777" w:rsidR="00DE6484" w:rsidRPr="00DE6484" w:rsidRDefault="00DE6484" w:rsidP="00DE6484">
            <w:pPr>
              <w:jc w:val="both"/>
              <w:rPr>
                <w:rFonts w:ascii="Arial" w:hAnsi="Arial" w:cs="Arial"/>
                <w:b/>
                <w:bCs/>
                <w:iCs/>
              </w:rPr>
            </w:pPr>
            <w:r w:rsidRPr="00DE6484">
              <w:rPr>
                <w:rFonts w:ascii="Arial" w:hAnsi="Arial" w:cs="Arial"/>
                <w:b/>
                <w:bCs/>
                <w:iCs/>
              </w:rPr>
              <w:t>Atom % Error</w:t>
            </w:r>
          </w:p>
        </w:tc>
      </w:tr>
      <w:tr w:rsidR="00DE6484" w:rsidRPr="00DE6484" w14:paraId="2B52D86B" w14:textId="77777777" w:rsidTr="005E114C">
        <w:trPr>
          <w:trHeight w:val="426"/>
        </w:trPr>
        <w:tc>
          <w:tcPr>
            <w:tcW w:w="0" w:type="auto"/>
          </w:tcPr>
          <w:p w14:paraId="020BB064" w14:textId="77777777" w:rsidR="00DE6484" w:rsidRPr="00DE6484" w:rsidRDefault="00DE6484" w:rsidP="00DE6484">
            <w:pPr>
              <w:jc w:val="both"/>
              <w:rPr>
                <w:rFonts w:ascii="Arial" w:hAnsi="Arial" w:cs="Arial"/>
                <w:b/>
                <w:bCs/>
                <w:iCs/>
              </w:rPr>
            </w:pPr>
            <w:r w:rsidRPr="00DE6484">
              <w:rPr>
                <w:rFonts w:ascii="Arial" w:hAnsi="Arial" w:cs="Arial"/>
                <w:b/>
                <w:bCs/>
                <w:iCs/>
              </w:rPr>
              <w:t>C</w:t>
            </w:r>
          </w:p>
        </w:tc>
        <w:tc>
          <w:tcPr>
            <w:tcW w:w="0" w:type="auto"/>
          </w:tcPr>
          <w:p w14:paraId="157A9205" w14:textId="77777777" w:rsidR="00DE6484" w:rsidRPr="00DE6484" w:rsidRDefault="00DE6484" w:rsidP="00DE6484">
            <w:pPr>
              <w:jc w:val="both"/>
              <w:rPr>
                <w:rFonts w:ascii="Arial" w:hAnsi="Arial" w:cs="Arial"/>
                <w:iCs/>
              </w:rPr>
            </w:pPr>
            <w:r w:rsidRPr="00DE6484">
              <w:rPr>
                <w:rFonts w:ascii="Arial" w:hAnsi="Arial" w:cs="Arial"/>
                <w:iCs/>
              </w:rPr>
              <w:t>64.9</w:t>
            </w:r>
          </w:p>
        </w:tc>
        <w:tc>
          <w:tcPr>
            <w:tcW w:w="0" w:type="auto"/>
          </w:tcPr>
          <w:p w14:paraId="1A408B4F" w14:textId="77777777" w:rsidR="00DE6484" w:rsidRPr="00DE6484" w:rsidRDefault="00DE6484" w:rsidP="00DE6484">
            <w:pPr>
              <w:jc w:val="both"/>
              <w:rPr>
                <w:rFonts w:ascii="Arial" w:hAnsi="Arial" w:cs="Arial"/>
                <w:iCs/>
              </w:rPr>
            </w:pPr>
            <w:r w:rsidRPr="00DE6484">
              <w:rPr>
                <w:rFonts w:ascii="Arial" w:hAnsi="Arial" w:cs="Arial"/>
                <w:iCs/>
              </w:rPr>
              <w:t>± 0.5</w:t>
            </w:r>
          </w:p>
        </w:tc>
        <w:tc>
          <w:tcPr>
            <w:tcW w:w="0" w:type="auto"/>
          </w:tcPr>
          <w:p w14:paraId="392D16BD" w14:textId="77777777" w:rsidR="00DE6484" w:rsidRPr="00DE6484" w:rsidRDefault="00DE6484" w:rsidP="00DE6484">
            <w:pPr>
              <w:jc w:val="both"/>
              <w:rPr>
                <w:rFonts w:ascii="Arial" w:hAnsi="Arial" w:cs="Arial"/>
                <w:iCs/>
              </w:rPr>
            </w:pPr>
            <w:r w:rsidRPr="00DE6484">
              <w:rPr>
                <w:rFonts w:ascii="Arial" w:hAnsi="Arial" w:cs="Arial"/>
                <w:iCs/>
              </w:rPr>
              <w:t>73.2</w:t>
            </w:r>
          </w:p>
        </w:tc>
        <w:tc>
          <w:tcPr>
            <w:tcW w:w="0" w:type="auto"/>
          </w:tcPr>
          <w:p w14:paraId="11CE1D9D" w14:textId="77777777" w:rsidR="00DE6484" w:rsidRPr="00DE6484" w:rsidRDefault="00DE6484" w:rsidP="00DE6484">
            <w:pPr>
              <w:jc w:val="both"/>
              <w:rPr>
                <w:rFonts w:ascii="Arial" w:hAnsi="Arial" w:cs="Arial"/>
                <w:iCs/>
              </w:rPr>
            </w:pPr>
            <w:r w:rsidRPr="00DE6484">
              <w:rPr>
                <w:rFonts w:ascii="Arial" w:hAnsi="Arial" w:cs="Arial"/>
                <w:iCs/>
              </w:rPr>
              <w:t>± 1.2</w:t>
            </w:r>
          </w:p>
        </w:tc>
      </w:tr>
      <w:tr w:rsidR="00DE6484" w:rsidRPr="00DE6484" w14:paraId="406EFB35" w14:textId="77777777" w:rsidTr="005E114C">
        <w:trPr>
          <w:trHeight w:val="437"/>
        </w:trPr>
        <w:tc>
          <w:tcPr>
            <w:tcW w:w="0" w:type="auto"/>
          </w:tcPr>
          <w:p w14:paraId="2445462F" w14:textId="77777777" w:rsidR="00DE6484" w:rsidRPr="00DE6484" w:rsidRDefault="00DE6484" w:rsidP="00DE6484">
            <w:pPr>
              <w:jc w:val="both"/>
              <w:rPr>
                <w:rFonts w:ascii="Arial" w:hAnsi="Arial" w:cs="Arial"/>
                <w:b/>
                <w:bCs/>
                <w:iCs/>
              </w:rPr>
            </w:pPr>
            <w:r w:rsidRPr="00DE6484">
              <w:rPr>
                <w:rFonts w:ascii="Arial" w:hAnsi="Arial" w:cs="Arial"/>
                <w:b/>
                <w:bCs/>
                <w:iCs/>
              </w:rPr>
              <w:t>O</w:t>
            </w:r>
          </w:p>
        </w:tc>
        <w:tc>
          <w:tcPr>
            <w:tcW w:w="0" w:type="auto"/>
          </w:tcPr>
          <w:p w14:paraId="10A22D3A" w14:textId="77777777" w:rsidR="00DE6484" w:rsidRPr="00DE6484" w:rsidRDefault="00DE6484" w:rsidP="00DE6484">
            <w:pPr>
              <w:jc w:val="both"/>
              <w:rPr>
                <w:rFonts w:ascii="Arial" w:hAnsi="Arial" w:cs="Arial"/>
                <w:iCs/>
              </w:rPr>
            </w:pPr>
            <w:r w:rsidRPr="00DE6484">
              <w:rPr>
                <w:rFonts w:ascii="Arial" w:hAnsi="Arial" w:cs="Arial"/>
                <w:iCs/>
              </w:rPr>
              <w:t>28.3</w:t>
            </w:r>
          </w:p>
        </w:tc>
        <w:tc>
          <w:tcPr>
            <w:tcW w:w="0" w:type="auto"/>
          </w:tcPr>
          <w:p w14:paraId="38ADCDBB" w14:textId="77777777" w:rsidR="00DE6484" w:rsidRPr="00DE6484" w:rsidRDefault="00DE6484" w:rsidP="00DE6484">
            <w:pPr>
              <w:jc w:val="both"/>
              <w:rPr>
                <w:rFonts w:ascii="Arial" w:hAnsi="Arial" w:cs="Arial"/>
                <w:iCs/>
              </w:rPr>
            </w:pPr>
            <w:r w:rsidRPr="00DE6484">
              <w:rPr>
                <w:rFonts w:ascii="Arial" w:hAnsi="Arial" w:cs="Arial"/>
                <w:iCs/>
              </w:rPr>
              <w:t>± 0.7</w:t>
            </w:r>
          </w:p>
        </w:tc>
        <w:tc>
          <w:tcPr>
            <w:tcW w:w="0" w:type="auto"/>
          </w:tcPr>
          <w:p w14:paraId="7EBA5998" w14:textId="77777777" w:rsidR="00DE6484" w:rsidRPr="00DE6484" w:rsidRDefault="00DE6484" w:rsidP="00DE6484">
            <w:pPr>
              <w:jc w:val="both"/>
              <w:rPr>
                <w:rFonts w:ascii="Arial" w:hAnsi="Arial" w:cs="Arial"/>
                <w:iCs/>
              </w:rPr>
            </w:pPr>
            <w:r w:rsidRPr="00DE6484">
              <w:rPr>
                <w:rFonts w:ascii="Arial" w:hAnsi="Arial" w:cs="Arial"/>
                <w:iCs/>
              </w:rPr>
              <w:t>24.0</w:t>
            </w:r>
          </w:p>
        </w:tc>
        <w:tc>
          <w:tcPr>
            <w:tcW w:w="0" w:type="auto"/>
          </w:tcPr>
          <w:p w14:paraId="4E0C142E" w14:textId="77777777" w:rsidR="00DE6484" w:rsidRPr="00DE6484" w:rsidRDefault="00DE6484" w:rsidP="00DE6484">
            <w:pPr>
              <w:jc w:val="both"/>
              <w:rPr>
                <w:rFonts w:ascii="Arial" w:hAnsi="Arial" w:cs="Arial"/>
                <w:iCs/>
              </w:rPr>
            </w:pPr>
            <w:r w:rsidRPr="00DE6484">
              <w:rPr>
                <w:rFonts w:ascii="Arial" w:hAnsi="Arial" w:cs="Arial"/>
                <w:iCs/>
              </w:rPr>
              <w:t>± 1.2</w:t>
            </w:r>
          </w:p>
        </w:tc>
      </w:tr>
      <w:tr w:rsidR="00DE6484" w:rsidRPr="00DE6484" w14:paraId="3D589915" w14:textId="77777777" w:rsidTr="005E114C">
        <w:trPr>
          <w:trHeight w:val="426"/>
        </w:trPr>
        <w:tc>
          <w:tcPr>
            <w:tcW w:w="0" w:type="auto"/>
          </w:tcPr>
          <w:p w14:paraId="7CA7F991" w14:textId="77777777" w:rsidR="00DE6484" w:rsidRPr="00DE6484" w:rsidRDefault="00DE6484" w:rsidP="00DE6484">
            <w:pPr>
              <w:jc w:val="both"/>
              <w:rPr>
                <w:rFonts w:ascii="Arial" w:hAnsi="Arial" w:cs="Arial"/>
                <w:b/>
                <w:bCs/>
                <w:iCs/>
              </w:rPr>
            </w:pPr>
            <w:r w:rsidRPr="00DE6484">
              <w:rPr>
                <w:rFonts w:ascii="Arial" w:hAnsi="Arial" w:cs="Arial"/>
                <w:b/>
                <w:bCs/>
                <w:iCs/>
              </w:rPr>
              <w:t>Si</w:t>
            </w:r>
          </w:p>
        </w:tc>
        <w:tc>
          <w:tcPr>
            <w:tcW w:w="0" w:type="auto"/>
          </w:tcPr>
          <w:p w14:paraId="531E1D4C" w14:textId="77777777" w:rsidR="00DE6484" w:rsidRPr="00DE6484" w:rsidRDefault="00DE6484" w:rsidP="00DE6484">
            <w:pPr>
              <w:jc w:val="both"/>
              <w:rPr>
                <w:rFonts w:ascii="Arial" w:hAnsi="Arial" w:cs="Arial"/>
                <w:iCs/>
              </w:rPr>
            </w:pPr>
            <w:r w:rsidRPr="00DE6484">
              <w:rPr>
                <w:rFonts w:ascii="Arial" w:hAnsi="Arial" w:cs="Arial"/>
                <w:iCs/>
              </w:rPr>
              <w:t>0.5</w:t>
            </w:r>
          </w:p>
        </w:tc>
        <w:tc>
          <w:tcPr>
            <w:tcW w:w="0" w:type="auto"/>
          </w:tcPr>
          <w:p w14:paraId="4556BC8F" w14:textId="77777777" w:rsidR="00DE6484" w:rsidRPr="00DE6484" w:rsidRDefault="00DE6484" w:rsidP="00DE6484">
            <w:pPr>
              <w:jc w:val="both"/>
              <w:rPr>
                <w:rFonts w:ascii="Arial" w:hAnsi="Arial" w:cs="Arial"/>
                <w:iCs/>
              </w:rPr>
            </w:pPr>
            <w:r w:rsidRPr="00DE6484">
              <w:rPr>
                <w:rFonts w:ascii="Arial" w:hAnsi="Arial" w:cs="Arial"/>
                <w:iCs/>
              </w:rPr>
              <w:t>± 0.1</w:t>
            </w:r>
          </w:p>
        </w:tc>
        <w:tc>
          <w:tcPr>
            <w:tcW w:w="0" w:type="auto"/>
          </w:tcPr>
          <w:p w14:paraId="2B8C8C86" w14:textId="77777777" w:rsidR="00DE6484" w:rsidRPr="00DE6484" w:rsidRDefault="00DE6484" w:rsidP="00DE6484">
            <w:pPr>
              <w:jc w:val="both"/>
              <w:rPr>
                <w:rFonts w:ascii="Arial" w:hAnsi="Arial" w:cs="Arial"/>
                <w:iCs/>
              </w:rPr>
            </w:pPr>
            <w:r w:rsidRPr="00DE6484">
              <w:rPr>
                <w:rFonts w:ascii="Arial" w:hAnsi="Arial" w:cs="Arial"/>
                <w:iCs/>
              </w:rPr>
              <w:t>0.3</w:t>
            </w:r>
          </w:p>
        </w:tc>
        <w:tc>
          <w:tcPr>
            <w:tcW w:w="0" w:type="auto"/>
          </w:tcPr>
          <w:p w14:paraId="49F7AA99" w14:textId="77777777" w:rsidR="00DE6484" w:rsidRPr="00DE6484" w:rsidRDefault="00DE6484" w:rsidP="00DE6484">
            <w:pPr>
              <w:jc w:val="both"/>
              <w:rPr>
                <w:rFonts w:ascii="Arial" w:hAnsi="Arial" w:cs="Arial"/>
                <w:iCs/>
              </w:rPr>
            </w:pPr>
            <w:r w:rsidRPr="00DE6484">
              <w:rPr>
                <w:rFonts w:ascii="Arial" w:hAnsi="Arial" w:cs="Arial"/>
                <w:iCs/>
              </w:rPr>
              <w:t>± 0.1</w:t>
            </w:r>
          </w:p>
        </w:tc>
      </w:tr>
      <w:tr w:rsidR="00DE6484" w:rsidRPr="00DE6484" w14:paraId="0A2D1414" w14:textId="77777777" w:rsidTr="005E114C">
        <w:trPr>
          <w:trHeight w:val="426"/>
        </w:trPr>
        <w:tc>
          <w:tcPr>
            <w:tcW w:w="0" w:type="auto"/>
          </w:tcPr>
          <w:p w14:paraId="0AF58AE1" w14:textId="77777777" w:rsidR="00DE6484" w:rsidRPr="00DE6484" w:rsidRDefault="00DE6484" w:rsidP="00DE6484">
            <w:pPr>
              <w:jc w:val="both"/>
              <w:rPr>
                <w:rFonts w:ascii="Arial" w:hAnsi="Arial" w:cs="Arial"/>
                <w:b/>
                <w:bCs/>
                <w:iCs/>
              </w:rPr>
            </w:pPr>
            <w:r w:rsidRPr="00DE6484">
              <w:rPr>
                <w:rFonts w:ascii="Arial" w:hAnsi="Arial" w:cs="Arial"/>
                <w:b/>
                <w:bCs/>
                <w:iCs/>
              </w:rPr>
              <w:t>P</w:t>
            </w:r>
          </w:p>
        </w:tc>
        <w:tc>
          <w:tcPr>
            <w:tcW w:w="0" w:type="auto"/>
          </w:tcPr>
          <w:p w14:paraId="08DDA1D3" w14:textId="77777777" w:rsidR="00DE6484" w:rsidRPr="00DE6484" w:rsidRDefault="00DE6484" w:rsidP="00DE6484">
            <w:pPr>
              <w:jc w:val="both"/>
              <w:rPr>
                <w:rFonts w:ascii="Arial" w:hAnsi="Arial" w:cs="Arial"/>
                <w:iCs/>
              </w:rPr>
            </w:pPr>
            <w:r w:rsidRPr="00DE6484">
              <w:rPr>
                <w:rFonts w:ascii="Arial" w:hAnsi="Arial" w:cs="Arial"/>
                <w:iCs/>
              </w:rPr>
              <w:t>4.7</w:t>
            </w:r>
          </w:p>
        </w:tc>
        <w:tc>
          <w:tcPr>
            <w:tcW w:w="0" w:type="auto"/>
          </w:tcPr>
          <w:p w14:paraId="3995C517" w14:textId="77777777" w:rsidR="00DE6484" w:rsidRPr="00DE6484" w:rsidRDefault="00DE6484" w:rsidP="00DE6484">
            <w:pPr>
              <w:jc w:val="both"/>
              <w:rPr>
                <w:rFonts w:ascii="Arial" w:hAnsi="Arial" w:cs="Arial"/>
                <w:iCs/>
              </w:rPr>
            </w:pPr>
            <w:r w:rsidRPr="00DE6484">
              <w:rPr>
                <w:rFonts w:ascii="Arial" w:hAnsi="Arial" w:cs="Arial"/>
                <w:iCs/>
              </w:rPr>
              <w:t>± 0.2</w:t>
            </w:r>
          </w:p>
        </w:tc>
        <w:tc>
          <w:tcPr>
            <w:tcW w:w="0" w:type="auto"/>
          </w:tcPr>
          <w:p w14:paraId="41B6C7FD" w14:textId="77777777" w:rsidR="00DE6484" w:rsidRPr="00DE6484" w:rsidRDefault="00DE6484" w:rsidP="00DE6484">
            <w:pPr>
              <w:jc w:val="both"/>
              <w:rPr>
                <w:rFonts w:ascii="Arial" w:hAnsi="Arial" w:cs="Arial"/>
                <w:iCs/>
              </w:rPr>
            </w:pPr>
            <w:r w:rsidRPr="00DE6484">
              <w:rPr>
                <w:rFonts w:ascii="Arial" w:hAnsi="Arial" w:cs="Arial"/>
                <w:iCs/>
              </w:rPr>
              <w:t>2.1</w:t>
            </w:r>
          </w:p>
        </w:tc>
        <w:tc>
          <w:tcPr>
            <w:tcW w:w="0" w:type="auto"/>
          </w:tcPr>
          <w:p w14:paraId="1C231D70" w14:textId="77777777" w:rsidR="00DE6484" w:rsidRPr="00DE6484" w:rsidRDefault="00DE6484" w:rsidP="00DE6484">
            <w:pPr>
              <w:jc w:val="both"/>
              <w:rPr>
                <w:rFonts w:ascii="Arial" w:hAnsi="Arial" w:cs="Arial"/>
                <w:iCs/>
              </w:rPr>
            </w:pPr>
            <w:r w:rsidRPr="00DE6484">
              <w:rPr>
                <w:rFonts w:ascii="Arial" w:hAnsi="Arial" w:cs="Arial"/>
                <w:iCs/>
              </w:rPr>
              <w:t>± 0.1</w:t>
            </w:r>
          </w:p>
        </w:tc>
      </w:tr>
      <w:tr w:rsidR="00DE6484" w:rsidRPr="00DE6484" w14:paraId="00A751DA" w14:textId="77777777" w:rsidTr="005E114C">
        <w:trPr>
          <w:trHeight w:val="437"/>
        </w:trPr>
        <w:tc>
          <w:tcPr>
            <w:tcW w:w="0" w:type="auto"/>
          </w:tcPr>
          <w:p w14:paraId="7E67F431" w14:textId="77777777" w:rsidR="00DE6484" w:rsidRPr="00DE6484" w:rsidRDefault="00DE6484" w:rsidP="00DE6484">
            <w:pPr>
              <w:jc w:val="both"/>
              <w:rPr>
                <w:rFonts w:ascii="Arial" w:hAnsi="Arial" w:cs="Arial"/>
                <w:b/>
                <w:bCs/>
                <w:iCs/>
              </w:rPr>
            </w:pPr>
            <w:r w:rsidRPr="00DE6484">
              <w:rPr>
                <w:rFonts w:ascii="Arial" w:hAnsi="Arial" w:cs="Arial"/>
                <w:b/>
                <w:bCs/>
                <w:iCs/>
              </w:rPr>
              <w:t>Ca</w:t>
            </w:r>
          </w:p>
        </w:tc>
        <w:tc>
          <w:tcPr>
            <w:tcW w:w="0" w:type="auto"/>
          </w:tcPr>
          <w:p w14:paraId="750FED17" w14:textId="77777777" w:rsidR="00DE6484" w:rsidRPr="00DE6484" w:rsidRDefault="00DE6484" w:rsidP="00DE6484">
            <w:pPr>
              <w:jc w:val="both"/>
              <w:rPr>
                <w:rFonts w:ascii="Arial" w:hAnsi="Arial" w:cs="Arial"/>
                <w:iCs/>
              </w:rPr>
            </w:pPr>
            <w:r w:rsidRPr="00DE6484">
              <w:rPr>
                <w:rFonts w:ascii="Arial" w:hAnsi="Arial" w:cs="Arial"/>
                <w:iCs/>
              </w:rPr>
              <w:t>1.6</w:t>
            </w:r>
          </w:p>
        </w:tc>
        <w:tc>
          <w:tcPr>
            <w:tcW w:w="0" w:type="auto"/>
          </w:tcPr>
          <w:p w14:paraId="7F077DC4" w14:textId="77777777" w:rsidR="00DE6484" w:rsidRPr="00DE6484" w:rsidRDefault="00DE6484" w:rsidP="00DE6484">
            <w:pPr>
              <w:jc w:val="both"/>
              <w:rPr>
                <w:rFonts w:ascii="Arial" w:hAnsi="Arial" w:cs="Arial"/>
                <w:iCs/>
              </w:rPr>
            </w:pPr>
            <w:r w:rsidRPr="00DE6484">
              <w:rPr>
                <w:rFonts w:ascii="Arial" w:hAnsi="Arial" w:cs="Arial"/>
                <w:iCs/>
              </w:rPr>
              <w:t>± 0.2</w:t>
            </w:r>
          </w:p>
        </w:tc>
        <w:tc>
          <w:tcPr>
            <w:tcW w:w="0" w:type="auto"/>
          </w:tcPr>
          <w:p w14:paraId="5D70D67E" w14:textId="77777777" w:rsidR="00DE6484" w:rsidRPr="00DE6484" w:rsidRDefault="00DE6484" w:rsidP="00DE6484">
            <w:pPr>
              <w:jc w:val="both"/>
              <w:rPr>
                <w:rFonts w:ascii="Arial" w:hAnsi="Arial" w:cs="Arial"/>
                <w:iCs/>
              </w:rPr>
            </w:pPr>
            <w:r w:rsidRPr="00DE6484">
              <w:rPr>
                <w:rFonts w:ascii="Arial" w:hAnsi="Arial" w:cs="Arial"/>
                <w:iCs/>
              </w:rPr>
              <w:t>0.5</w:t>
            </w:r>
          </w:p>
        </w:tc>
        <w:tc>
          <w:tcPr>
            <w:tcW w:w="0" w:type="auto"/>
          </w:tcPr>
          <w:p w14:paraId="4CE17737" w14:textId="77777777" w:rsidR="00DE6484" w:rsidRPr="00DE6484" w:rsidRDefault="00DE6484" w:rsidP="00DE6484">
            <w:pPr>
              <w:jc w:val="both"/>
              <w:rPr>
                <w:rFonts w:ascii="Arial" w:hAnsi="Arial" w:cs="Arial"/>
                <w:iCs/>
              </w:rPr>
            </w:pPr>
            <w:r w:rsidRPr="00DE6484">
              <w:rPr>
                <w:rFonts w:ascii="Arial" w:hAnsi="Arial" w:cs="Arial"/>
                <w:iCs/>
              </w:rPr>
              <w:t>± 0.1</w:t>
            </w:r>
          </w:p>
        </w:tc>
      </w:tr>
      <w:tr w:rsidR="00DE6484" w:rsidRPr="00DE6484" w14:paraId="08C32AE0" w14:textId="77777777" w:rsidTr="005E114C">
        <w:trPr>
          <w:trHeight w:val="426"/>
        </w:trPr>
        <w:tc>
          <w:tcPr>
            <w:tcW w:w="0" w:type="auto"/>
          </w:tcPr>
          <w:p w14:paraId="2DFBB5A5" w14:textId="77777777" w:rsidR="00DE6484" w:rsidRPr="00DE6484" w:rsidRDefault="00DE6484" w:rsidP="00DE6484">
            <w:pPr>
              <w:jc w:val="both"/>
              <w:rPr>
                <w:rFonts w:ascii="Arial" w:hAnsi="Arial" w:cs="Arial"/>
                <w:b/>
                <w:bCs/>
                <w:iCs/>
              </w:rPr>
            </w:pPr>
            <w:r w:rsidRPr="00DE6484">
              <w:rPr>
                <w:rFonts w:ascii="Arial" w:hAnsi="Arial" w:cs="Arial"/>
                <w:b/>
                <w:bCs/>
                <w:iCs/>
              </w:rPr>
              <w:t>Total</w:t>
            </w:r>
          </w:p>
        </w:tc>
        <w:tc>
          <w:tcPr>
            <w:tcW w:w="0" w:type="auto"/>
          </w:tcPr>
          <w:p w14:paraId="2C743D2E" w14:textId="77777777" w:rsidR="00DE6484" w:rsidRPr="00DE6484" w:rsidRDefault="00DE6484" w:rsidP="00DE6484">
            <w:pPr>
              <w:jc w:val="both"/>
              <w:rPr>
                <w:rFonts w:ascii="Arial" w:hAnsi="Arial" w:cs="Arial"/>
                <w:iCs/>
              </w:rPr>
            </w:pPr>
            <w:r w:rsidRPr="00DE6484">
              <w:rPr>
                <w:rFonts w:ascii="Arial" w:hAnsi="Arial" w:cs="Arial"/>
                <w:iCs/>
              </w:rPr>
              <w:t>100.0</w:t>
            </w:r>
          </w:p>
        </w:tc>
        <w:tc>
          <w:tcPr>
            <w:tcW w:w="0" w:type="auto"/>
          </w:tcPr>
          <w:p w14:paraId="025BE292" w14:textId="77777777" w:rsidR="00DE6484" w:rsidRPr="00DE6484" w:rsidRDefault="00DE6484" w:rsidP="00DE6484">
            <w:pPr>
              <w:jc w:val="both"/>
              <w:rPr>
                <w:rFonts w:ascii="Arial" w:hAnsi="Arial" w:cs="Arial"/>
                <w:iCs/>
              </w:rPr>
            </w:pPr>
          </w:p>
        </w:tc>
        <w:tc>
          <w:tcPr>
            <w:tcW w:w="0" w:type="auto"/>
          </w:tcPr>
          <w:p w14:paraId="1A0FB67F" w14:textId="77777777" w:rsidR="00DE6484" w:rsidRPr="00DE6484" w:rsidRDefault="00DE6484" w:rsidP="00DE6484">
            <w:pPr>
              <w:jc w:val="both"/>
              <w:rPr>
                <w:rFonts w:ascii="Arial" w:hAnsi="Arial" w:cs="Arial"/>
                <w:iCs/>
              </w:rPr>
            </w:pPr>
            <w:r w:rsidRPr="00DE6484">
              <w:rPr>
                <w:rFonts w:ascii="Arial" w:hAnsi="Arial" w:cs="Arial"/>
                <w:iCs/>
              </w:rPr>
              <w:t>100.0</w:t>
            </w:r>
          </w:p>
        </w:tc>
        <w:tc>
          <w:tcPr>
            <w:tcW w:w="0" w:type="auto"/>
          </w:tcPr>
          <w:p w14:paraId="67D8F1DA" w14:textId="77777777" w:rsidR="00DE6484" w:rsidRPr="00DE6484" w:rsidRDefault="00DE6484" w:rsidP="00DE6484">
            <w:pPr>
              <w:jc w:val="both"/>
              <w:rPr>
                <w:rFonts w:ascii="Arial" w:hAnsi="Arial" w:cs="Arial"/>
                <w:iCs/>
              </w:rPr>
            </w:pPr>
          </w:p>
        </w:tc>
      </w:tr>
    </w:tbl>
    <w:p w14:paraId="42509A1C" w14:textId="77777777" w:rsidR="00DE6484" w:rsidRPr="00DE6484" w:rsidRDefault="00DE6484" w:rsidP="00DE6484">
      <w:pPr>
        <w:jc w:val="both"/>
        <w:rPr>
          <w:rFonts w:ascii="Arial" w:hAnsi="Arial" w:cs="Arial"/>
        </w:rPr>
      </w:pPr>
    </w:p>
    <w:p w14:paraId="2934E9A2" w14:textId="77777777" w:rsidR="00DE6484" w:rsidRPr="00DE6484" w:rsidRDefault="00DE6484" w:rsidP="00DE6484">
      <w:pPr>
        <w:jc w:val="both"/>
        <w:rPr>
          <w:rFonts w:ascii="Arial" w:hAnsi="Arial" w:cs="Arial"/>
        </w:rPr>
      </w:pPr>
      <w:r w:rsidRPr="00DE6484">
        <w:rPr>
          <w:rFonts w:ascii="Arial" w:hAnsi="Arial" w:cs="Arial"/>
          <w:iCs/>
          <w:noProof/>
        </w:rPr>
        <w:lastRenderedPageBreak/>
        <w:drawing>
          <wp:inline distT="0" distB="0" distL="0" distR="0" wp14:anchorId="49649A6C" wp14:editId="33850E68">
            <wp:extent cx="5432612" cy="3213716"/>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56929" cy="3228101"/>
                    </a:xfrm>
                    <a:prstGeom prst="rect">
                      <a:avLst/>
                    </a:prstGeom>
                  </pic:spPr>
                </pic:pic>
              </a:graphicData>
            </a:graphic>
          </wp:inline>
        </w:drawing>
      </w:r>
    </w:p>
    <w:p w14:paraId="6DF3ADF0" w14:textId="77777777" w:rsidR="00DE6484" w:rsidRDefault="00DE6484" w:rsidP="00DE6484">
      <w:pPr>
        <w:jc w:val="both"/>
        <w:rPr>
          <w:rFonts w:ascii="Arial" w:hAnsi="Arial" w:cs="Arial"/>
        </w:rPr>
      </w:pPr>
      <w:r w:rsidRPr="00DE6484">
        <w:rPr>
          <w:rFonts w:ascii="Arial" w:hAnsi="Arial" w:cs="Arial"/>
          <w:b/>
          <w:bCs/>
        </w:rPr>
        <w:t xml:space="preserve">Figure 3. </w:t>
      </w:r>
      <w:r w:rsidRPr="00DE6484">
        <w:rPr>
          <w:rFonts w:ascii="Arial" w:hAnsi="Arial" w:cs="Arial"/>
        </w:rPr>
        <w:t>EDS spectrum of the RMA-2M-500 activated carbon produced with H</w:t>
      </w:r>
      <w:r w:rsidRPr="00DE6484">
        <w:rPr>
          <w:rFonts w:ascii="Arial" w:hAnsi="Arial" w:cs="Arial"/>
          <w:vertAlign w:val="subscript"/>
        </w:rPr>
        <w:t>3</w:t>
      </w:r>
      <w:r w:rsidRPr="00DE6484">
        <w:rPr>
          <w:rFonts w:ascii="Arial" w:hAnsi="Arial" w:cs="Arial"/>
        </w:rPr>
        <w:t>PO</w:t>
      </w:r>
      <w:r w:rsidRPr="00DE6484">
        <w:rPr>
          <w:rFonts w:ascii="Arial" w:hAnsi="Arial" w:cs="Arial"/>
          <w:vertAlign w:val="subscript"/>
        </w:rPr>
        <w:t>4</w:t>
      </w:r>
      <w:r w:rsidRPr="00DE6484">
        <w:rPr>
          <w:rFonts w:ascii="Arial" w:hAnsi="Arial" w:cs="Arial"/>
        </w:rPr>
        <w:t>, confirming phosphorus incorporation.</w:t>
      </w:r>
    </w:p>
    <w:p w14:paraId="032A9F9A" w14:textId="77777777" w:rsidR="00C035C3" w:rsidRPr="00DE6484" w:rsidRDefault="00C035C3" w:rsidP="00DE6484">
      <w:pPr>
        <w:jc w:val="both"/>
        <w:rPr>
          <w:rFonts w:ascii="Arial" w:hAnsi="Arial" w:cs="Arial"/>
        </w:rPr>
      </w:pPr>
    </w:p>
    <w:p w14:paraId="3864B1F8" w14:textId="77777777" w:rsidR="00DE6484" w:rsidRPr="00DE6484" w:rsidRDefault="00DE6484" w:rsidP="00DE6484">
      <w:pPr>
        <w:jc w:val="both"/>
        <w:rPr>
          <w:rFonts w:ascii="Arial" w:hAnsi="Arial" w:cs="Arial"/>
        </w:rPr>
      </w:pPr>
      <w:r w:rsidRPr="00DE6484">
        <w:rPr>
          <w:rFonts w:ascii="Arial" w:hAnsi="Arial" w:cs="Arial"/>
        </w:rPr>
        <w:t>Following impregnation and activation with H</w:t>
      </w:r>
      <w:r w:rsidRPr="00DE6484">
        <w:rPr>
          <w:rFonts w:ascii="Arial" w:hAnsi="Arial" w:cs="Arial"/>
          <w:vertAlign w:val="subscript"/>
        </w:rPr>
        <w:t>3</w:t>
      </w:r>
      <w:r w:rsidRPr="00DE6484">
        <w:rPr>
          <w:rFonts w:ascii="Arial" w:hAnsi="Arial" w:cs="Arial"/>
        </w:rPr>
        <w:t>PO</w:t>
      </w:r>
      <w:r w:rsidRPr="00DE6484">
        <w:rPr>
          <w:rFonts w:ascii="Arial" w:hAnsi="Arial" w:cs="Arial"/>
          <w:vertAlign w:val="subscript"/>
        </w:rPr>
        <w:t>4</w:t>
      </w:r>
      <w:r w:rsidRPr="00DE6484">
        <w:rPr>
          <w:rFonts w:ascii="Arial" w:hAnsi="Arial" w:cs="Arial"/>
        </w:rPr>
        <w:t xml:space="preserve">, the observed modifications confirm the key role of the chemical activating agent. The high carbon content and the presence of oxygen indicate the formation of more stable aromatic carbon structures </w:t>
      </w:r>
      <w:r w:rsidRPr="00DE6484">
        <w:rPr>
          <w:rFonts w:ascii="Arial" w:hAnsi="Arial" w:cs="Arial"/>
        </w:rPr>
        <w:fldChar w:fldCharType="begin"/>
      </w:r>
      <w:r w:rsidRPr="00DE6484">
        <w:rPr>
          <w:rFonts w:ascii="Arial" w:hAnsi="Arial" w:cs="Arial"/>
        </w:rPr>
        <w:instrText xml:space="preserve"> ADDIN ZOTERO_ITEM CSL_CITATION {"citationID":"lx52LRm2","properties":{"formattedCitation":"(Liou 2010)","plainCitation":"(Liou 2010)","noteIndex":0},"citationItems":[{"id":454,"uris":["http://zotero.org/users/18768689/items/BQZP9NJ9"],"itemData":{"id":454,"type":"article-journal","container-title":"Chemical Engineering Journal","DOI":"10.1016/j.cej.2009.12.016","ISSN":"13858947","issue":"2","journalAbbreviation":"Chemical Engineering Journal","language":"en","page":"129-142","source":"DOI.org (Crossref)","title":"Development of mesoporous structure and high adsorption capacity of biomass-based activated carbon by phosphoric acid and zinc chloride activation","volume":"158","author":[{"family":"Liou","given":"Tzong-Horng"}],"issued":{"date-parts":[["2010",4]]}}}],"schema":"https://github.com/citation-style-language/schema/raw/master/csl-citation.json"} </w:instrText>
      </w:r>
      <w:r w:rsidRPr="00DE6484">
        <w:rPr>
          <w:rFonts w:ascii="Arial" w:hAnsi="Arial" w:cs="Arial"/>
        </w:rPr>
        <w:fldChar w:fldCharType="separate"/>
      </w:r>
      <w:r w:rsidRPr="00DE6484">
        <w:rPr>
          <w:rFonts w:ascii="Arial" w:hAnsi="Arial" w:cs="Arial"/>
        </w:rPr>
        <w:t>(Liou 2010)</w:t>
      </w:r>
      <w:r w:rsidRPr="00DE6484">
        <w:rPr>
          <w:rFonts w:ascii="Arial" w:hAnsi="Arial" w:cs="Arial"/>
        </w:rPr>
        <w:fldChar w:fldCharType="end"/>
      </w:r>
      <w:r w:rsidRPr="00DE6484">
        <w:rPr>
          <w:rFonts w:ascii="Arial" w:hAnsi="Arial" w:cs="Arial"/>
        </w:rPr>
        <w:t xml:space="preserve">. The appearance of phosphorus on the surface reveals the presence of phosphate groups, which enhance the adsorption of oxyanions and metal cations through mechanisms such as complexation, precipitation, or electrostatic interactions </w:t>
      </w:r>
      <w:r w:rsidRPr="00DE6484">
        <w:rPr>
          <w:rFonts w:ascii="Arial" w:hAnsi="Arial" w:cs="Arial"/>
        </w:rPr>
        <w:fldChar w:fldCharType="begin"/>
      </w:r>
      <w:r w:rsidRPr="00DE6484">
        <w:rPr>
          <w:rFonts w:ascii="Arial" w:hAnsi="Arial" w:cs="Arial"/>
        </w:rPr>
        <w:instrText xml:space="preserve"> ADDIN ZOTERO_ITEM CSL_CITATION {"citationID":"nee7pmX8","properties":{"formattedCitation":"(Wang et al. 2017; Pan et al. 2022)","plainCitation":"(Wang et al. 2017; Pan et al. 2022)","noteIndex":0},"citationItems":[{"id":478,"uris":["http://zotero.org/users/18768689/items/FF6259CY"],"itemData":{"id":478,"type":"article-journal","container-title":"Langmuir","DOI":"10.1021/acs.langmuir.7b00095","ISSN":"0743-7463, 1520-5827","issue":"12","journalAbbreviation":"Langmuir","language":"en","page":"3112-3122","source":"DOI.org (Crossref)","title":"Evolution of Phosphorus-Containing Groups on Activated Carbons during Heat Treatment","volume":"33","author":[{"family":"Wang","given":"Yongfang"},{"family":"Zuo","given":"Songlin"},{"family":"Yang","given":"Jianxiao"},{"family":"Yoon","given":"Seong-Ho"}],"issued":{"date-parts":[["2017",3,28]]}}},{"id":479,"uris":["http://zotero.org/users/18768689/items/GADZYINA"],"itemData":{"id":479,"type":"article-journal","container-title":"Environmental Science and Pollution Research","DOI":"10.1007/s11356-021-17335-3","ISSN":"0944-1344, 1614-7499","issue":"19","journalAbbreviation":"Environ Sci Pollut Res","language":"en","page":"28984-28994","source":"DOI.org (Crossref)","title":"Design of nitrogen-phosphorus-doped biochar and its lead adsorption performance","volume":"29","author":[{"family":"Pan","given":"Jing"},{"family":"Deng","given":"Haowang"},{"family":"Du","given":"Ziyan"},{"family":"Tian","given":"Ke"},{"family":"Zhang","given":"Junfeng"}],"issued":{"date-parts":[["2022",4]]}}}],"schema":"https://github.com/citation-style-language/schema/raw/master/csl-citation.json"} </w:instrText>
      </w:r>
      <w:r w:rsidRPr="00DE6484">
        <w:rPr>
          <w:rFonts w:ascii="Arial" w:hAnsi="Arial" w:cs="Arial"/>
        </w:rPr>
        <w:fldChar w:fldCharType="separate"/>
      </w:r>
      <w:r w:rsidRPr="00DE6484">
        <w:rPr>
          <w:rFonts w:ascii="Arial" w:hAnsi="Arial" w:cs="Arial"/>
        </w:rPr>
        <w:t>(Wang et al. 2017; Pan et al. 2022)</w:t>
      </w:r>
      <w:r w:rsidRPr="00DE6484">
        <w:rPr>
          <w:rFonts w:ascii="Arial" w:hAnsi="Arial" w:cs="Arial"/>
        </w:rPr>
        <w:fldChar w:fldCharType="end"/>
      </w:r>
      <w:r w:rsidRPr="00DE6484">
        <w:rPr>
          <w:rFonts w:ascii="Arial" w:hAnsi="Arial" w:cs="Arial"/>
        </w:rPr>
        <w:t>.</w:t>
      </w:r>
    </w:p>
    <w:p w14:paraId="0A0C5296" w14:textId="77777777" w:rsidR="00DE6484" w:rsidRDefault="00DE6484" w:rsidP="00DE6484">
      <w:pPr>
        <w:jc w:val="both"/>
        <w:rPr>
          <w:rFonts w:ascii="Arial" w:hAnsi="Arial" w:cs="Arial"/>
        </w:rPr>
      </w:pPr>
      <w:r w:rsidRPr="00DE6484">
        <w:rPr>
          <w:rFonts w:ascii="Arial" w:hAnsi="Arial" w:cs="Arial"/>
        </w:rPr>
        <w:t>The SEM micrographs of the activated carbon (Figure 4) highlight a pronounced morphological transformation characterized by the emergence of numerous cavities, cracks, and interconnected pores, giving the material a heterogeneous and porous structure.</w:t>
      </w:r>
    </w:p>
    <w:p w14:paraId="13736390" w14:textId="77777777" w:rsidR="00DE6484" w:rsidRPr="00DE6484" w:rsidRDefault="00DE6484" w:rsidP="00DE6484">
      <w:pPr>
        <w:jc w:val="both"/>
        <w:rPr>
          <w:rFonts w:ascii="Arial" w:hAnsi="Arial" w:cs="Arial"/>
        </w:rPr>
      </w:pPr>
    </w:p>
    <w:p w14:paraId="463AB841" w14:textId="77777777" w:rsidR="00DE6484" w:rsidRDefault="00DE6484" w:rsidP="00DE6484">
      <w:pPr>
        <w:jc w:val="both"/>
        <w:rPr>
          <w:rFonts w:ascii="Arial" w:hAnsi="Arial" w:cs="Arial"/>
          <w:iCs/>
        </w:rPr>
      </w:pPr>
      <w:r w:rsidRPr="00DE6484">
        <w:rPr>
          <w:rFonts w:ascii="Arial" w:hAnsi="Arial" w:cs="Arial"/>
          <w:iCs/>
          <w:noProof/>
          <w:lang w:val="fr-FR"/>
        </w:rPr>
        <w:lastRenderedPageBreak/>
        <mc:AlternateContent>
          <mc:Choice Requires="wps">
            <w:drawing>
              <wp:anchor distT="0" distB="0" distL="114300" distR="114300" simplePos="0" relativeHeight="251660288" behindDoc="0" locked="0" layoutInCell="1" allowOverlap="1" wp14:anchorId="12867836" wp14:editId="5F2F481C">
                <wp:simplePos x="0" y="0"/>
                <wp:positionH relativeFrom="column">
                  <wp:posOffset>1760855</wp:posOffset>
                </wp:positionH>
                <wp:positionV relativeFrom="paragraph">
                  <wp:posOffset>2513330</wp:posOffset>
                </wp:positionV>
                <wp:extent cx="781050" cy="412750"/>
                <wp:effectExtent l="0" t="0" r="0" b="6350"/>
                <wp:wrapNone/>
                <wp:docPr id="1373972194" name="Zone de texte 1"/>
                <wp:cNvGraphicFramePr/>
                <a:graphic xmlns:a="http://schemas.openxmlformats.org/drawingml/2006/main">
                  <a:graphicData uri="http://schemas.microsoft.com/office/word/2010/wordprocessingShape">
                    <wps:wsp>
                      <wps:cNvSpPr txBox="1"/>
                      <wps:spPr>
                        <a:xfrm>
                          <a:off x="0" y="0"/>
                          <a:ext cx="781050" cy="412750"/>
                        </a:xfrm>
                        <a:prstGeom prst="rect">
                          <a:avLst/>
                        </a:prstGeom>
                        <a:noFill/>
                        <a:ln w="6350">
                          <a:noFill/>
                        </a:ln>
                      </wps:spPr>
                      <wps:txbx>
                        <w:txbxContent>
                          <w:p w14:paraId="522BE851" w14:textId="77777777" w:rsidR="00DE6484" w:rsidRPr="00CF7A60" w:rsidRDefault="00DE6484" w:rsidP="00DE6484">
                            <w:pPr>
                              <w:rPr>
                                <w:rFonts w:ascii="Times New Roman" w:hAnsi="Times New Roman"/>
                                <w:b/>
                                <w:bCs/>
                                <w:color w:val="00B0F0"/>
                                <w:sz w:val="28"/>
                                <w:szCs w:val="28"/>
                              </w:rPr>
                            </w:pPr>
                            <w:r w:rsidRPr="00CF7A60">
                              <w:rPr>
                                <w:rFonts w:ascii="Times New Roman" w:hAnsi="Times New Roman"/>
                                <w:b/>
                                <w:bCs/>
                                <w:color w:val="00B0F0"/>
                                <w:sz w:val="28"/>
                                <w:szCs w:val="28"/>
                              </w:rPr>
                              <w:t xml:space="preserve">Fig </w:t>
                            </w:r>
                            <w:r>
                              <w:rPr>
                                <w:rFonts w:ascii="Times New Roman" w:hAnsi="Times New Roman"/>
                                <w:b/>
                                <w:bCs/>
                                <w:color w:val="00B0F0"/>
                                <w:sz w:val="28"/>
                                <w:szCs w:val="28"/>
                              </w:rPr>
                              <w:t>4.b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867836" id="_x0000_t202" coordsize="21600,21600" o:spt="202" path="m,l,21600r21600,l21600,xe">
                <v:stroke joinstyle="miter"/>
                <v:path gradientshapeok="t" o:connecttype="rect"/>
              </v:shapetype>
              <v:shape id="Zone de texte 1" o:spid="_x0000_s1026" type="#_x0000_t202" style="position:absolute;left:0;text-align:left;margin-left:138.65pt;margin-top:197.9pt;width:61.5pt;height: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" filled="f" stroked="f" strokeweight=".5pt">
                <v:textbox>
                  <w:txbxContent>
                    <w:p w14:paraId="522BE851" w14:textId="77777777" w:rsidR="00DE6484" w:rsidRPr="00CF7A60" w:rsidRDefault="00DE6484" w:rsidP="00DE6484">
                      <w:pPr>
                        <w:rPr>
                          <w:rFonts w:ascii="Times New Roman" w:hAnsi="Times New Roman"/>
                          <w:b/>
                          <w:bCs/>
                          <w:color w:val="00B0F0"/>
                          <w:sz w:val="28"/>
                          <w:szCs w:val="28"/>
                        </w:rPr>
                      </w:pPr>
                      <w:r w:rsidRPr="00CF7A60">
                        <w:rPr>
                          <w:rFonts w:ascii="Times New Roman" w:hAnsi="Times New Roman"/>
                          <w:b/>
                          <w:bCs/>
                          <w:color w:val="00B0F0"/>
                          <w:sz w:val="28"/>
                          <w:szCs w:val="28"/>
                        </w:rPr>
                        <w:t xml:space="preserve">Fig </w:t>
                      </w:r>
                      <w:r>
                        <w:rPr>
                          <w:rFonts w:ascii="Times New Roman" w:hAnsi="Times New Roman"/>
                          <w:b/>
                          <w:bCs/>
                          <w:color w:val="00B0F0"/>
                          <w:sz w:val="28"/>
                          <w:szCs w:val="28"/>
                        </w:rPr>
                        <w:t>4.b</w:t>
                      </w:r>
                    </w:p>
                  </w:txbxContent>
                </v:textbox>
              </v:shape>
            </w:pict>
          </mc:Fallback>
        </mc:AlternateContent>
      </w:r>
      <w:r w:rsidRPr="00DE6484">
        <w:rPr>
          <w:rFonts w:ascii="Arial" w:hAnsi="Arial" w:cs="Arial"/>
          <w:iCs/>
          <w:noProof/>
          <w:lang w:val="fr-FR"/>
        </w:rPr>
        <mc:AlternateContent>
          <mc:Choice Requires="wps">
            <w:drawing>
              <wp:anchor distT="0" distB="0" distL="114300" distR="114300" simplePos="0" relativeHeight="251659264" behindDoc="0" locked="0" layoutInCell="1" allowOverlap="1" wp14:anchorId="637ECF48" wp14:editId="12E2FB6A">
                <wp:simplePos x="0" y="0"/>
                <wp:positionH relativeFrom="column">
                  <wp:posOffset>1716405</wp:posOffset>
                </wp:positionH>
                <wp:positionV relativeFrom="paragraph">
                  <wp:posOffset>1475105</wp:posOffset>
                </wp:positionV>
                <wp:extent cx="850900" cy="279400"/>
                <wp:effectExtent l="0" t="0" r="0" b="6350"/>
                <wp:wrapNone/>
                <wp:docPr id="657174780" name="Zone de texte 1"/>
                <wp:cNvGraphicFramePr/>
                <a:graphic xmlns:a="http://schemas.openxmlformats.org/drawingml/2006/main">
                  <a:graphicData uri="http://schemas.microsoft.com/office/word/2010/wordprocessingShape">
                    <wps:wsp>
                      <wps:cNvSpPr txBox="1"/>
                      <wps:spPr>
                        <a:xfrm>
                          <a:off x="0" y="0"/>
                          <a:ext cx="850900" cy="279400"/>
                        </a:xfrm>
                        <a:prstGeom prst="rect">
                          <a:avLst/>
                        </a:prstGeom>
                        <a:noFill/>
                        <a:ln w="6350">
                          <a:noFill/>
                        </a:ln>
                      </wps:spPr>
                      <wps:txbx>
                        <w:txbxContent>
                          <w:p w14:paraId="31CD189B" w14:textId="77777777" w:rsidR="00DE6484" w:rsidRPr="00CF7A60" w:rsidRDefault="00DE6484" w:rsidP="00DE6484">
                            <w:pPr>
                              <w:rPr>
                                <w:rFonts w:ascii="Times New Roman" w:hAnsi="Times New Roman"/>
                                <w:b/>
                                <w:bCs/>
                                <w:color w:val="00B0F0"/>
                                <w:sz w:val="28"/>
                                <w:szCs w:val="28"/>
                              </w:rPr>
                            </w:pPr>
                            <w:r w:rsidRPr="00CF7A60">
                              <w:rPr>
                                <w:rFonts w:ascii="Times New Roman" w:hAnsi="Times New Roman"/>
                                <w:b/>
                                <w:bCs/>
                                <w:color w:val="00B0F0"/>
                                <w:sz w:val="28"/>
                                <w:szCs w:val="28"/>
                              </w:rPr>
                              <w:t xml:space="preserve">Fig </w:t>
                            </w:r>
                            <w:r>
                              <w:rPr>
                                <w:rFonts w:ascii="Times New Roman" w:hAnsi="Times New Roman"/>
                                <w:b/>
                                <w:bCs/>
                                <w:color w:val="00B0F0"/>
                                <w:sz w:val="28"/>
                                <w:szCs w:val="28"/>
                              </w:rPr>
                              <w:t>4.</w:t>
                            </w:r>
                            <w:r w:rsidRPr="00CF7A60">
                              <w:rPr>
                                <w:rFonts w:ascii="Times New Roman" w:hAnsi="Times New Roman"/>
                                <w:b/>
                                <w:bCs/>
                                <w:color w:val="00B0F0"/>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ECF48" id="_x0000_s1027" type="#_x0000_t202" style="position:absolute;left:0;text-align:left;margin-left:135.15pt;margin-top:116.15pt;width:67pt;height: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" filled="f" stroked="f" strokeweight=".5pt">
                <v:textbox>
                  <w:txbxContent>
                    <w:p w14:paraId="31CD189B" w14:textId="77777777" w:rsidR="00DE6484" w:rsidRPr="00CF7A60" w:rsidRDefault="00DE6484" w:rsidP="00DE6484">
                      <w:pPr>
                        <w:rPr>
                          <w:rFonts w:ascii="Times New Roman" w:hAnsi="Times New Roman"/>
                          <w:b/>
                          <w:bCs/>
                          <w:color w:val="00B0F0"/>
                          <w:sz w:val="28"/>
                          <w:szCs w:val="28"/>
                        </w:rPr>
                      </w:pPr>
                      <w:r w:rsidRPr="00CF7A60">
                        <w:rPr>
                          <w:rFonts w:ascii="Times New Roman" w:hAnsi="Times New Roman"/>
                          <w:b/>
                          <w:bCs/>
                          <w:color w:val="00B0F0"/>
                          <w:sz w:val="28"/>
                          <w:szCs w:val="28"/>
                        </w:rPr>
                        <w:t xml:space="preserve">Fig </w:t>
                      </w:r>
                      <w:r>
                        <w:rPr>
                          <w:rFonts w:ascii="Times New Roman" w:hAnsi="Times New Roman"/>
                          <w:b/>
                          <w:bCs/>
                          <w:color w:val="00B0F0"/>
                          <w:sz w:val="28"/>
                          <w:szCs w:val="28"/>
                        </w:rPr>
                        <w:t>4.</w:t>
                      </w:r>
                      <w:r w:rsidRPr="00CF7A60">
                        <w:rPr>
                          <w:rFonts w:ascii="Times New Roman" w:hAnsi="Times New Roman"/>
                          <w:b/>
                          <w:bCs/>
                          <w:color w:val="00B0F0"/>
                          <w:sz w:val="28"/>
                          <w:szCs w:val="28"/>
                        </w:rPr>
                        <w:t>a</w:t>
                      </w:r>
                    </w:p>
                  </w:txbxContent>
                </v:textbox>
              </v:shape>
            </w:pict>
          </mc:Fallback>
        </mc:AlternateContent>
      </w:r>
      <w:r w:rsidRPr="00DE6484">
        <w:rPr>
          <w:rFonts w:ascii="Arial" w:hAnsi="Arial" w:cs="Arial"/>
          <w:iCs/>
          <w:noProof/>
          <w:lang w:val="fr-FR"/>
        </w:rPr>
        <w:drawing>
          <wp:inline distT="0" distB="0" distL="0" distR="0" wp14:anchorId="28D3C775" wp14:editId="5F97A4F3">
            <wp:extent cx="2692400" cy="2019300"/>
            <wp:effectExtent l="0" t="0" r="0" b="0"/>
            <wp:docPr id="62054714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5081" cy="2021311"/>
                    </a:xfrm>
                    <a:prstGeom prst="rect">
                      <a:avLst/>
                    </a:prstGeom>
                    <a:noFill/>
                    <a:ln>
                      <a:noFill/>
                    </a:ln>
                  </pic:spPr>
                </pic:pic>
              </a:graphicData>
            </a:graphic>
          </wp:inline>
        </w:drawing>
      </w:r>
      <w:r w:rsidRPr="00DE6484">
        <w:rPr>
          <w:rFonts w:ascii="Arial" w:hAnsi="Arial" w:cs="Arial"/>
          <w:iCs/>
        </w:rPr>
        <w:t xml:space="preserve">    </w:t>
      </w:r>
      <w:r w:rsidRPr="00DE6484">
        <w:rPr>
          <w:rFonts w:ascii="Arial" w:hAnsi="Arial" w:cs="Arial"/>
          <w:iCs/>
          <w:noProof/>
          <w:lang w:val="fr-FR"/>
        </w:rPr>
        <w:drawing>
          <wp:inline distT="0" distB="0" distL="0" distR="0" wp14:anchorId="579FE920" wp14:editId="2CBF4B37">
            <wp:extent cx="2675467" cy="2006600"/>
            <wp:effectExtent l="0" t="0" r="0" b="0"/>
            <wp:docPr id="24876966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2890" cy="2012167"/>
                    </a:xfrm>
                    <a:prstGeom prst="rect">
                      <a:avLst/>
                    </a:prstGeom>
                    <a:noFill/>
                    <a:ln>
                      <a:noFill/>
                    </a:ln>
                  </pic:spPr>
                </pic:pic>
              </a:graphicData>
            </a:graphic>
          </wp:inline>
        </w:drawing>
      </w:r>
      <w:r w:rsidRPr="00DE6484">
        <w:rPr>
          <w:rFonts w:ascii="Arial" w:hAnsi="Arial" w:cs="Arial"/>
          <w:iCs/>
        </w:rPr>
        <w:t xml:space="preserve">  </w:t>
      </w:r>
    </w:p>
    <w:p w14:paraId="15C8EFA7" w14:textId="3F47F2CF" w:rsidR="00DE6484" w:rsidRPr="00DE6484" w:rsidRDefault="00DE6484" w:rsidP="00DE6484">
      <w:pPr>
        <w:jc w:val="both"/>
        <w:rPr>
          <w:rFonts w:ascii="Arial" w:hAnsi="Arial" w:cs="Arial"/>
          <w:iCs/>
        </w:rPr>
      </w:pPr>
      <w:r w:rsidRPr="00DE6484">
        <w:rPr>
          <w:rFonts w:ascii="Arial" w:hAnsi="Arial" w:cs="Arial"/>
          <w:iCs/>
        </w:rPr>
        <w:t xml:space="preserve"> </w:t>
      </w:r>
    </w:p>
    <w:p w14:paraId="589EA51F" w14:textId="77777777" w:rsidR="00DE6484" w:rsidRDefault="00DE6484" w:rsidP="00DE6484">
      <w:pPr>
        <w:jc w:val="both"/>
        <w:rPr>
          <w:rFonts w:ascii="Arial" w:hAnsi="Arial" w:cs="Arial"/>
        </w:rPr>
      </w:pPr>
      <w:r w:rsidRPr="00DE6484">
        <w:rPr>
          <w:rFonts w:ascii="Arial" w:hAnsi="Arial" w:cs="Arial"/>
          <w:b/>
          <w:bCs/>
        </w:rPr>
        <w:t>Figure 4 (a, b):</w:t>
      </w:r>
      <w:r w:rsidRPr="00DE6484">
        <w:rPr>
          <w:rFonts w:ascii="Arial" w:hAnsi="Arial" w:cs="Arial"/>
        </w:rPr>
        <w:t xml:space="preserve"> SEM micrograph of activated carbon showing hierarchical porosity (micropores, mesopores, and macropores)</w:t>
      </w:r>
    </w:p>
    <w:p w14:paraId="022A9BAB" w14:textId="77777777" w:rsidR="00DE6484" w:rsidRPr="00DE6484" w:rsidRDefault="00DE6484" w:rsidP="00DE6484">
      <w:pPr>
        <w:jc w:val="both"/>
        <w:rPr>
          <w:rFonts w:ascii="Arial" w:hAnsi="Arial" w:cs="Arial"/>
        </w:rPr>
      </w:pPr>
    </w:p>
    <w:p w14:paraId="59316CBA" w14:textId="77777777" w:rsidR="00DE6484" w:rsidRPr="00DE6484" w:rsidRDefault="00DE6484" w:rsidP="00DE6484">
      <w:pPr>
        <w:jc w:val="both"/>
        <w:rPr>
          <w:rFonts w:ascii="Arial" w:hAnsi="Arial" w:cs="Arial"/>
        </w:rPr>
      </w:pPr>
      <w:r w:rsidRPr="00DE6484">
        <w:rPr>
          <w:rFonts w:ascii="Arial" w:hAnsi="Arial" w:cs="Arial"/>
        </w:rPr>
        <w:t xml:space="preserve">The SEM micrographs confirm the structural transformations occurring on the surface of the activated carbons: the surface is rough, cracked, and porous. This morphology is characteristic of the action of phosphoric acid, which induces dehydration and the formation of internal channels within the carbon matrix </w:t>
      </w:r>
      <w:r w:rsidRPr="00DE6484">
        <w:rPr>
          <w:rFonts w:ascii="Arial" w:hAnsi="Arial" w:cs="Arial"/>
        </w:rPr>
        <w:fldChar w:fldCharType="begin"/>
      </w:r>
      <w:r w:rsidRPr="00DE6484">
        <w:rPr>
          <w:rFonts w:ascii="Arial" w:hAnsi="Arial" w:cs="Arial"/>
        </w:rPr>
        <w:instrText xml:space="preserve"> ADDIN ZOTERO_ITEM CSL_CITATION {"citationID":"EkuQvlYI","properties":{"formattedCitation":"(Yakout et Sharaf El-Deen 2016)","plainCitation":"(Yakout et Sharaf El-Deen 2016)","noteIndex":0},"citationItems":[{"id":467,"uris":["http://zotero.org/users/18768689/items/SVG8JFPK"],"itemData":{"id":467,"type":"article-journal","container-title":"Arabian Journal of Chemistry","DOI":"10.1016/j.arabjc.2011.12.002","ISSN":"18785352","journalAbbreviation":"Arabian Journal of Chemistry","language":"en","page":"S1155-S1162","source":"DOI.org (Crossref)","title":"Characterization of activated carbon prepared by phosphoric acid activation of olive stones","volume":"9","author":[{"family":"Yakout","given":"S.M."},{"family":"Sharaf El-Deen","given":"G."}],"issued":{"date-parts":[["2016",11]]}}}],"schema":"https://github.com/citation-style-language/schema/raw/master/csl-citation.json"} </w:instrText>
      </w:r>
      <w:r w:rsidRPr="00DE6484">
        <w:rPr>
          <w:rFonts w:ascii="Arial" w:hAnsi="Arial" w:cs="Arial"/>
        </w:rPr>
        <w:fldChar w:fldCharType="separate"/>
      </w:r>
      <w:r w:rsidRPr="00DE6484">
        <w:rPr>
          <w:rFonts w:ascii="Arial" w:hAnsi="Arial" w:cs="Arial"/>
        </w:rPr>
        <w:t>(Yakout et Sharaf El-Deen 2016)</w:t>
      </w:r>
      <w:r w:rsidRPr="00DE6484">
        <w:rPr>
          <w:rFonts w:ascii="Arial" w:hAnsi="Arial" w:cs="Arial"/>
        </w:rPr>
        <w:fldChar w:fldCharType="end"/>
      </w:r>
      <w:r w:rsidRPr="00DE6484">
        <w:rPr>
          <w:rFonts w:ascii="Arial" w:hAnsi="Arial" w:cs="Arial"/>
        </w:rPr>
        <w:t>. The persistent presence of silica and calcium, even at trace levels, may also influence surface reactivity, as several authors have reported that these elements can compete with cations such as Pb²</w:t>
      </w:r>
      <w:r w:rsidRPr="00DE6484">
        <w:rPr>
          <w:rFonts w:ascii="Cambria Math" w:hAnsi="Cambria Math" w:cs="Cambria Math"/>
        </w:rPr>
        <w:t>⁺</w:t>
      </w:r>
      <w:r w:rsidRPr="00DE6484">
        <w:rPr>
          <w:rFonts w:ascii="Arial" w:hAnsi="Arial" w:cs="Arial"/>
        </w:rPr>
        <w:t xml:space="preserve"> or interact with oxyanions such as AsO</w:t>
      </w:r>
      <w:r w:rsidRPr="00DE6484">
        <w:rPr>
          <w:rFonts w:ascii="Cambria Math" w:hAnsi="Cambria Math" w:cs="Cambria Math"/>
        </w:rPr>
        <w:t>₄</w:t>
      </w:r>
      <w:r w:rsidRPr="00DE6484">
        <w:rPr>
          <w:rFonts w:ascii="Arial" w:hAnsi="Arial" w:cs="Arial"/>
        </w:rPr>
        <w:t>³</w:t>
      </w:r>
      <w:r w:rsidRPr="00DE6484">
        <w:rPr>
          <w:rFonts w:ascii="Cambria Math" w:hAnsi="Cambria Math" w:cs="Cambria Math"/>
        </w:rPr>
        <w:t>⁻</w:t>
      </w:r>
      <w:r w:rsidRPr="00DE6484">
        <w:rPr>
          <w:rFonts w:ascii="Arial" w:hAnsi="Arial" w:cs="Arial"/>
        </w:rPr>
        <w:t xml:space="preserve"> </w:t>
      </w:r>
      <w:r w:rsidRPr="00DE6484">
        <w:rPr>
          <w:rFonts w:ascii="Arial" w:hAnsi="Arial" w:cs="Arial"/>
        </w:rPr>
        <w:fldChar w:fldCharType="begin"/>
      </w:r>
      <w:r w:rsidRPr="00DE6484">
        <w:rPr>
          <w:rFonts w:ascii="Arial" w:hAnsi="Arial" w:cs="Arial"/>
        </w:rPr>
        <w:instrText xml:space="preserve"> ADDIN ZOTERO_ITEM CSL_CITATION {"citationID":"6TEQLMB9","properties":{"formattedCitation":"(Mitra et al. 2019)","plainCitation":"(Mitra et al. 2019)","noteIndex":0},"citationItems":[{"id":482,"uris":["http://zotero.org/users/18768689/items/3EE6MN2I"],"itemData":{"id":482,"type":"article-journal","container-title":"SN Applied Sciences","DOI":"10.1007/s42452-019-0513-5","ISSN":"2523-3963, 2523-3971","issue":"5","journalAbbreviation":"SN Appl. Sci.","language":"en","page":"486","source":"DOI.org (Crossref)","title":"Rice husk: green adsorbent for Pb(II) and Cr(VI) removal from aqueous solution—column study and GA–NN modeling","title-short":"Rice husk","volume":"1","author":[{"family":"Mitra","given":"Tania"},{"family":"Bar","given":"Nirjhar"},{"family":"Das","given":"Sudip Kumar"}],"issued":{"date-parts":[["2019",5]]}}}],"schema":"https://github.com/citation-style-language/schema/raw/master/csl-citation.json"} </w:instrText>
      </w:r>
      <w:r w:rsidRPr="00DE6484">
        <w:rPr>
          <w:rFonts w:ascii="Arial" w:hAnsi="Arial" w:cs="Arial"/>
        </w:rPr>
        <w:fldChar w:fldCharType="separate"/>
      </w:r>
      <w:r w:rsidRPr="00DE6484">
        <w:rPr>
          <w:rFonts w:ascii="Arial" w:hAnsi="Arial" w:cs="Arial"/>
        </w:rPr>
        <w:t>(Mitra et al. 2019)</w:t>
      </w:r>
      <w:r w:rsidRPr="00DE6484">
        <w:rPr>
          <w:rFonts w:ascii="Arial" w:hAnsi="Arial" w:cs="Arial"/>
        </w:rPr>
        <w:fldChar w:fldCharType="end"/>
      </w:r>
      <w:r w:rsidRPr="00DE6484">
        <w:rPr>
          <w:rFonts w:ascii="Arial" w:hAnsi="Arial" w:cs="Arial"/>
        </w:rPr>
        <w:t>.</w:t>
      </w:r>
    </w:p>
    <w:p w14:paraId="58250CF0" w14:textId="77777777" w:rsidR="00DE6484" w:rsidRPr="00DE6484" w:rsidRDefault="00DE6484" w:rsidP="00DE6484">
      <w:pPr>
        <w:jc w:val="both"/>
        <w:rPr>
          <w:rFonts w:ascii="Arial" w:hAnsi="Arial" w:cs="Arial"/>
        </w:rPr>
      </w:pPr>
      <w:r w:rsidRPr="00DE6484">
        <w:rPr>
          <w:rFonts w:ascii="Arial" w:hAnsi="Arial" w:cs="Arial"/>
        </w:rPr>
        <w:t xml:space="preserve">With regard to porosity, the SEM micrographs of the activated carbon reveal the coexistence of micropores (&lt; 2 nm), mesopores (2–50 nm), and macropores (&gt; 50 nm). Micropores contribute to increasing the specific surface area and provide a high adsorption capacity for small molecules such as arsenic. Mesopores facilitate the diffusion and accessibility of larger ions, particularly lead. Finally, macropores act as transport channels, allowing improved fluid circulation through the adsorbent bed </w:t>
      </w:r>
      <w:r w:rsidRPr="00DE6484">
        <w:rPr>
          <w:rFonts w:ascii="Arial" w:hAnsi="Arial" w:cs="Arial"/>
        </w:rPr>
        <w:fldChar w:fldCharType="begin"/>
      </w:r>
      <w:r w:rsidRPr="00DE6484">
        <w:rPr>
          <w:rFonts w:ascii="Arial" w:hAnsi="Arial" w:cs="Arial"/>
        </w:rPr>
        <w:instrText xml:space="preserve"> ADDIN ZOTERO_ITEM CSL_CITATION {"citationID":"5MqthchO","properties":{"formattedCitation":"(Liou 2010; \\uc0\\u171{}\\uc0\\u160{}Activated Carbon - Marsh, Harry; Rodr\\uc0\\u237{}guez Reinoso, Francisco\\uc0\\u160{}\\uc0\\u187{}, s.\\uc0\\u160{}d.)","plainCitation":"(Liou 2010; « Activated Carbon - Marsh, Harry; Rodríguez Reinoso, Francisco », s. d.)","dontUpdate":true,"noteIndex":0},"citationItems":[{"id":454,"uris":["http://zotero.org/users/18768689/items/BQZP9NJ9"],"itemData":{"id":454,"type":"article-journal","container-title":"Chemical Engineering Journal","DOI":"10.1016/j.cej.2009.12.016","ISSN":"13858947","issue":"2","journalAbbreviation":"Chemical Engineering Journal","language":"en","page":"129-142","source":"DOI.org (Crossref)","title":"Development of mesoporous structure and high adsorption capacity of biomass-based activated carbon by phosphoric acid and zinc chloride activation","volume":"158","author":[{"family":"Liou","given":"Tzong-Horng"}],"issued":{"date-parts":[["2010",4]]}}},{"id":187,"uris":["http://zotero.org/users/18768689/items/JWTSX5KN"],"itemData":{"id":187,"type":"webpage","abstract":"Recent years have seen an expansion in speciality uses of activated carbons including medicine, filtration, and the purification of liquids and gaseous media. Much of current research and information surrounding the nature and use of activated carbon is scattered throughout various literature, ...","language":"en","title":"Activated Carbon - Marsh, Harry; Rodríguez Reinoso, Francisco: 9780080444635 - AbeBooks","title-short":"Activated Carbon - Marsh, Harry; Rodríguez Reinoso, Francisco","URL":"https://www.abebooks.com/9780080444635/Activated-Carbon-Marsh-Harry-Rodr%C3%ADguez-0080444636/plp","accessed":{"date-parts":[["2025",11,8]]}}}],"schema":"https://github.com/citation-style-language/schema/raw/master/csl-citation.json"} </w:instrText>
      </w:r>
      <w:r w:rsidRPr="00DE6484">
        <w:rPr>
          <w:rFonts w:ascii="Arial" w:hAnsi="Arial" w:cs="Arial"/>
        </w:rPr>
        <w:fldChar w:fldCharType="separate"/>
      </w:r>
      <w:r w:rsidRPr="00DE6484">
        <w:rPr>
          <w:rFonts w:ascii="Arial" w:hAnsi="Arial" w:cs="Arial"/>
        </w:rPr>
        <w:t>(Liou 2010; Marsh, Harry; Rodríguez Reinoso, Francisco, 2006)</w:t>
      </w:r>
      <w:r w:rsidRPr="00DE6484">
        <w:rPr>
          <w:rFonts w:ascii="Arial" w:hAnsi="Arial" w:cs="Arial"/>
        </w:rPr>
        <w:fldChar w:fldCharType="end"/>
      </w:r>
      <w:r w:rsidRPr="00DE6484">
        <w:rPr>
          <w:rFonts w:ascii="Arial" w:hAnsi="Arial" w:cs="Arial"/>
        </w:rPr>
        <w:t>. This hierarchical porosity endows the activated material with dual efficiency: rapid adsorption kinetics due to the meso/macropores and high adsorption capacity resulting from the micropores.</w:t>
      </w:r>
    </w:p>
    <w:p w14:paraId="206E2636" w14:textId="77777777" w:rsidR="00DE6484" w:rsidRPr="00DE6484" w:rsidRDefault="00DE6484" w:rsidP="00DE6484">
      <w:pPr>
        <w:jc w:val="both"/>
        <w:rPr>
          <w:rFonts w:ascii="Arial" w:hAnsi="Arial" w:cs="Arial"/>
        </w:rPr>
      </w:pPr>
      <w:r w:rsidRPr="00DE6484">
        <w:rPr>
          <w:rFonts w:ascii="Arial" w:hAnsi="Arial" w:cs="Arial"/>
        </w:rPr>
        <w:t>These results therefore confirm that impregnation and activation with H</w:t>
      </w:r>
      <w:r w:rsidRPr="00DE6484">
        <w:rPr>
          <w:rFonts w:ascii="Arial" w:hAnsi="Arial" w:cs="Arial"/>
          <w:vertAlign w:val="subscript"/>
        </w:rPr>
        <w:t>3</w:t>
      </w:r>
      <w:r w:rsidRPr="00DE6484">
        <w:rPr>
          <w:rFonts w:ascii="Arial" w:hAnsi="Arial" w:cs="Arial"/>
        </w:rPr>
        <w:t>PO</w:t>
      </w:r>
      <w:r w:rsidRPr="00DE6484">
        <w:rPr>
          <w:rFonts w:ascii="Arial" w:hAnsi="Arial" w:cs="Arial"/>
          <w:vertAlign w:val="subscript"/>
        </w:rPr>
        <w:t>4</w:t>
      </w:r>
      <w:r w:rsidRPr="00DE6484">
        <w:rPr>
          <w:rFonts w:ascii="Arial" w:hAnsi="Arial" w:cs="Arial"/>
        </w:rPr>
        <w:t xml:space="preserve"> profoundly transform the chemical and morphological structure of the material, making the activated carbon more porous, richer in phosphate-containing sites, and better suited for the adsorption of metal pollutants and metal–oxyanion species.</w:t>
      </w:r>
    </w:p>
    <w:p w14:paraId="3CBCA2FC" w14:textId="77777777" w:rsidR="00DE6484" w:rsidRPr="00DE6484" w:rsidRDefault="00DE6484" w:rsidP="00DE6484">
      <w:pPr>
        <w:jc w:val="both"/>
        <w:rPr>
          <w:rFonts w:ascii="Arial" w:hAnsi="Arial" w:cs="Arial"/>
        </w:rPr>
      </w:pPr>
      <w:r w:rsidRPr="00DE6484">
        <w:rPr>
          <w:rFonts w:ascii="Arial" w:hAnsi="Arial" w:cs="Arial"/>
        </w:rPr>
        <w:t xml:space="preserve">With regard to porosity, the SEM micrographs of the activated carbon show the coexistence of micropores (&lt; 2 nm), mesopores (2–50 nm), and macropores (&gt; 50 nm). Micropores </w:t>
      </w:r>
      <w:r w:rsidRPr="00DE6484">
        <w:rPr>
          <w:rFonts w:ascii="Arial" w:hAnsi="Arial" w:cs="Arial"/>
        </w:rPr>
        <w:lastRenderedPageBreak/>
        <w:t xml:space="preserve">increase the specific surface area and enhance the adsorption capacity for small species, including methylene blue and certain metalloids such as arsenic. Mesopores facilitate intraparticle diffusion and improve accessibility for larger molecules such as methylene blue, as well as for heavy ions such as lead. Macropores act as transport channels, improving fluid circulation within the adsorbent bed bed </w:t>
      </w:r>
      <w:r w:rsidRPr="00DE6484">
        <w:rPr>
          <w:rFonts w:ascii="Arial" w:hAnsi="Arial" w:cs="Arial"/>
        </w:rPr>
        <w:fldChar w:fldCharType="begin"/>
      </w:r>
      <w:r w:rsidRPr="00DE6484">
        <w:rPr>
          <w:rFonts w:ascii="Arial" w:hAnsi="Arial" w:cs="Arial"/>
        </w:rPr>
        <w:instrText xml:space="preserve"> ADDIN ZOTERO_ITEM CSL_CITATION {"citationID":"BzpXmimu","properties":{"formattedCitation":"(Liou 2010; \\uc0\\u171{}\\uc0\\u160{}Activated Carbon - Marsh, Harry; Rodr\\uc0\\u237{}guez Reinoso, Francisco\\uc0\\u160{}\\uc0\\u187{}, s.\\uc0\\u160{}d.)","plainCitation":"(Liou 2010; « Activated Carbon - Marsh, Harry; Rodríguez Reinoso, Francisco », s. d.)","dontUpdate":true,"noteIndex":0},"citationItems":[{"id":454,"uris":["http://zotero.org/users/18768689/items/BQZP9NJ9"],"itemData":{"id":454,"type":"article-journal","container-title":"Chemical Engineering Journal","DOI":"10.1016/j.cej.2009.12.016","ISSN":"13858947","issue":"2","journalAbbreviation":"Chemical Engineering Journal","language":"en","page":"129-142","source":"DOI.org (Crossref)","title":"Development of mesoporous structure and high adsorption capacity of biomass-based activated carbon by phosphoric acid and zinc chloride activation","volume":"158","author":[{"family":"Liou","given":"Tzong-Horng"}],"issued":{"date-parts":[["2010",4]]}}},{"id":187,"uris":["http://zotero.org/users/18768689/items/JWTSX5KN"],"itemData":{"id":187,"type":"webpage","abstract":"Recent years have seen an expansion in speciality uses of activated carbons including medicine, filtration, and the purification of liquids and gaseous media. Much of current research and information surrounding the nature and use of activated carbon is scattered throughout various literature, ...","language":"en","title":"Activated Carbon - Marsh, Harry; Rodríguez Reinoso, Francisco: 9780080444635 - AbeBooks","title-short":"Activated Carbon - Marsh, Harry; Rodríguez Reinoso, Francisco","URL":"https://www.abebooks.com/9780080444635/Activated-Carbon-Marsh-Harry-Rodr%C3%ADguez-0080444636/plp","accessed":{"date-parts":[["2025",11,8]]}}}],"schema":"https://github.com/citation-style-language/schema/raw/master/csl-citation.json"} </w:instrText>
      </w:r>
      <w:r w:rsidRPr="00DE6484">
        <w:rPr>
          <w:rFonts w:ascii="Arial" w:hAnsi="Arial" w:cs="Arial"/>
        </w:rPr>
        <w:fldChar w:fldCharType="separate"/>
      </w:r>
      <w:r w:rsidRPr="00DE6484">
        <w:rPr>
          <w:rFonts w:ascii="Arial" w:hAnsi="Arial" w:cs="Arial"/>
        </w:rPr>
        <w:t>(Liou 2010; Marsh, Harry; Rodríguez Reinoso, Francisco, 2006)</w:t>
      </w:r>
      <w:r w:rsidRPr="00DE6484">
        <w:rPr>
          <w:rFonts w:ascii="Arial" w:hAnsi="Arial" w:cs="Arial"/>
        </w:rPr>
        <w:fldChar w:fldCharType="end"/>
      </w:r>
      <w:r w:rsidRPr="00DE6484">
        <w:rPr>
          <w:rFonts w:ascii="Arial" w:hAnsi="Arial" w:cs="Arial"/>
        </w:rPr>
        <w:t>. This hierarchical porosity combines rapid adsorption kinetics—thanks to the meso/macropores—with high adsorption capacity provided by the micropores, which is particularly favorable for methylene blue removal.</w:t>
      </w:r>
    </w:p>
    <w:p w14:paraId="2BC56E52" w14:textId="23CBFF97" w:rsidR="00DE6484" w:rsidRPr="00DE6484" w:rsidRDefault="00DE6484" w:rsidP="00DE6484">
      <w:pPr>
        <w:jc w:val="both"/>
        <w:rPr>
          <w:rFonts w:ascii="Arial" w:hAnsi="Arial" w:cs="Arial"/>
        </w:rPr>
      </w:pPr>
      <w:r w:rsidRPr="00DE6484">
        <w:rPr>
          <w:rFonts w:ascii="Arial" w:hAnsi="Arial" w:cs="Arial"/>
        </w:rPr>
        <w:t>These results confirm that impregnation and activation with H</w:t>
      </w:r>
      <w:r w:rsidRPr="00DE6484">
        <w:rPr>
          <w:rFonts w:ascii="Arial" w:hAnsi="Arial" w:cs="Arial"/>
          <w:vertAlign w:val="subscript"/>
        </w:rPr>
        <w:t>3</w:t>
      </w:r>
      <w:r w:rsidRPr="00DE6484">
        <w:rPr>
          <w:rFonts w:ascii="Arial" w:hAnsi="Arial" w:cs="Arial"/>
        </w:rPr>
        <w:t>PO</w:t>
      </w:r>
      <w:r w:rsidRPr="00DE6484">
        <w:rPr>
          <w:rFonts w:ascii="Arial" w:hAnsi="Arial" w:cs="Arial"/>
          <w:vertAlign w:val="subscript"/>
        </w:rPr>
        <w:t>4</w:t>
      </w:r>
      <w:r w:rsidRPr="00DE6484">
        <w:rPr>
          <w:rFonts w:ascii="Arial" w:hAnsi="Arial" w:cs="Arial"/>
        </w:rPr>
        <w:t xml:space="preserve"> deeply transform the surface chemistry and morphology of the material, making the carbon more porous, richer in phosphate-containing sites, and better suited for the adsorption of cationic organic pollutants such as methylene blue, as well as metallic and oxyanion pollutants. The enrichment in acidic/oxygenated functionalities and phosphorus-containing groups, combined with the aromatic carbon framework, promotes electrostatic and π–π interactions with methylene blue, thereby enhancing both the kinetics and the adsorption capacity </w:t>
      </w:r>
      <w:r w:rsidRPr="00DE6484">
        <w:rPr>
          <w:rFonts w:ascii="Arial" w:hAnsi="Arial" w:cs="Arial"/>
        </w:rPr>
        <w:fldChar w:fldCharType="begin"/>
      </w:r>
      <w:r w:rsidRPr="00DE6484">
        <w:rPr>
          <w:rFonts w:ascii="Arial" w:hAnsi="Arial" w:cs="Arial"/>
        </w:rPr>
        <w:instrText xml:space="preserve"> ADDIN ZOTERO_ITEM CSL_CITATION {"citationID":"77NjrqRw","properties":{"formattedCitation":"(Alhawtali et al. 2024; Mandal et al. 2024)","plainCitation":"(Alhawtali et al. 2024; Mandal et al. 2024)","noteIndex":0},"citationItems":[{"id":459,"uris":["http://zotero.org/users/18768689/items/RN52KUS5"],"itemData":{"id":459,"type":"article-journal","abstract":"The removal of lead metals from wastewater was carried out with carbon microspheres (CMs) prepared from date palm leaflets using a hydrothermal carbonization process (HTC). The prepared CMs were subsequently activated with phosphoric acid using the incipient wetness impregnation method. The prepared sample had a low Brunauer–Emmet–Teller (BET) surface area of 2.21 m2·g−1, which increased substantially to 808 m2·g−1 after the activation process. Various characterization techniques, such as scanning electron microscopy, BET analysis, Fourier transform infrared, and elemental analysis (CHNS), were used to evaluate the morphological structure and physico-chemical properties of the CMs before and after activation. The increase in surface area is an indicator of the activation process, which enhances the absorption properties of the material. The results demonstrated that the activated CMs had a notable adsorption capacity, with a maximum adsorption capacity of 136 mg·g−1 for lead (II) ions. This finding suggests that the activated CMs are highly effective in removing lead pollutants from water. This research underscores the promise of utilizing activated carbon materials extracted from palm leaflets as an eco-friendly method with high potential for water purification, specifically in eliminating heavy metal pollutants, particularly lead (II), contributing to sustainability through biomass reuse.","container-title":"C","DOI":"10.3390/c10010026","ISSN":"2311-5629","issue":"1","journalAbbreviation":"C","language":"en","page":"26","source":"DOI.org (Crossref)","title":"Date Palm Leaflet-Derived Carbon Microspheres Activated Using Phosphoric Acid for Efficient Lead (II) Adsorption","volume":"10","author":[{"family":"Alhawtali","given":"Saeed"},{"family":"El-Harbawi","given":"Mohanad"},{"family":"El Blidi","given":"Lahssen"},{"family":"Alrashed","given":"Maher M."},{"family":"Alzobidi","given":"Abdulrahman"},{"family":"Yin","given":"Chun-Yang"}],"issued":{"date-parts":[["2024",3,12]]}}},{"id":461,"uris":["http://zotero.org/users/18768689/items/ITI7UEXN"],"itemData":{"id":461,"type":"article-journal","abstract":"The massive growth in the human population along with advancements in healthcare, have led to various active pharmaceuticals entering into the water stream, causing harmful genotoxic, mutagenic, and ecotoxicological effects on all living organisms.\n          , \n            \n              The massive growth in the human population, along with an improved healthcare system, resulted in the discharge of a large variety of active pharmaceuticals, including antibiotics, into the water stream leading to genotoxic, mutagenic, and ecotoxicological effects on plants, animals, and human. In this study, cost-effective and environmentally sustainable activated carbon adsorbents with composite pore structures have been prepared from agricultural waste materials, peanut shells and areca nut fibers, through a facile method. Phosphoric acid (H\n              3\n              PO\n              4\n              ) of two different concentrations (20% and 40%) was used for preparing the activated carbons. All the activated carbon samples showed reasonably high specific surface area (SSA) ranging between 580–780 m\n              2\n              g\n              −1\n              . The SSA of the activated carbon obtained from peanut shells was higher than those obtained from the areca nut fibers. The adsorption characteristics of the prepared activated carbons were assessed for the common active pharmaceuticals, paracetamol, amoxicillin, and aspirin, in an aqueous medium. The rate of adsorption of the activated carbon was very high, and about 90% of the paracetamol was adsorbed within 5 min of contact. The adsorption kinetics followed a pseudo-second-order kinetic model. The paracetamol adsorption capacity of the activated carbons obtained from the Langmuir adsorption isotherm (monolayer) model was 67 mg g\n              −1\n              . Regeneration and reuse of the adsorbent for the removal of paracetamol were also studied for up to 5 cycles. The present research work ensures the “3 Rs” principle [reduce (waste), reuse and recycle] of environmental sustainability.","container-title":"RSC Sustainability","DOI":"10.1039/D4SU00262H","ISSN":"2753-8125","issue":"10","journalAbbreviation":"RSC Sustainability","language":"en","page":"3022-3035","source":"DOI.org (Crossref)","title":"Activated carbon with composite pore structures made from peanut shell and areca nut fibers as sustainable adsorbent material for the efficient removal of active pharmaceuticals from aqueous media","volume":"2","author":[{"family":"Mandal","given":"Sujata"},{"family":"Stephen","given":"Dayana"},{"family":"Janardhanan","given":"Sreeram Kalarical"}],"issued":{"date-parts":[["2024"]]}}}],"schema":"https://github.com/citation-style-language/schema/raw/master/csl-citation.json"} </w:instrText>
      </w:r>
      <w:r w:rsidRPr="00DE6484">
        <w:rPr>
          <w:rFonts w:ascii="Arial" w:hAnsi="Arial" w:cs="Arial"/>
        </w:rPr>
        <w:fldChar w:fldCharType="separate"/>
      </w:r>
      <w:r w:rsidRPr="00DE6484">
        <w:rPr>
          <w:rFonts w:ascii="Arial" w:hAnsi="Arial" w:cs="Arial"/>
        </w:rPr>
        <w:t xml:space="preserve">(Alhawtali </w:t>
      </w:r>
      <w:r w:rsidR="00C035C3">
        <w:rPr>
          <w:rFonts w:ascii="Arial" w:hAnsi="Arial" w:cs="Arial"/>
        </w:rPr>
        <w:t>and</w:t>
      </w:r>
      <w:r w:rsidRPr="00DE6484">
        <w:rPr>
          <w:rFonts w:ascii="Arial" w:hAnsi="Arial" w:cs="Arial"/>
        </w:rPr>
        <w:t xml:space="preserve"> al. 2024; Mandal </w:t>
      </w:r>
      <w:r w:rsidR="00C035C3">
        <w:rPr>
          <w:rFonts w:ascii="Arial" w:hAnsi="Arial" w:cs="Arial"/>
        </w:rPr>
        <w:t>and</w:t>
      </w:r>
      <w:r w:rsidRPr="00DE6484">
        <w:rPr>
          <w:rFonts w:ascii="Arial" w:hAnsi="Arial" w:cs="Arial"/>
        </w:rPr>
        <w:t xml:space="preserve"> al. 2024)</w:t>
      </w:r>
      <w:r w:rsidRPr="00DE6484">
        <w:rPr>
          <w:rFonts w:ascii="Arial" w:hAnsi="Arial" w:cs="Arial"/>
        </w:rPr>
        <w:fldChar w:fldCharType="end"/>
      </w:r>
      <w:r w:rsidRPr="00DE6484">
        <w:rPr>
          <w:rFonts w:ascii="Arial" w:hAnsi="Arial" w:cs="Arial"/>
        </w:rPr>
        <w:t>.</w:t>
      </w:r>
    </w:p>
    <w:p w14:paraId="50261249" w14:textId="77777777" w:rsidR="00DE6484" w:rsidRPr="00DE6484" w:rsidRDefault="00DE6484" w:rsidP="00DE6484">
      <w:pPr>
        <w:jc w:val="both"/>
        <w:rPr>
          <w:rFonts w:ascii="Arial" w:hAnsi="Arial" w:cs="Arial"/>
          <w:b/>
          <w:bCs/>
          <w:sz w:val="22"/>
          <w:szCs w:val="22"/>
        </w:rPr>
      </w:pPr>
      <w:r w:rsidRPr="00DE6484">
        <w:rPr>
          <w:rFonts w:ascii="Arial" w:hAnsi="Arial" w:cs="Arial"/>
          <w:b/>
          <w:bCs/>
          <w:sz w:val="22"/>
          <w:szCs w:val="22"/>
        </w:rPr>
        <w:t>3.6. Adsorption performance assessment</w:t>
      </w:r>
    </w:p>
    <w:p w14:paraId="7FD0ED58" w14:textId="77777777" w:rsidR="00DE6484" w:rsidRPr="00DE6484" w:rsidRDefault="00DE6484" w:rsidP="00DE6484">
      <w:pPr>
        <w:jc w:val="both"/>
        <w:rPr>
          <w:rFonts w:ascii="Arial" w:hAnsi="Arial" w:cs="Arial"/>
          <w:b/>
          <w:bCs/>
        </w:rPr>
      </w:pPr>
    </w:p>
    <w:p w14:paraId="5F9853D5" w14:textId="77777777" w:rsidR="00DE6484" w:rsidRDefault="00DE6484" w:rsidP="00DE6484">
      <w:pPr>
        <w:jc w:val="both"/>
        <w:rPr>
          <w:rFonts w:ascii="Arial" w:hAnsi="Arial" w:cs="Arial"/>
          <w:b/>
          <w:bCs/>
        </w:rPr>
      </w:pPr>
      <w:r w:rsidRPr="00DE6484">
        <w:rPr>
          <w:rFonts w:ascii="Arial" w:hAnsi="Arial" w:cs="Arial"/>
          <w:b/>
          <w:bCs/>
        </w:rPr>
        <w:t>3.6.1. Thermodynamic analysis</w:t>
      </w:r>
    </w:p>
    <w:p w14:paraId="73D3DB32" w14:textId="77777777" w:rsidR="00DE6484" w:rsidRPr="00DE6484" w:rsidRDefault="00DE6484" w:rsidP="00DE6484">
      <w:pPr>
        <w:jc w:val="both"/>
        <w:rPr>
          <w:rFonts w:ascii="Arial" w:hAnsi="Arial" w:cs="Arial"/>
          <w:b/>
          <w:bCs/>
        </w:rPr>
      </w:pPr>
    </w:p>
    <w:p w14:paraId="71D4FFFF" w14:textId="77777777" w:rsidR="00DE6484" w:rsidRPr="00DE6484" w:rsidRDefault="00DE6484" w:rsidP="00DE6484">
      <w:pPr>
        <w:jc w:val="both"/>
        <w:rPr>
          <w:rFonts w:ascii="Arial" w:hAnsi="Arial" w:cs="Arial"/>
        </w:rPr>
      </w:pPr>
      <w:r w:rsidRPr="00DE6484">
        <w:rPr>
          <w:rFonts w:ascii="Arial" w:hAnsi="Arial" w:cs="Arial"/>
        </w:rPr>
        <w:t>The Van’t Hoff equation (10) and the Gibbs–Helmholtz equation (11) were used to determine the thermodynamic parameters.</w:t>
      </w:r>
    </w:p>
    <w:p w14:paraId="136DCFE0" w14:textId="7F797ACA" w:rsidR="00DE6484" w:rsidRPr="00DE6484" w:rsidRDefault="00DE6484" w:rsidP="00DE6484">
      <w:pPr>
        <w:jc w:val="both"/>
        <w:rPr>
          <w:rFonts w:ascii="Arial" w:hAnsi="Arial" w:cs="Arial"/>
          <w:bCs/>
          <w:iCs/>
          <w:lang w:val="fr-FR"/>
        </w:rPr>
      </w:pPr>
      <w:bookmarkStart w:id="8" w:name="_Hlk202388112"/>
      <m:oMathPara>
        <m:oMath>
          <m:r>
            <m:rPr>
              <m:sty m:val="p"/>
            </m:rPr>
            <w:rPr>
              <w:rFonts w:ascii="Cambria Math" w:hAnsi="Cambria Math" w:cs="Arial"/>
              <w:lang w:val="fr-FR"/>
            </w:rPr>
            <m:t xml:space="preserve">ln </m:t>
          </m:r>
          <m:sSub>
            <m:sSubPr>
              <m:ctrlPr>
                <w:rPr>
                  <w:rFonts w:ascii="Cambria Math" w:hAnsi="Cambria Math" w:cs="Arial"/>
                  <w:bCs/>
                  <w:iCs/>
                  <w:lang w:val="fr-FR"/>
                </w:rPr>
              </m:ctrlPr>
            </m:sSubPr>
            <m:e>
              <m:r>
                <m:rPr>
                  <m:sty m:val="p"/>
                </m:rPr>
                <w:rPr>
                  <w:rFonts w:ascii="Cambria Math" w:hAnsi="Cambria Math" w:cs="Arial"/>
                  <w:lang w:val="fr-FR"/>
                </w:rPr>
                <m:t>K</m:t>
              </m:r>
            </m:e>
            <m:sub>
              <m:r>
                <m:rPr>
                  <m:sty m:val="p"/>
                </m:rPr>
                <w:rPr>
                  <w:rFonts w:ascii="Cambria Math" w:hAnsi="Cambria Math" w:cs="Arial"/>
                  <w:lang w:val="fr-FR"/>
                </w:rPr>
                <m:t>d</m:t>
              </m:r>
            </m:sub>
          </m:sSub>
          <w:bookmarkEnd w:id="8"/>
          <m:r>
            <m:rPr>
              <m:sty m:val="p"/>
            </m:rPr>
            <w:rPr>
              <w:rFonts w:ascii="Cambria Math" w:hAnsi="Cambria Math" w:cs="Arial"/>
              <w:lang w:val="fr-FR"/>
            </w:rPr>
            <m:t>=-</m:t>
          </m:r>
          <m:f>
            <m:fPr>
              <m:ctrlPr>
                <w:rPr>
                  <w:rFonts w:ascii="Cambria Math" w:hAnsi="Cambria Math" w:cs="Arial"/>
                  <w:bCs/>
                  <w:iCs/>
                  <w:lang w:val="fr-FR"/>
                </w:rPr>
              </m:ctrlPr>
            </m:fPr>
            <m:num>
              <m:r>
                <m:rPr>
                  <m:sty m:val="p"/>
                </m:rPr>
                <w:rPr>
                  <w:rFonts w:ascii="Cambria Math" w:hAnsi="Cambria Math" w:cs="Arial"/>
                  <w:lang w:val="fr-FR"/>
                </w:rPr>
                <m:t>∆H°</m:t>
              </m:r>
            </m:num>
            <m:den>
              <m:r>
                <m:rPr>
                  <m:sty m:val="p"/>
                </m:rPr>
                <w:rPr>
                  <w:rFonts w:ascii="Cambria Math" w:hAnsi="Cambria Math" w:cs="Arial"/>
                  <w:lang w:val="fr-FR"/>
                </w:rPr>
                <m:t>R</m:t>
              </m:r>
            </m:den>
          </m:f>
          <m:r>
            <m:rPr>
              <m:sty m:val="p"/>
            </m:rPr>
            <w:rPr>
              <w:rFonts w:ascii="Cambria Math" w:hAnsi="Cambria Math" w:cs="Arial"/>
              <w:lang w:val="fr-FR"/>
            </w:rPr>
            <m:t>×</m:t>
          </m:r>
          <m:f>
            <m:fPr>
              <m:ctrlPr>
                <w:rPr>
                  <w:rFonts w:ascii="Cambria Math" w:hAnsi="Cambria Math" w:cs="Arial"/>
                  <w:bCs/>
                  <w:iCs/>
                  <w:lang w:val="fr-FR"/>
                </w:rPr>
              </m:ctrlPr>
            </m:fPr>
            <m:num>
              <m:r>
                <m:rPr>
                  <m:sty m:val="p"/>
                </m:rPr>
                <w:rPr>
                  <w:rFonts w:ascii="Cambria Math" w:hAnsi="Cambria Math" w:cs="Arial"/>
                  <w:lang w:val="fr-FR"/>
                </w:rPr>
                <m:t>1</m:t>
              </m:r>
            </m:num>
            <m:den>
              <m:r>
                <m:rPr>
                  <m:sty m:val="p"/>
                </m:rPr>
                <w:rPr>
                  <w:rFonts w:ascii="Cambria Math" w:hAnsi="Cambria Math" w:cs="Arial"/>
                  <w:lang w:val="fr-FR"/>
                </w:rPr>
                <m:t>T</m:t>
              </m:r>
            </m:den>
          </m:f>
          <m:r>
            <m:rPr>
              <m:sty m:val="p"/>
            </m:rPr>
            <w:rPr>
              <w:rFonts w:ascii="Cambria Math" w:hAnsi="Cambria Math" w:cs="Arial"/>
              <w:lang w:val="fr-FR"/>
            </w:rPr>
            <m:t>+</m:t>
          </m:r>
          <m:f>
            <m:fPr>
              <m:ctrlPr>
                <w:rPr>
                  <w:rFonts w:ascii="Cambria Math" w:hAnsi="Cambria Math" w:cs="Arial"/>
                  <w:bCs/>
                  <w:iCs/>
                  <w:lang w:val="fr-FR"/>
                </w:rPr>
              </m:ctrlPr>
            </m:fPr>
            <m:num>
              <m:r>
                <m:rPr>
                  <m:sty m:val="p"/>
                </m:rPr>
                <w:rPr>
                  <w:rFonts w:ascii="Cambria Math" w:hAnsi="Cambria Math" w:cs="Arial"/>
                  <w:lang w:val="fr-FR"/>
                </w:rPr>
                <m:t>∆S°</m:t>
              </m:r>
            </m:num>
            <m:den>
              <m:r>
                <m:rPr>
                  <m:sty m:val="p"/>
                </m:rPr>
                <w:rPr>
                  <w:rFonts w:ascii="Cambria Math" w:hAnsi="Cambria Math" w:cs="Arial"/>
                  <w:lang w:val="fr-FR"/>
                </w:rPr>
                <m:t>R</m:t>
              </m:r>
            </m:den>
          </m:f>
          <m:r>
            <w:rPr>
              <w:rFonts w:ascii="Cambria Math" w:hAnsi="Cambria Math" w:cs="Arial"/>
              <w:lang w:val="fr-FR"/>
            </w:rPr>
            <m:t xml:space="preserve">    (10)</m:t>
          </m:r>
        </m:oMath>
      </m:oMathPara>
    </w:p>
    <w:p w14:paraId="76CC9020" w14:textId="66D22372" w:rsidR="00DE6484" w:rsidRPr="00DE6484" w:rsidRDefault="00DE6484" w:rsidP="00DE6484">
      <w:pPr>
        <w:jc w:val="both"/>
        <w:rPr>
          <w:rFonts w:ascii="Arial" w:hAnsi="Arial" w:cs="Arial"/>
          <w:bCs/>
          <w:iCs/>
          <w:lang w:val="fr-FR"/>
        </w:rPr>
      </w:pPr>
      <m:oMathPara>
        <m:oMath>
          <m:r>
            <m:rPr>
              <m:sty m:val="p"/>
            </m:rPr>
            <w:rPr>
              <w:rFonts w:ascii="Cambria Math" w:hAnsi="Cambria Math" w:cs="Arial"/>
              <w:lang w:val="fr-FR"/>
            </w:rPr>
            <m:t>∆G°=∆H°-T∆S°       (11)</m:t>
          </m:r>
        </m:oMath>
      </m:oMathPara>
    </w:p>
    <w:p w14:paraId="20C20DF8" w14:textId="638F4A15" w:rsidR="00DE6484" w:rsidRDefault="00DE6484" w:rsidP="00DE6484">
      <w:pPr>
        <w:jc w:val="both"/>
        <w:rPr>
          <w:rFonts w:ascii="Arial" w:hAnsi="Arial" w:cs="Arial"/>
        </w:rPr>
      </w:pPr>
      <w:r w:rsidRPr="00DE6484">
        <w:rPr>
          <w:rFonts w:ascii="Arial" w:hAnsi="Arial" w:cs="Arial"/>
        </w:rPr>
        <w:t xml:space="preserve">Where </w:t>
      </w:r>
      <m:oMath>
        <m:sSub>
          <m:sSubPr>
            <m:ctrlPr>
              <w:rPr>
                <w:rFonts w:ascii="Cambria Math" w:hAnsi="Cambria Math" w:cs="Arial"/>
                <w:iCs/>
                <w:lang w:val="fr-FR"/>
              </w:rPr>
            </m:ctrlPr>
          </m:sSubPr>
          <m:e>
            <m:r>
              <m:rPr>
                <m:sty m:val="p"/>
              </m:rPr>
              <w:rPr>
                <w:rFonts w:ascii="Cambria Math" w:hAnsi="Cambria Math" w:cs="Arial"/>
              </w:rPr>
              <m:t>K</m:t>
            </m:r>
          </m:e>
          <m:sub>
            <m:r>
              <m:rPr>
                <m:sty m:val="p"/>
              </m:rPr>
              <w:rPr>
                <w:rFonts w:ascii="Cambria Math" w:hAnsi="Cambria Math" w:cs="Arial"/>
              </w:rPr>
              <m:t>d</m:t>
            </m:r>
          </m:sub>
        </m:sSub>
        <m:r>
          <m:rPr>
            <m:sty m:val="p"/>
          </m:rPr>
          <w:rPr>
            <w:rFonts w:ascii="Cambria Math" w:hAnsi="Cambria Math" w:cs="Arial"/>
          </w:rPr>
          <m:t>=</m:t>
        </m:r>
        <m:f>
          <m:fPr>
            <m:ctrlPr>
              <w:rPr>
                <w:rFonts w:ascii="Cambria Math" w:hAnsi="Cambria Math" w:cs="Arial"/>
                <w:iCs/>
                <w:lang w:val="fr-FR"/>
              </w:rPr>
            </m:ctrlPr>
          </m:fPr>
          <m:num>
            <m:sSub>
              <m:sSubPr>
                <m:ctrlPr>
                  <w:rPr>
                    <w:rFonts w:ascii="Cambria Math" w:hAnsi="Cambria Math" w:cs="Arial"/>
                    <w:iCs/>
                    <w:lang w:val="fr-FR"/>
                  </w:rPr>
                </m:ctrlPr>
              </m:sSubPr>
              <m:e>
                <m:r>
                  <m:rPr>
                    <m:sty m:val="p"/>
                  </m:rPr>
                  <w:rPr>
                    <w:rFonts w:ascii="Cambria Math" w:hAnsi="Cambria Math" w:cs="Arial"/>
                  </w:rPr>
                  <m:t>Q</m:t>
                </m:r>
              </m:e>
              <m:sub>
                <m:r>
                  <m:rPr>
                    <m:sty m:val="p"/>
                  </m:rPr>
                  <w:rPr>
                    <w:rFonts w:ascii="Cambria Math" w:hAnsi="Cambria Math" w:cs="Arial"/>
                  </w:rPr>
                  <m:t>e</m:t>
                </m:r>
              </m:sub>
            </m:sSub>
          </m:num>
          <m:den>
            <m:sSub>
              <m:sSubPr>
                <m:ctrlPr>
                  <w:rPr>
                    <w:rFonts w:ascii="Cambria Math" w:hAnsi="Cambria Math" w:cs="Arial"/>
                    <w:iCs/>
                    <w:lang w:val="fr-FR"/>
                  </w:rPr>
                </m:ctrlPr>
              </m:sSubPr>
              <m:e>
                <m:r>
                  <m:rPr>
                    <m:sty m:val="p"/>
                  </m:rPr>
                  <w:rPr>
                    <w:rFonts w:ascii="Cambria Math" w:hAnsi="Cambria Math" w:cs="Arial"/>
                  </w:rPr>
                  <m:t>C</m:t>
                </m:r>
              </m:e>
              <m:sub>
                <m:r>
                  <m:rPr>
                    <m:sty m:val="p"/>
                  </m:rPr>
                  <w:rPr>
                    <w:rFonts w:ascii="Cambria Math" w:hAnsi="Cambria Math" w:cs="Arial"/>
                  </w:rPr>
                  <m:t>e</m:t>
                </m:r>
              </m:sub>
            </m:sSub>
          </m:den>
        </m:f>
      </m:oMath>
      <w:r w:rsidRPr="00DE6484">
        <w:rPr>
          <w:rFonts w:ascii="Arial" w:hAnsi="Arial" w:cs="Arial"/>
        </w:rPr>
        <w:t xml:space="preserve"> is the distribution coefficient, R (8.314 J.mol</w:t>
      </w:r>
      <w:r w:rsidRPr="00DE6484">
        <w:rPr>
          <w:rFonts w:ascii="Cambria Math" w:hAnsi="Cambria Math" w:cs="Cambria Math"/>
        </w:rPr>
        <w:t>⁻</w:t>
      </w:r>
      <w:r w:rsidRPr="00DE6484">
        <w:rPr>
          <w:rFonts w:ascii="Arial" w:hAnsi="Arial" w:cs="Arial"/>
        </w:rPr>
        <w:t>¹ K</w:t>
      </w:r>
      <w:r w:rsidRPr="00DE6484">
        <w:rPr>
          <w:rFonts w:ascii="Cambria Math" w:hAnsi="Cambria Math" w:cs="Cambria Math"/>
        </w:rPr>
        <w:t>⁻</w:t>
      </w:r>
      <w:r w:rsidRPr="00DE6484">
        <w:rPr>
          <w:rFonts w:ascii="Arial" w:hAnsi="Arial" w:cs="Arial"/>
        </w:rPr>
        <w:t xml:space="preserve">¹) is the ideal gas constant, and T is the absolute temperature of the solution in Kelvin (K); </w:t>
      </w:r>
      <m:oMath>
        <m:sSub>
          <m:sSubPr>
            <m:ctrlPr>
              <w:rPr>
                <w:rFonts w:ascii="Cambria Math" w:hAnsi="Cambria Math" w:cs="Arial"/>
                <w:iCs/>
                <w:lang w:val="fr-FR"/>
              </w:rPr>
            </m:ctrlPr>
          </m:sSubPr>
          <m:e>
            <m:r>
              <m:rPr>
                <m:sty m:val="p"/>
              </m:rPr>
              <w:rPr>
                <w:rFonts w:ascii="Cambria Math" w:hAnsi="Cambria Math" w:cs="Arial"/>
              </w:rPr>
              <m:t>Q</m:t>
            </m:r>
          </m:e>
          <m:sub>
            <m:r>
              <m:rPr>
                <m:sty m:val="p"/>
              </m:rPr>
              <w:rPr>
                <w:rFonts w:ascii="Cambria Math" w:hAnsi="Cambria Math" w:cs="Arial"/>
              </w:rPr>
              <m:t>e</m:t>
            </m:r>
          </m:sub>
        </m:sSub>
      </m:oMath>
      <w:r w:rsidRPr="00DE6484">
        <w:rPr>
          <w:rFonts w:ascii="Arial" w:hAnsi="Arial" w:cs="Arial"/>
        </w:rPr>
        <w:t xml:space="preserve"> (mg.g</w:t>
      </w:r>
      <w:r w:rsidRPr="00DE6484">
        <w:rPr>
          <w:rFonts w:ascii="Cambria Math" w:hAnsi="Cambria Math" w:cs="Cambria Math"/>
        </w:rPr>
        <w:t>⁻</w:t>
      </w:r>
      <w:r w:rsidRPr="00DE6484">
        <w:rPr>
          <w:rFonts w:ascii="Arial" w:hAnsi="Arial" w:cs="Arial"/>
        </w:rPr>
        <w:t>¹) is the quantity adsorbed at equilibrium and Ce (mg.L</w:t>
      </w:r>
      <w:r w:rsidRPr="00DE6484">
        <w:rPr>
          <w:rFonts w:ascii="Cambria Math" w:hAnsi="Cambria Math" w:cs="Cambria Math"/>
        </w:rPr>
        <w:t>⁻</w:t>
      </w:r>
      <w:r w:rsidRPr="00DE6484">
        <w:rPr>
          <w:rFonts w:ascii="Arial" w:hAnsi="Arial" w:cs="Arial"/>
        </w:rPr>
        <w:t xml:space="preserve">¹) is the concentration at equilibrium. Plotting the </w:t>
      </w:r>
      <m:oMath>
        <m:r>
          <m:rPr>
            <m:sty m:val="p"/>
          </m:rPr>
          <w:rPr>
            <w:rFonts w:ascii="Cambria Math" w:hAnsi="Cambria Math" w:cs="Arial"/>
          </w:rPr>
          <m:t xml:space="preserve">ln </m:t>
        </m:r>
        <m:sSub>
          <m:sSubPr>
            <m:ctrlPr>
              <w:rPr>
                <w:rFonts w:ascii="Cambria Math" w:hAnsi="Cambria Math" w:cs="Arial"/>
                <w:iCs/>
                <w:lang w:val="fr-FR"/>
              </w:rPr>
            </m:ctrlPr>
          </m:sSubPr>
          <m:e>
            <m:r>
              <m:rPr>
                <m:sty m:val="p"/>
              </m:rPr>
              <w:rPr>
                <w:rFonts w:ascii="Cambria Math" w:hAnsi="Cambria Math" w:cs="Arial"/>
              </w:rPr>
              <m:t>K</m:t>
            </m:r>
          </m:e>
          <m:sub>
            <m:r>
              <m:rPr>
                <m:sty m:val="p"/>
              </m:rPr>
              <w:rPr>
                <w:rFonts w:ascii="Cambria Math" w:hAnsi="Cambria Math" w:cs="Arial"/>
              </w:rPr>
              <m:t>d</m:t>
            </m:r>
          </m:sub>
        </m:sSub>
      </m:oMath>
      <w:r w:rsidRPr="00DE6484">
        <w:rPr>
          <w:rFonts w:ascii="Arial" w:hAnsi="Arial" w:cs="Arial"/>
        </w:rPr>
        <w:t xml:space="preserve">  curve as a function of </w:t>
      </w:r>
      <m:oMath>
        <m:f>
          <m:fPr>
            <m:ctrlPr>
              <w:rPr>
                <w:rFonts w:ascii="Cambria Math" w:hAnsi="Cambria Math" w:cs="Arial"/>
                <w:iCs/>
                <w:lang w:val="fr-FR"/>
              </w:rPr>
            </m:ctrlPr>
          </m:fPr>
          <m:num>
            <m:r>
              <m:rPr>
                <m:sty m:val="p"/>
              </m:rPr>
              <w:rPr>
                <w:rFonts w:ascii="Cambria Math" w:hAnsi="Cambria Math" w:cs="Arial"/>
              </w:rPr>
              <m:t>1</m:t>
            </m:r>
          </m:num>
          <m:den>
            <m:r>
              <m:rPr>
                <m:sty m:val="p"/>
              </m:rPr>
              <w:rPr>
                <w:rFonts w:ascii="Cambria Math" w:hAnsi="Cambria Math" w:cs="Arial"/>
              </w:rPr>
              <m:t xml:space="preserve">T </m:t>
            </m:r>
          </m:den>
        </m:f>
        <m:r>
          <w:rPr>
            <w:rFonts w:ascii="Cambria Math" w:hAnsi="Cambria Math" w:cs="Arial"/>
          </w:rPr>
          <m:t xml:space="preserve"> </m:t>
        </m:r>
      </m:oMath>
      <w:r w:rsidRPr="00DE6484">
        <w:rPr>
          <w:rFonts w:ascii="Arial" w:hAnsi="Arial" w:cs="Arial"/>
        </w:rPr>
        <w:t xml:space="preserve">gives the values of ΔH° and ΔS°; the slope being </w:t>
      </w:r>
      <m:oMath>
        <m:r>
          <m:rPr>
            <m:sty m:val="p"/>
          </m:rPr>
          <w:rPr>
            <w:rFonts w:ascii="Cambria Math" w:hAnsi="Cambria Math" w:cs="Arial"/>
          </w:rPr>
          <m:t>-</m:t>
        </m:r>
        <m:f>
          <m:fPr>
            <m:ctrlPr>
              <w:rPr>
                <w:rFonts w:ascii="Cambria Math" w:hAnsi="Cambria Math" w:cs="Arial"/>
                <w:bCs/>
                <w:iCs/>
                <w:lang w:val="fr-FR"/>
              </w:rPr>
            </m:ctrlPr>
          </m:fPr>
          <m:num>
            <m:r>
              <m:rPr>
                <m:sty m:val="p"/>
              </m:rPr>
              <w:rPr>
                <w:rFonts w:ascii="Cambria Math" w:hAnsi="Cambria Math" w:cs="Arial"/>
              </w:rPr>
              <m:t>∆H°</m:t>
            </m:r>
          </m:num>
          <m:den>
            <m:r>
              <m:rPr>
                <m:sty m:val="p"/>
              </m:rPr>
              <w:rPr>
                <w:rFonts w:ascii="Cambria Math" w:hAnsi="Cambria Math" w:cs="Arial"/>
              </w:rPr>
              <m:t>R</m:t>
            </m:r>
          </m:den>
        </m:f>
      </m:oMath>
      <w:r w:rsidRPr="00DE6484">
        <w:rPr>
          <w:rFonts w:ascii="Arial" w:hAnsi="Arial" w:cs="Arial"/>
          <w:bCs/>
          <w:iCs/>
        </w:rPr>
        <w:t xml:space="preserve"> </w:t>
      </w:r>
      <w:r w:rsidRPr="00DE6484">
        <w:rPr>
          <w:rFonts w:ascii="Arial" w:hAnsi="Arial" w:cs="Arial"/>
        </w:rPr>
        <w:t xml:space="preserve">and the y-intercept </w:t>
      </w:r>
      <m:oMath>
        <m:f>
          <m:fPr>
            <m:ctrlPr>
              <w:rPr>
                <w:rFonts w:ascii="Cambria Math" w:hAnsi="Cambria Math" w:cs="Arial"/>
                <w:bCs/>
                <w:iCs/>
                <w:lang w:val="fr-FR"/>
              </w:rPr>
            </m:ctrlPr>
          </m:fPr>
          <m:num>
            <m:r>
              <m:rPr>
                <m:sty m:val="p"/>
              </m:rPr>
              <w:rPr>
                <w:rFonts w:ascii="Cambria Math" w:hAnsi="Cambria Math" w:cs="Arial"/>
              </w:rPr>
              <m:t>∆S°</m:t>
            </m:r>
          </m:num>
          <m:den>
            <m:r>
              <m:rPr>
                <m:sty m:val="p"/>
              </m:rPr>
              <w:rPr>
                <w:rFonts w:ascii="Cambria Math" w:hAnsi="Cambria Math" w:cs="Arial"/>
              </w:rPr>
              <m:t>R</m:t>
            </m:r>
          </m:den>
        </m:f>
      </m:oMath>
      <w:r w:rsidRPr="00DE6484">
        <w:rPr>
          <w:rFonts w:ascii="Arial" w:hAnsi="Arial" w:cs="Arial"/>
        </w:rPr>
        <w:t>. ΔG° is determined using the values ΔH° and ΔS°. The thermodynamic parameters are shown in Table 4</w:t>
      </w:r>
      <w:r w:rsidR="0000096E">
        <w:rPr>
          <w:rFonts w:ascii="Arial" w:hAnsi="Arial" w:cs="Arial"/>
        </w:rPr>
        <w:t>a</w:t>
      </w:r>
      <w:r w:rsidRPr="00DE6484">
        <w:rPr>
          <w:rFonts w:ascii="Arial" w:hAnsi="Arial" w:cs="Arial"/>
        </w:rPr>
        <w:t>.</w:t>
      </w:r>
    </w:p>
    <w:p w14:paraId="608BFF80" w14:textId="77777777" w:rsidR="00DE6484" w:rsidRPr="00DE6484" w:rsidRDefault="00DE6484" w:rsidP="00DE6484">
      <w:pPr>
        <w:jc w:val="both"/>
        <w:rPr>
          <w:rFonts w:ascii="Arial" w:hAnsi="Arial" w:cs="Arial"/>
        </w:rPr>
      </w:pPr>
    </w:p>
    <w:p w14:paraId="4F9E9DC3" w14:textId="1FC30042" w:rsidR="00DE6484" w:rsidRDefault="00DE6484" w:rsidP="00DE6484">
      <w:pPr>
        <w:jc w:val="both"/>
        <w:rPr>
          <w:rFonts w:ascii="Arial" w:hAnsi="Arial" w:cs="Arial"/>
        </w:rPr>
      </w:pPr>
      <w:r w:rsidRPr="00DE6484">
        <w:rPr>
          <w:rFonts w:ascii="Arial" w:hAnsi="Arial" w:cs="Arial"/>
          <w:b/>
          <w:bCs/>
        </w:rPr>
        <w:t>Table 4</w:t>
      </w:r>
      <w:r w:rsidR="0000096E">
        <w:rPr>
          <w:rFonts w:ascii="Arial" w:hAnsi="Arial" w:cs="Arial"/>
          <w:b/>
          <w:bCs/>
          <w:lang w:val="en-IN"/>
        </w:rPr>
        <w:t>a</w:t>
      </w:r>
      <w:r w:rsidRPr="00DE6484">
        <w:rPr>
          <w:rFonts w:ascii="Arial" w:hAnsi="Arial" w:cs="Arial"/>
          <w:b/>
          <w:bCs/>
        </w:rPr>
        <w:t>.</w:t>
      </w:r>
      <w:r w:rsidRPr="00DE6484">
        <w:rPr>
          <w:rFonts w:ascii="Arial" w:hAnsi="Arial" w:cs="Arial"/>
        </w:rPr>
        <w:t xml:space="preserve"> Thermodynamic parameters</w:t>
      </w:r>
    </w:p>
    <w:p w14:paraId="4BC8BF35" w14:textId="77777777" w:rsidR="00DE6484" w:rsidRPr="00DE6484" w:rsidRDefault="00DE6484" w:rsidP="00DE6484">
      <w:pPr>
        <w:jc w:val="both"/>
        <w:rPr>
          <w:rFonts w:ascii="Arial" w:hAnsi="Arial" w:cs="Arial"/>
          <w:b/>
          <w:bCs/>
        </w:rPr>
      </w:pPr>
    </w:p>
    <w:tbl>
      <w:tblPr>
        <w:tblStyle w:val="Grilledutableau2"/>
        <w:tblW w:w="0" w:type="auto"/>
        <w:jc w:val="center"/>
        <w:tblInd w:w="0" w:type="dxa"/>
        <w:tblBorders>
          <w:left w:val="none" w:sz="0" w:space="0" w:color="auto"/>
          <w:right w:val="none" w:sz="0" w:space="0" w:color="auto"/>
        </w:tblBorders>
        <w:tblLook w:val="04A0" w:firstRow="1" w:lastRow="0" w:firstColumn="1" w:lastColumn="0" w:noHBand="0" w:noVBand="1"/>
      </w:tblPr>
      <w:tblGrid>
        <w:gridCol w:w="951"/>
        <w:gridCol w:w="1743"/>
        <w:gridCol w:w="1730"/>
        <w:gridCol w:w="2200"/>
      </w:tblGrid>
      <w:tr w:rsidR="00DE6484" w:rsidRPr="00DE6484" w14:paraId="18C80EFA" w14:textId="77777777" w:rsidTr="005E114C">
        <w:trPr>
          <w:trHeight w:val="339"/>
          <w:jc w:val="center"/>
        </w:trPr>
        <w:tc>
          <w:tcPr>
            <w:tcW w:w="0" w:type="auto"/>
            <w:tcBorders>
              <w:top w:val="single" w:sz="4" w:space="0" w:color="auto"/>
              <w:left w:val="nil"/>
              <w:bottom w:val="single" w:sz="4" w:space="0" w:color="auto"/>
              <w:right w:val="single" w:sz="4" w:space="0" w:color="auto"/>
            </w:tcBorders>
            <w:noWrap/>
          </w:tcPr>
          <w:p w14:paraId="1317244C" w14:textId="77777777" w:rsidR="00DE6484" w:rsidRPr="00DE6484" w:rsidRDefault="00DE6484" w:rsidP="00DE6484">
            <w:pPr>
              <w:jc w:val="both"/>
              <w:rPr>
                <w:rFonts w:ascii="Arial" w:hAnsi="Arial" w:cs="Arial"/>
                <w:b/>
                <w:bCs/>
              </w:rPr>
            </w:pPr>
          </w:p>
          <w:p w14:paraId="79D84502" w14:textId="77777777" w:rsidR="00DE6484" w:rsidRPr="00DE6484" w:rsidRDefault="00DE6484" w:rsidP="00DE6484">
            <w:pPr>
              <w:jc w:val="both"/>
              <w:rPr>
                <w:rFonts w:ascii="Arial" w:hAnsi="Arial" w:cs="Arial"/>
                <w:b/>
                <w:bCs/>
              </w:rPr>
            </w:pPr>
            <w:r w:rsidRPr="00DE6484">
              <w:rPr>
                <w:rFonts w:ascii="Arial" w:hAnsi="Arial" w:cs="Arial"/>
                <w:b/>
                <w:bCs/>
              </w:rPr>
              <w:t>T (K)</w:t>
            </w:r>
          </w:p>
        </w:tc>
        <w:tc>
          <w:tcPr>
            <w:tcW w:w="0" w:type="auto"/>
            <w:tcBorders>
              <w:top w:val="single" w:sz="4" w:space="0" w:color="auto"/>
              <w:left w:val="single" w:sz="4" w:space="0" w:color="auto"/>
              <w:bottom w:val="single" w:sz="4" w:space="0" w:color="auto"/>
              <w:right w:val="single" w:sz="4" w:space="0" w:color="auto"/>
            </w:tcBorders>
            <w:noWrap/>
          </w:tcPr>
          <w:p w14:paraId="78DC4FEA" w14:textId="77777777" w:rsidR="00DE6484" w:rsidRPr="00DE6484" w:rsidRDefault="00DE6484" w:rsidP="00DE6484">
            <w:pPr>
              <w:jc w:val="both"/>
              <w:rPr>
                <w:rFonts w:ascii="Arial" w:hAnsi="Arial" w:cs="Arial"/>
                <w:b/>
                <w:bCs/>
              </w:rPr>
            </w:pPr>
          </w:p>
          <w:p w14:paraId="36F2BD51" w14:textId="77777777" w:rsidR="00DE6484" w:rsidRPr="00DE6484" w:rsidRDefault="00DE6484" w:rsidP="00DE6484">
            <w:pPr>
              <w:jc w:val="both"/>
              <w:rPr>
                <w:rFonts w:ascii="Arial" w:hAnsi="Arial" w:cs="Arial"/>
                <w:b/>
                <w:bCs/>
              </w:rPr>
            </w:pPr>
            <w:r w:rsidRPr="00DE6484">
              <w:rPr>
                <w:rFonts w:ascii="Arial" w:hAnsi="Arial" w:cs="Arial"/>
                <w:b/>
                <w:bCs/>
              </w:rPr>
              <w:t>∆G° (J. mol</w:t>
            </w:r>
            <w:r w:rsidRPr="00DE6484">
              <w:rPr>
                <w:rFonts w:ascii="Arial" w:hAnsi="Arial" w:cs="Arial"/>
                <w:b/>
                <w:bCs/>
                <w:vertAlign w:val="superscript"/>
              </w:rPr>
              <w:sym w:font="Symbol" w:char="F02D"/>
            </w:r>
            <w:r w:rsidRPr="00DE6484">
              <w:rPr>
                <w:rFonts w:ascii="Arial" w:hAnsi="Arial" w:cs="Arial"/>
                <w:b/>
                <w:bCs/>
                <w:vertAlign w:val="superscript"/>
              </w:rPr>
              <w:t>1</w:t>
            </w:r>
            <w:r w:rsidRPr="00DE6484">
              <w:rPr>
                <w:rFonts w:ascii="Arial" w:hAnsi="Arial" w:cs="Arial"/>
                <w:b/>
                <w:bCs/>
              </w:rPr>
              <w:t>)</w:t>
            </w:r>
          </w:p>
        </w:tc>
        <w:tc>
          <w:tcPr>
            <w:tcW w:w="0" w:type="auto"/>
            <w:tcBorders>
              <w:top w:val="single" w:sz="4" w:space="0" w:color="auto"/>
              <w:left w:val="single" w:sz="4" w:space="0" w:color="auto"/>
              <w:bottom w:val="single" w:sz="4" w:space="0" w:color="auto"/>
              <w:right w:val="single" w:sz="4" w:space="0" w:color="auto"/>
            </w:tcBorders>
            <w:noWrap/>
          </w:tcPr>
          <w:p w14:paraId="1955A944" w14:textId="77777777" w:rsidR="00DE6484" w:rsidRPr="00DE6484" w:rsidRDefault="00DE6484" w:rsidP="00DE6484">
            <w:pPr>
              <w:jc w:val="both"/>
              <w:rPr>
                <w:rFonts w:ascii="Arial" w:hAnsi="Arial" w:cs="Arial"/>
                <w:b/>
                <w:bCs/>
              </w:rPr>
            </w:pPr>
          </w:p>
          <w:p w14:paraId="064B4B35" w14:textId="77777777" w:rsidR="00DE6484" w:rsidRPr="00DE6484" w:rsidRDefault="00DE6484" w:rsidP="00DE6484">
            <w:pPr>
              <w:jc w:val="both"/>
              <w:rPr>
                <w:rFonts w:ascii="Arial" w:hAnsi="Arial" w:cs="Arial"/>
                <w:b/>
                <w:bCs/>
              </w:rPr>
            </w:pPr>
            <w:r w:rsidRPr="00DE6484">
              <w:rPr>
                <w:rFonts w:ascii="Arial" w:hAnsi="Arial" w:cs="Arial"/>
                <w:b/>
                <w:bCs/>
              </w:rPr>
              <w:t>∆H° (J. mol</w:t>
            </w:r>
            <w:r w:rsidRPr="00DE6484">
              <w:rPr>
                <w:rFonts w:ascii="Arial" w:hAnsi="Arial" w:cs="Arial"/>
                <w:b/>
                <w:bCs/>
                <w:vertAlign w:val="superscript"/>
              </w:rPr>
              <w:sym w:font="Symbol" w:char="F02D"/>
            </w:r>
            <w:r w:rsidRPr="00DE6484">
              <w:rPr>
                <w:rFonts w:ascii="Arial" w:hAnsi="Arial" w:cs="Arial"/>
                <w:b/>
                <w:bCs/>
                <w:vertAlign w:val="superscript"/>
              </w:rPr>
              <w:t>1</w:t>
            </w:r>
            <w:r w:rsidRPr="00DE6484">
              <w:rPr>
                <w:rFonts w:ascii="Arial" w:hAnsi="Arial" w:cs="Arial"/>
                <w:b/>
                <w:bCs/>
              </w:rPr>
              <w:t>)</w:t>
            </w:r>
          </w:p>
        </w:tc>
        <w:tc>
          <w:tcPr>
            <w:tcW w:w="0" w:type="auto"/>
            <w:tcBorders>
              <w:top w:val="single" w:sz="4" w:space="0" w:color="auto"/>
              <w:left w:val="single" w:sz="4" w:space="0" w:color="auto"/>
              <w:bottom w:val="single" w:sz="4" w:space="0" w:color="auto"/>
              <w:right w:val="nil"/>
            </w:tcBorders>
            <w:noWrap/>
          </w:tcPr>
          <w:p w14:paraId="1190D7E5" w14:textId="77777777" w:rsidR="00DE6484" w:rsidRPr="00DE6484" w:rsidRDefault="00DE6484" w:rsidP="00DE6484">
            <w:pPr>
              <w:jc w:val="both"/>
              <w:rPr>
                <w:rFonts w:ascii="Arial" w:hAnsi="Arial" w:cs="Arial"/>
                <w:b/>
                <w:bCs/>
              </w:rPr>
            </w:pPr>
          </w:p>
          <w:p w14:paraId="7CB72309" w14:textId="77777777" w:rsidR="00DE6484" w:rsidRPr="00DE6484" w:rsidRDefault="00DE6484" w:rsidP="00DE6484">
            <w:pPr>
              <w:jc w:val="both"/>
              <w:rPr>
                <w:rFonts w:ascii="Arial" w:hAnsi="Arial" w:cs="Arial"/>
                <w:b/>
                <w:bCs/>
              </w:rPr>
            </w:pPr>
            <w:r w:rsidRPr="00DE6484">
              <w:rPr>
                <w:rFonts w:ascii="Arial" w:hAnsi="Arial" w:cs="Arial"/>
                <w:b/>
                <w:bCs/>
              </w:rPr>
              <w:t>∆S° (J. mol</w:t>
            </w:r>
            <w:r w:rsidRPr="00DE6484">
              <w:rPr>
                <w:rFonts w:ascii="Arial" w:hAnsi="Arial" w:cs="Arial"/>
                <w:b/>
                <w:bCs/>
                <w:vertAlign w:val="superscript"/>
              </w:rPr>
              <w:sym w:font="Symbol" w:char="F02D"/>
            </w:r>
            <w:r w:rsidRPr="00DE6484">
              <w:rPr>
                <w:rFonts w:ascii="Arial" w:hAnsi="Arial" w:cs="Arial"/>
                <w:b/>
                <w:bCs/>
                <w:vertAlign w:val="superscript"/>
              </w:rPr>
              <w:t>1</w:t>
            </w:r>
            <w:r w:rsidRPr="00DE6484">
              <w:rPr>
                <w:rFonts w:ascii="Arial" w:hAnsi="Arial" w:cs="Arial"/>
                <w:b/>
                <w:bCs/>
              </w:rPr>
              <w:t>. K</w:t>
            </w:r>
            <w:r w:rsidRPr="00DE6484">
              <w:rPr>
                <w:rFonts w:ascii="Arial" w:hAnsi="Arial" w:cs="Arial"/>
                <w:b/>
                <w:bCs/>
                <w:vertAlign w:val="superscript"/>
              </w:rPr>
              <w:sym w:font="Symbol" w:char="F02D"/>
            </w:r>
            <w:r w:rsidRPr="00DE6484">
              <w:rPr>
                <w:rFonts w:ascii="Arial" w:hAnsi="Arial" w:cs="Arial"/>
                <w:b/>
                <w:bCs/>
                <w:vertAlign w:val="superscript"/>
              </w:rPr>
              <w:t>1</w:t>
            </w:r>
            <w:r w:rsidRPr="00DE6484">
              <w:rPr>
                <w:rFonts w:ascii="Arial" w:hAnsi="Arial" w:cs="Arial"/>
                <w:b/>
                <w:bCs/>
              </w:rPr>
              <w:t>)</w:t>
            </w:r>
          </w:p>
        </w:tc>
      </w:tr>
      <w:tr w:rsidR="00DE6484" w:rsidRPr="00DE6484" w14:paraId="3AD36B24" w14:textId="77777777" w:rsidTr="005E114C">
        <w:trPr>
          <w:trHeight w:val="416"/>
          <w:jc w:val="center"/>
        </w:trPr>
        <w:tc>
          <w:tcPr>
            <w:tcW w:w="0" w:type="auto"/>
            <w:tcBorders>
              <w:top w:val="single" w:sz="4" w:space="0" w:color="auto"/>
              <w:left w:val="nil"/>
              <w:bottom w:val="single" w:sz="4" w:space="0" w:color="auto"/>
              <w:right w:val="single" w:sz="4" w:space="0" w:color="auto"/>
            </w:tcBorders>
            <w:noWrap/>
          </w:tcPr>
          <w:p w14:paraId="4DF3464A" w14:textId="77777777" w:rsidR="00DE6484" w:rsidRPr="00DE6484" w:rsidRDefault="00DE6484" w:rsidP="00DE6484">
            <w:pPr>
              <w:jc w:val="both"/>
              <w:rPr>
                <w:rFonts w:ascii="Arial" w:hAnsi="Arial" w:cs="Arial"/>
              </w:rPr>
            </w:pPr>
          </w:p>
          <w:p w14:paraId="08DC6AF0" w14:textId="77777777" w:rsidR="00DE6484" w:rsidRPr="00DE6484" w:rsidRDefault="00DE6484" w:rsidP="00DE6484">
            <w:pPr>
              <w:jc w:val="both"/>
              <w:rPr>
                <w:rFonts w:ascii="Arial" w:hAnsi="Arial" w:cs="Arial"/>
                <w:b/>
                <w:bCs/>
              </w:rPr>
            </w:pPr>
            <w:r w:rsidRPr="00DE6484">
              <w:rPr>
                <w:rFonts w:ascii="Arial" w:hAnsi="Arial" w:cs="Arial"/>
              </w:rPr>
              <w:t>305,15</w:t>
            </w:r>
          </w:p>
        </w:tc>
        <w:tc>
          <w:tcPr>
            <w:tcW w:w="0" w:type="auto"/>
            <w:tcBorders>
              <w:top w:val="single" w:sz="4" w:space="0" w:color="auto"/>
              <w:left w:val="single" w:sz="4" w:space="0" w:color="auto"/>
              <w:bottom w:val="single" w:sz="4" w:space="0" w:color="auto"/>
              <w:right w:val="single" w:sz="4" w:space="0" w:color="auto"/>
            </w:tcBorders>
            <w:noWrap/>
          </w:tcPr>
          <w:p w14:paraId="0AFF3BCD" w14:textId="77777777" w:rsidR="00DE6484" w:rsidRPr="00DE6484" w:rsidRDefault="00DE6484" w:rsidP="00DE6484">
            <w:pPr>
              <w:jc w:val="both"/>
              <w:rPr>
                <w:rFonts w:ascii="Arial" w:hAnsi="Arial" w:cs="Arial"/>
              </w:rPr>
            </w:pPr>
          </w:p>
          <w:p w14:paraId="7CA5ED4D" w14:textId="77777777" w:rsidR="00DE6484" w:rsidRPr="00DE6484" w:rsidRDefault="00DE6484" w:rsidP="00DE6484">
            <w:pPr>
              <w:jc w:val="both"/>
              <w:rPr>
                <w:rFonts w:ascii="Arial" w:hAnsi="Arial" w:cs="Arial"/>
              </w:rPr>
            </w:pPr>
            <w:r w:rsidRPr="00DE6484">
              <w:rPr>
                <w:rFonts w:ascii="Arial" w:hAnsi="Arial" w:cs="Arial"/>
              </w:rPr>
              <w:t>- 4645,174</w:t>
            </w:r>
          </w:p>
        </w:tc>
        <w:tc>
          <w:tcPr>
            <w:tcW w:w="0" w:type="auto"/>
            <w:vMerge w:val="restart"/>
            <w:tcBorders>
              <w:top w:val="single" w:sz="4" w:space="0" w:color="auto"/>
              <w:left w:val="single" w:sz="4" w:space="0" w:color="auto"/>
              <w:bottom w:val="single" w:sz="4" w:space="0" w:color="auto"/>
              <w:right w:val="single" w:sz="4" w:space="0" w:color="auto"/>
            </w:tcBorders>
            <w:noWrap/>
          </w:tcPr>
          <w:p w14:paraId="048DAE45" w14:textId="77777777" w:rsidR="00DE6484" w:rsidRPr="00DE6484" w:rsidRDefault="00DE6484" w:rsidP="00DE6484">
            <w:pPr>
              <w:jc w:val="both"/>
              <w:rPr>
                <w:rFonts w:ascii="Arial" w:hAnsi="Arial" w:cs="Arial"/>
              </w:rPr>
            </w:pPr>
          </w:p>
          <w:p w14:paraId="61067440" w14:textId="77777777" w:rsidR="00DE6484" w:rsidRPr="00DE6484" w:rsidRDefault="00DE6484" w:rsidP="00DE6484">
            <w:pPr>
              <w:jc w:val="both"/>
              <w:rPr>
                <w:rFonts w:ascii="Arial" w:hAnsi="Arial" w:cs="Arial"/>
              </w:rPr>
            </w:pPr>
          </w:p>
          <w:p w14:paraId="4FA69730" w14:textId="77777777" w:rsidR="00DE6484" w:rsidRPr="00DE6484" w:rsidRDefault="00DE6484" w:rsidP="00DE6484">
            <w:pPr>
              <w:jc w:val="both"/>
              <w:rPr>
                <w:rFonts w:ascii="Arial" w:hAnsi="Arial" w:cs="Arial"/>
                <w:b/>
                <w:bCs/>
              </w:rPr>
            </w:pPr>
            <w:bookmarkStart w:id="9" w:name="_Hlk205963744"/>
            <w:r w:rsidRPr="00DE6484">
              <w:rPr>
                <w:rFonts w:ascii="Arial" w:hAnsi="Arial" w:cs="Arial"/>
              </w:rPr>
              <w:t>29 200,431</w:t>
            </w:r>
            <w:bookmarkEnd w:id="9"/>
          </w:p>
        </w:tc>
        <w:tc>
          <w:tcPr>
            <w:tcW w:w="0" w:type="auto"/>
            <w:vMerge w:val="restart"/>
            <w:tcBorders>
              <w:top w:val="single" w:sz="4" w:space="0" w:color="auto"/>
              <w:left w:val="single" w:sz="4" w:space="0" w:color="auto"/>
              <w:bottom w:val="single" w:sz="4" w:space="0" w:color="auto"/>
              <w:right w:val="nil"/>
            </w:tcBorders>
            <w:noWrap/>
          </w:tcPr>
          <w:p w14:paraId="4502E168" w14:textId="77777777" w:rsidR="00DE6484" w:rsidRPr="00DE6484" w:rsidRDefault="00DE6484" w:rsidP="00DE6484">
            <w:pPr>
              <w:jc w:val="both"/>
              <w:rPr>
                <w:rFonts w:ascii="Arial" w:hAnsi="Arial" w:cs="Arial"/>
              </w:rPr>
            </w:pPr>
          </w:p>
          <w:p w14:paraId="07E230AF" w14:textId="77777777" w:rsidR="00DE6484" w:rsidRPr="00DE6484" w:rsidRDefault="00DE6484" w:rsidP="00DE6484">
            <w:pPr>
              <w:jc w:val="both"/>
              <w:rPr>
                <w:rFonts w:ascii="Arial" w:hAnsi="Arial" w:cs="Arial"/>
              </w:rPr>
            </w:pPr>
          </w:p>
          <w:p w14:paraId="0B724BD2" w14:textId="77777777" w:rsidR="00DE6484" w:rsidRPr="00DE6484" w:rsidRDefault="00DE6484" w:rsidP="00DE6484">
            <w:pPr>
              <w:jc w:val="both"/>
              <w:rPr>
                <w:rFonts w:ascii="Arial" w:hAnsi="Arial" w:cs="Arial"/>
                <w:b/>
                <w:bCs/>
              </w:rPr>
            </w:pPr>
            <w:bookmarkStart w:id="10" w:name="_Hlk205963841"/>
            <w:r w:rsidRPr="00DE6484">
              <w:rPr>
                <w:rFonts w:ascii="Arial" w:hAnsi="Arial" w:cs="Arial"/>
              </w:rPr>
              <w:t>110,643</w:t>
            </w:r>
            <w:bookmarkEnd w:id="10"/>
          </w:p>
        </w:tc>
      </w:tr>
      <w:tr w:rsidR="00DE6484" w:rsidRPr="00DE6484" w14:paraId="288BABF9" w14:textId="77777777" w:rsidTr="005E114C">
        <w:trPr>
          <w:trHeight w:val="308"/>
          <w:jc w:val="center"/>
        </w:trPr>
        <w:tc>
          <w:tcPr>
            <w:tcW w:w="0" w:type="auto"/>
            <w:tcBorders>
              <w:top w:val="single" w:sz="4" w:space="0" w:color="auto"/>
              <w:left w:val="nil"/>
              <w:bottom w:val="single" w:sz="4" w:space="0" w:color="auto"/>
              <w:right w:val="single" w:sz="4" w:space="0" w:color="auto"/>
            </w:tcBorders>
            <w:noWrap/>
          </w:tcPr>
          <w:p w14:paraId="5BC2123A" w14:textId="77777777" w:rsidR="00DE6484" w:rsidRPr="00DE6484" w:rsidRDefault="00DE6484" w:rsidP="00DE6484">
            <w:pPr>
              <w:jc w:val="both"/>
              <w:rPr>
                <w:rFonts w:ascii="Arial" w:hAnsi="Arial" w:cs="Arial"/>
              </w:rPr>
            </w:pPr>
          </w:p>
          <w:p w14:paraId="3F422638" w14:textId="77777777" w:rsidR="00DE6484" w:rsidRPr="00DE6484" w:rsidRDefault="00DE6484" w:rsidP="00DE6484">
            <w:pPr>
              <w:jc w:val="both"/>
              <w:rPr>
                <w:rFonts w:ascii="Arial" w:hAnsi="Arial" w:cs="Arial"/>
                <w:b/>
                <w:bCs/>
              </w:rPr>
            </w:pPr>
            <w:r w:rsidRPr="00DE6484">
              <w:rPr>
                <w:rFonts w:ascii="Arial" w:hAnsi="Arial" w:cs="Arial"/>
              </w:rPr>
              <w:t>320,15</w:t>
            </w:r>
          </w:p>
        </w:tc>
        <w:tc>
          <w:tcPr>
            <w:tcW w:w="0" w:type="auto"/>
            <w:tcBorders>
              <w:top w:val="single" w:sz="4" w:space="0" w:color="auto"/>
              <w:left w:val="single" w:sz="4" w:space="0" w:color="auto"/>
              <w:bottom w:val="single" w:sz="4" w:space="0" w:color="auto"/>
              <w:right w:val="single" w:sz="4" w:space="0" w:color="auto"/>
            </w:tcBorders>
            <w:noWrap/>
          </w:tcPr>
          <w:p w14:paraId="67C10271" w14:textId="77777777" w:rsidR="00DE6484" w:rsidRPr="00DE6484" w:rsidRDefault="00DE6484" w:rsidP="00DE6484">
            <w:pPr>
              <w:jc w:val="both"/>
              <w:rPr>
                <w:rFonts w:ascii="Arial" w:hAnsi="Arial" w:cs="Arial"/>
              </w:rPr>
            </w:pPr>
          </w:p>
          <w:p w14:paraId="7287898E" w14:textId="77777777" w:rsidR="00DE6484" w:rsidRPr="00DE6484" w:rsidRDefault="00DE6484" w:rsidP="00DE6484">
            <w:pPr>
              <w:jc w:val="both"/>
              <w:rPr>
                <w:rFonts w:ascii="Arial" w:hAnsi="Arial" w:cs="Arial"/>
              </w:rPr>
            </w:pPr>
            <w:r w:rsidRPr="00DE6484">
              <w:rPr>
                <w:rFonts w:ascii="Arial" w:hAnsi="Arial" w:cs="Arial"/>
              </w:rPr>
              <w:t>- 6221,833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B50AFD" w14:textId="77777777" w:rsidR="00DE6484" w:rsidRPr="00DE6484" w:rsidRDefault="00DE6484" w:rsidP="00DE6484">
            <w:pPr>
              <w:jc w:val="both"/>
              <w:rPr>
                <w:rFonts w:ascii="Arial" w:hAnsi="Arial" w:cs="Arial"/>
                <w:b/>
                <w:bCs/>
              </w:rPr>
            </w:pPr>
          </w:p>
        </w:tc>
        <w:tc>
          <w:tcPr>
            <w:tcW w:w="0" w:type="auto"/>
            <w:vMerge/>
            <w:tcBorders>
              <w:top w:val="single" w:sz="4" w:space="0" w:color="auto"/>
              <w:left w:val="single" w:sz="4" w:space="0" w:color="auto"/>
              <w:bottom w:val="single" w:sz="4" w:space="0" w:color="auto"/>
              <w:right w:val="nil"/>
            </w:tcBorders>
            <w:vAlign w:val="center"/>
            <w:hideMark/>
          </w:tcPr>
          <w:p w14:paraId="4073763C" w14:textId="77777777" w:rsidR="00DE6484" w:rsidRPr="00DE6484" w:rsidRDefault="00DE6484" w:rsidP="00DE6484">
            <w:pPr>
              <w:jc w:val="both"/>
              <w:rPr>
                <w:rFonts w:ascii="Arial" w:hAnsi="Arial" w:cs="Arial"/>
                <w:b/>
                <w:bCs/>
              </w:rPr>
            </w:pPr>
          </w:p>
        </w:tc>
      </w:tr>
      <w:tr w:rsidR="00DE6484" w:rsidRPr="00DE6484" w14:paraId="559FF7CA" w14:textId="77777777" w:rsidTr="005E114C">
        <w:trPr>
          <w:trHeight w:val="132"/>
          <w:jc w:val="center"/>
        </w:trPr>
        <w:tc>
          <w:tcPr>
            <w:tcW w:w="0" w:type="auto"/>
            <w:tcBorders>
              <w:top w:val="single" w:sz="4" w:space="0" w:color="auto"/>
              <w:left w:val="nil"/>
              <w:bottom w:val="single" w:sz="4" w:space="0" w:color="auto"/>
              <w:right w:val="single" w:sz="4" w:space="0" w:color="auto"/>
            </w:tcBorders>
          </w:tcPr>
          <w:p w14:paraId="11513093" w14:textId="77777777" w:rsidR="00DE6484" w:rsidRPr="00DE6484" w:rsidRDefault="00DE6484" w:rsidP="00DE6484">
            <w:pPr>
              <w:jc w:val="both"/>
              <w:rPr>
                <w:rFonts w:ascii="Arial" w:hAnsi="Arial" w:cs="Arial"/>
              </w:rPr>
            </w:pPr>
          </w:p>
          <w:p w14:paraId="72C124F5" w14:textId="77777777" w:rsidR="00DE6484" w:rsidRPr="00DE6484" w:rsidRDefault="00DE6484" w:rsidP="00DE6484">
            <w:pPr>
              <w:jc w:val="both"/>
              <w:rPr>
                <w:rFonts w:ascii="Arial" w:hAnsi="Arial" w:cs="Arial"/>
                <w:b/>
                <w:bCs/>
              </w:rPr>
            </w:pPr>
            <w:r w:rsidRPr="00DE6484">
              <w:rPr>
                <w:rFonts w:ascii="Arial" w:hAnsi="Arial" w:cs="Arial"/>
              </w:rPr>
              <w:t>334,15</w:t>
            </w:r>
          </w:p>
        </w:tc>
        <w:tc>
          <w:tcPr>
            <w:tcW w:w="0" w:type="auto"/>
            <w:tcBorders>
              <w:top w:val="single" w:sz="4" w:space="0" w:color="auto"/>
              <w:left w:val="single" w:sz="4" w:space="0" w:color="auto"/>
              <w:bottom w:val="single" w:sz="4" w:space="0" w:color="auto"/>
              <w:right w:val="single" w:sz="4" w:space="0" w:color="auto"/>
            </w:tcBorders>
            <w:noWrap/>
          </w:tcPr>
          <w:p w14:paraId="76B3B5A0" w14:textId="77777777" w:rsidR="00DE6484" w:rsidRPr="00DE6484" w:rsidRDefault="00DE6484" w:rsidP="00DE6484">
            <w:pPr>
              <w:jc w:val="both"/>
              <w:rPr>
                <w:rFonts w:ascii="Arial" w:hAnsi="Arial" w:cs="Arial"/>
              </w:rPr>
            </w:pPr>
          </w:p>
          <w:p w14:paraId="674BA73F" w14:textId="77777777" w:rsidR="00DE6484" w:rsidRPr="00DE6484" w:rsidRDefault="00DE6484" w:rsidP="00DE6484">
            <w:pPr>
              <w:jc w:val="both"/>
              <w:rPr>
                <w:rFonts w:ascii="Arial" w:hAnsi="Arial" w:cs="Arial"/>
                <w:b/>
                <w:bCs/>
              </w:rPr>
            </w:pPr>
            <w:r w:rsidRPr="00DE6484">
              <w:rPr>
                <w:rFonts w:ascii="Arial" w:hAnsi="Arial" w:cs="Arial"/>
              </w:rPr>
              <w:t>- 7770,831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5BF9EC" w14:textId="77777777" w:rsidR="00DE6484" w:rsidRPr="00DE6484" w:rsidRDefault="00DE6484" w:rsidP="00DE6484">
            <w:pPr>
              <w:jc w:val="both"/>
              <w:rPr>
                <w:rFonts w:ascii="Arial" w:hAnsi="Arial" w:cs="Arial"/>
                <w:b/>
                <w:bCs/>
              </w:rPr>
            </w:pPr>
          </w:p>
        </w:tc>
        <w:tc>
          <w:tcPr>
            <w:tcW w:w="0" w:type="auto"/>
            <w:vMerge/>
            <w:tcBorders>
              <w:top w:val="single" w:sz="4" w:space="0" w:color="auto"/>
              <w:left w:val="single" w:sz="4" w:space="0" w:color="auto"/>
              <w:bottom w:val="single" w:sz="4" w:space="0" w:color="auto"/>
              <w:right w:val="nil"/>
            </w:tcBorders>
            <w:vAlign w:val="center"/>
            <w:hideMark/>
          </w:tcPr>
          <w:p w14:paraId="4F8FAB00" w14:textId="77777777" w:rsidR="00DE6484" w:rsidRPr="00DE6484" w:rsidRDefault="00DE6484" w:rsidP="00DE6484">
            <w:pPr>
              <w:jc w:val="both"/>
              <w:rPr>
                <w:rFonts w:ascii="Arial" w:hAnsi="Arial" w:cs="Arial"/>
                <w:b/>
                <w:bCs/>
              </w:rPr>
            </w:pPr>
          </w:p>
        </w:tc>
      </w:tr>
    </w:tbl>
    <w:p w14:paraId="74F1E396" w14:textId="77777777" w:rsidR="00DE6484" w:rsidRPr="00DE6484" w:rsidRDefault="00DE6484" w:rsidP="00DE6484">
      <w:pPr>
        <w:jc w:val="both"/>
        <w:rPr>
          <w:rFonts w:ascii="Arial" w:hAnsi="Arial" w:cs="Arial"/>
        </w:rPr>
      </w:pPr>
    </w:p>
    <w:p w14:paraId="7EB4DE36" w14:textId="77777777" w:rsidR="00DE6484" w:rsidRPr="00DE6484" w:rsidRDefault="00DE6484" w:rsidP="00DE6484">
      <w:pPr>
        <w:jc w:val="both"/>
        <w:rPr>
          <w:rFonts w:ascii="Arial" w:hAnsi="Arial" w:cs="Arial"/>
        </w:rPr>
      </w:pPr>
      <w:r w:rsidRPr="00DE6484">
        <w:rPr>
          <w:rFonts w:ascii="Arial" w:hAnsi="Arial" w:cs="Arial"/>
        </w:rPr>
        <w:t>The analysis of the thermodynamic parameters provides deeper insight into the nature and feasibility of the adsorption process. The values obtained were ΔH° = 29.20 kJ.mol</w:t>
      </w:r>
      <w:r w:rsidRPr="00DE6484">
        <w:rPr>
          <w:rFonts w:ascii="Cambria Math" w:hAnsi="Cambria Math" w:cs="Cambria Math"/>
        </w:rPr>
        <w:t>⁻</w:t>
      </w:r>
      <w:r w:rsidRPr="00DE6484">
        <w:rPr>
          <w:rFonts w:ascii="Arial" w:hAnsi="Arial" w:cs="Arial"/>
        </w:rPr>
        <w:t>¹ and ΔS° = 110.64 J·mol</w:t>
      </w:r>
      <w:r w:rsidRPr="00DE6484">
        <w:rPr>
          <w:rFonts w:ascii="Cambria Math" w:hAnsi="Cambria Math" w:cs="Cambria Math"/>
        </w:rPr>
        <w:t>⁻</w:t>
      </w:r>
      <w:r w:rsidRPr="00DE6484">
        <w:rPr>
          <w:rFonts w:ascii="Arial" w:hAnsi="Arial" w:cs="Arial"/>
        </w:rPr>
        <w:t>¹.K</w:t>
      </w:r>
      <w:r w:rsidRPr="00DE6484">
        <w:rPr>
          <w:rFonts w:ascii="Cambria Math" w:hAnsi="Cambria Math" w:cs="Cambria Math"/>
        </w:rPr>
        <w:t>⁻</w:t>
      </w:r>
      <w:r w:rsidRPr="00DE6484">
        <w:rPr>
          <w:rFonts w:ascii="Arial" w:hAnsi="Arial" w:cs="Arial"/>
        </w:rPr>
        <w:t>¹. The positive standard enthalpy (ΔH° &gt; 0) indicates that the adsorption is endothermic; thus, increasing temperature enhances the adsorption of methylene blue onto the prepared activated carbons. The relatively low enthalpy (29.20 kJ.mol</w:t>
      </w:r>
      <w:r w:rsidRPr="00DE6484">
        <w:rPr>
          <w:rFonts w:ascii="Cambria Math" w:hAnsi="Cambria Math" w:cs="Cambria Math"/>
        </w:rPr>
        <w:t>⁻</w:t>
      </w:r>
      <w:r w:rsidRPr="00DE6484">
        <w:rPr>
          <w:rFonts w:ascii="Arial" w:hAnsi="Arial" w:cs="Arial"/>
        </w:rPr>
        <w:t>¹, i.e., &lt; 40 kJ.mol</w:t>
      </w:r>
      <w:r w:rsidRPr="00DE6484">
        <w:rPr>
          <w:rFonts w:ascii="Cambria Math" w:hAnsi="Cambria Math" w:cs="Cambria Math"/>
        </w:rPr>
        <w:t>⁻</w:t>
      </w:r>
      <w:r w:rsidRPr="00DE6484">
        <w:rPr>
          <w:rFonts w:ascii="Arial" w:hAnsi="Arial" w:cs="Arial"/>
        </w:rPr>
        <w:t xml:space="preserve">¹) is consistent with a physisorption process </w:t>
      </w:r>
      <w:r w:rsidRPr="00DE6484">
        <w:rPr>
          <w:rFonts w:ascii="Arial" w:hAnsi="Arial" w:cs="Arial"/>
        </w:rPr>
        <w:fldChar w:fldCharType="begin"/>
      </w:r>
      <w:r w:rsidRPr="00DE6484">
        <w:rPr>
          <w:rFonts w:ascii="Arial" w:hAnsi="Arial" w:cs="Arial"/>
        </w:rPr>
        <w:instrText xml:space="preserve"> ADDIN ZOTERO_ITEM CSL_CITATION {"citationID":"qvCOfaZl","properties":{"formattedCitation":"(Baari et al. 2025)","plainCitation":"(Baari et al. 2025)","noteIndex":0},"citationItems":[{"id":484,"uris":["http://zotero.org/users/18768689/items/2R95N4PD"],"itemData":{"id":484,"type":"article-journal","abstract":"Water pollutants, such as dyes and heavy metals, which cause various health and environmental problems, challenge researchers to investigate activated carbon-based adsorbents. These adsorbents are obtained from natural sources or waste, so they are environmentally friendly. The literature reveals that the adsorption capacities of activated carbons obtained from experiments, isotherm equations, and kinetic equations are relatively high but vary in value. The abundance of functional groups as active sites and the spread of pores or cavities on the adsorbent surface affect the efficiency of adsorption. This review aims to overview the adsorption isotherms, thermodynamic properties, and kinetic behaviors of several activated carbons from natural sources and waste. The maximum adsorption capacity of the dyes is in the range of 2.0–1169.25 mg∙g–1, while the maximum adsorption capacity of heavy metals is in the range of 0.488–312.5 mg∙g–1. The different adsorption mechanisms, the convenience of adsorption, adsorption energy, the spontaneity of adsorption, and the rate-determining step are described for each type of activated carbon. Therefore, specified information about their performances toward different water pollutants can be evaluated. Moreover, potential improvements in the performance of existing adsorbents can be gained through further research based on the findings of this review.","container-title":"Chimica Techno Acta","DOI":"10.15826/chimtech.2025.12.2.14","ISSN":"2411-1414","issue":"2","journalAbbreviation":"Chim.Tech.Acta","page":"12214, 8582","source":"DOI.org (Crossref)","title":"Adsorption isotherms, thermodynamics, and kinetics of activated carbon as adsorbent to water pollutants: a review","title-short":"Adsorption isotherms, thermodynamics, and kinetics of activated carbon as adsorbent to water pollutants","volume":"12","author":[{"family":"Baari","given":"Muhamad Jalil"},{"family":"Rudi","given":"La"},{"family":"Harimu","given":"La"}],"issued":{"date-parts":[["2025",4,23]]}}}],"schema":"https://github.com/citation-style-language/schema/raw/master/csl-citation.json"} </w:instrText>
      </w:r>
      <w:r w:rsidRPr="00DE6484">
        <w:rPr>
          <w:rFonts w:ascii="Arial" w:hAnsi="Arial" w:cs="Arial"/>
        </w:rPr>
        <w:fldChar w:fldCharType="separate"/>
      </w:r>
      <w:r w:rsidRPr="00DE6484">
        <w:rPr>
          <w:rFonts w:ascii="Arial" w:hAnsi="Arial" w:cs="Arial"/>
        </w:rPr>
        <w:t>(Baari et al. 2025)</w:t>
      </w:r>
      <w:r w:rsidRPr="00DE6484">
        <w:rPr>
          <w:rFonts w:ascii="Arial" w:hAnsi="Arial" w:cs="Arial"/>
        </w:rPr>
        <w:fldChar w:fldCharType="end"/>
      </w:r>
      <w:r w:rsidRPr="00DE6484">
        <w:rPr>
          <w:rFonts w:ascii="Arial" w:hAnsi="Arial" w:cs="Arial"/>
        </w:rPr>
        <w:t>.</w:t>
      </w:r>
    </w:p>
    <w:p w14:paraId="7BBDAD08" w14:textId="77777777" w:rsidR="00DE6484" w:rsidRPr="00DE6484" w:rsidRDefault="00DE6484" w:rsidP="00DE6484">
      <w:pPr>
        <w:jc w:val="both"/>
        <w:rPr>
          <w:rFonts w:ascii="Arial" w:hAnsi="Arial" w:cs="Arial"/>
        </w:rPr>
      </w:pPr>
      <w:r w:rsidRPr="00DE6484">
        <w:rPr>
          <w:rFonts w:ascii="Arial" w:hAnsi="Arial" w:cs="Arial"/>
        </w:rPr>
        <w:lastRenderedPageBreak/>
        <w:t xml:space="preserve">Moreover, the positive entropy value (ΔS° &gt; 0) suggests an increase in disorder at the solid–liquid interface, which can be attributed to the disruption of the solvation shell of water in favor of solute–adsorbent site interactions </w:t>
      </w:r>
      <w:r w:rsidRPr="00DE6484">
        <w:rPr>
          <w:rFonts w:ascii="Arial" w:hAnsi="Arial" w:cs="Arial"/>
        </w:rPr>
        <w:fldChar w:fldCharType="begin"/>
      </w:r>
      <w:r w:rsidRPr="00DE6484">
        <w:rPr>
          <w:rFonts w:ascii="Arial" w:hAnsi="Arial" w:cs="Arial"/>
        </w:rPr>
        <w:instrText xml:space="preserve"> ADDIN ZOTERO_ITEM CSL_CITATION {"citationID":"11B3MCmf","properties":{"formattedCitation":"(Boumchita et al. 2016; Foo et Hameed 2010; Haghseresht et Lu 1998)","plainCitation":"(Boumchita et al. 2016; Foo et Hameed 2010; Haghseresht et Lu 1998)","noteIndex":0},"citationItems":[{"id":488,"uris":["http://zotero.org/users/18768689/items/JJR9YQRE"],"itemData":{"id":488,"type":"article-journal","abstract":"In this study, the adsorption of methylene blue dye from aqueous solution, on low cost adsorbent, potato peel, was studied using batch experiments. The characterization of the adsorbent was performed by scanning electron microscope (SEM) coupled with EDX and Fourier transforms infrared spectrometer (FTIR). The effect of adsorbent dose, initial dye concentration, contact time, pH and temperature was investigated. The kinetic data were fitted to the pseudo-first order and pseudo-second order models, and it is revealed that the adsorption of methylene blue onto potato peel follows the pseudo-second order model for all investigated initial dye concentration. The isotherms of adsorption data were analyzed by Langmuir and Freundlich models. It was found that the adsorption process could by described be the Langmuir isotherm (R2=0.995), the maximum adsorption capacity, obtained from the Langmuir isotherm plot was 32.70 mg.g-1.The thermodynamic parameters such as enthalpy ∆H°, entropy ∆S° and free energy ∆G° have also been evaluated to predict the nature of adsorption. The results indicate that the adsorption process is an exothermic, spontaneous physisorption.","language":"fr","source":"Zotero","title":"Elimination d’un colorant cationique dans une solution aqueuse par un déchet alimentaire : Epluchure de pomme de terre [Removal of cationic dye from aqueous solution by a food waste: Potato peel]","author":[{"family":"Boumchita","given":"S"},{"family":"Lahrichi","given":"A"},{"family":"Benjelloun","given":"Y"},{"family":"Lairini","given":"S"},{"family":"Nenov","given":"V"},{"family":"Zerrouq","given":"F"}],"issued":{"date-parts":[["2016"]]}}},{"id":466,"uris":["http://zotero.org/users/18768689/items/X9J5EVW4"],"itemData":{"id":466,"type":"article-journal","container-title":"Chemical Engineering Journal","DOI":"10.1016/j.cej.2009.09.013","ISSN":"13858947","issue":"1","journalAbbreviation":"Chemical Engineering Journal","language":"en","page":"2-10","source":"DOI.org (Crossref)","title":"Insights into the modeling of adsorption isotherm systems","volume":"156","author":[{"family":"Foo","given":"K.Y."},{"family":"Hameed","given":"B.H."}],"issued":{"date-parts":[["2010",1]]}}},{"id":489,"uris":["http://zotero.org/users/18768689/items/9HYBF99G"],"itemData":{"id":489,"type":"article-journal","container-title":"Energy &amp; Fuels","DOI":"10.1021/ef9801165","ISSN":"0887-0624, 1520-5029","issue":"6","journalAbbreviation":"Energy Fuels","language":"en","page":"1100-1107","source":"DOI.org (Crossref)","title":"Adsorption Characteristics of Phenolic Compounds onto Coal-Reject-Derived Adsorbents","volume":"12","author":[{"family":"Haghseresht","given":"F."},{"family":"Lu","given":"G. Q."}],"issued":{"date-parts":[["1998",11,1]]}}}],"schema":"https://github.com/citation-style-language/schema/raw/master/csl-citation.json"} </w:instrText>
      </w:r>
      <w:r w:rsidRPr="00DE6484">
        <w:rPr>
          <w:rFonts w:ascii="Arial" w:hAnsi="Arial" w:cs="Arial"/>
        </w:rPr>
        <w:fldChar w:fldCharType="separate"/>
      </w:r>
      <w:r w:rsidRPr="00DE6484">
        <w:rPr>
          <w:rFonts w:ascii="Arial" w:hAnsi="Arial" w:cs="Arial"/>
        </w:rPr>
        <w:t>(Boumchita et al. 2016; Foo et Hameed 2010; Haghseresht et Lu 1998)</w:t>
      </w:r>
      <w:r w:rsidRPr="00DE6484">
        <w:rPr>
          <w:rFonts w:ascii="Arial" w:hAnsi="Arial" w:cs="Arial"/>
        </w:rPr>
        <w:fldChar w:fldCharType="end"/>
      </w:r>
      <w:r w:rsidRPr="00DE6484">
        <w:rPr>
          <w:rFonts w:ascii="Arial" w:hAnsi="Arial" w:cs="Arial"/>
        </w:rPr>
        <w:t xml:space="preserve">. This also reflects a strong affinity between the cationic dye and the carbon surface </w:t>
      </w:r>
      <w:r w:rsidRPr="00DE6484">
        <w:rPr>
          <w:rFonts w:ascii="Arial" w:hAnsi="Arial" w:cs="Arial"/>
        </w:rPr>
        <w:fldChar w:fldCharType="begin"/>
      </w:r>
      <w:r w:rsidRPr="00DE6484">
        <w:rPr>
          <w:rFonts w:ascii="Arial" w:hAnsi="Arial" w:cs="Arial"/>
        </w:rPr>
        <w:instrText xml:space="preserve"> ADDIN ZOTERO_ITEM CSL_CITATION {"citationID":"IX0JdmuM","properties":{"formattedCitation":"(Basu et al. 2018)","plainCitation":"(Basu et al. 2018)","noteIndex":0},"citationItems":[{"id":341,"uris":["http://zotero.org/users/18768689/items/N8UBGVFU"],"itemData":{"id":341,"type":"article-journal","container-title":"Process Safety and Environmental Protection","DOI":"10.1016/j.psep.2018.04.015","ISSN":"09575820","journalAbbreviation":"Process Safety and Environmental Protection","language":"en","page":"125-142","source":"DOI.org (Crossref)","title":"Adsorption characteristics of phosphoric acid induced activation of bio-carbon: Equilibrium, kinetics, thermodynamics and batch adsorber design","title-short":"Adsorption characteristics of phosphoric acid induced activation of bio-carbon","volume":"117","author":[{"family":"Basu","given":"Sankhadeep"},{"family":"Ghosh","given":"Gourab"},{"family":"Saha","given":"Sudeshna"}],"issued":{"date-parts":[["2018",7]]}}}],"schema":"https://github.com/citation-style-language/schema/raw/master/csl-citation.json"} </w:instrText>
      </w:r>
      <w:r w:rsidRPr="00DE6484">
        <w:rPr>
          <w:rFonts w:ascii="Arial" w:hAnsi="Arial" w:cs="Arial"/>
        </w:rPr>
        <w:fldChar w:fldCharType="separate"/>
      </w:r>
      <w:r w:rsidRPr="00DE6484">
        <w:rPr>
          <w:rFonts w:ascii="Arial" w:hAnsi="Arial" w:cs="Arial"/>
        </w:rPr>
        <w:t>(Basu et al. 2018)</w:t>
      </w:r>
      <w:r w:rsidRPr="00DE6484">
        <w:rPr>
          <w:rFonts w:ascii="Arial" w:hAnsi="Arial" w:cs="Arial"/>
        </w:rPr>
        <w:fldChar w:fldCharType="end"/>
      </w:r>
      <w:r w:rsidRPr="00DE6484">
        <w:rPr>
          <w:rFonts w:ascii="Arial" w:hAnsi="Arial" w:cs="Arial"/>
        </w:rPr>
        <w:t>.</w:t>
      </w:r>
    </w:p>
    <w:p w14:paraId="36A41001" w14:textId="77777777" w:rsidR="00DE6484" w:rsidRDefault="00DE6484" w:rsidP="00DE6484">
      <w:pPr>
        <w:jc w:val="both"/>
        <w:rPr>
          <w:rFonts w:ascii="Arial" w:hAnsi="Arial" w:cs="Arial"/>
        </w:rPr>
      </w:pPr>
      <w:r w:rsidRPr="00DE6484">
        <w:rPr>
          <w:rFonts w:ascii="Arial" w:hAnsi="Arial" w:cs="Arial"/>
        </w:rPr>
        <w:t xml:space="preserve">From ΔG° = ΔH° − TΔS°, all ΔG° values were negative over the temperature range investigated, indicating that the adsorption process is spontaneous and thermodynamically favorable </w:t>
      </w:r>
      <w:r w:rsidRPr="00DE6484">
        <w:rPr>
          <w:rFonts w:ascii="Arial" w:hAnsi="Arial" w:cs="Arial"/>
        </w:rPr>
        <w:fldChar w:fldCharType="begin"/>
      </w:r>
      <w:r w:rsidRPr="00DE6484">
        <w:rPr>
          <w:rFonts w:ascii="Arial" w:hAnsi="Arial" w:cs="Arial"/>
        </w:rPr>
        <w:instrText xml:space="preserve"> ADDIN ZOTERO_ITEM CSL_CITATION {"citationID":"ZHOJau90","properties":{"formattedCitation":"(Basu et al. 2018)","plainCitation":"(Basu et al. 2018)","noteIndex":0},"citationItems":[{"id":341,"uris":["http://zotero.org/users/18768689/items/N8UBGVFU"],"itemData":{"id":341,"type":"article-journal","container-title":"Process Safety and Environmental Protection","DOI":"10.1016/j.psep.2018.04.015","ISSN":"09575820","journalAbbreviation":"Process Safety and Environmental Protection","language":"en","page":"125-142","source":"DOI.org (Crossref)","title":"Adsorption characteristics of phosphoric acid induced activation of bio-carbon: Equilibrium, kinetics, thermodynamics and batch adsorber design","title-short":"Adsorption characteristics of phosphoric acid induced activation of bio-carbon","volume":"117","author":[{"family":"Basu","given":"Sankhadeep"},{"family":"Ghosh","given":"Gourab"},{"family":"Saha","given":"Sudeshna"}],"issued":{"date-parts":[["2018",7]]}}}],"schema":"https://github.com/citation-style-language/schema/raw/master/csl-citation.json"} </w:instrText>
      </w:r>
      <w:r w:rsidRPr="00DE6484">
        <w:rPr>
          <w:rFonts w:ascii="Arial" w:hAnsi="Arial" w:cs="Arial"/>
        </w:rPr>
        <w:fldChar w:fldCharType="separate"/>
      </w:r>
      <w:r w:rsidRPr="00DE6484">
        <w:rPr>
          <w:rFonts w:ascii="Arial" w:hAnsi="Arial" w:cs="Arial"/>
        </w:rPr>
        <w:t>(Basu et al. 2018)</w:t>
      </w:r>
      <w:r w:rsidRPr="00DE6484">
        <w:rPr>
          <w:rFonts w:ascii="Arial" w:hAnsi="Arial" w:cs="Arial"/>
        </w:rPr>
        <w:fldChar w:fldCharType="end"/>
      </w:r>
      <w:r w:rsidRPr="00DE6484">
        <w:rPr>
          <w:rFonts w:ascii="Arial" w:hAnsi="Arial" w:cs="Arial"/>
        </w:rPr>
        <w:t>. Altogether, these results confirm the effectiveness of phosphoric-acid-activated carbons under typical water-treatment temperatures.</w:t>
      </w:r>
    </w:p>
    <w:p w14:paraId="13F7B573" w14:textId="77777777" w:rsidR="00DE6484" w:rsidRPr="00DE6484" w:rsidRDefault="00DE6484" w:rsidP="00DE6484">
      <w:pPr>
        <w:jc w:val="both"/>
        <w:rPr>
          <w:rFonts w:ascii="Arial" w:hAnsi="Arial" w:cs="Arial"/>
        </w:rPr>
      </w:pPr>
    </w:p>
    <w:p w14:paraId="4F06D931" w14:textId="77777777" w:rsidR="00DE6484" w:rsidRDefault="00DE6484" w:rsidP="00DE6484">
      <w:pPr>
        <w:jc w:val="both"/>
        <w:rPr>
          <w:rFonts w:ascii="Arial" w:hAnsi="Arial" w:cs="Arial"/>
          <w:b/>
          <w:bCs/>
        </w:rPr>
      </w:pPr>
      <w:r w:rsidRPr="00DE6484">
        <w:rPr>
          <w:rFonts w:ascii="Arial" w:hAnsi="Arial" w:cs="Arial"/>
          <w:b/>
          <w:bCs/>
        </w:rPr>
        <w:t>3.6.2. Langmuir model</w:t>
      </w:r>
    </w:p>
    <w:p w14:paraId="71ADFF08" w14:textId="77777777" w:rsidR="00DE6484" w:rsidRPr="00DE6484" w:rsidRDefault="00DE6484" w:rsidP="00DE6484">
      <w:pPr>
        <w:jc w:val="both"/>
        <w:rPr>
          <w:rFonts w:ascii="Arial" w:hAnsi="Arial" w:cs="Arial"/>
          <w:b/>
          <w:bCs/>
        </w:rPr>
      </w:pPr>
    </w:p>
    <w:p w14:paraId="54C71D0B" w14:textId="77777777" w:rsidR="00DE6484" w:rsidRPr="00DE6484" w:rsidRDefault="00DE6484" w:rsidP="00DE6484">
      <w:pPr>
        <w:jc w:val="both"/>
        <w:rPr>
          <w:rFonts w:ascii="Arial" w:hAnsi="Arial" w:cs="Arial"/>
        </w:rPr>
      </w:pPr>
      <w:r w:rsidRPr="00DE6484">
        <w:rPr>
          <w:rFonts w:ascii="Arial" w:hAnsi="Arial" w:cs="Arial"/>
        </w:rPr>
        <w:t>Figure 5 shows the Langmuir isotherms for the adsorption of methylene blue (MB) onto corncob-based activated carbons produced at 400, 500, and 600 °C (impregnation with 2.0 M H</w:t>
      </w:r>
      <w:r w:rsidRPr="00DE6484">
        <w:rPr>
          <w:rFonts w:ascii="Arial" w:hAnsi="Arial" w:cs="Arial"/>
          <w:vertAlign w:val="subscript"/>
        </w:rPr>
        <w:t>3</w:t>
      </w:r>
      <w:r w:rsidRPr="00DE6484">
        <w:rPr>
          <w:rFonts w:ascii="Arial" w:hAnsi="Arial" w:cs="Arial"/>
        </w:rPr>
        <w:t>PO</w:t>
      </w:r>
      <w:r w:rsidRPr="00DE6484">
        <w:rPr>
          <w:rFonts w:ascii="Arial" w:hAnsi="Arial" w:cs="Arial"/>
          <w:vertAlign w:val="subscript"/>
        </w:rPr>
        <w:t>4</w:t>
      </w:r>
      <w:r w:rsidRPr="00DE6484">
        <w:rPr>
          <w:rFonts w:ascii="Arial" w:hAnsi="Arial" w:cs="Arial"/>
        </w:rPr>
        <w:t>), using 0.05 g of adsorbent in 80 mL of MB solution at pH 6.68.</w:t>
      </w:r>
    </w:p>
    <w:p w14:paraId="75B20C94" w14:textId="77777777" w:rsidR="00DE6484" w:rsidRPr="00DE6484" w:rsidRDefault="00DE6484" w:rsidP="00DE6484">
      <w:pPr>
        <w:jc w:val="both"/>
        <w:rPr>
          <w:rFonts w:ascii="Arial" w:hAnsi="Arial" w:cs="Arial"/>
        </w:rPr>
      </w:pPr>
    </w:p>
    <w:p w14:paraId="4A9984F3" w14:textId="77777777" w:rsidR="00DE6484" w:rsidRPr="00DE6484" w:rsidRDefault="00DE6484" w:rsidP="00DE6484">
      <w:pPr>
        <w:jc w:val="both"/>
        <w:rPr>
          <w:rFonts w:ascii="Arial" w:hAnsi="Arial" w:cs="Arial"/>
        </w:rPr>
      </w:pPr>
      <w:r w:rsidRPr="00DE6484">
        <w:rPr>
          <w:rFonts w:ascii="Arial" w:hAnsi="Arial" w:cs="Arial"/>
          <w:noProof/>
        </w:rPr>
        <mc:AlternateContent>
          <mc:Choice Requires="wps">
            <w:drawing>
              <wp:anchor distT="0" distB="0" distL="114300" distR="114300" simplePos="0" relativeHeight="251662336" behindDoc="0" locked="0" layoutInCell="1" allowOverlap="1" wp14:anchorId="41B5479C" wp14:editId="62890236">
                <wp:simplePos x="0" y="0"/>
                <wp:positionH relativeFrom="column">
                  <wp:posOffset>2169795</wp:posOffset>
                </wp:positionH>
                <wp:positionV relativeFrom="paragraph">
                  <wp:posOffset>1581785</wp:posOffset>
                </wp:positionV>
                <wp:extent cx="405130" cy="268605"/>
                <wp:effectExtent l="0" t="0" r="13970" b="17145"/>
                <wp:wrapNone/>
                <wp:docPr id="423487487" name="Zone de texte 10"/>
                <wp:cNvGraphicFramePr/>
                <a:graphic xmlns:a="http://schemas.openxmlformats.org/drawingml/2006/main">
                  <a:graphicData uri="http://schemas.microsoft.com/office/word/2010/wordprocessingShape">
                    <wps:wsp>
                      <wps:cNvSpPr txBox="1"/>
                      <wps:spPr>
                        <a:xfrm>
                          <a:off x="0" y="0"/>
                          <a:ext cx="405130" cy="268605"/>
                        </a:xfrm>
                        <a:prstGeom prst="rect">
                          <a:avLst/>
                        </a:prstGeom>
                        <a:solidFill>
                          <a:sysClr val="window" lastClr="FFFFFF"/>
                        </a:solidFill>
                        <a:ln w="6350">
                          <a:solidFill>
                            <a:prstClr val="black"/>
                          </a:solidFill>
                        </a:ln>
                      </wps:spPr>
                      <wps:txbx>
                        <w:txbxContent>
                          <w:p w14:paraId="3D7B6FC6" w14:textId="77777777" w:rsidR="00DE6484" w:rsidRPr="00C035C3" w:rsidRDefault="00DE6484" w:rsidP="00DE6484">
                            <w:pPr>
                              <w:rPr>
                                <w:rFonts w:ascii="Arial" w:hAnsi="Arial" w:cs="Arial"/>
                                <w:b/>
                                <w:bCs/>
                              </w:rPr>
                            </w:pPr>
                            <w:r w:rsidRPr="00C035C3">
                              <w:rPr>
                                <w:rFonts w:ascii="Arial" w:hAnsi="Arial" w:cs="Arial"/>
                                <w:b/>
                                <w:bCs/>
                              </w:rPr>
                              <w:t>5.a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5479C" id="Zone de texte 10" o:spid="_x0000_s1028" type="#_x0000_t202" style="position:absolute;left:0;text-align:left;margin-left:170.85pt;margin-top:124.55pt;width:31.9pt;height:2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" fillcolor="window" strokeweight=".5pt">
                <v:textbox>
                  <w:txbxContent>
                    <w:p w14:paraId="3D7B6FC6" w14:textId="77777777" w:rsidR="00DE6484" w:rsidRPr="00C035C3" w:rsidRDefault="00DE6484" w:rsidP="00DE6484">
                      <w:pPr>
                        <w:rPr>
                          <w:rFonts w:ascii="Arial" w:hAnsi="Arial" w:cs="Arial"/>
                          <w:b/>
                          <w:bCs/>
                        </w:rPr>
                      </w:pPr>
                      <w:r w:rsidRPr="00C035C3">
                        <w:rPr>
                          <w:rFonts w:ascii="Arial" w:hAnsi="Arial" w:cs="Arial"/>
                          <w:b/>
                          <w:bCs/>
                        </w:rPr>
                        <w:t>5.a</w:t>
                      </w:r>
                    </w:p>
                  </w:txbxContent>
                </v:textbox>
              </v:shape>
            </w:pict>
          </mc:Fallback>
        </mc:AlternateContent>
      </w:r>
      <w:r w:rsidRPr="00DE6484">
        <w:rPr>
          <w:rFonts w:ascii="Arial" w:hAnsi="Arial" w:cs="Arial"/>
          <w:noProof/>
        </w:rPr>
        <mc:AlternateContent>
          <mc:Choice Requires="wps">
            <w:drawing>
              <wp:anchor distT="0" distB="0" distL="114300" distR="114300" simplePos="0" relativeHeight="251661312" behindDoc="0" locked="0" layoutInCell="1" allowOverlap="1" wp14:anchorId="3D26C9F4" wp14:editId="141E648B">
                <wp:simplePos x="0" y="0"/>
                <wp:positionH relativeFrom="margin">
                  <wp:posOffset>2933700</wp:posOffset>
                </wp:positionH>
                <wp:positionV relativeFrom="paragraph">
                  <wp:posOffset>92710</wp:posOffset>
                </wp:positionV>
                <wp:extent cx="2987040" cy="2712720"/>
                <wp:effectExtent l="0" t="0" r="0" b="0"/>
                <wp:wrapNone/>
                <wp:docPr id="1359559912" name="Zone de texte 1"/>
                <wp:cNvGraphicFramePr/>
                <a:graphic xmlns:a="http://schemas.openxmlformats.org/drawingml/2006/main">
                  <a:graphicData uri="http://schemas.microsoft.com/office/word/2010/wordprocessingShape">
                    <wps:wsp>
                      <wps:cNvSpPr txBox="1"/>
                      <wps:spPr>
                        <a:xfrm>
                          <a:off x="0" y="0"/>
                          <a:ext cx="2987040" cy="2712720"/>
                        </a:xfrm>
                        <a:prstGeom prst="rect">
                          <a:avLst/>
                        </a:prstGeom>
                        <a:noFill/>
                        <a:ln w="6350">
                          <a:noFill/>
                        </a:ln>
                      </wps:spPr>
                      <wps:txbx>
                        <w:txbxContent>
                          <w:p w14:paraId="7E7A6ECA" w14:textId="77777777" w:rsidR="00DE6484" w:rsidRDefault="00DE6484" w:rsidP="00DE6484">
                            <w:pPr>
                              <w:jc w:val="center"/>
                            </w:pPr>
                            <w:r>
                              <w:rPr>
                                <w:noProof/>
                              </w:rPr>
                              <w:drawing>
                                <wp:inline distT="0" distB="0" distL="0" distR="0" wp14:anchorId="062DC6B4" wp14:editId="3A8355B2">
                                  <wp:extent cx="2716772" cy="2262216"/>
                                  <wp:effectExtent l="0" t="0" r="7620" b="5080"/>
                                  <wp:docPr id="1417822972" name="Graphique 1">
                                    <a:extLst xmlns:a="http://schemas.openxmlformats.org/drawingml/2006/main">
                                      <a:ext uri="{FF2B5EF4-FFF2-40B4-BE49-F238E27FC236}">
                                        <a16:creationId xmlns:a16="http://schemas.microsoft.com/office/drawing/2014/main" id="{3620EB3F-ABE7-BA0F-C6EE-234C8E2BD8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9F9433A" w14:textId="77777777" w:rsidR="00DE6484" w:rsidRDefault="00DE6484" w:rsidP="00DE6484">
                            <w:pPr>
                              <w:jc w:val="center"/>
                            </w:pPr>
                          </w:p>
                          <w:p w14:paraId="2A94EE0D" w14:textId="77777777" w:rsidR="00DE6484" w:rsidRDefault="00DE6484" w:rsidP="00DE6484">
                            <w:pPr>
                              <w:jc w:val="center"/>
                            </w:pPr>
                          </w:p>
                          <w:p w14:paraId="2E7D245E" w14:textId="77777777" w:rsidR="00DE6484" w:rsidRDefault="00DE6484" w:rsidP="00DE6484">
                            <w:pPr>
                              <w:jc w:val="center"/>
                            </w:pPr>
                          </w:p>
                          <w:p w14:paraId="11E8F41B" w14:textId="77777777" w:rsidR="00DE6484" w:rsidRDefault="00DE6484" w:rsidP="00DE6484">
                            <w:pPr>
                              <w:jc w:val="cente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26C9F4" id="_x0000_s1029" type="#_x0000_t202" style="position:absolute;left:0;text-align:left;margin-left:231pt;margin-top:7.3pt;width:235.2pt;height:213.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" filled="f" stroked="f" strokeweight=".5pt">
                <v:textbox>
                  <w:txbxContent>
                    <w:p w14:paraId="7E7A6ECA" w14:textId="77777777" w:rsidR="00DE6484" w:rsidRDefault="00DE6484" w:rsidP="00DE6484">
                      <w:pPr>
                        <w:jc w:val="center"/>
                      </w:pPr>
                      <w:r>
                        <w:rPr>
                          <w:noProof/>
                        </w:rPr>
                        <w:drawing>
                          <wp:inline distT="0" distB="0" distL="0" distR="0" wp14:anchorId="062DC6B4" wp14:editId="3A8355B2">
                            <wp:extent cx="2716772" cy="2262216"/>
                            <wp:effectExtent l="0" t="0" r="7620" b="5080"/>
                            <wp:docPr id="1417822972" name="Graphique 1">
                              <a:extLst xmlns:a="http://schemas.openxmlformats.org/drawingml/2006/main">
                                <a:ext uri="{FF2B5EF4-FFF2-40B4-BE49-F238E27FC236}">
                                  <a16:creationId xmlns:a16="http://schemas.microsoft.com/office/drawing/2014/main" id="{3620EB3F-ABE7-BA0F-C6EE-234C8E2BD8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9F9433A" w14:textId="77777777" w:rsidR="00DE6484" w:rsidRDefault="00DE6484" w:rsidP="00DE6484">
                      <w:pPr>
                        <w:jc w:val="center"/>
                      </w:pPr>
                    </w:p>
                    <w:p w14:paraId="2A94EE0D" w14:textId="77777777" w:rsidR="00DE6484" w:rsidRDefault="00DE6484" w:rsidP="00DE6484">
                      <w:pPr>
                        <w:jc w:val="center"/>
                      </w:pPr>
                    </w:p>
                    <w:p w14:paraId="2E7D245E" w14:textId="77777777" w:rsidR="00DE6484" w:rsidRDefault="00DE6484" w:rsidP="00DE6484">
                      <w:pPr>
                        <w:jc w:val="center"/>
                      </w:pPr>
                    </w:p>
                    <w:p w14:paraId="11E8F41B" w14:textId="77777777" w:rsidR="00DE6484" w:rsidRDefault="00DE6484" w:rsidP="00DE6484">
                      <w:pPr>
                        <w:jc w:val="center"/>
                      </w:pPr>
                    </w:p>
                  </w:txbxContent>
                </v:textbox>
                <w10:wrap anchorx="margin"/>
              </v:shape>
            </w:pict>
          </mc:Fallback>
        </mc:AlternateContent>
      </w:r>
      <w:r w:rsidRPr="00DE6484">
        <w:rPr>
          <w:rFonts w:ascii="Arial" w:hAnsi="Arial" w:cs="Arial"/>
        </w:rPr>
        <w:t xml:space="preserve"> </w:t>
      </w:r>
      <w:r w:rsidRPr="00DE6484">
        <w:rPr>
          <w:rFonts w:ascii="Arial" w:hAnsi="Arial" w:cs="Arial"/>
          <w:noProof/>
        </w:rPr>
        <w:drawing>
          <wp:inline distT="0" distB="0" distL="0" distR="0" wp14:anchorId="6D03E63C" wp14:editId="18BD6EB0">
            <wp:extent cx="2864485" cy="2330927"/>
            <wp:effectExtent l="0" t="0" r="0" b="0"/>
            <wp:docPr id="1934860151" name="Graphique 1">
              <a:extLst xmlns:a="http://schemas.openxmlformats.org/drawingml/2006/main">
                <a:ext uri="{FF2B5EF4-FFF2-40B4-BE49-F238E27FC236}">
                  <a16:creationId xmlns:a16="http://schemas.microsoft.com/office/drawing/2014/main" id="{040F1976-52BA-7488-267C-B777B07CFF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DE6484">
        <w:rPr>
          <w:rFonts w:ascii="Arial" w:hAnsi="Arial" w:cs="Arial"/>
        </w:rPr>
        <w:t xml:space="preserve">  </w:t>
      </w:r>
    </w:p>
    <w:p w14:paraId="7E8E296D" w14:textId="77777777" w:rsidR="00DE6484" w:rsidRDefault="00DE6484" w:rsidP="00DE6484">
      <w:pPr>
        <w:jc w:val="both"/>
        <w:rPr>
          <w:rFonts w:ascii="Arial" w:hAnsi="Arial" w:cs="Arial"/>
        </w:rPr>
      </w:pPr>
      <w:r w:rsidRPr="00DE6484">
        <w:rPr>
          <w:rFonts w:ascii="Arial" w:hAnsi="Arial" w:cs="Arial"/>
          <w:noProof/>
        </w:rPr>
        <w:drawing>
          <wp:inline distT="0" distB="0" distL="0" distR="0" wp14:anchorId="46B8C379" wp14:editId="24F7A1AF">
            <wp:extent cx="3303468" cy="2093077"/>
            <wp:effectExtent l="0" t="0" r="0" b="2540"/>
            <wp:docPr id="921458144" name="Graphique 1">
              <a:extLst xmlns:a="http://schemas.openxmlformats.org/drawingml/2006/main">
                <a:ext uri="{FF2B5EF4-FFF2-40B4-BE49-F238E27FC236}">
                  <a16:creationId xmlns:a16="http://schemas.microsoft.com/office/drawing/2014/main" id="{095F829A-335A-69D6-C04C-4D9C5735B8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03E4062" w14:textId="77777777" w:rsidR="00C035C3" w:rsidRPr="00DE6484" w:rsidRDefault="00C035C3" w:rsidP="00DE6484">
      <w:pPr>
        <w:jc w:val="both"/>
        <w:rPr>
          <w:rFonts w:ascii="Arial" w:hAnsi="Arial" w:cs="Arial"/>
        </w:rPr>
      </w:pPr>
    </w:p>
    <w:p w14:paraId="2ED841EB" w14:textId="77777777" w:rsidR="00DE6484" w:rsidRPr="00DE6484" w:rsidRDefault="00DE6484" w:rsidP="00DE6484">
      <w:pPr>
        <w:jc w:val="both"/>
        <w:rPr>
          <w:rFonts w:ascii="Arial" w:hAnsi="Arial" w:cs="Arial"/>
        </w:rPr>
      </w:pPr>
      <w:r w:rsidRPr="00DE6484">
        <w:rPr>
          <w:rFonts w:ascii="Arial" w:hAnsi="Arial" w:cs="Arial"/>
          <w:b/>
          <w:bCs/>
        </w:rPr>
        <w:t>Figure 5 (</w:t>
      </w:r>
      <w:proofErr w:type="spellStart"/>
      <w:proofErr w:type="gramStart"/>
      <w:r w:rsidRPr="00DE6484">
        <w:rPr>
          <w:rFonts w:ascii="Arial" w:hAnsi="Arial" w:cs="Arial"/>
          <w:b/>
          <w:bCs/>
        </w:rPr>
        <w:t>a,b</w:t>
      </w:r>
      <w:proofErr w:type="gramEnd"/>
      <w:r w:rsidRPr="00DE6484">
        <w:rPr>
          <w:rFonts w:ascii="Arial" w:hAnsi="Arial" w:cs="Arial"/>
          <w:b/>
          <w:bCs/>
        </w:rPr>
        <w:t>,c</w:t>
      </w:r>
      <w:proofErr w:type="spellEnd"/>
      <w:r w:rsidRPr="00DE6484">
        <w:rPr>
          <w:rFonts w:ascii="Arial" w:hAnsi="Arial" w:cs="Arial"/>
          <w:b/>
          <w:bCs/>
        </w:rPr>
        <w:t>):</w:t>
      </w:r>
      <w:r w:rsidRPr="00DE6484">
        <w:rPr>
          <w:rFonts w:ascii="Arial" w:hAnsi="Arial" w:cs="Arial"/>
        </w:rPr>
        <w:t xml:space="preserve"> Langmuir adsorption of corn cobs activated carbon toward BM as a function of activation temperature</w:t>
      </w:r>
    </w:p>
    <w:p w14:paraId="3965B002" w14:textId="1DDCECF5" w:rsidR="00DE6484" w:rsidRPr="00DE6484" w:rsidRDefault="00DE6484" w:rsidP="00DE6484">
      <w:pPr>
        <w:jc w:val="both"/>
        <w:rPr>
          <w:rFonts w:ascii="Arial" w:hAnsi="Arial" w:cs="Arial"/>
        </w:rPr>
      </w:pPr>
      <w:r w:rsidRPr="00DE6484">
        <w:rPr>
          <w:rFonts w:ascii="Arial" w:hAnsi="Arial" w:cs="Arial"/>
        </w:rPr>
        <w:t xml:space="preserve">The two equilibrium parameters, </w:t>
      </w:r>
      <m:oMath>
        <m:sSub>
          <m:sSubPr>
            <m:ctrlPr>
              <w:rPr>
                <w:rFonts w:ascii="Cambria Math" w:hAnsi="Cambria Math" w:cs="Arial"/>
                <w:bCs/>
                <w:iCs/>
                <w:lang w:val="fr-FR"/>
              </w:rPr>
            </m:ctrlPr>
          </m:sSubPr>
          <m:e>
            <m:r>
              <m:rPr>
                <m:sty m:val="p"/>
              </m:rPr>
              <w:rPr>
                <w:rFonts w:ascii="Cambria Math" w:hAnsi="Cambria Math" w:cs="Arial"/>
              </w:rPr>
              <m:t>K</m:t>
            </m:r>
          </m:e>
          <m:sub>
            <m:r>
              <m:rPr>
                <m:sty m:val="p"/>
              </m:rPr>
              <w:rPr>
                <w:rFonts w:ascii="Cambria Math" w:hAnsi="Cambria Math" w:cs="Arial"/>
              </w:rPr>
              <m:t>L</m:t>
            </m:r>
          </m:sub>
        </m:sSub>
      </m:oMath>
      <w:r w:rsidRPr="00DE6484">
        <w:rPr>
          <w:rFonts w:ascii="Arial" w:hAnsi="Arial" w:cs="Arial"/>
          <w:bCs/>
        </w:rPr>
        <w:t xml:space="preserve"> </w:t>
      </w:r>
      <w:r w:rsidRPr="00DE6484">
        <w:rPr>
          <w:rFonts w:ascii="Arial" w:hAnsi="Arial" w:cs="Arial"/>
        </w:rPr>
        <w:t xml:space="preserve">and </w:t>
      </w:r>
      <m:oMath>
        <m:sSub>
          <m:sSubPr>
            <m:ctrlPr>
              <w:rPr>
                <w:rFonts w:ascii="Cambria Math" w:hAnsi="Cambria Math" w:cs="Arial"/>
                <w:bCs/>
                <w:iCs/>
                <w:lang w:val="fr-FR"/>
              </w:rPr>
            </m:ctrlPr>
          </m:sSubPr>
          <m:e>
            <m:r>
              <m:rPr>
                <m:sty m:val="p"/>
              </m:rPr>
              <w:rPr>
                <w:rFonts w:ascii="Cambria Math" w:hAnsi="Cambria Math" w:cs="Arial"/>
              </w:rPr>
              <m:t>Q</m:t>
            </m:r>
          </m:e>
          <m:sub>
            <m:r>
              <m:rPr>
                <m:sty m:val="p"/>
              </m:rPr>
              <w:rPr>
                <w:rFonts w:ascii="Cambria Math" w:hAnsi="Cambria Math" w:cs="Arial"/>
              </w:rPr>
              <m:t>max</m:t>
            </m:r>
          </m:sub>
        </m:sSub>
      </m:oMath>
      <w:r w:rsidRPr="00DE6484">
        <w:rPr>
          <w:rFonts w:ascii="Arial" w:hAnsi="Arial" w:cs="Arial"/>
        </w:rPr>
        <w:t>​, obtained from the Langmuir model are presented in Table 5.</w:t>
      </w:r>
    </w:p>
    <w:p w14:paraId="0D1E1C30" w14:textId="77777777" w:rsidR="00DE6484" w:rsidRPr="00DE6484" w:rsidRDefault="00DE6484" w:rsidP="00DE6484">
      <w:pPr>
        <w:jc w:val="both"/>
        <w:rPr>
          <w:rFonts w:ascii="Arial" w:hAnsi="Arial" w:cs="Arial"/>
        </w:rPr>
      </w:pPr>
      <w:r w:rsidRPr="00DE6484">
        <w:rPr>
          <w:rFonts w:ascii="Arial" w:hAnsi="Arial" w:cs="Arial"/>
        </w:rPr>
        <w:t>The dimensionless separation factor R</w:t>
      </w:r>
      <w:r w:rsidRPr="00DE6484">
        <w:rPr>
          <w:rFonts w:ascii="Arial" w:hAnsi="Arial" w:cs="Arial"/>
          <w:vertAlign w:val="subscript"/>
        </w:rPr>
        <w:t>L</w:t>
      </w:r>
      <w:r w:rsidRPr="00DE6484">
        <w:rPr>
          <w:rFonts w:ascii="Arial" w:hAnsi="Arial" w:cs="Arial"/>
        </w:rPr>
        <w:t>​, which indicates whether the adsorption process is favorable or not, is defined by equation (12):</w:t>
      </w:r>
    </w:p>
    <w:p w14:paraId="572C20A6" w14:textId="77777777" w:rsidR="00DE6484" w:rsidRPr="00DE6484" w:rsidRDefault="00DE6484" w:rsidP="00DE6484">
      <w:pPr>
        <w:jc w:val="both"/>
        <w:rPr>
          <w:rFonts w:ascii="Arial" w:hAnsi="Arial" w:cs="Arial"/>
        </w:rPr>
      </w:pPr>
    </w:p>
    <w:p w14:paraId="52ED5785" w14:textId="35F732B3" w:rsidR="00DE6484" w:rsidRPr="00DE6484" w:rsidRDefault="00BE62BF" w:rsidP="00DE6484">
      <w:pPr>
        <w:jc w:val="both"/>
        <w:rPr>
          <w:rFonts w:ascii="Arial" w:hAnsi="Arial" w:cs="Arial"/>
          <w:iCs/>
          <w:lang w:val="fr-FR"/>
        </w:rPr>
      </w:pPr>
      <m:oMathPara>
        <m:oMath>
          <m:sSub>
            <m:sSubPr>
              <m:ctrlPr>
                <w:rPr>
                  <w:rFonts w:ascii="Cambria Math" w:hAnsi="Cambria Math" w:cs="Arial"/>
                  <w:iCs/>
                  <w:lang w:val="fr-FR"/>
                </w:rPr>
              </m:ctrlPr>
            </m:sSubPr>
            <m:e>
              <m:r>
                <m:rPr>
                  <m:sty m:val="p"/>
                </m:rPr>
                <w:rPr>
                  <w:rFonts w:ascii="Cambria Math" w:hAnsi="Cambria Math" w:cs="Arial"/>
                  <w:lang w:val="fr-FR"/>
                </w:rPr>
                <m:t>R</m:t>
              </m:r>
            </m:e>
            <m:sub>
              <m:r>
                <m:rPr>
                  <m:sty m:val="p"/>
                </m:rPr>
                <w:rPr>
                  <w:rFonts w:ascii="Cambria Math" w:hAnsi="Cambria Math" w:cs="Arial"/>
                  <w:lang w:val="fr-FR"/>
                </w:rPr>
                <m:t>L</m:t>
              </m:r>
            </m:sub>
          </m:sSub>
          <m:r>
            <m:rPr>
              <m:sty m:val="p"/>
            </m:rPr>
            <w:rPr>
              <w:rFonts w:ascii="Cambria Math" w:hAnsi="Cambria Math" w:cs="Arial"/>
              <w:lang w:val="fr-FR"/>
            </w:rPr>
            <m:t>=</m:t>
          </m:r>
          <m:f>
            <m:fPr>
              <m:ctrlPr>
                <w:rPr>
                  <w:rFonts w:ascii="Cambria Math" w:hAnsi="Cambria Math" w:cs="Arial"/>
                  <w:iCs/>
                  <w:lang w:val="fr-FR"/>
                </w:rPr>
              </m:ctrlPr>
            </m:fPr>
            <m:num>
              <m:r>
                <m:rPr>
                  <m:sty m:val="p"/>
                </m:rPr>
                <w:rPr>
                  <w:rFonts w:ascii="Cambria Math" w:hAnsi="Cambria Math" w:cs="Arial"/>
                  <w:lang w:val="fr-FR"/>
                </w:rPr>
                <m:t>1</m:t>
              </m:r>
            </m:num>
            <m:den>
              <m:r>
                <m:rPr>
                  <m:sty m:val="p"/>
                </m:rPr>
                <w:rPr>
                  <w:rFonts w:ascii="Cambria Math" w:hAnsi="Cambria Math" w:cs="Arial"/>
                  <w:lang w:val="fr-FR"/>
                </w:rPr>
                <m:t>1+</m:t>
              </m:r>
              <m:sSub>
                <m:sSubPr>
                  <m:ctrlPr>
                    <w:rPr>
                      <w:rFonts w:ascii="Cambria Math" w:hAnsi="Cambria Math" w:cs="Arial"/>
                      <w:iCs/>
                      <w:lang w:val="fr-FR"/>
                    </w:rPr>
                  </m:ctrlPr>
                </m:sSubPr>
                <m:e>
                  <m:r>
                    <m:rPr>
                      <m:sty m:val="p"/>
                    </m:rPr>
                    <w:rPr>
                      <w:rFonts w:ascii="Cambria Math" w:hAnsi="Cambria Math" w:cs="Arial"/>
                      <w:lang w:val="fr-FR"/>
                    </w:rPr>
                    <m:t>K</m:t>
                  </m:r>
                </m:e>
                <m:sub>
                  <m:r>
                    <m:rPr>
                      <m:sty m:val="p"/>
                    </m:rPr>
                    <w:rPr>
                      <w:rFonts w:ascii="Cambria Math" w:hAnsi="Cambria Math" w:cs="Arial"/>
                      <w:lang w:val="fr-FR"/>
                    </w:rPr>
                    <m:t>L</m:t>
                  </m:r>
                </m:sub>
              </m:sSub>
              <m:sSub>
                <m:sSubPr>
                  <m:ctrlPr>
                    <w:rPr>
                      <w:rFonts w:ascii="Cambria Math" w:hAnsi="Cambria Math" w:cs="Arial"/>
                      <w:iCs/>
                      <w:lang w:val="fr-FR"/>
                    </w:rPr>
                  </m:ctrlPr>
                </m:sSubPr>
                <m:e>
                  <m:r>
                    <m:rPr>
                      <m:sty m:val="p"/>
                    </m:rPr>
                    <w:rPr>
                      <w:rFonts w:ascii="Cambria Math" w:hAnsi="Cambria Math" w:cs="Arial"/>
                      <w:lang w:val="fr-FR"/>
                    </w:rPr>
                    <m:t>C</m:t>
                  </m:r>
                </m:e>
                <m:sub>
                  <m:r>
                    <m:rPr>
                      <m:sty m:val="p"/>
                    </m:rPr>
                    <w:rPr>
                      <w:rFonts w:ascii="Cambria Math" w:hAnsi="Cambria Math" w:cs="Arial"/>
                      <w:lang w:val="fr-FR"/>
                    </w:rPr>
                    <m:t>0</m:t>
                  </m:r>
                </m:sub>
              </m:sSub>
            </m:den>
          </m:f>
          <m:r>
            <m:rPr>
              <m:sty m:val="p"/>
            </m:rPr>
            <w:rPr>
              <w:rFonts w:ascii="Cambria Math" w:hAnsi="Cambria Math" w:cs="Arial"/>
              <w:lang w:val="fr-FR"/>
            </w:rPr>
            <m:t xml:space="preserve">              (12 )</m:t>
          </m:r>
        </m:oMath>
      </m:oMathPara>
    </w:p>
    <w:p w14:paraId="764373A3" w14:textId="77777777" w:rsidR="00DE6484" w:rsidRDefault="00DE6484" w:rsidP="00DE6484">
      <w:pPr>
        <w:jc w:val="both"/>
        <w:rPr>
          <w:rFonts w:ascii="Arial" w:hAnsi="Arial" w:cs="Arial"/>
        </w:rPr>
      </w:pPr>
      <w:r w:rsidRPr="00DE6484">
        <w:rPr>
          <w:rFonts w:ascii="Arial" w:hAnsi="Arial" w:cs="Arial"/>
        </w:rPr>
        <w:t>where C</w:t>
      </w:r>
      <w:r w:rsidRPr="00DE6484">
        <w:rPr>
          <w:rFonts w:ascii="Cambria Math" w:hAnsi="Cambria Math" w:cs="Cambria Math"/>
        </w:rPr>
        <w:t>₀</w:t>
      </w:r>
      <w:r w:rsidRPr="00DE6484">
        <w:rPr>
          <w:rFonts w:ascii="Arial" w:hAnsi="Arial" w:cs="Arial"/>
        </w:rPr>
        <w:t xml:space="preserve"> (</w:t>
      </w:r>
      <w:proofErr w:type="gramStart"/>
      <w:r w:rsidRPr="00DE6484">
        <w:rPr>
          <w:rFonts w:ascii="Arial" w:hAnsi="Arial" w:cs="Arial"/>
        </w:rPr>
        <w:t>mg.g</w:t>
      </w:r>
      <w:proofErr w:type="gramEnd"/>
      <w:r w:rsidRPr="00DE6484">
        <w:rPr>
          <w:rFonts w:ascii="Cambria Math" w:hAnsi="Cambria Math" w:cs="Cambria Math"/>
        </w:rPr>
        <w:t>⁻</w:t>
      </w:r>
      <w:r w:rsidRPr="00DE6484">
        <w:rPr>
          <w:rFonts w:ascii="Arial" w:hAnsi="Arial" w:cs="Arial"/>
        </w:rPr>
        <w:t>¹) denotes the initial concentration of the pollutant and K</w:t>
      </w:r>
      <w:r w:rsidRPr="00DE6484">
        <w:rPr>
          <w:rFonts w:ascii="Arial" w:hAnsi="Arial" w:cs="Arial"/>
          <w:vertAlign w:val="subscript"/>
        </w:rPr>
        <w:t>L</w:t>
      </w:r>
      <w:r w:rsidRPr="00DE6484">
        <w:rPr>
          <w:rFonts w:ascii="Arial" w:hAnsi="Arial" w:cs="Arial"/>
        </w:rPr>
        <w:t xml:space="preserve"> (L.mg</w:t>
      </w:r>
      <w:r w:rsidRPr="00DE6484">
        <w:rPr>
          <w:rFonts w:ascii="Cambria Math" w:hAnsi="Cambria Math" w:cs="Cambria Math"/>
        </w:rPr>
        <w:t>⁻</w:t>
      </w:r>
      <w:r w:rsidRPr="00DE6484">
        <w:rPr>
          <w:rFonts w:ascii="Arial" w:hAnsi="Arial" w:cs="Arial"/>
        </w:rPr>
        <w:t>¹) denotes the Langmuir constant.</w:t>
      </w:r>
    </w:p>
    <w:p w14:paraId="1DA89CAC" w14:textId="77777777" w:rsidR="0040703F" w:rsidRPr="00DE6484" w:rsidRDefault="0040703F" w:rsidP="00DE6484">
      <w:pPr>
        <w:jc w:val="both"/>
        <w:rPr>
          <w:rFonts w:ascii="Arial" w:hAnsi="Arial" w:cs="Arial"/>
        </w:rPr>
      </w:pPr>
    </w:p>
    <w:p w14:paraId="14B82AC1" w14:textId="39FB2A84" w:rsidR="00DE6484" w:rsidRDefault="00DE6484" w:rsidP="00DE6484">
      <w:pPr>
        <w:jc w:val="both"/>
        <w:rPr>
          <w:rFonts w:ascii="Arial" w:hAnsi="Arial" w:cs="Arial"/>
          <w:bCs/>
          <w:iCs/>
        </w:rPr>
      </w:pPr>
      <w:r w:rsidRPr="00DE6484">
        <w:rPr>
          <w:rFonts w:ascii="Arial" w:hAnsi="Arial" w:cs="Arial"/>
          <w:b/>
          <w:bCs/>
        </w:rPr>
        <w:t>Table 5:</w:t>
      </w:r>
      <w:r w:rsidRPr="00DE6484">
        <w:rPr>
          <w:rFonts w:ascii="Arial" w:hAnsi="Arial" w:cs="Arial"/>
        </w:rPr>
        <w:t xml:space="preserve"> Langmuir constants determined from the lines </w:t>
      </w:r>
      <m:oMath>
        <m:f>
          <m:fPr>
            <m:ctrlPr>
              <w:rPr>
                <w:rFonts w:ascii="Cambria Math" w:hAnsi="Cambria Math" w:cs="Arial"/>
                <w:bCs/>
                <w:iCs/>
              </w:rPr>
            </m:ctrlPr>
          </m:fPr>
          <m:num>
            <m:r>
              <m:rPr>
                <m:sty m:val="p"/>
              </m:rPr>
              <w:rPr>
                <w:rFonts w:ascii="Cambria Math" w:hAnsi="Cambria Math" w:cs="Arial"/>
              </w:rPr>
              <m:t>1</m:t>
            </m:r>
          </m:num>
          <m:den>
            <m:sSub>
              <m:sSubPr>
                <m:ctrlPr>
                  <w:rPr>
                    <w:rFonts w:ascii="Cambria Math" w:hAnsi="Cambria Math" w:cs="Arial"/>
                    <w:bCs/>
                    <w:iCs/>
                  </w:rPr>
                </m:ctrlPr>
              </m:sSubPr>
              <m:e>
                <m:r>
                  <m:rPr>
                    <m:sty m:val="p"/>
                  </m:rPr>
                  <w:rPr>
                    <w:rFonts w:ascii="Cambria Math" w:hAnsi="Cambria Math" w:cs="Arial"/>
                  </w:rPr>
                  <m:t>Q</m:t>
                </m:r>
              </m:e>
              <m:sub>
                <m:r>
                  <m:rPr>
                    <m:sty m:val="p"/>
                  </m:rPr>
                  <w:rPr>
                    <w:rFonts w:ascii="Cambria Math" w:hAnsi="Cambria Math" w:cs="Arial"/>
                  </w:rPr>
                  <m:t>e</m:t>
                </m:r>
              </m:sub>
            </m:sSub>
          </m:den>
        </m:f>
        <m:r>
          <m:rPr>
            <m:sty m:val="p"/>
          </m:rPr>
          <w:rPr>
            <w:rFonts w:ascii="Cambria Math" w:hAnsi="Cambria Math" w:cs="Arial"/>
          </w:rPr>
          <m:t>=f</m:t>
        </m:r>
        <m:d>
          <m:dPr>
            <m:ctrlPr>
              <w:rPr>
                <w:rFonts w:ascii="Cambria Math" w:hAnsi="Cambria Math" w:cs="Arial"/>
                <w:bCs/>
                <w:iCs/>
              </w:rPr>
            </m:ctrlPr>
          </m:dPr>
          <m:e>
            <m:f>
              <m:fPr>
                <m:ctrlPr>
                  <w:rPr>
                    <w:rFonts w:ascii="Cambria Math" w:hAnsi="Cambria Math" w:cs="Arial"/>
                    <w:bCs/>
                    <w:iCs/>
                  </w:rPr>
                </m:ctrlPr>
              </m:fPr>
              <m:num>
                <m:r>
                  <m:rPr>
                    <m:sty m:val="p"/>
                  </m:rPr>
                  <w:rPr>
                    <w:rFonts w:ascii="Cambria Math" w:hAnsi="Cambria Math" w:cs="Arial"/>
                  </w:rPr>
                  <m:t>1</m:t>
                </m:r>
              </m:num>
              <m:den>
                <m:sSub>
                  <m:sSubPr>
                    <m:ctrlPr>
                      <w:rPr>
                        <w:rFonts w:ascii="Cambria Math" w:hAnsi="Cambria Math" w:cs="Arial"/>
                        <w:bCs/>
                        <w:iCs/>
                      </w:rPr>
                    </m:ctrlPr>
                  </m:sSubPr>
                  <m:e>
                    <m:r>
                      <m:rPr>
                        <m:sty m:val="p"/>
                      </m:rPr>
                      <w:rPr>
                        <w:rFonts w:ascii="Cambria Math" w:hAnsi="Cambria Math" w:cs="Arial"/>
                      </w:rPr>
                      <m:t>C</m:t>
                    </m:r>
                  </m:e>
                  <m:sub>
                    <m:r>
                      <m:rPr>
                        <m:sty m:val="p"/>
                      </m:rPr>
                      <w:rPr>
                        <w:rFonts w:ascii="Cambria Math" w:hAnsi="Cambria Math" w:cs="Arial"/>
                      </w:rPr>
                      <m:t>e</m:t>
                    </m:r>
                  </m:sub>
                </m:sSub>
              </m:den>
            </m:f>
          </m:e>
        </m:d>
      </m:oMath>
      <w:r w:rsidRPr="00DE6484">
        <w:rPr>
          <w:rFonts w:ascii="Arial" w:hAnsi="Arial" w:cs="Arial"/>
          <w:bCs/>
          <w:iCs/>
        </w:rPr>
        <w:t>.</w:t>
      </w:r>
    </w:p>
    <w:p w14:paraId="58AD5047" w14:textId="77777777" w:rsidR="0040703F" w:rsidRPr="00DE6484" w:rsidRDefault="0040703F" w:rsidP="00DE6484">
      <w:pPr>
        <w:jc w:val="both"/>
        <w:rPr>
          <w:rFonts w:ascii="Arial" w:hAnsi="Arial" w:cs="Arial"/>
          <w:b/>
          <w:bCs/>
        </w:rPr>
      </w:pPr>
    </w:p>
    <w:tbl>
      <w:tblPr>
        <w:tblStyle w:val="Grilledutableau21"/>
        <w:tblW w:w="0" w:type="auto"/>
        <w:jc w:val="center"/>
        <w:tblInd w:w="0" w:type="dxa"/>
        <w:tblBorders>
          <w:left w:val="none" w:sz="0" w:space="0" w:color="auto"/>
          <w:right w:val="none" w:sz="0" w:space="0" w:color="auto"/>
        </w:tblBorders>
        <w:tblLook w:val="04A0" w:firstRow="1" w:lastRow="0" w:firstColumn="1" w:lastColumn="0" w:noHBand="0" w:noVBand="1"/>
      </w:tblPr>
      <w:tblGrid>
        <w:gridCol w:w="1537"/>
        <w:gridCol w:w="1333"/>
        <w:gridCol w:w="1265"/>
        <w:gridCol w:w="645"/>
        <w:gridCol w:w="767"/>
        <w:gridCol w:w="1216"/>
      </w:tblGrid>
      <w:tr w:rsidR="00DE6484" w:rsidRPr="00DE6484" w14:paraId="6E3E8B26" w14:textId="77777777" w:rsidTr="005E114C">
        <w:trPr>
          <w:trHeight w:val="97"/>
          <w:jc w:val="center"/>
        </w:trPr>
        <w:tc>
          <w:tcPr>
            <w:tcW w:w="0" w:type="auto"/>
            <w:vMerge w:val="restart"/>
          </w:tcPr>
          <w:p w14:paraId="784CEF5F" w14:textId="77777777" w:rsidR="00DE6484" w:rsidRPr="00DE6484" w:rsidRDefault="00DE6484" w:rsidP="00DE6484">
            <w:pPr>
              <w:jc w:val="both"/>
              <w:rPr>
                <w:rFonts w:ascii="Arial" w:hAnsi="Arial" w:cs="Arial"/>
                <w:b/>
                <w:bCs/>
              </w:rPr>
            </w:pPr>
          </w:p>
          <w:p w14:paraId="3A8817BB" w14:textId="77777777" w:rsidR="00DE6484" w:rsidRPr="00DE6484" w:rsidRDefault="00DE6484" w:rsidP="00DE6484">
            <w:pPr>
              <w:jc w:val="both"/>
              <w:rPr>
                <w:rFonts w:ascii="Arial" w:hAnsi="Arial" w:cs="Arial"/>
                <w:b/>
                <w:bCs/>
              </w:rPr>
            </w:pPr>
          </w:p>
          <w:p w14:paraId="12034378" w14:textId="77777777" w:rsidR="00DE6484" w:rsidRPr="00DE6484" w:rsidRDefault="00DE6484" w:rsidP="00DE6484">
            <w:pPr>
              <w:jc w:val="both"/>
              <w:rPr>
                <w:rFonts w:ascii="Arial" w:hAnsi="Arial" w:cs="Arial"/>
                <w:b/>
                <w:bCs/>
              </w:rPr>
            </w:pPr>
          </w:p>
          <w:p w14:paraId="2240009A" w14:textId="77777777" w:rsidR="00DE6484" w:rsidRPr="00DE6484" w:rsidRDefault="00DE6484" w:rsidP="00DE6484">
            <w:pPr>
              <w:jc w:val="both"/>
              <w:rPr>
                <w:rFonts w:ascii="Arial" w:hAnsi="Arial" w:cs="Arial"/>
                <w:b/>
                <w:bCs/>
              </w:rPr>
            </w:pPr>
            <w:r w:rsidRPr="00DE6484">
              <w:rPr>
                <w:rFonts w:ascii="Arial" w:hAnsi="Arial" w:cs="Arial"/>
                <w:b/>
                <w:bCs/>
              </w:rPr>
              <w:t>Samples</w:t>
            </w:r>
          </w:p>
        </w:tc>
        <w:tc>
          <w:tcPr>
            <w:tcW w:w="0" w:type="auto"/>
            <w:gridSpan w:val="5"/>
          </w:tcPr>
          <w:p w14:paraId="0C63DBA8" w14:textId="77777777" w:rsidR="00DE6484" w:rsidRPr="00DE6484" w:rsidRDefault="00DE6484" w:rsidP="00DE6484">
            <w:pPr>
              <w:jc w:val="both"/>
              <w:rPr>
                <w:rFonts w:ascii="Arial" w:hAnsi="Arial" w:cs="Arial"/>
                <w:b/>
              </w:rPr>
            </w:pPr>
          </w:p>
          <w:p w14:paraId="6DEE68FC" w14:textId="77777777" w:rsidR="00DE6484" w:rsidRPr="00DE6484" w:rsidRDefault="00DE6484" w:rsidP="00DE6484">
            <w:pPr>
              <w:jc w:val="both"/>
              <w:rPr>
                <w:rFonts w:ascii="Arial" w:hAnsi="Arial" w:cs="Arial"/>
              </w:rPr>
            </w:pPr>
            <w:r w:rsidRPr="00DE6484">
              <w:rPr>
                <w:rFonts w:ascii="Arial" w:hAnsi="Arial" w:cs="Arial"/>
                <w:b/>
              </w:rPr>
              <w:t>Langmuir model</w:t>
            </w:r>
          </w:p>
        </w:tc>
      </w:tr>
      <w:tr w:rsidR="00DE6484" w:rsidRPr="00DE6484" w14:paraId="6528B698" w14:textId="77777777" w:rsidTr="005E114C">
        <w:trPr>
          <w:trHeight w:val="469"/>
          <w:jc w:val="center"/>
        </w:trPr>
        <w:tc>
          <w:tcPr>
            <w:tcW w:w="0" w:type="auto"/>
            <w:vMerge/>
            <w:vAlign w:val="center"/>
            <w:hideMark/>
          </w:tcPr>
          <w:p w14:paraId="706D1787" w14:textId="77777777" w:rsidR="00DE6484" w:rsidRPr="00DE6484" w:rsidRDefault="00DE6484" w:rsidP="00DE6484">
            <w:pPr>
              <w:jc w:val="both"/>
              <w:rPr>
                <w:rFonts w:ascii="Arial" w:hAnsi="Arial" w:cs="Arial"/>
                <w:b/>
                <w:bCs/>
              </w:rPr>
            </w:pPr>
          </w:p>
        </w:tc>
        <w:tc>
          <w:tcPr>
            <w:tcW w:w="0" w:type="auto"/>
          </w:tcPr>
          <w:p w14:paraId="242C9772" w14:textId="77777777" w:rsidR="00DE6484" w:rsidRPr="00DE6484" w:rsidRDefault="00DE6484" w:rsidP="00DE6484">
            <w:pPr>
              <w:jc w:val="both"/>
              <w:rPr>
                <w:rFonts w:ascii="Arial" w:hAnsi="Arial" w:cs="Arial"/>
              </w:rPr>
            </w:pPr>
          </w:p>
          <w:p w14:paraId="5DBABE90" w14:textId="77777777" w:rsidR="00DE6484" w:rsidRPr="00DE6484" w:rsidRDefault="00DE6484" w:rsidP="00DE6484">
            <w:pPr>
              <w:jc w:val="both"/>
              <w:rPr>
                <w:rFonts w:ascii="Arial" w:hAnsi="Arial" w:cs="Arial"/>
              </w:rPr>
            </w:pPr>
            <w:proofErr w:type="spellStart"/>
            <w:r w:rsidRPr="00DE6484">
              <w:rPr>
                <w:rFonts w:ascii="Arial" w:hAnsi="Arial" w:cs="Arial"/>
              </w:rPr>
              <w:t>Q</w:t>
            </w:r>
            <w:r w:rsidRPr="00DE6484">
              <w:rPr>
                <w:rFonts w:ascii="Arial" w:hAnsi="Arial" w:cs="Arial"/>
                <w:vertAlign w:val="subscript"/>
              </w:rPr>
              <w:t>m</w:t>
            </w:r>
            <w:proofErr w:type="spellEnd"/>
            <w:r w:rsidRPr="00DE6484">
              <w:rPr>
                <w:rFonts w:ascii="Arial" w:hAnsi="Arial" w:cs="Arial"/>
                <w:vertAlign w:val="subscript"/>
              </w:rPr>
              <w:t xml:space="preserve"> </w:t>
            </w:r>
            <w:r w:rsidRPr="00DE6484">
              <w:rPr>
                <w:rFonts w:ascii="Arial" w:hAnsi="Arial" w:cs="Arial"/>
              </w:rPr>
              <w:t>(</w:t>
            </w:r>
            <w:proofErr w:type="spellStart"/>
            <w:proofErr w:type="gramStart"/>
            <w:r w:rsidRPr="00DE6484">
              <w:rPr>
                <w:rFonts w:ascii="Arial" w:hAnsi="Arial" w:cs="Arial"/>
              </w:rPr>
              <w:t>mg.g</w:t>
            </w:r>
            <w:proofErr w:type="spellEnd"/>
            <w:proofErr w:type="gramEnd"/>
            <w:r w:rsidRPr="00DE6484">
              <w:rPr>
                <w:rFonts w:ascii="Arial" w:hAnsi="Arial" w:cs="Arial"/>
                <w:vertAlign w:val="superscript"/>
              </w:rPr>
              <w:sym w:font="Symbol" w:char="F02D"/>
            </w:r>
            <w:r w:rsidRPr="00DE6484">
              <w:rPr>
                <w:rFonts w:ascii="Arial" w:hAnsi="Arial" w:cs="Arial"/>
                <w:vertAlign w:val="superscript"/>
              </w:rPr>
              <w:t>1</w:t>
            </w:r>
            <w:r w:rsidRPr="00DE6484">
              <w:rPr>
                <w:rFonts w:ascii="Arial" w:hAnsi="Arial" w:cs="Arial"/>
              </w:rPr>
              <w:t>)</w:t>
            </w:r>
          </w:p>
          <w:p w14:paraId="602D8575" w14:textId="77777777" w:rsidR="00DE6484" w:rsidRPr="00DE6484" w:rsidRDefault="00DE6484" w:rsidP="00DE6484">
            <w:pPr>
              <w:jc w:val="both"/>
              <w:rPr>
                <w:rFonts w:ascii="Arial" w:hAnsi="Arial" w:cs="Arial"/>
                <w:vertAlign w:val="subscript"/>
              </w:rPr>
            </w:pPr>
          </w:p>
        </w:tc>
        <w:tc>
          <w:tcPr>
            <w:tcW w:w="0" w:type="auto"/>
          </w:tcPr>
          <w:p w14:paraId="4D65CFF7" w14:textId="77777777" w:rsidR="00DE6484" w:rsidRPr="00DE6484" w:rsidRDefault="00DE6484" w:rsidP="00DE6484">
            <w:pPr>
              <w:jc w:val="both"/>
              <w:rPr>
                <w:rFonts w:ascii="Arial" w:hAnsi="Arial" w:cs="Arial"/>
              </w:rPr>
            </w:pPr>
          </w:p>
          <w:p w14:paraId="55E8173D" w14:textId="77777777" w:rsidR="00DE6484" w:rsidRPr="00DE6484" w:rsidRDefault="00DE6484" w:rsidP="00DE6484">
            <w:pPr>
              <w:jc w:val="both"/>
              <w:rPr>
                <w:rFonts w:ascii="Arial" w:hAnsi="Arial" w:cs="Arial"/>
              </w:rPr>
            </w:pPr>
            <w:r w:rsidRPr="00DE6484">
              <w:rPr>
                <w:rFonts w:ascii="Arial" w:hAnsi="Arial" w:cs="Arial"/>
              </w:rPr>
              <w:t>K</w:t>
            </w:r>
            <w:r w:rsidRPr="00DE6484">
              <w:rPr>
                <w:rFonts w:ascii="Arial" w:hAnsi="Arial" w:cs="Arial"/>
                <w:vertAlign w:val="subscript"/>
              </w:rPr>
              <w:t xml:space="preserve">L </w:t>
            </w:r>
            <w:r w:rsidRPr="00DE6484">
              <w:rPr>
                <w:rFonts w:ascii="Arial" w:hAnsi="Arial" w:cs="Arial"/>
              </w:rPr>
              <w:t>(L.mg</w:t>
            </w:r>
            <w:r w:rsidRPr="00DE6484">
              <w:rPr>
                <w:rFonts w:ascii="Arial" w:hAnsi="Arial" w:cs="Arial"/>
                <w:vertAlign w:val="superscript"/>
              </w:rPr>
              <w:sym w:font="Symbol" w:char="F02D"/>
            </w:r>
            <w:r w:rsidRPr="00DE6484">
              <w:rPr>
                <w:rFonts w:ascii="Arial" w:hAnsi="Arial" w:cs="Arial"/>
                <w:vertAlign w:val="superscript"/>
              </w:rPr>
              <w:t>1</w:t>
            </w:r>
            <w:r w:rsidRPr="00DE6484">
              <w:rPr>
                <w:rFonts w:ascii="Arial" w:hAnsi="Arial" w:cs="Arial"/>
              </w:rPr>
              <w:t>)</w:t>
            </w:r>
          </w:p>
          <w:p w14:paraId="43D05733" w14:textId="77777777" w:rsidR="00DE6484" w:rsidRPr="00DE6484" w:rsidRDefault="00DE6484" w:rsidP="00DE6484">
            <w:pPr>
              <w:jc w:val="both"/>
              <w:rPr>
                <w:rFonts w:ascii="Arial" w:hAnsi="Arial" w:cs="Arial"/>
              </w:rPr>
            </w:pPr>
          </w:p>
        </w:tc>
        <w:tc>
          <w:tcPr>
            <w:tcW w:w="0" w:type="auto"/>
          </w:tcPr>
          <w:p w14:paraId="2AAE29C7" w14:textId="77777777" w:rsidR="00DE6484" w:rsidRPr="00DE6484" w:rsidRDefault="00DE6484" w:rsidP="00DE6484">
            <w:pPr>
              <w:jc w:val="both"/>
              <w:rPr>
                <w:rFonts w:ascii="Arial" w:hAnsi="Arial" w:cs="Arial"/>
              </w:rPr>
            </w:pPr>
          </w:p>
          <w:p w14:paraId="7685807F" w14:textId="77777777" w:rsidR="00DE6484" w:rsidRPr="00DE6484" w:rsidRDefault="00DE6484" w:rsidP="00DE6484">
            <w:pPr>
              <w:jc w:val="both"/>
              <w:rPr>
                <w:rFonts w:ascii="Arial" w:hAnsi="Arial" w:cs="Arial"/>
                <w:vertAlign w:val="subscript"/>
              </w:rPr>
            </w:pPr>
            <w:r w:rsidRPr="00DE6484">
              <w:rPr>
                <w:rFonts w:ascii="Arial" w:hAnsi="Arial" w:cs="Arial"/>
              </w:rPr>
              <w:t>R</w:t>
            </w:r>
            <w:r w:rsidRPr="00DE6484">
              <w:rPr>
                <w:rFonts w:ascii="Arial" w:hAnsi="Arial" w:cs="Arial"/>
                <w:vertAlign w:val="subscript"/>
              </w:rPr>
              <w:t>L</w:t>
            </w:r>
          </w:p>
          <w:p w14:paraId="7A9F73BB" w14:textId="77777777" w:rsidR="00DE6484" w:rsidRPr="00DE6484" w:rsidRDefault="00DE6484" w:rsidP="00DE6484">
            <w:pPr>
              <w:jc w:val="both"/>
              <w:rPr>
                <w:rFonts w:ascii="Arial" w:hAnsi="Arial" w:cs="Arial"/>
              </w:rPr>
            </w:pPr>
          </w:p>
        </w:tc>
        <w:tc>
          <w:tcPr>
            <w:tcW w:w="0" w:type="auto"/>
          </w:tcPr>
          <w:p w14:paraId="5227C6D7" w14:textId="77777777" w:rsidR="00DE6484" w:rsidRPr="00DE6484" w:rsidRDefault="00DE6484" w:rsidP="00DE6484">
            <w:pPr>
              <w:jc w:val="both"/>
              <w:rPr>
                <w:rFonts w:ascii="Arial" w:hAnsi="Arial" w:cs="Arial"/>
              </w:rPr>
            </w:pPr>
          </w:p>
          <w:p w14:paraId="5B041453" w14:textId="77777777" w:rsidR="00DE6484" w:rsidRPr="00DE6484" w:rsidRDefault="00DE6484" w:rsidP="00DE6484">
            <w:pPr>
              <w:jc w:val="both"/>
              <w:rPr>
                <w:rFonts w:ascii="Arial" w:hAnsi="Arial" w:cs="Arial"/>
              </w:rPr>
            </w:pPr>
            <w:r w:rsidRPr="00DE6484">
              <w:rPr>
                <w:rFonts w:ascii="Arial" w:hAnsi="Arial" w:cs="Arial"/>
              </w:rPr>
              <w:t>R</w:t>
            </w:r>
            <w:r w:rsidRPr="00DE6484">
              <w:rPr>
                <w:rFonts w:ascii="Arial" w:hAnsi="Arial" w:cs="Arial"/>
                <w:vertAlign w:val="superscript"/>
              </w:rPr>
              <w:t>2</w:t>
            </w:r>
          </w:p>
          <w:p w14:paraId="468C9569" w14:textId="77777777" w:rsidR="00DE6484" w:rsidRPr="00DE6484" w:rsidRDefault="00DE6484" w:rsidP="00DE6484">
            <w:pPr>
              <w:jc w:val="both"/>
              <w:rPr>
                <w:rFonts w:ascii="Arial" w:hAnsi="Arial" w:cs="Arial"/>
              </w:rPr>
            </w:pPr>
          </w:p>
        </w:tc>
        <w:tc>
          <w:tcPr>
            <w:tcW w:w="0" w:type="auto"/>
          </w:tcPr>
          <w:p w14:paraId="1A4CAE25" w14:textId="77777777" w:rsidR="00DE6484" w:rsidRPr="00DE6484" w:rsidRDefault="00DE6484" w:rsidP="00DE6484">
            <w:pPr>
              <w:jc w:val="both"/>
              <w:rPr>
                <w:rFonts w:ascii="Arial" w:hAnsi="Arial" w:cs="Arial"/>
              </w:rPr>
            </w:pPr>
          </w:p>
          <w:p w14:paraId="0AC1827C" w14:textId="77777777" w:rsidR="00DE6484" w:rsidRPr="00DE6484" w:rsidRDefault="00DE6484" w:rsidP="00DE6484">
            <w:pPr>
              <w:jc w:val="both"/>
              <w:rPr>
                <w:rFonts w:ascii="Arial" w:hAnsi="Arial" w:cs="Arial"/>
              </w:rPr>
            </w:pPr>
            <w:r w:rsidRPr="00DE6484">
              <w:rPr>
                <w:rFonts w:ascii="Arial" w:hAnsi="Arial" w:cs="Arial"/>
              </w:rPr>
              <w:t>S</w:t>
            </w:r>
            <w:r w:rsidRPr="00DE6484">
              <w:rPr>
                <w:rFonts w:ascii="Arial" w:hAnsi="Arial" w:cs="Arial"/>
                <w:vertAlign w:val="subscript"/>
              </w:rPr>
              <w:t xml:space="preserve">L </w:t>
            </w:r>
            <w:r w:rsidRPr="00DE6484">
              <w:rPr>
                <w:rFonts w:ascii="Arial" w:hAnsi="Arial" w:cs="Arial"/>
              </w:rPr>
              <w:t>(m</w:t>
            </w:r>
            <w:proofErr w:type="gramStart"/>
            <w:r w:rsidRPr="00DE6484">
              <w:rPr>
                <w:rFonts w:ascii="Arial" w:hAnsi="Arial" w:cs="Arial"/>
              </w:rPr>
              <w:t>².g</w:t>
            </w:r>
            <w:proofErr w:type="gramEnd"/>
            <w:r w:rsidRPr="00DE6484">
              <w:rPr>
                <w:rFonts w:ascii="Arial" w:hAnsi="Arial" w:cs="Arial"/>
                <w:vertAlign w:val="superscript"/>
              </w:rPr>
              <w:sym w:font="Symbol" w:char="F02D"/>
            </w:r>
            <w:r w:rsidRPr="00DE6484">
              <w:rPr>
                <w:rFonts w:ascii="Arial" w:hAnsi="Arial" w:cs="Arial"/>
                <w:vertAlign w:val="superscript"/>
              </w:rPr>
              <w:t>1</w:t>
            </w:r>
            <w:r w:rsidRPr="00DE6484">
              <w:rPr>
                <w:rFonts w:ascii="Arial" w:hAnsi="Arial" w:cs="Arial"/>
              </w:rPr>
              <w:t>)</w:t>
            </w:r>
          </w:p>
          <w:p w14:paraId="3CB775A3" w14:textId="77777777" w:rsidR="00DE6484" w:rsidRPr="00DE6484" w:rsidRDefault="00DE6484" w:rsidP="00DE6484">
            <w:pPr>
              <w:jc w:val="both"/>
              <w:rPr>
                <w:rFonts w:ascii="Arial" w:hAnsi="Arial" w:cs="Arial"/>
              </w:rPr>
            </w:pPr>
          </w:p>
        </w:tc>
      </w:tr>
      <w:tr w:rsidR="00DE6484" w:rsidRPr="00DE6484" w14:paraId="12E5D835" w14:textId="77777777" w:rsidTr="005E114C">
        <w:trPr>
          <w:trHeight w:val="457"/>
          <w:jc w:val="center"/>
        </w:trPr>
        <w:tc>
          <w:tcPr>
            <w:tcW w:w="0" w:type="auto"/>
          </w:tcPr>
          <w:p w14:paraId="65F1D0E4" w14:textId="77777777" w:rsidR="00DE6484" w:rsidRPr="00DE6484" w:rsidRDefault="00DE6484" w:rsidP="00DE6484">
            <w:pPr>
              <w:jc w:val="both"/>
              <w:rPr>
                <w:rFonts w:ascii="Arial" w:hAnsi="Arial" w:cs="Arial"/>
                <w:b/>
                <w:bCs/>
              </w:rPr>
            </w:pPr>
          </w:p>
          <w:p w14:paraId="08E79558" w14:textId="77777777" w:rsidR="00DE6484" w:rsidRPr="00DE6484" w:rsidRDefault="00DE6484" w:rsidP="00DE6484">
            <w:pPr>
              <w:jc w:val="both"/>
              <w:rPr>
                <w:rFonts w:ascii="Arial" w:hAnsi="Arial" w:cs="Arial"/>
                <w:b/>
                <w:bCs/>
              </w:rPr>
            </w:pPr>
            <w:r w:rsidRPr="00DE6484">
              <w:rPr>
                <w:rFonts w:ascii="Arial" w:hAnsi="Arial" w:cs="Arial"/>
                <w:b/>
                <w:bCs/>
              </w:rPr>
              <w:t>RMA-2M-400</w:t>
            </w:r>
          </w:p>
          <w:p w14:paraId="375914A1" w14:textId="77777777" w:rsidR="00DE6484" w:rsidRPr="00DE6484" w:rsidRDefault="00DE6484" w:rsidP="00DE6484">
            <w:pPr>
              <w:jc w:val="both"/>
              <w:rPr>
                <w:rFonts w:ascii="Arial" w:hAnsi="Arial" w:cs="Arial"/>
                <w:b/>
                <w:bCs/>
              </w:rPr>
            </w:pPr>
          </w:p>
        </w:tc>
        <w:tc>
          <w:tcPr>
            <w:tcW w:w="0" w:type="auto"/>
          </w:tcPr>
          <w:p w14:paraId="6F793F26" w14:textId="77777777" w:rsidR="00DE6484" w:rsidRPr="00DE6484" w:rsidRDefault="00DE6484" w:rsidP="00DE6484">
            <w:pPr>
              <w:jc w:val="both"/>
              <w:rPr>
                <w:rFonts w:ascii="Arial" w:hAnsi="Arial" w:cs="Arial"/>
              </w:rPr>
            </w:pPr>
          </w:p>
          <w:p w14:paraId="19788CC4" w14:textId="77777777" w:rsidR="00DE6484" w:rsidRPr="00DE6484" w:rsidRDefault="00DE6484" w:rsidP="00DE6484">
            <w:pPr>
              <w:jc w:val="both"/>
              <w:rPr>
                <w:rFonts w:ascii="Arial" w:hAnsi="Arial" w:cs="Arial"/>
              </w:rPr>
            </w:pPr>
            <w:r w:rsidRPr="00DE6484">
              <w:rPr>
                <w:rFonts w:ascii="Arial" w:hAnsi="Arial" w:cs="Arial"/>
              </w:rPr>
              <w:t>62.11</w:t>
            </w:r>
          </w:p>
          <w:p w14:paraId="40BD0DB3" w14:textId="77777777" w:rsidR="00DE6484" w:rsidRPr="00DE6484" w:rsidRDefault="00DE6484" w:rsidP="00DE6484">
            <w:pPr>
              <w:jc w:val="both"/>
              <w:rPr>
                <w:rFonts w:ascii="Arial" w:hAnsi="Arial" w:cs="Arial"/>
              </w:rPr>
            </w:pPr>
          </w:p>
        </w:tc>
        <w:tc>
          <w:tcPr>
            <w:tcW w:w="0" w:type="auto"/>
          </w:tcPr>
          <w:p w14:paraId="2FC36558" w14:textId="77777777" w:rsidR="00DE6484" w:rsidRPr="00DE6484" w:rsidRDefault="00DE6484" w:rsidP="00DE6484">
            <w:pPr>
              <w:jc w:val="both"/>
              <w:rPr>
                <w:rFonts w:ascii="Arial" w:hAnsi="Arial" w:cs="Arial"/>
              </w:rPr>
            </w:pPr>
          </w:p>
          <w:p w14:paraId="7613A839" w14:textId="77777777" w:rsidR="00DE6484" w:rsidRPr="00DE6484" w:rsidRDefault="00DE6484" w:rsidP="00DE6484">
            <w:pPr>
              <w:jc w:val="both"/>
              <w:rPr>
                <w:rFonts w:ascii="Arial" w:hAnsi="Arial" w:cs="Arial"/>
              </w:rPr>
            </w:pPr>
            <w:r w:rsidRPr="00DE6484">
              <w:rPr>
                <w:rFonts w:ascii="Arial" w:hAnsi="Arial" w:cs="Arial"/>
              </w:rPr>
              <w:t>0.0274</w:t>
            </w:r>
          </w:p>
          <w:p w14:paraId="6B2988F1" w14:textId="77777777" w:rsidR="00DE6484" w:rsidRPr="00DE6484" w:rsidRDefault="00DE6484" w:rsidP="00DE6484">
            <w:pPr>
              <w:jc w:val="both"/>
              <w:rPr>
                <w:rFonts w:ascii="Arial" w:hAnsi="Arial" w:cs="Arial"/>
              </w:rPr>
            </w:pPr>
          </w:p>
        </w:tc>
        <w:tc>
          <w:tcPr>
            <w:tcW w:w="0" w:type="auto"/>
          </w:tcPr>
          <w:p w14:paraId="337777AB" w14:textId="77777777" w:rsidR="00DE6484" w:rsidRPr="00DE6484" w:rsidRDefault="00DE6484" w:rsidP="00DE6484">
            <w:pPr>
              <w:jc w:val="both"/>
              <w:rPr>
                <w:rFonts w:ascii="Arial" w:hAnsi="Arial" w:cs="Arial"/>
              </w:rPr>
            </w:pPr>
          </w:p>
          <w:p w14:paraId="0936A72D" w14:textId="77777777" w:rsidR="00DE6484" w:rsidRPr="00DE6484" w:rsidRDefault="00DE6484" w:rsidP="00DE6484">
            <w:pPr>
              <w:jc w:val="both"/>
              <w:rPr>
                <w:rFonts w:ascii="Arial" w:hAnsi="Arial" w:cs="Arial"/>
              </w:rPr>
            </w:pPr>
            <w:r w:rsidRPr="00DE6484">
              <w:rPr>
                <w:rFonts w:ascii="Arial" w:hAnsi="Arial" w:cs="Arial"/>
              </w:rPr>
              <w:t>0.59</w:t>
            </w:r>
          </w:p>
          <w:p w14:paraId="10B82AD7" w14:textId="77777777" w:rsidR="00DE6484" w:rsidRPr="00DE6484" w:rsidRDefault="00DE6484" w:rsidP="00DE6484">
            <w:pPr>
              <w:jc w:val="both"/>
              <w:rPr>
                <w:rFonts w:ascii="Arial" w:hAnsi="Arial" w:cs="Arial"/>
              </w:rPr>
            </w:pPr>
          </w:p>
        </w:tc>
        <w:tc>
          <w:tcPr>
            <w:tcW w:w="0" w:type="auto"/>
          </w:tcPr>
          <w:p w14:paraId="04502425" w14:textId="77777777" w:rsidR="00DE6484" w:rsidRPr="00DE6484" w:rsidRDefault="00DE6484" w:rsidP="00DE6484">
            <w:pPr>
              <w:jc w:val="both"/>
              <w:rPr>
                <w:rFonts w:ascii="Arial" w:hAnsi="Arial" w:cs="Arial"/>
              </w:rPr>
            </w:pPr>
          </w:p>
          <w:p w14:paraId="11874F19" w14:textId="77777777" w:rsidR="00DE6484" w:rsidRPr="00DE6484" w:rsidRDefault="00DE6484" w:rsidP="00DE6484">
            <w:pPr>
              <w:jc w:val="both"/>
              <w:rPr>
                <w:rFonts w:ascii="Arial" w:hAnsi="Arial" w:cs="Arial"/>
              </w:rPr>
            </w:pPr>
            <w:r w:rsidRPr="00DE6484">
              <w:rPr>
                <w:rFonts w:ascii="Arial" w:hAnsi="Arial" w:cs="Arial"/>
              </w:rPr>
              <w:t>0,963</w:t>
            </w:r>
          </w:p>
          <w:p w14:paraId="0EF239A4" w14:textId="77777777" w:rsidR="00DE6484" w:rsidRPr="00DE6484" w:rsidRDefault="00DE6484" w:rsidP="00DE6484">
            <w:pPr>
              <w:jc w:val="both"/>
              <w:rPr>
                <w:rFonts w:ascii="Arial" w:hAnsi="Arial" w:cs="Arial"/>
              </w:rPr>
            </w:pPr>
          </w:p>
        </w:tc>
        <w:tc>
          <w:tcPr>
            <w:tcW w:w="0" w:type="auto"/>
          </w:tcPr>
          <w:p w14:paraId="7D9A0DF5" w14:textId="77777777" w:rsidR="00DE6484" w:rsidRPr="00DE6484" w:rsidRDefault="00DE6484" w:rsidP="00DE6484">
            <w:pPr>
              <w:jc w:val="both"/>
              <w:rPr>
                <w:rFonts w:ascii="Arial" w:hAnsi="Arial" w:cs="Arial"/>
              </w:rPr>
            </w:pPr>
          </w:p>
          <w:p w14:paraId="1A1677DA" w14:textId="77777777" w:rsidR="00DE6484" w:rsidRPr="00DE6484" w:rsidRDefault="00DE6484" w:rsidP="00DE6484">
            <w:pPr>
              <w:jc w:val="both"/>
              <w:rPr>
                <w:rFonts w:ascii="Arial" w:hAnsi="Arial" w:cs="Arial"/>
              </w:rPr>
            </w:pPr>
            <w:r w:rsidRPr="00DE6484">
              <w:rPr>
                <w:rFonts w:ascii="Arial" w:hAnsi="Arial" w:cs="Arial"/>
              </w:rPr>
              <w:t>93.79</w:t>
            </w:r>
          </w:p>
          <w:p w14:paraId="6B00A5CF" w14:textId="77777777" w:rsidR="00DE6484" w:rsidRPr="00DE6484" w:rsidRDefault="00DE6484" w:rsidP="00DE6484">
            <w:pPr>
              <w:jc w:val="both"/>
              <w:rPr>
                <w:rFonts w:ascii="Arial" w:hAnsi="Arial" w:cs="Arial"/>
              </w:rPr>
            </w:pPr>
          </w:p>
        </w:tc>
      </w:tr>
      <w:tr w:rsidR="00DE6484" w:rsidRPr="00DE6484" w14:paraId="6BCB62FE" w14:textId="77777777" w:rsidTr="005E114C">
        <w:trPr>
          <w:trHeight w:val="457"/>
          <w:jc w:val="center"/>
        </w:trPr>
        <w:tc>
          <w:tcPr>
            <w:tcW w:w="0" w:type="auto"/>
          </w:tcPr>
          <w:p w14:paraId="16A43336" w14:textId="77777777" w:rsidR="00DE6484" w:rsidRPr="00DE6484" w:rsidRDefault="00DE6484" w:rsidP="00DE6484">
            <w:pPr>
              <w:jc w:val="both"/>
              <w:rPr>
                <w:rFonts w:ascii="Arial" w:hAnsi="Arial" w:cs="Arial"/>
                <w:b/>
                <w:bCs/>
              </w:rPr>
            </w:pPr>
          </w:p>
          <w:p w14:paraId="344D5CCF" w14:textId="77777777" w:rsidR="00DE6484" w:rsidRPr="00DE6484" w:rsidRDefault="00DE6484" w:rsidP="00DE6484">
            <w:pPr>
              <w:jc w:val="both"/>
              <w:rPr>
                <w:rFonts w:ascii="Arial" w:hAnsi="Arial" w:cs="Arial"/>
                <w:b/>
                <w:bCs/>
              </w:rPr>
            </w:pPr>
            <w:r w:rsidRPr="00DE6484">
              <w:rPr>
                <w:rFonts w:ascii="Arial" w:hAnsi="Arial" w:cs="Arial"/>
                <w:b/>
                <w:bCs/>
              </w:rPr>
              <w:t>RMA-2M-500</w:t>
            </w:r>
          </w:p>
          <w:p w14:paraId="16EE41E6" w14:textId="77777777" w:rsidR="00DE6484" w:rsidRPr="00DE6484" w:rsidRDefault="00DE6484" w:rsidP="00DE6484">
            <w:pPr>
              <w:jc w:val="both"/>
              <w:rPr>
                <w:rFonts w:ascii="Arial" w:hAnsi="Arial" w:cs="Arial"/>
                <w:b/>
                <w:bCs/>
              </w:rPr>
            </w:pPr>
          </w:p>
        </w:tc>
        <w:tc>
          <w:tcPr>
            <w:tcW w:w="0" w:type="auto"/>
          </w:tcPr>
          <w:p w14:paraId="4D62E015" w14:textId="77777777" w:rsidR="00DE6484" w:rsidRPr="00DE6484" w:rsidRDefault="00DE6484" w:rsidP="00DE6484">
            <w:pPr>
              <w:jc w:val="both"/>
              <w:rPr>
                <w:rFonts w:ascii="Arial" w:hAnsi="Arial" w:cs="Arial"/>
              </w:rPr>
            </w:pPr>
          </w:p>
          <w:p w14:paraId="653B6310" w14:textId="77777777" w:rsidR="00DE6484" w:rsidRPr="00DE6484" w:rsidRDefault="00DE6484" w:rsidP="00DE6484">
            <w:pPr>
              <w:jc w:val="both"/>
              <w:rPr>
                <w:rFonts w:ascii="Arial" w:hAnsi="Arial" w:cs="Arial"/>
              </w:rPr>
            </w:pPr>
            <w:r w:rsidRPr="00DE6484">
              <w:rPr>
                <w:rFonts w:ascii="Arial" w:hAnsi="Arial" w:cs="Arial"/>
              </w:rPr>
              <w:t>1250.00</w:t>
            </w:r>
          </w:p>
          <w:p w14:paraId="32544A0F" w14:textId="77777777" w:rsidR="00DE6484" w:rsidRPr="00DE6484" w:rsidRDefault="00DE6484" w:rsidP="00DE6484">
            <w:pPr>
              <w:jc w:val="both"/>
              <w:rPr>
                <w:rFonts w:ascii="Arial" w:hAnsi="Arial" w:cs="Arial"/>
              </w:rPr>
            </w:pPr>
          </w:p>
        </w:tc>
        <w:tc>
          <w:tcPr>
            <w:tcW w:w="0" w:type="auto"/>
          </w:tcPr>
          <w:p w14:paraId="66A9F4D8" w14:textId="77777777" w:rsidR="00DE6484" w:rsidRPr="00DE6484" w:rsidRDefault="00DE6484" w:rsidP="00DE6484">
            <w:pPr>
              <w:jc w:val="both"/>
              <w:rPr>
                <w:rFonts w:ascii="Arial" w:hAnsi="Arial" w:cs="Arial"/>
              </w:rPr>
            </w:pPr>
          </w:p>
          <w:p w14:paraId="2122E2AE" w14:textId="77777777" w:rsidR="00DE6484" w:rsidRPr="00DE6484" w:rsidRDefault="00DE6484" w:rsidP="00DE6484">
            <w:pPr>
              <w:jc w:val="both"/>
              <w:rPr>
                <w:rFonts w:ascii="Arial" w:hAnsi="Arial" w:cs="Arial"/>
              </w:rPr>
            </w:pPr>
            <w:r w:rsidRPr="00DE6484">
              <w:rPr>
                <w:rFonts w:ascii="Arial" w:hAnsi="Arial" w:cs="Arial"/>
              </w:rPr>
              <w:t>0.0116</w:t>
            </w:r>
          </w:p>
          <w:p w14:paraId="525EE961" w14:textId="77777777" w:rsidR="00DE6484" w:rsidRPr="00DE6484" w:rsidRDefault="00DE6484" w:rsidP="00DE6484">
            <w:pPr>
              <w:jc w:val="both"/>
              <w:rPr>
                <w:rFonts w:ascii="Arial" w:hAnsi="Arial" w:cs="Arial"/>
              </w:rPr>
            </w:pPr>
          </w:p>
        </w:tc>
        <w:tc>
          <w:tcPr>
            <w:tcW w:w="0" w:type="auto"/>
          </w:tcPr>
          <w:p w14:paraId="1E2C029C" w14:textId="77777777" w:rsidR="00DE6484" w:rsidRPr="00DE6484" w:rsidRDefault="00DE6484" w:rsidP="00DE6484">
            <w:pPr>
              <w:jc w:val="both"/>
              <w:rPr>
                <w:rFonts w:ascii="Arial" w:hAnsi="Arial" w:cs="Arial"/>
              </w:rPr>
            </w:pPr>
          </w:p>
          <w:p w14:paraId="196CE262" w14:textId="77777777" w:rsidR="00DE6484" w:rsidRPr="00DE6484" w:rsidRDefault="00DE6484" w:rsidP="00DE6484">
            <w:pPr>
              <w:jc w:val="both"/>
              <w:rPr>
                <w:rFonts w:ascii="Arial" w:hAnsi="Arial" w:cs="Arial"/>
              </w:rPr>
            </w:pPr>
            <w:r w:rsidRPr="00DE6484">
              <w:rPr>
                <w:rFonts w:ascii="Arial" w:hAnsi="Arial" w:cs="Arial"/>
              </w:rPr>
              <w:t>0.66</w:t>
            </w:r>
          </w:p>
          <w:p w14:paraId="01357690" w14:textId="77777777" w:rsidR="00DE6484" w:rsidRPr="00DE6484" w:rsidRDefault="00DE6484" w:rsidP="00DE6484">
            <w:pPr>
              <w:jc w:val="both"/>
              <w:rPr>
                <w:rFonts w:ascii="Arial" w:hAnsi="Arial" w:cs="Arial"/>
              </w:rPr>
            </w:pPr>
          </w:p>
        </w:tc>
        <w:tc>
          <w:tcPr>
            <w:tcW w:w="0" w:type="auto"/>
          </w:tcPr>
          <w:p w14:paraId="7B12252F" w14:textId="77777777" w:rsidR="00DE6484" w:rsidRPr="00DE6484" w:rsidRDefault="00DE6484" w:rsidP="00DE6484">
            <w:pPr>
              <w:jc w:val="both"/>
              <w:rPr>
                <w:rFonts w:ascii="Arial" w:hAnsi="Arial" w:cs="Arial"/>
              </w:rPr>
            </w:pPr>
          </w:p>
          <w:p w14:paraId="02298918" w14:textId="77777777" w:rsidR="00DE6484" w:rsidRPr="00DE6484" w:rsidRDefault="00DE6484" w:rsidP="00DE6484">
            <w:pPr>
              <w:jc w:val="both"/>
              <w:rPr>
                <w:rFonts w:ascii="Arial" w:hAnsi="Arial" w:cs="Arial"/>
              </w:rPr>
            </w:pPr>
            <w:r w:rsidRPr="00DE6484">
              <w:rPr>
                <w:rFonts w:ascii="Arial" w:hAnsi="Arial" w:cs="Arial"/>
              </w:rPr>
              <w:t>0,904</w:t>
            </w:r>
          </w:p>
          <w:p w14:paraId="0E7D16E4" w14:textId="77777777" w:rsidR="00DE6484" w:rsidRPr="00DE6484" w:rsidRDefault="00DE6484" w:rsidP="00DE6484">
            <w:pPr>
              <w:jc w:val="both"/>
              <w:rPr>
                <w:rFonts w:ascii="Arial" w:hAnsi="Arial" w:cs="Arial"/>
              </w:rPr>
            </w:pPr>
          </w:p>
        </w:tc>
        <w:tc>
          <w:tcPr>
            <w:tcW w:w="0" w:type="auto"/>
          </w:tcPr>
          <w:p w14:paraId="6FE3F302" w14:textId="77777777" w:rsidR="00DE6484" w:rsidRPr="00DE6484" w:rsidRDefault="00DE6484" w:rsidP="00DE6484">
            <w:pPr>
              <w:jc w:val="both"/>
              <w:rPr>
                <w:rFonts w:ascii="Arial" w:hAnsi="Arial" w:cs="Arial"/>
              </w:rPr>
            </w:pPr>
          </w:p>
          <w:p w14:paraId="16EE7DD4" w14:textId="77777777" w:rsidR="00DE6484" w:rsidRPr="00DE6484" w:rsidRDefault="00DE6484" w:rsidP="00DE6484">
            <w:pPr>
              <w:jc w:val="both"/>
              <w:rPr>
                <w:rFonts w:ascii="Arial" w:hAnsi="Arial" w:cs="Arial"/>
              </w:rPr>
            </w:pPr>
            <w:r w:rsidRPr="00DE6484">
              <w:rPr>
                <w:rFonts w:ascii="Arial" w:hAnsi="Arial" w:cs="Arial"/>
              </w:rPr>
              <w:t>1887.45</w:t>
            </w:r>
          </w:p>
          <w:p w14:paraId="565DE948" w14:textId="77777777" w:rsidR="00DE6484" w:rsidRPr="00DE6484" w:rsidRDefault="00DE6484" w:rsidP="00DE6484">
            <w:pPr>
              <w:jc w:val="both"/>
              <w:rPr>
                <w:rFonts w:ascii="Arial" w:hAnsi="Arial" w:cs="Arial"/>
              </w:rPr>
            </w:pPr>
          </w:p>
        </w:tc>
      </w:tr>
      <w:tr w:rsidR="00DE6484" w:rsidRPr="00DE6484" w14:paraId="1ED274B3" w14:textId="77777777" w:rsidTr="005E114C">
        <w:trPr>
          <w:trHeight w:val="457"/>
          <w:jc w:val="center"/>
        </w:trPr>
        <w:tc>
          <w:tcPr>
            <w:tcW w:w="0" w:type="auto"/>
          </w:tcPr>
          <w:p w14:paraId="74A1A36E" w14:textId="77777777" w:rsidR="00DE6484" w:rsidRPr="00DE6484" w:rsidRDefault="00DE6484" w:rsidP="00DE6484">
            <w:pPr>
              <w:jc w:val="both"/>
              <w:rPr>
                <w:rFonts w:ascii="Arial" w:hAnsi="Arial" w:cs="Arial"/>
                <w:b/>
                <w:bCs/>
              </w:rPr>
            </w:pPr>
          </w:p>
          <w:p w14:paraId="7807A838" w14:textId="77777777" w:rsidR="00DE6484" w:rsidRPr="00DE6484" w:rsidRDefault="00DE6484" w:rsidP="00DE6484">
            <w:pPr>
              <w:jc w:val="both"/>
              <w:rPr>
                <w:rFonts w:ascii="Arial" w:hAnsi="Arial" w:cs="Arial"/>
                <w:b/>
                <w:bCs/>
              </w:rPr>
            </w:pPr>
            <w:r w:rsidRPr="00DE6484">
              <w:rPr>
                <w:rFonts w:ascii="Arial" w:hAnsi="Arial" w:cs="Arial"/>
                <w:b/>
                <w:bCs/>
              </w:rPr>
              <w:t>RMA-2M-600</w:t>
            </w:r>
          </w:p>
          <w:p w14:paraId="58CD76E3" w14:textId="77777777" w:rsidR="00DE6484" w:rsidRPr="00DE6484" w:rsidRDefault="00DE6484" w:rsidP="00DE6484">
            <w:pPr>
              <w:jc w:val="both"/>
              <w:rPr>
                <w:rFonts w:ascii="Arial" w:hAnsi="Arial" w:cs="Arial"/>
                <w:b/>
                <w:bCs/>
              </w:rPr>
            </w:pPr>
          </w:p>
        </w:tc>
        <w:tc>
          <w:tcPr>
            <w:tcW w:w="0" w:type="auto"/>
          </w:tcPr>
          <w:p w14:paraId="5D56B6C2" w14:textId="77777777" w:rsidR="00DE6484" w:rsidRPr="00DE6484" w:rsidRDefault="00DE6484" w:rsidP="00DE6484">
            <w:pPr>
              <w:jc w:val="both"/>
              <w:rPr>
                <w:rFonts w:ascii="Arial" w:hAnsi="Arial" w:cs="Arial"/>
              </w:rPr>
            </w:pPr>
          </w:p>
          <w:p w14:paraId="62AE1793" w14:textId="77777777" w:rsidR="00DE6484" w:rsidRPr="00DE6484" w:rsidRDefault="00DE6484" w:rsidP="00DE6484">
            <w:pPr>
              <w:jc w:val="both"/>
              <w:rPr>
                <w:rFonts w:ascii="Arial" w:hAnsi="Arial" w:cs="Arial"/>
              </w:rPr>
            </w:pPr>
            <w:r w:rsidRPr="00DE6484">
              <w:rPr>
                <w:rFonts w:ascii="Arial" w:hAnsi="Arial" w:cs="Arial"/>
              </w:rPr>
              <w:t>344.83</w:t>
            </w:r>
          </w:p>
          <w:p w14:paraId="4BCB6035" w14:textId="77777777" w:rsidR="00DE6484" w:rsidRPr="00DE6484" w:rsidRDefault="00DE6484" w:rsidP="00DE6484">
            <w:pPr>
              <w:jc w:val="both"/>
              <w:rPr>
                <w:rFonts w:ascii="Arial" w:hAnsi="Arial" w:cs="Arial"/>
              </w:rPr>
            </w:pPr>
          </w:p>
        </w:tc>
        <w:tc>
          <w:tcPr>
            <w:tcW w:w="0" w:type="auto"/>
          </w:tcPr>
          <w:p w14:paraId="5436AA1E" w14:textId="77777777" w:rsidR="00DE6484" w:rsidRPr="00DE6484" w:rsidRDefault="00DE6484" w:rsidP="00DE6484">
            <w:pPr>
              <w:jc w:val="both"/>
              <w:rPr>
                <w:rFonts w:ascii="Arial" w:hAnsi="Arial" w:cs="Arial"/>
              </w:rPr>
            </w:pPr>
          </w:p>
          <w:p w14:paraId="50292B12" w14:textId="77777777" w:rsidR="00DE6484" w:rsidRPr="00DE6484" w:rsidRDefault="00DE6484" w:rsidP="00DE6484">
            <w:pPr>
              <w:jc w:val="both"/>
              <w:rPr>
                <w:rFonts w:ascii="Arial" w:hAnsi="Arial" w:cs="Arial"/>
              </w:rPr>
            </w:pPr>
            <w:r w:rsidRPr="00DE6484">
              <w:rPr>
                <w:rFonts w:ascii="Arial" w:hAnsi="Arial" w:cs="Arial"/>
              </w:rPr>
              <w:t>0.0407</w:t>
            </w:r>
          </w:p>
          <w:p w14:paraId="56663A23" w14:textId="77777777" w:rsidR="00DE6484" w:rsidRPr="00DE6484" w:rsidRDefault="00DE6484" w:rsidP="00DE6484">
            <w:pPr>
              <w:jc w:val="both"/>
              <w:rPr>
                <w:rFonts w:ascii="Arial" w:hAnsi="Arial" w:cs="Arial"/>
              </w:rPr>
            </w:pPr>
          </w:p>
        </w:tc>
        <w:tc>
          <w:tcPr>
            <w:tcW w:w="0" w:type="auto"/>
          </w:tcPr>
          <w:p w14:paraId="2AD1406F" w14:textId="77777777" w:rsidR="00DE6484" w:rsidRPr="00DE6484" w:rsidRDefault="00DE6484" w:rsidP="00DE6484">
            <w:pPr>
              <w:jc w:val="both"/>
              <w:rPr>
                <w:rFonts w:ascii="Arial" w:hAnsi="Arial" w:cs="Arial"/>
              </w:rPr>
            </w:pPr>
          </w:p>
          <w:p w14:paraId="38A1B57F" w14:textId="77777777" w:rsidR="00DE6484" w:rsidRPr="00DE6484" w:rsidRDefault="00DE6484" w:rsidP="00DE6484">
            <w:pPr>
              <w:jc w:val="both"/>
              <w:rPr>
                <w:rFonts w:ascii="Arial" w:hAnsi="Arial" w:cs="Arial"/>
              </w:rPr>
            </w:pPr>
            <w:r w:rsidRPr="00DE6484">
              <w:rPr>
                <w:rFonts w:ascii="Arial" w:hAnsi="Arial" w:cs="Arial"/>
              </w:rPr>
              <w:t>0.68</w:t>
            </w:r>
          </w:p>
          <w:p w14:paraId="2EBC9471" w14:textId="77777777" w:rsidR="00DE6484" w:rsidRPr="00DE6484" w:rsidRDefault="00DE6484" w:rsidP="00DE6484">
            <w:pPr>
              <w:jc w:val="both"/>
              <w:rPr>
                <w:rFonts w:ascii="Arial" w:hAnsi="Arial" w:cs="Arial"/>
              </w:rPr>
            </w:pPr>
          </w:p>
        </w:tc>
        <w:tc>
          <w:tcPr>
            <w:tcW w:w="0" w:type="auto"/>
          </w:tcPr>
          <w:p w14:paraId="13977B96" w14:textId="77777777" w:rsidR="00DE6484" w:rsidRPr="00DE6484" w:rsidRDefault="00DE6484" w:rsidP="00DE6484">
            <w:pPr>
              <w:jc w:val="both"/>
              <w:rPr>
                <w:rFonts w:ascii="Arial" w:hAnsi="Arial" w:cs="Arial"/>
              </w:rPr>
            </w:pPr>
          </w:p>
          <w:p w14:paraId="356CD660" w14:textId="77777777" w:rsidR="00DE6484" w:rsidRPr="00DE6484" w:rsidRDefault="00DE6484" w:rsidP="00DE6484">
            <w:pPr>
              <w:jc w:val="both"/>
              <w:rPr>
                <w:rFonts w:ascii="Arial" w:hAnsi="Arial" w:cs="Arial"/>
              </w:rPr>
            </w:pPr>
            <w:bookmarkStart w:id="11" w:name="_Hlk212193465"/>
            <w:r w:rsidRPr="00DE6484">
              <w:rPr>
                <w:rFonts w:ascii="Arial" w:hAnsi="Arial" w:cs="Arial"/>
              </w:rPr>
              <w:t>0,872</w:t>
            </w:r>
          </w:p>
          <w:bookmarkEnd w:id="11"/>
          <w:p w14:paraId="2B68F326" w14:textId="77777777" w:rsidR="00DE6484" w:rsidRPr="00DE6484" w:rsidRDefault="00DE6484" w:rsidP="00DE6484">
            <w:pPr>
              <w:jc w:val="both"/>
              <w:rPr>
                <w:rFonts w:ascii="Arial" w:hAnsi="Arial" w:cs="Arial"/>
              </w:rPr>
            </w:pPr>
          </w:p>
        </w:tc>
        <w:tc>
          <w:tcPr>
            <w:tcW w:w="0" w:type="auto"/>
          </w:tcPr>
          <w:p w14:paraId="7444BD36" w14:textId="77777777" w:rsidR="00DE6484" w:rsidRPr="00DE6484" w:rsidRDefault="00DE6484" w:rsidP="00DE6484">
            <w:pPr>
              <w:jc w:val="both"/>
              <w:rPr>
                <w:rFonts w:ascii="Arial" w:hAnsi="Arial" w:cs="Arial"/>
              </w:rPr>
            </w:pPr>
          </w:p>
          <w:p w14:paraId="0C1BBA9B" w14:textId="77777777" w:rsidR="00DE6484" w:rsidRPr="00DE6484" w:rsidRDefault="00DE6484" w:rsidP="00DE6484">
            <w:pPr>
              <w:jc w:val="both"/>
              <w:rPr>
                <w:rFonts w:ascii="Arial" w:hAnsi="Arial" w:cs="Arial"/>
              </w:rPr>
            </w:pPr>
            <w:r w:rsidRPr="00DE6484">
              <w:rPr>
                <w:rFonts w:ascii="Arial" w:hAnsi="Arial" w:cs="Arial"/>
              </w:rPr>
              <w:t>520.68</w:t>
            </w:r>
          </w:p>
        </w:tc>
      </w:tr>
    </w:tbl>
    <w:p w14:paraId="0AD3A6D6" w14:textId="77777777" w:rsidR="00DE6484" w:rsidRPr="00DE6484" w:rsidRDefault="00DE6484" w:rsidP="00DE6484">
      <w:pPr>
        <w:jc w:val="both"/>
        <w:rPr>
          <w:rFonts w:ascii="Arial" w:hAnsi="Arial" w:cs="Arial"/>
        </w:rPr>
      </w:pPr>
    </w:p>
    <w:p w14:paraId="74B40EDF" w14:textId="77777777" w:rsidR="00DE6484" w:rsidRPr="00DE6484" w:rsidRDefault="00DE6484" w:rsidP="00DE6484">
      <w:pPr>
        <w:jc w:val="both"/>
        <w:rPr>
          <w:rFonts w:ascii="Arial" w:hAnsi="Arial" w:cs="Arial"/>
        </w:rPr>
      </w:pPr>
      <w:r w:rsidRPr="00DE6484">
        <w:rPr>
          <w:rFonts w:ascii="Arial" w:hAnsi="Arial" w:cs="Arial"/>
        </w:rPr>
        <w:t>The application of the Langmuir isotherm to the experimental data made it possible to evaluate the maximum adsorption capacity of the activated carbons produced from corncob, as well as their affinity toward the adsorbate. The results show a strong influence of activation temperature on the model parameters. The maximum adsorption capacity Q</w:t>
      </w:r>
      <w:r w:rsidRPr="00DE6484">
        <w:rPr>
          <w:rFonts w:ascii="Arial" w:hAnsi="Arial" w:cs="Arial"/>
          <w:vertAlign w:val="subscript"/>
        </w:rPr>
        <w:t>m</w:t>
      </w:r>
      <w:r w:rsidRPr="00DE6484">
        <w:rPr>
          <w:rFonts w:ascii="Arial" w:hAnsi="Arial" w:cs="Arial"/>
        </w:rPr>
        <w:t>​ varies considerably among the samples, reaching 1250 mg·g</w:t>
      </w:r>
      <w:r w:rsidRPr="00DE6484">
        <w:rPr>
          <w:rFonts w:ascii="Cambria Math" w:hAnsi="Cambria Math" w:cs="Cambria Math"/>
        </w:rPr>
        <w:t>⁻</w:t>
      </w:r>
      <w:r w:rsidRPr="00DE6484">
        <w:rPr>
          <w:rFonts w:ascii="Arial" w:hAnsi="Arial" w:cs="Arial"/>
        </w:rPr>
        <w:t>¹ for RMA-2M-500, compared with only 62.11 mg.g</w:t>
      </w:r>
      <w:r w:rsidRPr="00DE6484">
        <w:rPr>
          <w:rFonts w:ascii="Cambria Math" w:hAnsi="Cambria Math" w:cs="Cambria Math"/>
        </w:rPr>
        <w:t>⁻</w:t>
      </w:r>
      <w:r w:rsidRPr="00DE6484">
        <w:rPr>
          <w:rFonts w:ascii="Arial" w:hAnsi="Arial" w:cs="Arial"/>
        </w:rPr>
        <w:t>¹ at 400 °C and 344.83 mg.g</w:t>
      </w:r>
      <w:r w:rsidRPr="00DE6484">
        <w:rPr>
          <w:rFonts w:ascii="Cambria Math" w:hAnsi="Cambria Math" w:cs="Cambria Math"/>
        </w:rPr>
        <w:t>⁻</w:t>
      </w:r>
      <w:r w:rsidRPr="00DE6484">
        <w:rPr>
          <w:rFonts w:ascii="Arial" w:hAnsi="Arial" w:cs="Arial"/>
        </w:rPr>
        <w:t>¹ at 600 °C. This exceptional value obtained at 500 °C reflects the optimal development of microporosity and the high specific surface area (1887.45 m².g</w:t>
      </w:r>
      <w:r w:rsidRPr="00DE6484">
        <w:rPr>
          <w:rFonts w:ascii="Cambria Math" w:hAnsi="Cambria Math" w:cs="Cambria Math"/>
        </w:rPr>
        <w:t>⁻</w:t>
      </w:r>
      <w:r w:rsidRPr="00DE6484">
        <w:rPr>
          <w:rFonts w:ascii="Arial" w:hAnsi="Arial" w:cs="Arial"/>
        </w:rPr>
        <w:t xml:space="preserve">¹), conditions that are particularly favorable for adsorption </w:t>
      </w:r>
      <w:r w:rsidRPr="00DE6484">
        <w:rPr>
          <w:rFonts w:ascii="Arial" w:hAnsi="Arial" w:cs="Arial"/>
        </w:rPr>
        <w:fldChar w:fldCharType="begin"/>
      </w:r>
      <w:r w:rsidRPr="00DE6484">
        <w:rPr>
          <w:rFonts w:ascii="Arial" w:hAnsi="Arial" w:cs="Arial"/>
        </w:rPr>
        <w:instrText xml:space="preserve"> ADDIN ZOTERO_ITEM CSL_CITATION {"citationID":"zqugLxWq","properties":{"formattedCitation":"(Liou 2010; Freundlich 1907)","plainCitation":"(Liou 2010; Freundlich 1907)","noteIndex":0},"citationItems":[{"id":454,"uris":["http://zotero.org/users/18768689/items/BQZP9NJ9"],"itemData":{"id":454,"type":"article-journal","container-title":"Chemical Engineering Journal","DOI":"10.1016/j.cej.2009.12.016","ISSN":"13858947","issue":"2","journalAbbreviation":"Chemical Engineering Journal","language":"en","page":"129-142","source":"DOI.org (Crossref)","title":"Development of mesoporous structure and high adsorption capacity of biomass-based activated carbon by phosphoric acid and zinc chloride activation","volume":"158","author":[{"family":"Liou","given":"Tzong-Horng"}],"issued":{"date-parts":[["2010",4]]}}},{"id":446,"uris":["http://zotero.org/users/18768689/items/76XHDU42"],"itemData":{"id":446,"type":"article-journal","container-title":"Zeitschrift für Physikalische Chemie","DOI":"10.1515/zpch-1907-5723","ISSN":"2196-7156, 0942-9352","issue":"1","language":"en","page":"385-470","source":"DOI.org (Crossref)","title":"Über die Adsorption in Lösungen","volume":"57U","author":[{"family":"Freundlich","given":"Herbert"}],"issued":{"date-parts":[["1907",10,1]]}}}],"schema":"https://github.com/citation-style-language/schema/raw/master/csl-citation.json"} </w:instrText>
      </w:r>
      <w:r w:rsidRPr="00DE6484">
        <w:rPr>
          <w:rFonts w:ascii="Arial" w:hAnsi="Arial" w:cs="Arial"/>
        </w:rPr>
        <w:fldChar w:fldCharType="separate"/>
      </w:r>
      <w:r w:rsidRPr="00DE6484">
        <w:rPr>
          <w:rFonts w:ascii="Arial" w:hAnsi="Arial" w:cs="Arial"/>
        </w:rPr>
        <w:t>(Liou 2010; Freundlich 1907)</w:t>
      </w:r>
      <w:r w:rsidRPr="00DE6484">
        <w:rPr>
          <w:rFonts w:ascii="Arial" w:hAnsi="Arial" w:cs="Arial"/>
        </w:rPr>
        <w:fldChar w:fldCharType="end"/>
      </w:r>
      <w:r w:rsidRPr="00DE6484">
        <w:rPr>
          <w:rFonts w:ascii="Arial" w:hAnsi="Arial" w:cs="Arial"/>
        </w:rPr>
        <w:t>. These observations confirm that activation temperature is a key parameter governing the performance of activated carbons.</w:t>
      </w:r>
    </w:p>
    <w:p w14:paraId="3AAB6484" w14:textId="77777777" w:rsidR="00DE6484" w:rsidRPr="00DE6484" w:rsidRDefault="00DE6484" w:rsidP="00DE6484">
      <w:pPr>
        <w:jc w:val="both"/>
        <w:rPr>
          <w:rFonts w:ascii="Arial" w:hAnsi="Arial" w:cs="Arial"/>
        </w:rPr>
      </w:pPr>
      <w:r w:rsidRPr="00DE6484">
        <w:rPr>
          <w:rFonts w:ascii="Arial" w:hAnsi="Arial" w:cs="Arial"/>
        </w:rPr>
        <w:t>The analysis of the Langmuir constant (K</w:t>
      </w:r>
      <w:r w:rsidRPr="00DE6484">
        <w:rPr>
          <w:rFonts w:ascii="Arial" w:hAnsi="Arial" w:cs="Arial"/>
          <w:vertAlign w:val="subscript"/>
        </w:rPr>
        <w:t>L</w:t>
      </w:r>
      <w:r w:rsidRPr="00DE6484">
        <w:rPr>
          <w:rFonts w:ascii="Arial" w:hAnsi="Arial" w:cs="Arial"/>
        </w:rPr>
        <w:t>​) shows values ranging from 0.0116 to 0.0407 L.mg</w:t>
      </w:r>
      <w:r w:rsidRPr="00DE6484">
        <w:rPr>
          <w:rFonts w:ascii="Cambria Math" w:hAnsi="Cambria Math" w:cs="Cambria Math"/>
        </w:rPr>
        <w:t>⁻</w:t>
      </w:r>
      <w:r w:rsidRPr="00DE6484">
        <w:rPr>
          <w:rFonts w:ascii="Arial" w:hAnsi="Arial" w:cs="Arial"/>
        </w:rPr>
        <w:t>¹, indicating a moderate affinity between the activated carbon and the adsorbate. The RMA-2M-600 sample exhibits the highest value (K</w:t>
      </w:r>
      <w:r w:rsidRPr="00DE6484">
        <w:rPr>
          <w:rFonts w:ascii="Arial" w:hAnsi="Arial" w:cs="Arial"/>
          <w:vertAlign w:val="subscript"/>
        </w:rPr>
        <w:t>L</w:t>
      </w:r>
      <w:r w:rsidRPr="00DE6484">
        <w:rPr>
          <w:rFonts w:ascii="Arial" w:hAnsi="Arial" w:cs="Arial"/>
        </w:rPr>
        <w:t>=0.0407), suggesting stronger interactions, although its maximum adsorption capacity remains lower than that of RMA-2M-500. This contrast illustrates that the constant K</w:t>
      </w:r>
      <w:r w:rsidRPr="00DE6484">
        <w:rPr>
          <w:rFonts w:ascii="Arial" w:hAnsi="Arial" w:cs="Arial"/>
          <w:vertAlign w:val="subscript"/>
        </w:rPr>
        <w:t>L</w:t>
      </w:r>
      <w:r w:rsidRPr="00DE6484">
        <w:rPr>
          <w:rFonts w:ascii="Arial" w:hAnsi="Arial" w:cs="Arial"/>
        </w:rPr>
        <w:t xml:space="preserve"> reflects not only the number of available adsorption sites but also the nature of the interactions between the surface and the solute </w:t>
      </w:r>
      <w:r w:rsidRPr="00DE6484">
        <w:rPr>
          <w:rFonts w:ascii="Arial" w:hAnsi="Arial" w:cs="Arial"/>
        </w:rPr>
        <w:fldChar w:fldCharType="begin"/>
      </w:r>
      <w:r w:rsidRPr="00DE6484">
        <w:rPr>
          <w:rFonts w:ascii="Arial" w:hAnsi="Arial" w:cs="Arial"/>
        </w:rPr>
        <w:instrText xml:space="preserve"> ADDIN ZOTERO_ITEM CSL_CITATION {"citationID":"68Vj05OF","properties":{"formattedCitation":"(Foo et Hameed 2010)","plainCitation":"(Foo et Hameed 2010)","noteIndex":0},"citationItems":[{"id":466,"uris":["http://zotero.org/users/18768689/items/X9J5EVW4"],"itemData":{"id":466,"type":"article-journal","container-title":"Chemical Engineering Journal","DOI":"10.1016/j.cej.2009.09.013","ISSN":"13858947","issue":"1","journalAbbreviation":"Chemical Engineering Journal","language":"en","page":"2-10","source":"DOI.org (Crossref)","title":"Insights into the modeling of adsorption isotherm systems","volume":"156","author":[{"family":"Foo","given":"K.Y."},{"family":"Hameed","given":"B.H."}],"issued":{"date-parts":[["2010",1]]}}}],"schema":"https://github.com/citation-style-language/schema/raw/master/csl-citation.json"} </w:instrText>
      </w:r>
      <w:r w:rsidRPr="00DE6484">
        <w:rPr>
          <w:rFonts w:ascii="Arial" w:hAnsi="Arial" w:cs="Arial"/>
        </w:rPr>
        <w:fldChar w:fldCharType="separate"/>
      </w:r>
      <w:r w:rsidRPr="00DE6484">
        <w:rPr>
          <w:rFonts w:ascii="Arial" w:hAnsi="Arial" w:cs="Arial"/>
        </w:rPr>
        <w:t>(Foo et Hameed 2010)</w:t>
      </w:r>
      <w:r w:rsidRPr="00DE6484">
        <w:rPr>
          <w:rFonts w:ascii="Arial" w:hAnsi="Arial" w:cs="Arial"/>
        </w:rPr>
        <w:fldChar w:fldCharType="end"/>
      </w:r>
      <w:r w:rsidRPr="00DE6484">
        <w:rPr>
          <w:rFonts w:ascii="Arial" w:hAnsi="Arial" w:cs="Arial"/>
        </w:rPr>
        <w:t>.</w:t>
      </w:r>
    </w:p>
    <w:p w14:paraId="5C3BFE2F" w14:textId="77777777" w:rsidR="00DE6484" w:rsidRPr="00DE6484" w:rsidRDefault="00DE6484" w:rsidP="00DE6484">
      <w:pPr>
        <w:jc w:val="both"/>
        <w:rPr>
          <w:rFonts w:ascii="Arial" w:hAnsi="Arial" w:cs="Arial"/>
        </w:rPr>
      </w:pPr>
      <w:r w:rsidRPr="00DE6484">
        <w:rPr>
          <w:rFonts w:ascii="Arial" w:hAnsi="Arial" w:cs="Arial"/>
        </w:rPr>
        <w:t>The separation factor (R</w:t>
      </w:r>
      <w:r w:rsidRPr="00DE6484">
        <w:rPr>
          <w:rFonts w:ascii="Arial" w:hAnsi="Arial" w:cs="Arial"/>
          <w:vertAlign w:val="subscript"/>
        </w:rPr>
        <w:t>L</w:t>
      </w:r>
      <w:r w:rsidRPr="00DE6484">
        <w:rPr>
          <w:rFonts w:ascii="Arial" w:hAnsi="Arial" w:cs="Arial"/>
        </w:rPr>
        <w:t xml:space="preserve">​), used to assess the favorability of the adsorption process, exhibits values between 0.59 and 0.68. According to the criterion established by </w:t>
      </w:r>
      <w:r w:rsidRPr="00DE6484">
        <w:rPr>
          <w:rFonts w:ascii="Arial" w:hAnsi="Arial" w:cs="Arial"/>
        </w:rPr>
        <w:fldChar w:fldCharType="begin"/>
      </w:r>
      <w:r w:rsidRPr="00DE6484">
        <w:rPr>
          <w:rFonts w:ascii="Arial" w:hAnsi="Arial" w:cs="Arial"/>
        </w:rPr>
        <w:instrText xml:space="preserve"> ADDIN ZOTERO_ITEM CSL_CITATION {"citationID":"rOKOrJQl","properties":{"formattedCitation":"(Foo et Hameed 2010; Basu et al. 2018)","plainCitation":"(Foo et Hameed 2010; Basu et al. 2018)","noteIndex":0},"citationItems":[{"id":466,"uris":["http://zotero.org/users/18768689/items/X9J5EVW4"],"itemData":{"id":466,"type":"article-journal","container-title":"Chemical Engineering Journal","DOI":"10.1016/j.cej.2009.09.013","ISSN":"13858947","issue":"1","journalAbbreviation":"Chemical Engineering Journal","language":"en","page":"2-10","source":"DOI.org (Crossref)","title":"Insights into the modeling of adsorption isotherm systems","volume":"156","author":[{"family":"Foo","given":"K.Y."},{"family":"Hameed","given":"B.H."}],"issued":{"date-parts":[["2010",1]]}}},{"id":341,"uris":["http://zotero.org/users/18768689/items/N8UBGVFU"],"itemData":{"id":341,"type":"article-journal","container-title":"Process Safety and Environmental Protection","DOI":"10.1016/j.psep.2018.04.015","ISSN":"09575820","journalAbbreviation":"Process Safety and Environmental Protection","language":"en","page":"125-142","source":"DOI.org (Crossref)","title":"Adsorption characteristics of phosphoric acid induced activation of bio-carbon: Equilibrium, kinetics, thermodynamics and batch adsorber design","title-short":"Adsorption characteristics of phosphoric acid induced activation of bio-carbon","volume":"117","author":[{"family":"Basu","given":"Sankhadeep"},{"family":"Ghosh","given":"Gourab"},{"family":"Saha","given":"Sudeshna"}],"issued":{"date-parts":[["2018",7]]}}}],"schema":"https://github.com/citation-style-language/schema/raw/master/csl-citation.json"} </w:instrText>
      </w:r>
      <w:r w:rsidRPr="00DE6484">
        <w:rPr>
          <w:rFonts w:ascii="Arial" w:hAnsi="Arial" w:cs="Arial"/>
        </w:rPr>
        <w:fldChar w:fldCharType="separate"/>
      </w:r>
      <w:r w:rsidRPr="00DE6484">
        <w:rPr>
          <w:rFonts w:ascii="Arial" w:hAnsi="Arial" w:cs="Arial"/>
        </w:rPr>
        <w:t>(Foo et Hameed 2010; Basu et al. 2018)</w:t>
      </w:r>
      <w:r w:rsidRPr="00DE6484">
        <w:rPr>
          <w:rFonts w:ascii="Arial" w:hAnsi="Arial" w:cs="Arial"/>
        </w:rPr>
        <w:fldChar w:fldCharType="end"/>
      </w:r>
      <w:r w:rsidRPr="00DE6484">
        <w:rPr>
          <w:rFonts w:ascii="Arial" w:hAnsi="Arial" w:cs="Arial"/>
        </w:rPr>
        <w:t>, values between 0 and 1 indicate favorable adsorption, confirming the effectiveness of all three samples for the system studied.</w:t>
      </w:r>
    </w:p>
    <w:p w14:paraId="04932FF0" w14:textId="2727C086" w:rsidR="00DE6484" w:rsidRPr="00DE6484" w:rsidRDefault="00DE6484" w:rsidP="00DE6484">
      <w:pPr>
        <w:jc w:val="both"/>
        <w:rPr>
          <w:rFonts w:ascii="Arial" w:hAnsi="Arial" w:cs="Arial"/>
        </w:rPr>
      </w:pPr>
      <w:r w:rsidRPr="00DE6484">
        <w:rPr>
          <w:rFonts w:ascii="Arial" w:hAnsi="Arial" w:cs="Arial"/>
        </w:rPr>
        <w:t>The Langmuir model fits the data well for RMA-2M-400 (R</w:t>
      </w:r>
      <w:r w:rsidRPr="00DE6484">
        <w:rPr>
          <w:rFonts w:ascii="Arial" w:hAnsi="Arial" w:cs="Arial"/>
          <w:vertAlign w:val="superscript"/>
        </w:rPr>
        <w:t>2</w:t>
      </w:r>
      <w:r w:rsidRPr="00DE6484">
        <w:rPr>
          <w:rFonts w:ascii="Arial" w:hAnsi="Arial" w:cs="Arial"/>
        </w:rPr>
        <w:t>=0.963) and RMA-2M-500 (R</w:t>
      </w:r>
      <w:r w:rsidRPr="00DE6484">
        <w:rPr>
          <w:rFonts w:ascii="Arial" w:hAnsi="Arial" w:cs="Arial"/>
          <w:vertAlign w:val="superscript"/>
        </w:rPr>
        <w:t>2</w:t>
      </w:r>
      <w:r w:rsidRPr="00DE6484">
        <w:rPr>
          <w:rFonts w:ascii="Arial" w:hAnsi="Arial" w:cs="Arial"/>
        </w:rPr>
        <w:t>=0.904). The slightly lower yet still high R</w:t>
      </w:r>
      <w:r w:rsidRPr="00DE6484">
        <w:rPr>
          <w:rFonts w:ascii="Arial" w:hAnsi="Arial" w:cs="Arial"/>
          <w:vertAlign w:val="superscript"/>
        </w:rPr>
        <w:t>2</w:t>
      </w:r>
      <w:r w:rsidRPr="00DE6484">
        <w:rPr>
          <w:rFonts w:ascii="Arial" w:hAnsi="Arial" w:cs="Arial"/>
        </w:rPr>
        <w:t xml:space="preserve"> at 500 °C may indicate increased heterogeneity of the material at this temperature. For the sample activated at 600 °C, the model provides the weakest fit, with R</w:t>
      </w:r>
      <w:r w:rsidRPr="00DE6484">
        <w:rPr>
          <w:rFonts w:ascii="Arial" w:hAnsi="Arial" w:cs="Arial"/>
          <w:vertAlign w:val="superscript"/>
        </w:rPr>
        <w:t>2</w:t>
      </w:r>
      <w:r w:rsidRPr="00DE6484">
        <w:rPr>
          <w:rFonts w:ascii="Arial" w:hAnsi="Arial" w:cs="Arial"/>
        </w:rPr>
        <w:t>=0.872.</w:t>
      </w:r>
    </w:p>
    <w:p w14:paraId="1DA2BC04" w14:textId="77777777" w:rsidR="00DE6484" w:rsidRPr="00DE6484" w:rsidRDefault="00DE6484" w:rsidP="00DE6484">
      <w:pPr>
        <w:jc w:val="both"/>
        <w:rPr>
          <w:rFonts w:ascii="Arial" w:hAnsi="Arial" w:cs="Arial"/>
        </w:rPr>
      </w:pPr>
      <w:r w:rsidRPr="00DE6484">
        <w:rPr>
          <w:rFonts w:ascii="Arial" w:hAnsi="Arial" w:cs="Arial"/>
        </w:rPr>
        <w:t>The consistency between the specific surface area values (S</w:t>
      </w:r>
      <w:r w:rsidRPr="00DE6484">
        <w:rPr>
          <w:rFonts w:ascii="Arial" w:hAnsi="Arial" w:cs="Arial"/>
          <w:vertAlign w:val="subscript"/>
        </w:rPr>
        <w:t>L</w:t>
      </w:r>
      <w:r w:rsidRPr="00DE6484">
        <w:rPr>
          <w:rFonts w:ascii="Arial" w:hAnsi="Arial" w:cs="Arial"/>
        </w:rPr>
        <w:t>​) and the maximum adsorption capacity (Q</w:t>
      </w:r>
      <w:r w:rsidRPr="00DE6484">
        <w:rPr>
          <w:rFonts w:ascii="Arial" w:hAnsi="Arial" w:cs="Arial"/>
          <w:vertAlign w:val="subscript"/>
        </w:rPr>
        <w:t>m</w:t>
      </w:r>
      <w:r w:rsidRPr="00DE6484">
        <w:rPr>
          <w:rFonts w:ascii="Arial" w:hAnsi="Arial" w:cs="Arial"/>
        </w:rPr>
        <w:t>) is also noteworthy. The RMA-2M-500 sample, which exhibits the highest specific surface area (1887.45 m²·g</w:t>
      </w:r>
      <w:r w:rsidRPr="00DE6484">
        <w:rPr>
          <w:rFonts w:ascii="Cambria Math" w:hAnsi="Cambria Math" w:cs="Cambria Math"/>
        </w:rPr>
        <w:t>⁻</w:t>
      </w:r>
      <w:r w:rsidRPr="00DE6484">
        <w:rPr>
          <w:rFonts w:ascii="Arial" w:hAnsi="Arial" w:cs="Arial"/>
        </w:rPr>
        <w:t xml:space="preserve">¹), is also the one that displays the highest adsorption capacity. </w:t>
      </w:r>
      <w:r w:rsidRPr="00DE6484">
        <w:rPr>
          <w:rFonts w:ascii="Arial" w:hAnsi="Arial" w:cs="Arial"/>
        </w:rPr>
        <w:lastRenderedPageBreak/>
        <w:t>This correlation reinforces the idea that the performance of activated carbons is closely linked to the development of their porosity and the availability of active sites.</w:t>
      </w:r>
    </w:p>
    <w:p w14:paraId="0713B747" w14:textId="77777777" w:rsidR="00DE6484" w:rsidRDefault="00DE6484" w:rsidP="00DE6484">
      <w:pPr>
        <w:jc w:val="both"/>
        <w:rPr>
          <w:rFonts w:ascii="Arial" w:hAnsi="Arial" w:cs="Arial"/>
        </w:rPr>
      </w:pPr>
      <w:r w:rsidRPr="00DE6484">
        <w:rPr>
          <w:rFonts w:ascii="Arial" w:hAnsi="Arial" w:cs="Arial"/>
        </w:rPr>
        <w:t xml:space="preserve">Overall, the Langmuir isotherm confirms that RMA-2M-500 is the most efficient activated carbon, combining high adsorption capacity, favorable adsorption behavior, and a good fit to the model. These results are consistent with the literature, which reports that phosphoric-acid-activated carbons generally achieve their best performance within a temperature range around 500 °C </w:t>
      </w:r>
      <w:r w:rsidRPr="00DE6484">
        <w:rPr>
          <w:rFonts w:ascii="Arial" w:hAnsi="Arial" w:cs="Arial"/>
        </w:rPr>
        <w:fldChar w:fldCharType="begin"/>
      </w:r>
      <w:r w:rsidRPr="00DE6484">
        <w:rPr>
          <w:rFonts w:ascii="Arial" w:hAnsi="Arial" w:cs="Arial"/>
        </w:rPr>
        <w:instrText xml:space="preserve"> ADDIN ZOTERO_ITEM CSL_CITATION {"citationID":"m7inGPye","properties":{"formattedCitation":"(Liou 2010; Freundlich 1907)","plainCitation":"(Liou 2010; Freundlich 1907)","noteIndex":0},"citationItems":[{"id":454,"uris":["http://zotero.org/users/18768689/items/BQZP9NJ9"],"itemData":{"id":454,"type":"article-journal","container-title":"Chemical Engineering Journal","DOI":"10.1016/j.cej.2009.12.016","ISSN":"13858947","issue":"2","journalAbbreviation":"Chemical Engineering Journal","language":"en","page":"129-142","source":"DOI.org (Crossref)","title":"Development of mesoporous structure and high adsorption capacity of biomass-based activated carbon by phosphoric acid and zinc chloride activation","volume":"158","author":[{"family":"Liou","given":"Tzong-Horng"}],"issued":{"date-parts":[["2010",4]]}}},{"id":446,"uris":["http://zotero.org/users/18768689/items/76XHDU42"],"itemData":{"id":446,"type":"article-journal","container-title":"Zeitschrift für Physikalische Chemie","DOI":"10.1515/zpch-1907-5723","ISSN":"2196-7156, 0942-9352","issue":"1","language":"en","page":"385-470","source":"DOI.org (Crossref)","title":"Über die Adsorption in Lösungen","volume":"57U","author":[{"family":"Freundlich","given":"Herbert"}],"issued":{"date-parts":[["1907",10,1]]}}}],"schema":"https://github.com/citation-style-language/schema/raw/master/csl-citation.json"} </w:instrText>
      </w:r>
      <w:r w:rsidRPr="00DE6484">
        <w:rPr>
          <w:rFonts w:ascii="Arial" w:hAnsi="Arial" w:cs="Arial"/>
        </w:rPr>
        <w:fldChar w:fldCharType="separate"/>
      </w:r>
      <w:r w:rsidRPr="00DE6484">
        <w:rPr>
          <w:rFonts w:ascii="Arial" w:hAnsi="Arial" w:cs="Arial"/>
        </w:rPr>
        <w:t>(Liou 2010; Freundlich 1907)</w:t>
      </w:r>
      <w:r w:rsidRPr="00DE6484">
        <w:rPr>
          <w:rFonts w:ascii="Arial" w:hAnsi="Arial" w:cs="Arial"/>
        </w:rPr>
        <w:fldChar w:fldCharType="end"/>
      </w:r>
      <w:r w:rsidRPr="00DE6484">
        <w:rPr>
          <w:rFonts w:ascii="Arial" w:hAnsi="Arial" w:cs="Arial"/>
        </w:rPr>
        <w:t>.</w:t>
      </w:r>
    </w:p>
    <w:p w14:paraId="39368DBE" w14:textId="77777777" w:rsidR="00DE6484" w:rsidRPr="00DE6484" w:rsidRDefault="00DE6484" w:rsidP="00DE6484">
      <w:pPr>
        <w:jc w:val="both"/>
        <w:rPr>
          <w:rFonts w:ascii="Arial" w:hAnsi="Arial" w:cs="Arial"/>
        </w:rPr>
      </w:pPr>
    </w:p>
    <w:p w14:paraId="1A6ADFC2" w14:textId="77777777" w:rsidR="00DE6484" w:rsidRDefault="00DE6484" w:rsidP="00DE6484">
      <w:pPr>
        <w:jc w:val="both"/>
        <w:rPr>
          <w:rFonts w:ascii="Arial" w:hAnsi="Arial" w:cs="Arial"/>
          <w:b/>
          <w:bCs/>
        </w:rPr>
      </w:pPr>
      <w:r w:rsidRPr="00DE6484">
        <w:rPr>
          <w:rFonts w:ascii="Arial" w:hAnsi="Arial" w:cs="Arial"/>
          <w:b/>
          <w:bCs/>
        </w:rPr>
        <w:t>3.6.3. Freundlich model</w:t>
      </w:r>
    </w:p>
    <w:p w14:paraId="2CF7102F" w14:textId="77777777" w:rsidR="00DE6484" w:rsidRPr="00DE6484" w:rsidRDefault="00DE6484" w:rsidP="00DE6484">
      <w:pPr>
        <w:jc w:val="both"/>
        <w:rPr>
          <w:rFonts w:ascii="Arial" w:hAnsi="Arial" w:cs="Arial"/>
          <w:b/>
          <w:bCs/>
        </w:rPr>
      </w:pPr>
    </w:p>
    <w:p w14:paraId="1116DB76" w14:textId="77777777" w:rsidR="00DE6484" w:rsidRPr="00DE6484" w:rsidRDefault="00DE6484" w:rsidP="00DE6484">
      <w:pPr>
        <w:jc w:val="both"/>
        <w:rPr>
          <w:rFonts w:ascii="Arial" w:hAnsi="Arial" w:cs="Arial"/>
        </w:rPr>
      </w:pPr>
      <w:r w:rsidRPr="00DE6484">
        <w:rPr>
          <w:rFonts w:ascii="Arial" w:hAnsi="Arial" w:cs="Arial"/>
        </w:rPr>
        <w:t>The plots in Figure 6 illustrate the adsorption behavior described by the Freundlich model for methylene blue (MB) on corncob-based activated carbons activated at 400 °C, 500 °C, and 600 °C, using an activating agent concentration of 2 M, 0.05 g of adsorbent, and 80 mL of MB solution at pH 6.68.</w:t>
      </w:r>
    </w:p>
    <w:p w14:paraId="34EE0A5F" w14:textId="77777777" w:rsidR="00DE6484" w:rsidRPr="00DE6484" w:rsidRDefault="00DE6484" w:rsidP="00DE6484">
      <w:pPr>
        <w:jc w:val="both"/>
        <w:rPr>
          <w:rFonts w:ascii="Arial" w:hAnsi="Arial" w:cs="Arial"/>
        </w:rPr>
      </w:pPr>
    </w:p>
    <w:p w14:paraId="2B10A373" w14:textId="77777777" w:rsidR="00DE6484" w:rsidRPr="00DE6484" w:rsidRDefault="00DE6484" w:rsidP="00DE6484">
      <w:pPr>
        <w:jc w:val="both"/>
        <w:rPr>
          <w:rFonts w:ascii="Arial" w:hAnsi="Arial" w:cs="Arial"/>
        </w:rPr>
      </w:pPr>
      <w:r w:rsidRPr="00DE6484">
        <w:rPr>
          <w:rFonts w:ascii="Arial" w:hAnsi="Arial" w:cs="Arial"/>
          <w:noProof/>
        </w:rPr>
        <mc:AlternateContent>
          <mc:Choice Requires="wps">
            <w:drawing>
              <wp:anchor distT="0" distB="0" distL="114300" distR="114300" simplePos="0" relativeHeight="251663360" behindDoc="0" locked="0" layoutInCell="1" allowOverlap="1" wp14:anchorId="7BF5BF6C" wp14:editId="1DBD94E9">
                <wp:simplePos x="0" y="0"/>
                <wp:positionH relativeFrom="column">
                  <wp:posOffset>2773662</wp:posOffset>
                </wp:positionH>
                <wp:positionV relativeFrom="paragraph">
                  <wp:posOffset>141458</wp:posOffset>
                </wp:positionV>
                <wp:extent cx="3192471" cy="2378497"/>
                <wp:effectExtent l="0" t="0" r="0" b="3175"/>
                <wp:wrapNone/>
                <wp:docPr id="983885489" name="Zone de texte 2"/>
                <wp:cNvGraphicFramePr/>
                <a:graphic xmlns:a="http://schemas.openxmlformats.org/drawingml/2006/main">
                  <a:graphicData uri="http://schemas.microsoft.com/office/word/2010/wordprocessingShape">
                    <wps:wsp>
                      <wps:cNvSpPr txBox="1"/>
                      <wps:spPr>
                        <a:xfrm>
                          <a:off x="0" y="0"/>
                          <a:ext cx="3192471" cy="2378497"/>
                        </a:xfrm>
                        <a:prstGeom prst="rect">
                          <a:avLst/>
                        </a:prstGeom>
                        <a:noFill/>
                        <a:ln w="6350">
                          <a:noFill/>
                        </a:ln>
                      </wps:spPr>
                      <wps:txbx>
                        <w:txbxContent>
                          <w:p w14:paraId="39190106" w14:textId="77777777" w:rsidR="00DE6484" w:rsidRPr="00073161" w:rsidRDefault="00DE6484" w:rsidP="00DE6484">
                            <w:r w:rsidRPr="002826A6">
                              <w:rPr>
                                <w:rFonts w:ascii="Times New Roman" w:hAnsi="Times New Roman"/>
                                <w:noProof/>
                                <w:sz w:val="22"/>
                                <w:szCs w:val="22"/>
                              </w:rPr>
                              <w:drawing>
                                <wp:inline distT="0" distB="0" distL="0" distR="0" wp14:anchorId="0013DB36" wp14:editId="5DC2C35F">
                                  <wp:extent cx="2891195" cy="2256930"/>
                                  <wp:effectExtent l="0" t="0" r="4445" b="0"/>
                                  <wp:docPr id="89589113" name="Graphique 1">
                                    <a:extLst xmlns:a="http://schemas.openxmlformats.org/drawingml/2006/main">
                                      <a:ext uri="{FF2B5EF4-FFF2-40B4-BE49-F238E27FC236}">
                                        <a16:creationId xmlns:a16="http://schemas.microsoft.com/office/drawing/2014/main" id="{F84C599F-F295-09AE-CCB8-57F48E499D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5BF6C" id="Zone de texte 2" o:spid="_x0000_s1030" type="#_x0000_t202" style="position:absolute;left:0;text-align:left;margin-left:218.4pt;margin-top:11.15pt;width:251.4pt;height:18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" filled="f" stroked="f" strokeweight=".5pt">
                <v:textbox>
                  <w:txbxContent>
                    <w:p w14:paraId="39190106" w14:textId="77777777" w:rsidR="00DE6484" w:rsidRPr="00073161" w:rsidRDefault="00DE6484" w:rsidP="00DE6484">
                      <w:r w:rsidRPr="002826A6">
                        <w:rPr>
                          <w:rFonts w:ascii="Times New Roman" w:hAnsi="Times New Roman"/>
                          <w:noProof/>
                          <w:sz w:val="22"/>
                          <w:szCs w:val="22"/>
                        </w:rPr>
                        <w:drawing>
                          <wp:inline distT="0" distB="0" distL="0" distR="0" wp14:anchorId="0013DB36" wp14:editId="5DC2C35F">
                            <wp:extent cx="2891195" cy="2256930"/>
                            <wp:effectExtent l="0" t="0" r="4445" b="0"/>
                            <wp:docPr id="89589113" name="Graphique 1">
                              <a:extLst xmlns:a="http://schemas.openxmlformats.org/drawingml/2006/main">
                                <a:ext uri="{FF2B5EF4-FFF2-40B4-BE49-F238E27FC236}">
                                  <a16:creationId xmlns:a16="http://schemas.microsoft.com/office/drawing/2014/main" id="{F84C599F-F295-09AE-CCB8-57F48E499D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v:textbox>
              </v:shape>
            </w:pict>
          </mc:Fallback>
        </mc:AlternateContent>
      </w:r>
    </w:p>
    <w:p w14:paraId="5D408EE4" w14:textId="77777777" w:rsidR="00DE6484" w:rsidRDefault="00DE6484" w:rsidP="00DE6484">
      <w:pPr>
        <w:jc w:val="both"/>
        <w:rPr>
          <w:rFonts w:ascii="Arial" w:hAnsi="Arial" w:cs="Arial"/>
        </w:rPr>
      </w:pPr>
    </w:p>
    <w:p w14:paraId="385B2A73" w14:textId="6690D4CC" w:rsidR="00DE6484" w:rsidRPr="00DE6484" w:rsidRDefault="00DE6484" w:rsidP="00DE6484">
      <w:pPr>
        <w:jc w:val="both"/>
        <w:rPr>
          <w:rFonts w:ascii="Arial" w:hAnsi="Arial" w:cs="Arial"/>
        </w:rPr>
      </w:pPr>
      <w:r w:rsidRPr="00DE6484">
        <w:rPr>
          <w:rFonts w:ascii="Arial" w:hAnsi="Arial" w:cs="Arial"/>
          <w:noProof/>
        </w:rPr>
        <mc:AlternateContent>
          <mc:Choice Requires="wps">
            <w:drawing>
              <wp:anchor distT="0" distB="0" distL="114300" distR="114300" simplePos="0" relativeHeight="251666432" behindDoc="0" locked="0" layoutInCell="1" allowOverlap="1" wp14:anchorId="0D068018" wp14:editId="4D6CDD34">
                <wp:simplePos x="0" y="0"/>
                <wp:positionH relativeFrom="column">
                  <wp:posOffset>5006732</wp:posOffset>
                </wp:positionH>
                <wp:positionV relativeFrom="paragraph">
                  <wp:posOffset>1301838</wp:posOffset>
                </wp:positionV>
                <wp:extent cx="416134" cy="268297"/>
                <wp:effectExtent l="0" t="0" r="22225" b="17780"/>
                <wp:wrapNone/>
                <wp:docPr id="203134709" name="Zone de texte 10"/>
                <wp:cNvGraphicFramePr/>
                <a:graphic xmlns:a="http://schemas.openxmlformats.org/drawingml/2006/main">
                  <a:graphicData uri="http://schemas.microsoft.com/office/word/2010/wordprocessingShape">
                    <wps:wsp>
                      <wps:cNvSpPr txBox="1"/>
                      <wps:spPr>
                        <a:xfrm>
                          <a:off x="0" y="0"/>
                          <a:ext cx="416134" cy="268297"/>
                        </a:xfrm>
                        <a:prstGeom prst="rect">
                          <a:avLst/>
                        </a:prstGeom>
                        <a:solidFill>
                          <a:sysClr val="window" lastClr="FFFFFF"/>
                        </a:solidFill>
                        <a:ln w="6350">
                          <a:solidFill>
                            <a:prstClr val="black"/>
                          </a:solidFill>
                        </a:ln>
                      </wps:spPr>
                      <wps:txbx>
                        <w:txbxContent>
                          <w:p w14:paraId="25FA7167" w14:textId="77777777" w:rsidR="00DE6484" w:rsidRPr="00C035C3" w:rsidRDefault="00DE6484" w:rsidP="00DE6484">
                            <w:pPr>
                              <w:rPr>
                                <w:rFonts w:ascii="Arial" w:hAnsi="Arial" w:cs="Arial"/>
                                <w:b/>
                                <w:bCs/>
                              </w:rPr>
                            </w:pPr>
                            <w:r w:rsidRPr="00C035C3">
                              <w:rPr>
                                <w:rFonts w:ascii="Arial" w:hAnsi="Arial" w:cs="Arial"/>
                                <w:b/>
                                <w:bCs/>
                              </w:rPr>
                              <w:t>6.b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68018" id="_x0000_s1031" type="#_x0000_t202" style="position:absolute;left:0;text-align:left;margin-left:394.25pt;margin-top:102.5pt;width:32.75pt;height:2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" fillcolor="window" strokeweight=".5pt">
                <v:textbox>
                  <w:txbxContent>
                    <w:p w14:paraId="25FA7167" w14:textId="77777777" w:rsidR="00DE6484" w:rsidRPr="00C035C3" w:rsidRDefault="00DE6484" w:rsidP="00DE6484">
                      <w:pPr>
                        <w:rPr>
                          <w:rFonts w:ascii="Arial" w:hAnsi="Arial" w:cs="Arial"/>
                          <w:b/>
                          <w:bCs/>
                        </w:rPr>
                      </w:pPr>
                      <w:r w:rsidRPr="00C035C3">
                        <w:rPr>
                          <w:rFonts w:ascii="Arial" w:hAnsi="Arial" w:cs="Arial"/>
                          <w:b/>
                          <w:bCs/>
                        </w:rPr>
                        <w:t>6.b</w:t>
                      </w:r>
                    </w:p>
                  </w:txbxContent>
                </v:textbox>
              </v:shape>
            </w:pict>
          </mc:Fallback>
        </mc:AlternateContent>
      </w:r>
      <w:r w:rsidRPr="00DE6484">
        <w:rPr>
          <w:rFonts w:ascii="Arial" w:hAnsi="Arial" w:cs="Arial"/>
          <w:noProof/>
        </w:rPr>
        <mc:AlternateContent>
          <mc:Choice Requires="wps">
            <w:drawing>
              <wp:anchor distT="0" distB="0" distL="114300" distR="114300" simplePos="0" relativeHeight="251665408" behindDoc="0" locked="0" layoutInCell="1" allowOverlap="1" wp14:anchorId="646EEE7A" wp14:editId="0EBFAF51">
                <wp:simplePos x="0" y="0"/>
                <wp:positionH relativeFrom="column">
                  <wp:posOffset>2171271</wp:posOffset>
                </wp:positionH>
                <wp:positionV relativeFrom="paragraph">
                  <wp:posOffset>1385118</wp:posOffset>
                </wp:positionV>
                <wp:extent cx="405183" cy="268297"/>
                <wp:effectExtent l="0" t="0" r="13970" b="17780"/>
                <wp:wrapNone/>
                <wp:docPr id="1107014034" name="Zone de texte 10"/>
                <wp:cNvGraphicFramePr/>
                <a:graphic xmlns:a="http://schemas.openxmlformats.org/drawingml/2006/main">
                  <a:graphicData uri="http://schemas.microsoft.com/office/word/2010/wordprocessingShape">
                    <wps:wsp>
                      <wps:cNvSpPr txBox="1"/>
                      <wps:spPr>
                        <a:xfrm>
                          <a:off x="0" y="0"/>
                          <a:ext cx="405183" cy="268297"/>
                        </a:xfrm>
                        <a:prstGeom prst="rect">
                          <a:avLst/>
                        </a:prstGeom>
                        <a:solidFill>
                          <a:sysClr val="window" lastClr="FFFFFF"/>
                        </a:solidFill>
                        <a:ln w="6350">
                          <a:solidFill>
                            <a:prstClr val="black"/>
                          </a:solidFill>
                        </a:ln>
                      </wps:spPr>
                      <wps:txbx>
                        <w:txbxContent>
                          <w:p w14:paraId="28BD3FB8" w14:textId="77777777" w:rsidR="00DE6484" w:rsidRPr="00C035C3" w:rsidRDefault="00DE6484" w:rsidP="00DE6484">
                            <w:pPr>
                              <w:rPr>
                                <w:rFonts w:ascii="Arial" w:hAnsi="Arial" w:cs="Arial"/>
                                <w:b/>
                                <w:bCs/>
                              </w:rPr>
                            </w:pPr>
                            <w:r w:rsidRPr="00C035C3">
                              <w:rPr>
                                <w:rFonts w:ascii="Arial" w:hAnsi="Arial" w:cs="Arial"/>
                                <w:b/>
                                <w:bCs/>
                              </w:rPr>
                              <w:t>6.a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EEE7A" id="_x0000_s1032" type="#_x0000_t202" style="position:absolute;left:0;text-align:left;margin-left:170.95pt;margin-top:109.05pt;width:31.9pt;height:2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" fillcolor="window" strokeweight=".5pt">
                <v:textbox>
                  <w:txbxContent>
                    <w:p w14:paraId="28BD3FB8" w14:textId="77777777" w:rsidR="00DE6484" w:rsidRPr="00C035C3" w:rsidRDefault="00DE6484" w:rsidP="00DE6484">
                      <w:pPr>
                        <w:rPr>
                          <w:rFonts w:ascii="Arial" w:hAnsi="Arial" w:cs="Arial"/>
                          <w:b/>
                          <w:bCs/>
                        </w:rPr>
                      </w:pPr>
                      <w:r w:rsidRPr="00C035C3">
                        <w:rPr>
                          <w:rFonts w:ascii="Arial" w:hAnsi="Arial" w:cs="Arial"/>
                          <w:b/>
                          <w:bCs/>
                        </w:rPr>
                        <w:t>6.a</w:t>
                      </w:r>
                    </w:p>
                  </w:txbxContent>
                </v:textbox>
              </v:shape>
            </w:pict>
          </mc:Fallback>
        </mc:AlternateContent>
      </w:r>
      <w:r w:rsidRPr="00DE6484">
        <w:rPr>
          <w:rFonts w:ascii="Arial" w:hAnsi="Arial" w:cs="Arial"/>
          <w:noProof/>
        </w:rPr>
        <w:drawing>
          <wp:inline distT="0" distB="0" distL="0" distR="0" wp14:anchorId="6AB5669A" wp14:editId="53F12AD1">
            <wp:extent cx="2785485" cy="2039807"/>
            <wp:effectExtent l="0" t="0" r="0" b="0"/>
            <wp:docPr id="1044212067" name="Graphique 1">
              <a:extLst xmlns:a="http://schemas.openxmlformats.org/drawingml/2006/main">
                <a:ext uri="{FF2B5EF4-FFF2-40B4-BE49-F238E27FC236}">
                  <a16:creationId xmlns:a16="http://schemas.microsoft.com/office/drawing/2014/main" id="{E6ED84F3-297F-D2C0-176A-884ACEB2EE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DE6484">
        <w:rPr>
          <w:rFonts w:ascii="Arial" w:hAnsi="Arial" w:cs="Arial"/>
        </w:rPr>
        <w:t xml:space="preserve">       </w:t>
      </w:r>
    </w:p>
    <w:p w14:paraId="1C78560C" w14:textId="7B6BA9E6" w:rsidR="00DE6484" w:rsidRPr="00DE6484" w:rsidRDefault="00DE6484" w:rsidP="00DE6484">
      <w:pPr>
        <w:jc w:val="both"/>
        <w:rPr>
          <w:rFonts w:ascii="Arial" w:hAnsi="Arial" w:cs="Arial"/>
          <w:bCs/>
        </w:rPr>
      </w:pPr>
      <w:r w:rsidRPr="00DE6484">
        <w:rPr>
          <w:rFonts w:ascii="Arial" w:hAnsi="Arial" w:cs="Arial"/>
          <w:noProof/>
        </w:rPr>
        <mc:AlternateContent>
          <mc:Choice Requires="wps">
            <w:drawing>
              <wp:anchor distT="0" distB="0" distL="114300" distR="114300" simplePos="0" relativeHeight="251664384" behindDoc="0" locked="0" layoutInCell="1" allowOverlap="1" wp14:anchorId="70C6B10D" wp14:editId="1E0AAEFD">
                <wp:simplePos x="0" y="0"/>
                <wp:positionH relativeFrom="column">
                  <wp:posOffset>3049270</wp:posOffset>
                </wp:positionH>
                <wp:positionV relativeFrom="paragraph">
                  <wp:posOffset>1510030</wp:posOffset>
                </wp:positionV>
                <wp:extent cx="405183" cy="268297"/>
                <wp:effectExtent l="0" t="0" r="13970" b="17780"/>
                <wp:wrapNone/>
                <wp:docPr id="765198678" name="Zone de texte 10"/>
                <wp:cNvGraphicFramePr/>
                <a:graphic xmlns:a="http://schemas.openxmlformats.org/drawingml/2006/main">
                  <a:graphicData uri="http://schemas.microsoft.com/office/word/2010/wordprocessingShape">
                    <wps:wsp>
                      <wps:cNvSpPr txBox="1"/>
                      <wps:spPr>
                        <a:xfrm>
                          <a:off x="0" y="0"/>
                          <a:ext cx="405183" cy="268297"/>
                        </a:xfrm>
                        <a:prstGeom prst="rect">
                          <a:avLst/>
                        </a:prstGeom>
                        <a:solidFill>
                          <a:sysClr val="window" lastClr="FFFFFF"/>
                        </a:solidFill>
                        <a:ln w="6350">
                          <a:solidFill>
                            <a:prstClr val="black"/>
                          </a:solidFill>
                        </a:ln>
                      </wps:spPr>
                      <wps:txbx>
                        <w:txbxContent>
                          <w:p w14:paraId="2968B2C1" w14:textId="77777777" w:rsidR="00DE6484" w:rsidRPr="00C035C3" w:rsidRDefault="00DE6484" w:rsidP="00DE6484">
                            <w:pPr>
                              <w:rPr>
                                <w:rFonts w:ascii="Arial" w:hAnsi="Arial" w:cs="Arial"/>
                                <w:b/>
                                <w:bCs/>
                              </w:rPr>
                            </w:pPr>
                            <w:r w:rsidRPr="00C035C3">
                              <w:rPr>
                                <w:rFonts w:ascii="Arial" w:hAnsi="Arial" w:cs="Arial"/>
                                <w:b/>
                                <w:bCs/>
                              </w:rPr>
                              <w:t>6.c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6B10D" id="_x0000_s1033" type="#_x0000_t202" style="position:absolute;left:0;text-align:left;margin-left:240.1pt;margin-top:118.9pt;width:31.9pt;height:2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" fillcolor="window" strokeweight=".5pt">
                <v:textbox>
                  <w:txbxContent>
                    <w:p w14:paraId="2968B2C1" w14:textId="77777777" w:rsidR="00DE6484" w:rsidRPr="00C035C3" w:rsidRDefault="00DE6484" w:rsidP="00DE6484">
                      <w:pPr>
                        <w:rPr>
                          <w:rFonts w:ascii="Arial" w:hAnsi="Arial" w:cs="Arial"/>
                          <w:b/>
                          <w:bCs/>
                        </w:rPr>
                      </w:pPr>
                      <w:r w:rsidRPr="00C035C3">
                        <w:rPr>
                          <w:rFonts w:ascii="Arial" w:hAnsi="Arial" w:cs="Arial"/>
                          <w:b/>
                          <w:bCs/>
                        </w:rPr>
                        <w:t>6.c</w:t>
                      </w:r>
                    </w:p>
                  </w:txbxContent>
                </v:textbox>
              </v:shape>
            </w:pict>
          </mc:Fallback>
        </mc:AlternateContent>
      </w:r>
      <w:r w:rsidRPr="00DE6484">
        <w:rPr>
          <w:rFonts w:ascii="Arial" w:hAnsi="Arial" w:cs="Arial"/>
          <w:noProof/>
        </w:rPr>
        <w:drawing>
          <wp:inline distT="0" distB="0" distL="0" distR="0" wp14:anchorId="1FB30B0F" wp14:editId="75A2452E">
            <wp:extent cx="3729355" cy="2447210"/>
            <wp:effectExtent l="0" t="0" r="4445" b="0"/>
            <wp:docPr id="617621142" name="Graphique 1">
              <a:extLst xmlns:a="http://schemas.openxmlformats.org/drawingml/2006/main">
                <a:ext uri="{FF2B5EF4-FFF2-40B4-BE49-F238E27FC236}">
                  <a16:creationId xmlns:a16="http://schemas.microsoft.com/office/drawing/2014/main" id="{AEDD6357-6C51-FA5D-725C-7A8B6775C0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F89BCC9" w14:textId="77777777" w:rsidR="00DE6484" w:rsidRDefault="00DE6484" w:rsidP="00DE6484">
      <w:pPr>
        <w:jc w:val="both"/>
        <w:rPr>
          <w:rFonts w:ascii="Arial" w:hAnsi="Arial" w:cs="Arial"/>
        </w:rPr>
      </w:pPr>
      <w:r w:rsidRPr="00DE6484">
        <w:rPr>
          <w:rFonts w:ascii="Arial" w:hAnsi="Arial" w:cs="Arial"/>
          <w:b/>
          <w:bCs/>
        </w:rPr>
        <w:t>Figure 6 (a, b, c):</w:t>
      </w:r>
      <w:r w:rsidRPr="00DE6484">
        <w:rPr>
          <w:rFonts w:ascii="Arial" w:hAnsi="Arial" w:cs="Arial"/>
        </w:rPr>
        <w:t xml:space="preserve"> Adsorption according to Freundlich's model of corn cob hulls (CA-</w:t>
      </w:r>
      <w:proofErr w:type="spellStart"/>
      <w:r w:rsidRPr="00DE6484">
        <w:rPr>
          <w:rFonts w:ascii="Arial" w:hAnsi="Arial" w:cs="Arial"/>
        </w:rPr>
        <w:t>Rafle</w:t>
      </w:r>
      <w:proofErr w:type="spellEnd"/>
      <w:r w:rsidRPr="00DE6484">
        <w:rPr>
          <w:rFonts w:ascii="Arial" w:hAnsi="Arial" w:cs="Arial"/>
        </w:rPr>
        <w:t>) with respect to BM as a function of activation temperature.</w:t>
      </w:r>
    </w:p>
    <w:p w14:paraId="4570BDF6" w14:textId="77777777" w:rsidR="0040703F" w:rsidRPr="00DE6484" w:rsidRDefault="0040703F" w:rsidP="00DE6484">
      <w:pPr>
        <w:jc w:val="both"/>
        <w:rPr>
          <w:rFonts w:ascii="Arial" w:hAnsi="Arial" w:cs="Arial"/>
        </w:rPr>
      </w:pPr>
    </w:p>
    <w:p w14:paraId="721C4E39" w14:textId="1A5B25D2" w:rsidR="00DE6484" w:rsidRDefault="00DE6484" w:rsidP="00DE6484">
      <w:pPr>
        <w:jc w:val="both"/>
        <w:rPr>
          <w:rFonts w:ascii="Arial" w:hAnsi="Arial" w:cs="Arial"/>
        </w:rPr>
      </w:pPr>
      <w:r w:rsidRPr="00DE6484">
        <w:rPr>
          <w:rFonts w:ascii="Arial" w:hAnsi="Arial" w:cs="Arial"/>
        </w:rPr>
        <w:t>The constants K</w:t>
      </w:r>
      <w:r w:rsidRPr="00DE6484">
        <w:rPr>
          <w:rFonts w:ascii="Arial" w:hAnsi="Arial" w:cs="Arial"/>
          <w:vertAlign w:val="subscript"/>
        </w:rPr>
        <w:t>F</w:t>
      </w:r>
      <w:r w:rsidRPr="00DE6484">
        <w:rPr>
          <w:rFonts w:ascii="Arial" w:hAnsi="Arial" w:cs="Arial"/>
        </w:rPr>
        <w:t xml:space="preserve"> and </w:t>
      </w:r>
      <m:oMath>
        <m:f>
          <m:fPr>
            <m:ctrlPr>
              <w:rPr>
                <w:rFonts w:ascii="Cambria Math" w:hAnsi="Cambria Math" w:cs="Arial"/>
                <w:bCs/>
                <w:iCs/>
                <w:lang w:val="fr-FR"/>
              </w:rPr>
            </m:ctrlPr>
          </m:fPr>
          <m:num>
            <m:r>
              <m:rPr>
                <m:sty m:val="p"/>
              </m:rPr>
              <w:rPr>
                <w:rFonts w:ascii="Cambria Math" w:hAnsi="Cambria Math" w:cs="Arial"/>
              </w:rPr>
              <m:t>1</m:t>
            </m:r>
          </m:num>
          <m:den>
            <m:r>
              <m:rPr>
                <m:sty m:val="p"/>
              </m:rPr>
              <w:rPr>
                <w:rFonts w:ascii="Cambria Math" w:hAnsi="Cambria Math" w:cs="Arial"/>
              </w:rPr>
              <m:t xml:space="preserve"> </m:t>
            </m:r>
            <m:sSub>
              <m:sSubPr>
                <m:ctrlPr>
                  <w:rPr>
                    <w:rFonts w:ascii="Cambria Math" w:hAnsi="Cambria Math" w:cs="Arial"/>
                    <w:bCs/>
                    <w:iCs/>
                    <w:lang w:val="fr-FR"/>
                  </w:rPr>
                </m:ctrlPr>
              </m:sSubPr>
              <m:e>
                <m:r>
                  <m:rPr>
                    <m:sty m:val="p"/>
                  </m:rPr>
                  <w:rPr>
                    <w:rFonts w:ascii="Cambria Math" w:hAnsi="Cambria Math" w:cs="Arial"/>
                  </w:rPr>
                  <m:t>n</m:t>
                </m:r>
              </m:e>
              <m:sub>
                <m:r>
                  <m:rPr>
                    <m:sty m:val="p"/>
                  </m:rPr>
                  <w:rPr>
                    <w:rFonts w:ascii="Cambria Math" w:hAnsi="Cambria Math" w:cs="Arial"/>
                  </w:rPr>
                  <m:t>F</m:t>
                </m:r>
              </m:sub>
            </m:sSub>
          </m:den>
        </m:f>
      </m:oMath>
      <w:r w:rsidRPr="00DE6484">
        <w:rPr>
          <w:rFonts w:ascii="Arial" w:hAnsi="Arial" w:cs="Arial"/>
          <w:bCs/>
        </w:rPr>
        <w:t xml:space="preserve"> </w:t>
      </w:r>
      <w:r w:rsidRPr="00DE6484">
        <w:rPr>
          <w:rFonts w:ascii="Arial" w:hAnsi="Arial" w:cs="Arial"/>
        </w:rPr>
        <w:t xml:space="preserve">are determined using the linear form of the Freundlich isotherm (Equation 9) and recorded in Table 6. </w:t>
      </w:r>
    </w:p>
    <w:p w14:paraId="1D5EDA79" w14:textId="77777777" w:rsidR="00DE6484" w:rsidRPr="00DE6484" w:rsidRDefault="00DE6484" w:rsidP="00DE6484">
      <w:pPr>
        <w:jc w:val="both"/>
        <w:rPr>
          <w:rFonts w:ascii="Arial" w:hAnsi="Arial" w:cs="Arial"/>
        </w:rPr>
      </w:pPr>
    </w:p>
    <w:p w14:paraId="42F1CD6E" w14:textId="27400E71" w:rsidR="00DE6484" w:rsidRDefault="00DE6484" w:rsidP="00DE6484">
      <w:pPr>
        <w:jc w:val="both"/>
        <w:rPr>
          <w:rFonts w:ascii="Arial" w:hAnsi="Arial" w:cs="Arial"/>
          <w:bCs/>
          <w:iCs/>
        </w:rPr>
      </w:pPr>
      <w:r w:rsidRPr="00DE6484">
        <w:rPr>
          <w:rFonts w:ascii="Arial" w:hAnsi="Arial" w:cs="Arial"/>
          <w:b/>
          <w:bCs/>
        </w:rPr>
        <w:t>Table 6:</w:t>
      </w:r>
      <w:r w:rsidRPr="00DE6484">
        <w:rPr>
          <w:rFonts w:ascii="Arial" w:hAnsi="Arial" w:cs="Arial"/>
        </w:rPr>
        <w:t xml:space="preserve"> Freundlich constants determined from the straight lines </w:t>
      </w:r>
      <m:oMath>
        <m:func>
          <m:funcPr>
            <m:ctrlPr>
              <w:rPr>
                <w:rFonts w:ascii="Cambria Math" w:hAnsi="Cambria Math" w:cs="Arial"/>
                <w:bCs/>
                <w:iCs/>
              </w:rPr>
            </m:ctrlPr>
          </m:funcPr>
          <m:fName>
            <m:r>
              <m:rPr>
                <m:sty m:val="p"/>
              </m:rPr>
              <w:rPr>
                <w:rFonts w:ascii="Cambria Math" w:hAnsi="Cambria Math" w:cs="Arial"/>
              </w:rPr>
              <m:t>ln</m:t>
            </m:r>
          </m:fName>
          <m:e>
            <m:sSub>
              <m:sSubPr>
                <m:ctrlPr>
                  <w:rPr>
                    <w:rFonts w:ascii="Cambria Math" w:hAnsi="Cambria Math" w:cs="Arial"/>
                    <w:bCs/>
                    <w:iCs/>
                  </w:rPr>
                </m:ctrlPr>
              </m:sSubPr>
              <m:e>
                <m:r>
                  <m:rPr>
                    <m:sty m:val="p"/>
                  </m:rPr>
                  <w:rPr>
                    <w:rFonts w:ascii="Cambria Math" w:hAnsi="Cambria Math" w:cs="Arial"/>
                  </w:rPr>
                  <m:t>Q</m:t>
                </m:r>
              </m:e>
              <m:sub>
                <m:r>
                  <m:rPr>
                    <m:sty m:val="p"/>
                  </m:rPr>
                  <w:rPr>
                    <w:rFonts w:ascii="Cambria Math" w:hAnsi="Cambria Math" w:cs="Arial"/>
                  </w:rPr>
                  <m:t>e</m:t>
                </m:r>
              </m:sub>
            </m:sSub>
          </m:e>
        </m:func>
        <m:r>
          <m:rPr>
            <m:sty m:val="p"/>
          </m:rPr>
          <w:rPr>
            <w:rFonts w:ascii="Cambria Math" w:hAnsi="Cambria Math" w:cs="Arial"/>
          </w:rPr>
          <m:t>=f(</m:t>
        </m:r>
        <m:func>
          <m:funcPr>
            <m:ctrlPr>
              <w:rPr>
                <w:rFonts w:ascii="Cambria Math" w:hAnsi="Cambria Math" w:cs="Arial"/>
                <w:bCs/>
                <w:iCs/>
              </w:rPr>
            </m:ctrlPr>
          </m:funcPr>
          <m:fName>
            <m:r>
              <m:rPr>
                <m:sty m:val="p"/>
              </m:rPr>
              <w:rPr>
                <w:rFonts w:ascii="Cambria Math" w:hAnsi="Cambria Math" w:cs="Arial"/>
              </w:rPr>
              <m:t>ln</m:t>
            </m:r>
          </m:fName>
          <m:e>
            <m:sSub>
              <m:sSubPr>
                <m:ctrlPr>
                  <w:rPr>
                    <w:rFonts w:ascii="Cambria Math" w:hAnsi="Cambria Math" w:cs="Arial"/>
                    <w:bCs/>
                    <w:iCs/>
                  </w:rPr>
                </m:ctrlPr>
              </m:sSubPr>
              <m:e>
                <m:r>
                  <m:rPr>
                    <m:sty m:val="p"/>
                  </m:rPr>
                  <w:rPr>
                    <w:rFonts w:ascii="Cambria Math" w:hAnsi="Cambria Math" w:cs="Arial"/>
                  </w:rPr>
                  <m:t>C</m:t>
                </m:r>
              </m:e>
              <m:sub>
                <m:r>
                  <m:rPr>
                    <m:sty m:val="p"/>
                  </m:rPr>
                  <w:rPr>
                    <w:rFonts w:ascii="Cambria Math" w:hAnsi="Cambria Math" w:cs="Arial"/>
                  </w:rPr>
                  <m:t>e</m:t>
                </m:r>
              </m:sub>
            </m:sSub>
          </m:e>
        </m:func>
        <m:r>
          <m:rPr>
            <m:sty m:val="p"/>
          </m:rPr>
          <w:rPr>
            <w:rFonts w:ascii="Cambria Math" w:hAnsi="Cambria Math" w:cs="Arial"/>
          </w:rPr>
          <m:t>)</m:t>
        </m:r>
      </m:oMath>
      <w:r w:rsidRPr="00DE6484">
        <w:rPr>
          <w:rFonts w:ascii="Arial" w:hAnsi="Arial" w:cs="Arial"/>
          <w:bCs/>
          <w:iCs/>
        </w:rPr>
        <w:t>.</w:t>
      </w:r>
    </w:p>
    <w:p w14:paraId="205904F8" w14:textId="77777777" w:rsidR="00DE6484" w:rsidRPr="00DE6484" w:rsidRDefault="00DE6484" w:rsidP="00DE6484">
      <w:pPr>
        <w:jc w:val="both"/>
        <w:rPr>
          <w:rFonts w:ascii="Arial" w:hAnsi="Arial" w:cs="Arial"/>
          <w:bCs/>
          <w:iCs/>
        </w:rPr>
      </w:pPr>
    </w:p>
    <w:tbl>
      <w:tblPr>
        <w:tblStyle w:val="Grilledutableau23"/>
        <w:tblW w:w="8261" w:type="dxa"/>
        <w:jc w:val="center"/>
        <w:tblBorders>
          <w:left w:val="none" w:sz="0" w:space="0" w:color="auto"/>
          <w:right w:val="none" w:sz="0" w:space="0" w:color="auto"/>
        </w:tblBorders>
        <w:tblLook w:val="04A0" w:firstRow="1" w:lastRow="0" w:firstColumn="1" w:lastColumn="0" w:noHBand="0" w:noVBand="1"/>
      </w:tblPr>
      <w:tblGrid>
        <w:gridCol w:w="3214"/>
        <w:gridCol w:w="1697"/>
        <w:gridCol w:w="1711"/>
        <w:gridCol w:w="1639"/>
      </w:tblGrid>
      <w:tr w:rsidR="00DE6484" w:rsidRPr="00DE6484" w14:paraId="00D8A7D2" w14:textId="77777777" w:rsidTr="005E114C">
        <w:trPr>
          <w:trHeight w:val="70"/>
          <w:jc w:val="center"/>
        </w:trPr>
        <w:tc>
          <w:tcPr>
            <w:tcW w:w="3214" w:type="dxa"/>
            <w:vMerge w:val="restart"/>
          </w:tcPr>
          <w:p w14:paraId="5162BE04" w14:textId="77777777" w:rsidR="00DE6484" w:rsidRPr="00DE6484" w:rsidRDefault="00DE6484" w:rsidP="00DE6484">
            <w:pPr>
              <w:jc w:val="both"/>
              <w:rPr>
                <w:rFonts w:ascii="Arial" w:hAnsi="Arial" w:cs="Arial"/>
              </w:rPr>
            </w:pPr>
          </w:p>
          <w:p w14:paraId="54207D1D" w14:textId="77777777" w:rsidR="00DE6484" w:rsidRPr="00DE6484" w:rsidRDefault="00DE6484" w:rsidP="00DE6484">
            <w:pPr>
              <w:jc w:val="both"/>
              <w:rPr>
                <w:rFonts w:ascii="Arial" w:hAnsi="Arial" w:cs="Arial"/>
              </w:rPr>
            </w:pPr>
          </w:p>
          <w:p w14:paraId="7D6C9D52" w14:textId="77777777" w:rsidR="00DE6484" w:rsidRPr="00DE6484" w:rsidRDefault="00DE6484" w:rsidP="00DE6484">
            <w:pPr>
              <w:jc w:val="both"/>
              <w:rPr>
                <w:rFonts w:ascii="Arial" w:hAnsi="Arial" w:cs="Arial"/>
              </w:rPr>
            </w:pPr>
          </w:p>
          <w:p w14:paraId="4ADC402F" w14:textId="77777777" w:rsidR="00DE6484" w:rsidRPr="00DE6484" w:rsidRDefault="00DE6484" w:rsidP="00DE6484">
            <w:pPr>
              <w:jc w:val="both"/>
              <w:rPr>
                <w:rFonts w:ascii="Arial" w:hAnsi="Arial" w:cs="Arial"/>
                <w:b/>
                <w:bCs/>
              </w:rPr>
            </w:pPr>
            <w:r w:rsidRPr="00DE6484">
              <w:rPr>
                <w:rFonts w:ascii="Arial" w:hAnsi="Arial" w:cs="Arial"/>
                <w:b/>
                <w:bCs/>
              </w:rPr>
              <w:t>Samples</w:t>
            </w:r>
          </w:p>
        </w:tc>
        <w:tc>
          <w:tcPr>
            <w:tcW w:w="5047" w:type="dxa"/>
            <w:gridSpan w:val="3"/>
          </w:tcPr>
          <w:p w14:paraId="7E972C67" w14:textId="77777777" w:rsidR="00DE6484" w:rsidRPr="00DE6484" w:rsidRDefault="00DE6484" w:rsidP="00DE6484">
            <w:pPr>
              <w:jc w:val="both"/>
              <w:rPr>
                <w:rFonts w:ascii="Arial" w:hAnsi="Arial" w:cs="Arial"/>
                <w:b/>
              </w:rPr>
            </w:pPr>
          </w:p>
          <w:p w14:paraId="088F69C0" w14:textId="77777777" w:rsidR="00DE6484" w:rsidRPr="00DE6484" w:rsidRDefault="00DE6484" w:rsidP="00DE6484">
            <w:pPr>
              <w:jc w:val="both"/>
              <w:rPr>
                <w:rFonts w:ascii="Arial" w:hAnsi="Arial" w:cs="Arial"/>
              </w:rPr>
            </w:pPr>
            <w:r w:rsidRPr="00DE6484">
              <w:rPr>
                <w:rFonts w:ascii="Arial" w:hAnsi="Arial" w:cs="Arial"/>
                <w:b/>
              </w:rPr>
              <w:t>Freundlich model</w:t>
            </w:r>
          </w:p>
        </w:tc>
      </w:tr>
      <w:tr w:rsidR="00DE6484" w:rsidRPr="00DE6484" w14:paraId="5A2B4EC5" w14:textId="77777777" w:rsidTr="005E114C">
        <w:trPr>
          <w:trHeight w:val="348"/>
          <w:jc w:val="center"/>
        </w:trPr>
        <w:tc>
          <w:tcPr>
            <w:tcW w:w="3214" w:type="dxa"/>
            <w:vMerge/>
          </w:tcPr>
          <w:p w14:paraId="12AAD831" w14:textId="77777777" w:rsidR="00DE6484" w:rsidRPr="00DE6484" w:rsidRDefault="00DE6484" w:rsidP="00DE6484">
            <w:pPr>
              <w:jc w:val="both"/>
              <w:rPr>
                <w:rFonts w:ascii="Arial" w:hAnsi="Arial" w:cs="Arial"/>
              </w:rPr>
            </w:pPr>
          </w:p>
        </w:tc>
        <w:tc>
          <w:tcPr>
            <w:tcW w:w="1697" w:type="dxa"/>
          </w:tcPr>
          <w:p w14:paraId="3F348C6B" w14:textId="77777777" w:rsidR="00DE6484" w:rsidRPr="00DE6484" w:rsidRDefault="00DE6484" w:rsidP="00DE6484">
            <w:pPr>
              <w:jc w:val="both"/>
              <w:rPr>
                <w:rFonts w:ascii="Arial" w:hAnsi="Arial" w:cs="Arial"/>
              </w:rPr>
            </w:pPr>
          </w:p>
          <w:p w14:paraId="5DFBC830" w14:textId="0C47303B" w:rsidR="00DE6484" w:rsidRPr="00DE6484" w:rsidRDefault="00BE62BF" w:rsidP="00DE6484">
            <w:pPr>
              <w:jc w:val="both"/>
              <w:rPr>
                <w:rFonts w:ascii="Arial" w:hAnsi="Arial" w:cs="Arial"/>
                <w:vertAlign w:val="subscript"/>
              </w:rPr>
            </w:pPr>
            <m:oMath>
              <m:f>
                <m:fPr>
                  <m:ctrlPr>
                    <w:rPr>
                      <w:rFonts w:ascii="Cambria Math" w:hAnsi="Cambria Math" w:cs="Arial"/>
                      <w:bCs/>
                      <w:iCs/>
                    </w:rPr>
                  </m:ctrlPr>
                </m:fPr>
                <m:num>
                  <m:r>
                    <m:rPr>
                      <m:sty m:val="p"/>
                    </m:rPr>
                    <w:rPr>
                      <w:rFonts w:ascii="Cambria Math" w:hAnsi="Cambria Math" w:cs="Arial"/>
                    </w:rPr>
                    <m:t>1</m:t>
                  </m:r>
                </m:num>
                <m:den>
                  <m:r>
                    <m:rPr>
                      <m:sty m:val="p"/>
                    </m:rPr>
                    <w:rPr>
                      <w:rFonts w:ascii="Cambria Math" w:hAnsi="Cambria Math" w:cs="Arial"/>
                    </w:rPr>
                    <m:t xml:space="preserve"> </m:t>
                  </m:r>
                  <m:sSub>
                    <m:sSubPr>
                      <m:ctrlPr>
                        <w:rPr>
                          <w:rFonts w:ascii="Cambria Math" w:hAnsi="Cambria Math" w:cs="Arial"/>
                          <w:bCs/>
                          <w:iCs/>
                        </w:rPr>
                      </m:ctrlPr>
                    </m:sSubPr>
                    <m:e>
                      <m:r>
                        <m:rPr>
                          <m:sty m:val="p"/>
                        </m:rPr>
                        <w:rPr>
                          <w:rFonts w:ascii="Cambria Math" w:hAnsi="Cambria Math" w:cs="Arial"/>
                        </w:rPr>
                        <m:t>n</m:t>
                      </m:r>
                    </m:e>
                    <m:sub>
                      <m:r>
                        <m:rPr>
                          <m:sty m:val="p"/>
                        </m:rPr>
                        <w:rPr>
                          <w:rFonts w:ascii="Cambria Math" w:hAnsi="Cambria Math" w:cs="Arial"/>
                        </w:rPr>
                        <m:t>F</m:t>
                      </m:r>
                    </m:sub>
                  </m:sSub>
                </m:den>
              </m:f>
            </m:oMath>
            <w:r w:rsidR="00DE6484" w:rsidRPr="00DE6484">
              <w:rPr>
                <w:rFonts w:ascii="Arial" w:hAnsi="Arial" w:cs="Arial"/>
                <w:bCs/>
              </w:rPr>
              <w:t xml:space="preserve"> </w:t>
            </w:r>
          </w:p>
        </w:tc>
        <w:tc>
          <w:tcPr>
            <w:tcW w:w="1711" w:type="dxa"/>
          </w:tcPr>
          <w:p w14:paraId="1F3BBD65" w14:textId="77777777" w:rsidR="00DE6484" w:rsidRPr="00DE6484" w:rsidRDefault="00DE6484" w:rsidP="00DE6484">
            <w:pPr>
              <w:jc w:val="both"/>
              <w:rPr>
                <w:rFonts w:ascii="Arial" w:hAnsi="Arial" w:cs="Arial"/>
              </w:rPr>
            </w:pPr>
          </w:p>
          <w:p w14:paraId="51DD8B01" w14:textId="77777777" w:rsidR="00DE6484" w:rsidRPr="00DE6484" w:rsidRDefault="00DE6484" w:rsidP="00DE6484">
            <w:pPr>
              <w:jc w:val="both"/>
              <w:rPr>
                <w:rFonts w:ascii="Arial" w:hAnsi="Arial" w:cs="Arial"/>
              </w:rPr>
            </w:pPr>
            <w:r w:rsidRPr="00DE6484">
              <w:rPr>
                <w:rFonts w:ascii="Arial" w:hAnsi="Arial" w:cs="Arial"/>
              </w:rPr>
              <w:t>K</w:t>
            </w:r>
            <w:r w:rsidRPr="00DE6484">
              <w:rPr>
                <w:rFonts w:ascii="Arial" w:hAnsi="Arial" w:cs="Arial"/>
                <w:vertAlign w:val="subscript"/>
              </w:rPr>
              <w:t xml:space="preserve">F </w:t>
            </w:r>
            <w:r w:rsidRPr="00DE6484">
              <w:rPr>
                <w:rFonts w:ascii="Arial" w:hAnsi="Arial" w:cs="Arial"/>
              </w:rPr>
              <w:t>(</w:t>
            </w:r>
            <w:proofErr w:type="spellStart"/>
            <w:proofErr w:type="gramStart"/>
            <w:r w:rsidRPr="00DE6484">
              <w:rPr>
                <w:rFonts w:ascii="Arial" w:hAnsi="Arial" w:cs="Arial"/>
              </w:rPr>
              <w:t>L.g</w:t>
            </w:r>
            <w:proofErr w:type="spellEnd"/>
            <w:proofErr w:type="gramEnd"/>
            <w:r w:rsidRPr="00DE6484">
              <w:rPr>
                <w:rFonts w:ascii="Arial" w:hAnsi="Arial" w:cs="Arial"/>
                <w:vertAlign w:val="superscript"/>
              </w:rPr>
              <w:sym w:font="Symbol" w:char="F02D"/>
            </w:r>
            <w:r w:rsidRPr="00DE6484">
              <w:rPr>
                <w:rFonts w:ascii="Arial" w:hAnsi="Arial" w:cs="Arial"/>
                <w:vertAlign w:val="superscript"/>
              </w:rPr>
              <w:t>1</w:t>
            </w:r>
            <w:r w:rsidRPr="00DE6484">
              <w:rPr>
                <w:rFonts w:ascii="Arial" w:hAnsi="Arial" w:cs="Arial"/>
              </w:rPr>
              <w:t>)</w:t>
            </w:r>
          </w:p>
          <w:p w14:paraId="3B2A91DC" w14:textId="77777777" w:rsidR="00DE6484" w:rsidRPr="00DE6484" w:rsidRDefault="00DE6484" w:rsidP="00DE6484">
            <w:pPr>
              <w:jc w:val="both"/>
              <w:rPr>
                <w:rFonts w:ascii="Arial" w:hAnsi="Arial" w:cs="Arial"/>
              </w:rPr>
            </w:pPr>
          </w:p>
        </w:tc>
        <w:tc>
          <w:tcPr>
            <w:tcW w:w="1639" w:type="dxa"/>
          </w:tcPr>
          <w:p w14:paraId="6B2A7F5C" w14:textId="77777777" w:rsidR="00DE6484" w:rsidRPr="00DE6484" w:rsidRDefault="00DE6484" w:rsidP="00DE6484">
            <w:pPr>
              <w:jc w:val="both"/>
              <w:rPr>
                <w:rFonts w:ascii="Arial" w:hAnsi="Arial" w:cs="Arial"/>
              </w:rPr>
            </w:pPr>
          </w:p>
          <w:p w14:paraId="5864CF7A" w14:textId="77777777" w:rsidR="00DE6484" w:rsidRPr="00DE6484" w:rsidRDefault="00DE6484" w:rsidP="00DE6484">
            <w:pPr>
              <w:jc w:val="both"/>
              <w:rPr>
                <w:rFonts w:ascii="Arial" w:hAnsi="Arial" w:cs="Arial"/>
              </w:rPr>
            </w:pPr>
            <w:r w:rsidRPr="00DE6484">
              <w:rPr>
                <w:rFonts w:ascii="Arial" w:hAnsi="Arial" w:cs="Arial"/>
              </w:rPr>
              <w:t>R</w:t>
            </w:r>
            <w:r w:rsidRPr="00DE6484">
              <w:rPr>
                <w:rFonts w:ascii="Arial" w:hAnsi="Arial" w:cs="Arial"/>
                <w:vertAlign w:val="superscript"/>
              </w:rPr>
              <w:t>2</w:t>
            </w:r>
          </w:p>
          <w:p w14:paraId="2E785A41" w14:textId="77777777" w:rsidR="00DE6484" w:rsidRPr="00DE6484" w:rsidRDefault="00DE6484" w:rsidP="00DE6484">
            <w:pPr>
              <w:jc w:val="both"/>
              <w:rPr>
                <w:rFonts w:ascii="Arial" w:hAnsi="Arial" w:cs="Arial"/>
              </w:rPr>
            </w:pPr>
          </w:p>
        </w:tc>
      </w:tr>
      <w:tr w:rsidR="00DE6484" w:rsidRPr="00DE6484" w14:paraId="24D9CB32" w14:textId="77777777" w:rsidTr="005E114C">
        <w:tblPrEx>
          <w:jc w:val="left"/>
        </w:tblPrEx>
        <w:trPr>
          <w:trHeight w:val="418"/>
        </w:trPr>
        <w:tc>
          <w:tcPr>
            <w:tcW w:w="3214" w:type="dxa"/>
          </w:tcPr>
          <w:p w14:paraId="4A79CFA1" w14:textId="77777777" w:rsidR="00DE6484" w:rsidRPr="00DE6484" w:rsidRDefault="00DE6484" w:rsidP="00DE6484">
            <w:pPr>
              <w:jc w:val="both"/>
              <w:rPr>
                <w:rFonts w:ascii="Arial" w:hAnsi="Arial" w:cs="Arial"/>
                <w:b/>
                <w:bCs/>
              </w:rPr>
            </w:pPr>
          </w:p>
          <w:p w14:paraId="3E1F3B31" w14:textId="77777777" w:rsidR="00DE6484" w:rsidRPr="00DE6484" w:rsidRDefault="00DE6484" w:rsidP="00DE6484">
            <w:pPr>
              <w:jc w:val="both"/>
              <w:rPr>
                <w:rFonts w:ascii="Arial" w:hAnsi="Arial" w:cs="Arial"/>
                <w:b/>
                <w:bCs/>
              </w:rPr>
            </w:pPr>
            <w:r w:rsidRPr="00DE6484">
              <w:rPr>
                <w:rFonts w:ascii="Arial" w:hAnsi="Arial" w:cs="Arial"/>
                <w:b/>
                <w:bCs/>
              </w:rPr>
              <w:t>RMA-2M-400</w:t>
            </w:r>
          </w:p>
          <w:p w14:paraId="4F2E8943" w14:textId="77777777" w:rsidR="00DE6484" w:rsidRPr="00DE6484" w:rsidRDefault="00DE6484" w:rsidP="00DE6484">
            <w:pPr>
              <w:jc w:val="both"/>
              <w:rPr>
                <w:rFonts w:ascii="Arial" w:hAnsi="Arial" w:cs="Arial"/>
                <w:b/>
                <w:bCs/>
              </w:rPr>
            </w:pPr>
          </w:p>
        </w:tc>
        <w:tc>
          <w:tcPr>
            <w:tcW w:w="1697" w:type="dxa"/>
          </w:tcPr>
          <w:p w14:paraId="4754AD99" w14:textId="77777777" w:rsidR="00DE6484" w:rsidRPr="00DE6484" w:rsidRDefault="00DE6484" w:rsidP="00DE6484">
            <w:pPr>
              <w:jc w:val="both"/>
              <w:rPr>
                <w:rFonts w:ascii="Arial" w:hAnsi="Arial" w:cs="Arial"/>
              </w:rPr>
            </w:pPr>
          </w:p>
          <w:p w14:paraId="1694B3C1" w14:textId="77777777" w:rsidR="00DE6484" w:rsidRPr="00DE6484" w:rsidRDefault="00DE6484" w:rsidP="00DE6484">
            <w:pPr>
              <w:jc w:val="both"/>
              <w:rPr>
                <w:rFonts w:ascii="Arial" w:hAnsi="Arial" w:cs="Arial"/>
              </w:rPr>
            </w:pPr>
            <w:r w:rsidRPr="00DE6484">
              <w:rPr>
                <w:rFonts w:ascii="Arial" w:hAnsi="Arial" w:cs="Arial"/>
              </w:rPr>
              <w:t>0.766</w:t>
            </w:r>
          </w:p>
          <w:p w14:paraId="61C0BF8A" w14:textId="77777777" w:rsidR="00DE6484" w:rsidRPr="00DE6484" w:rsidRDefault="00DE6484" w:rsidP="00DE6484">
            <w:pPr>
              <w:jc w:val="both"/>
              <w:rPr>
                <w:rFonts w:ascii="Arial" w:hAnsi="Arial" w:cs="Arial"/>
              </w:rPr>
            </w:pPr>
          </w:p>
        </w:tc>
        <w:tc>
          <w:tcPr>
            <w:tcW w:w="1711" w:type="dxa"/>
          </w:tcPr>
          <w:p w14:paraId="3A80F576" w14:textId="77777777" w:rsidR="00DE6484" w:rsidRPr="00DE6484" w:rsidRDefault="00DE6484" w:rsidP="00DE6484">
            <w:pPr>
              <w:jc w:val="both"/>
              <w:rPr>
                <w:rFonts w:ascii="Arial" w:hAnsi="Arial" w:cs="Arial"/>
              </w:rPr>
            </w:pPr>
          </w:p>
          <w:p w14:paraId="00559207" w14:textId="77777777" w:rsidR="00DE6484" w:rsidRPr="00DE6484" w:rsidRDefault="00DE6484" w:rsidP="00DE6484">
            <w:pPr>
              <w:jc w:val="both"/>
              <w:rPr>
                <w:rFonts w:ascii="Arial" w:hAnsi="Arial" w:cs="Arial"/>
              </w:rPr>
            </w:pPr>
            <w:r w:rsidRPr="00DE6484">
              <w:rPr>
                <w:rFonts w:ascii="Arial" w:hAnsi="Arial" w:cs="Arial"/>
              </w:rPr>
              <w:t>2.226</w:t>
            </w:r>
          </w:p>
          <w:p w14:paraId="6DCFC811" w14:textId="77777777" w:rsidR="00DE6484" w:rsidRPr="00DE6484" w:rsidRDefault="00DE6484" w:rsidP="00DE6484">
            <w:pPr>
              <w:jc w:val="both"/>
              <w:rPr>
                <w:rFonts w:ascii="Arial" w:hAnsi="Arial" w:cs="Arial"/>
              </w:rPr>
            </w:pPr>
          </w:p>
        </w:tc>
        <w:tc>
          <w:tcPr>
            <w:tcW w:w="1639" w:type="dxa"/>
          </w:tcPr>
          <w:p w14:paraId="573B36DA" w14:textId="77777777" w:rsidR="00DE6484" w:rsidRPr="00DE6484" w:rsidRDefault="00DE6484" w:rsidP="00DE6484">
            <w:pPr>
              <w:jc w:val="both"/>
              <w:rPr>
                <w:rFonts w:ascii="Arial" w:hAnsi="Arial" w:cs="Arial"/>
              </w:rPr>
            </w:pPr>
          </w:p>
          <w:p w14:paraId="15B42908" w14:textId="77777777" w:rsidR="00DE6484" w:rsidRPr="00DE6484" w:rsidRDefault="00DE6484" w:rsidP="00DE6484">
            <w:pPr>
              <w:jc w:val="both"/>
              <w:rPr>
                <w:rFonts w:ascii="Arial" w:hAnsi="Arial" w:cs="Arial"/>
              </w:rPr>
            </w:pPr>
            <w:bookmarkStart w:id="12" w:name="_Hlk212280387"/>
            <w:r w:rsidRPr="00DE6484">
              <w:rPr>
                <w:rFonts w:ascii="Arial" w:hAnsi="Arial" w:cs="Arial"/>
              </w:rPr>
              <w:t>0.964</w:t>
            </w:r>
          </w:p>
          <w:bookmarkEnd w:id="12"/>
          <w:p w14:paraId="3B96D799" w14:textId="77777777" w:rsidR="00DE6484" w:rsidRPr="00DE6484" w:rsidRDefault="00DE6484" w:rsidP="00DE6484">
            <w:pPr>
              <w:jc w:val="both"/>
              <w:rPr>
                <w:rFonts w:ascii="Arial" w:hAnsi="Arial" w:cs="Arial"/>
              </w:rPr>
            </w:pPr>
          </w:p>
        </w:tc>
      </w:tr>
      <w:tr w:rsidR="00DE6484" w:rsidRPr="00DE6484" w14:paraId="12301AAA" w14:textId="77777777" w:rsidTr="005E114C">
        <w:tblPrEx>
          <w:jc w:val="left"/>
        </w:tblPrEx>
        <w:trPr>
          <w:trHeight w:val="339"/>
        </w:trPr>
        <w:tc>
          <w:tcPr>
            <w:tcW w:w="3214" w:type="dxa"/>
          </w:tcPr>
          <w:p w14:paraId="525502FF" w14:textId="77777777" w:rsidR="00DE6484" w:rsidRPr="00DE6484" w:rsidRDefault="00DE6484" w:rsidP="00DE6484">
            <w:pPr>
              <w:jc w:val="both"/>
              <w:rPr>
                <w:rFonts w:ascii="Arial" w:hAnsi="Arial" w:cs="Arial"/>
                <w:b/>
                <w:bCs/>
              </w:rPr>
            </w:pPr>
          </w:p>
          <w:p w14:paraId="2260D591" w14:textId="77777777" w:rsidR="00DE6484" w:rsidRPr="00DE6484" w:rsidRDefault="00DE6484" w:rsidP="00DE6484">
            <w:pPr>
              <w:jc w:val="both"/>
              <w:rPr>
                <w:rFonts w:ascii="Arial" w:hAnsi="Arial" w:cs="Arial"/>
                <w:b/>
                <w:bCs/>
              </w:rPr>
            </w:pPr>
            <w:r w:rsidRPr="00DE6484">
              <w:rPr>
                <w:rFonts w:ascii="Arial" w:hAnsi="Arial" w:cs="Arial"/>
                <w:b/>
                <w:bCs/>
              </w:rPr>
              <w:t>RMA-2M-500</w:t>
            </w:r>
          </w:p>
          <w:p w14:paraId="77EDE8D9" w14:textId="77777777" w:rsidR="00DE6484" w:rsidRPr="00DE6484" w:rsidRDefault="00DE6484" w:rsidP="00DE6484">
            <w:pPr>
              <w:jc w:val="both"/>
              <w:rPr>
                <w:rFonts w:ascii="Arial" w:hAnsi="Arial" w:cs="Arial"/>
                <w:b/>
                <w:bCs/>
              </w:rPr>
            </w:pPr>
          </w:p>
        </w:tc>
        <w:tc>
          <w:tcPr>
            <w:tcW w:w="1697" w:type="dxa"/>
          </w:tcPr>
          <w:p w14:paraId="7D0AD07A" w14:textId="77777777" w:rsidR="00DE6484" w:rsidRPr="00DE6484" w:rsidRDefault="00DE6484" w:rsidP="00DE6484">
            <w:pPr>
              <w:jc w:val="both"/>
              <w:rPr>
                <w:rFonts w:ascii="Arial" w:hAnsi="Arial" w:cs="Arial"/>
              </w:rPr>
            </w:pPr>
          </w:p>
          <w:p w14:paraId="22ECDE12" w14:textId="77777777" w:rsidR="00DE6484" w:rsidRPr="00DE6484" w:rsidRDefault="00DE6484" w:rsidP="00DE6484">
            <w:pPr>
              <w:jc w:val="both"/>
              <w:rPr>
                <w:rFonts w:ascii="Arial" w:hAnsi="Arial" w:cs="Arial"/>
              </w:rPr>
            </w:pPr>
            <w:r w:rsidRPr="00DE6484">
              <w:rPr>
                <w:rFonts w:ascii="Arial" w:hAnsi="Arial" w:cs="Arial"/>
              </w:rPr>
              <w:t>0.485</w:t>
            </w:r>
          </w:p>
          <w:p w14:paraId="741014DA" w14:textId="77777777" w:rsidR="00DE6484" w:rsidRPr="00DE6484" w:rsidRDefault="00DE6484" w:rsidP="00DE6484">
            <w:pPr>
              <w:jc w:val="both"/>
              <w:rPr>
                <w:rFonts w:ascii="Arial" w:hAnsi="Arial" w:cs="Arial"/>
              </w:rPr>
            </w:pPr>
          </w:p>
        </w:tc>
        <w:tc>
          <w:tcPr>
            <w:tcW w:w="1711" w:type="dxa"/>
          </w:tcPr>
          <w:p w14:paraId="27FCF7DE" w14:textId="77777777" w:rsidR="00DE6484" w:rsidRPr="00DE6484" w:rsidRDefault="00DE6484" w:rsidP="00DE6484">
            <w:pPr>
              <w:jc w:val="both"/>
              <w:rPr>
                <w:rFonts w:ascii="Arial" w:hAnsi="Arial" w:cs="Arial"/>
              </w:rPr>
            </w:pPr>
          </w:p>
          <w:p w14:paraId="2EBDBF1D" w14:textId="77777777" w:rsidR="00DE6484" w:rsidRPr="00DE6484" w:rsidRDefault="00DE6484" w:rsidP="00DE6484">
            <w:pPr>
              <w:jc w:val="both"/>
              <w:rPr>
                <w:rFonts w:ascii="Arial" w:hAnsi="Arial" w:cs="Arial"/>
              </w:rPr>
            </w:pPr>
            <w:r w:rsidRPr="00DE6484">
              <w:rPr>
                <w:rFonts w:ascii="Arial" w:hAnsi="Arial" w:cs="Arial"/>
              </w:rPr>
              <w:t>25.475</w:t>
            </w:r>
          </w:p>
          <w:p w14:paraId="40598F9B" w14:textId="77777777" w:rsidR="00DE6484" w:rsidRPr="00DE6484" w:rsidRDefault="00DE6484" w:rsidP="00DE6484">
            <w:pPr>
              <w:jc w:val="both"/>
              <w:rPr>
                <w:rFonts w:ascii="Arial" w:hAnsi="Arial" w:cs="Arial"/>
              </w:rPr>
            </w:pPr>
          </w:p>
        </w:tc>
        <w:tc>
          <w:tcPr>
            <w:tcW w:w="1639" w:type="dxa"/>
          </w:tcPr>
          <w:p w14:paraId="46E6FF81" w14:textId="77777777" w:rsidR="00DE6484" w:rsidRPr="00DE6484" w:rsidRDefault="00DE6484" w:rsidP="00DE6484">
            <w:pPr>
              <w:jc w:val="both"/>
              <w:rPr>
                <w:rFonts w:ascii="Arial" w:hAnsi="Arial" w:cs="Arial"/>
              </w:rPr>
            </w:pPr>
          </w:p>
          <w:p w14:paraId="26E4DBAB" w14:textId="77777777" w:rsidR="00DE6484" w:rsidRPr="00DE6484" w:rsidRDefault="00DE6484" w:rsidP="00DE6484">
            <w:pPr>
              <w:jc w:val="both"/>
              <w:rPr>
                <w:rFonts w:ascii="Arial" w:hAnsi="Arial" w:cs="Arial"/>
              </w:rPr>
            </w:pPr>
            <w:r w:rsidRPr="00DE6484">
              <w:rPr>
                <w:rFonts w:ascii="Arial" w:hAnsi="Arial" w:cs="Arial"/>
              </w:rPr>
              <w:t>0.569</w:t>
            </w:r>
          </w:p>
          <w:p w14:paraId="34CC06DD" w14:textId="77777777" w:rsidR="00DE6484" w:rsidRPr="00DE6484" w:rsidRDefault="00DE6484" w:rsidP="00DE6484">
            <w:pPr>
              <w:jc w:val="both"/>
              <w:rPr>
                <w:rFonts w:ascii="Arial" w:hAnsi="Arial" w:cs="Arial"/>
              </w:rPr>
            </w:pPr>
          </w:p>
        </w:tc>
      </w:tr>
      <w:tr w:rsidR="00DE6484" w:rsidRPr="00DE6484" w14:paraId="0B3884B2" w14:textId="77777777" w:rsidTr="005E114C">
        <w:tblPrEx>
          <w:jc w:val="left"/>
        </w:tblPrEx>
        <w:trPr>
          <w:trHeight w:val="697"/>
        </w:trPr>
        <w:tc>
          <w:tcPr>
            <w:tcW w:w="3214" w:type="dxa"/>
          </w:tcPr>
          <w:p w14:paraId="5A7B9F15" w14:textId="77777777" w:rsidR="00DE6484" w:rsidRPr="00DE6484" w:rsidRDefault="00DE6484" w:rsidP="00DE6484">
            <w:pPr>
              <w:jc w:val="both"/>
              <w:rPr>
                <w:rFonts w:ascii="Arial" w:hAnsi="Arial" w:cs="Arial"/>
                <w:b/>
                <w:bCs/>
              </w:rPr>
            </w:pPr>
          </w:p>
          <w:p w14:paraId="5392D2BA" w14:textId="77777777" w:rsidR="00DE6484" w:rsidRPr="00DE6484" w:rsidRDefault="00DE6484" w:rsidP="00DE6484">
            <w:pPr>
              <w:jc w:val="both"/>
              <w:rPr>
                <w:rFonts w:ascii="Arial" w:hAnsi="Arial" w:cs="Arial"/>
                <w:b/>
                <w:bCs/>
              </w:rPr>
            </w:pPr>
            <w:r w:rsidRPr="00DE6484">
              <w:rPr>
                <w:rFonts w:ascii="Arial" w:hAnsi="Arial" w:cs="Arial"/>
                <w:b/>
                <w:bCs/>
              </w:rPr>
              <w:t>RMA-2M-600</w:t>
            </w:r>
          </w:p>
          <w:p w14:paraId="42AB0B34" w14:textId="77777777" w:rsidR="00DE6484" w:rsidRPr="00DE6484" w:rsidRDefault="00DE6484" w:rsidP="00DE6484">
            <w:pPr>
              <w:jc w:val="both"/>
              <w:rPr>
                <w:rFonts w:ascii="Arial" w:hAnsi="Arial" w:cs="Arial"/>
                <w:b/>
                <w:bCs/>
              </w:rPr>
            </w:pPr>
          </w:p>
        </w:tc>
        <w:tc>
          <w:tcPr>
            <w:tcW w:w="1697" w:type="dxa"/>
          </w:tcPr>
          <w:p w14:paraId="36D9975E" w14:textId="77777777" w:rsidR="00DE6484" w:rsidRPr="00DE6484" w:rsidRDefault="00DE6484" w:rsidP="00DE6484">
            <w:pPr>
              <w:jc w:val="both"/>
              <w:rPr>
                <w:rFonts w:ascii="Arial" w:hAnsi="Arial" w:cs="Arial"/>
              </w:rPr>
            </w:pPr>
          </w:p>
          <w:p w14:paraId="5490C3F1" w14:textId="77777777" w:rsidR="00DE6484" w:rsidRPr="00DE6484" w:rsidRDefault="00DE6484" w:rsidP="00DE6484">
            <w:pPr>
              <w:jc w:val="both"/>
              <w:rPr>
                <w:rFonts w:ascii="Arial" w:hAnsi="Arial" w:cs="Arial"/>
              </w:rPr>
            </w:pPr>
            <w:r w:rsidRPr="00DE6484">
              <w:rPr>
                <w:rFonts w:ascii="Arial" w:hAnsi="Arial" w:cs="Arial"/>
              </w:rPr>
              <w:t>0.792</w:t>
            </w:r>
          </w:p>
          <w:p w14:paraId="50B9E9BD" w14:textId="77777777" w:rsidR="00DE6484" w:rsidRPr="00DE6484" w:rsidRDefault="00DE6484" w:rsidP="00DE6484">
            <w:pPr>
              <w:jc w:val="both"/>
              <w:rPr>
                <w:rFonts w:ascii="Arial" w:hAnsi="Arial" w:cs="Arial"/>
              </w:rPr>
            </w:pPr>
          </w:p>
        </w:tc>
        <w:tc>
          <w:tcPr>
            <w:tcW w:w="1711" w:type="dxa"/>
          </w:tcPr>
          <w:p w14:paraId="0748D4CD" w14:textId="77777777" w:rsidR="00DE6484" w:rsidRPr="00DE6484" w:rsidRDefault="00DE6484" w:rsidP="00DE6484">
            <w:pPr>
              <w:jc w:val="both"/>
              <w:rPr>
                <w:rFonts w:ascii="Arial" w:hAnsi="Arial" w:cs="Arial"/>
              </w:rPr>
            </w:pPr>
          </w:p>
          <w:p w14:paraId="1018677C" w14:textId="77777777" w:rsidR="00DE6484" w:rsidRPr="00DE6484" w:rsidRDefault="00DE6484" w:rsidP="00DE6484">
            <w:pPr>
              <w:jc w:val="both"/>
              <w:rPr>
                <w:rFonts w:ascii="Arial" w:hAnsi="Arial" w:cs="Arial"/>
              </w:rPr>
            </w:pPr>
            <w:bookmarkStart w:id="13" w:name="_Hlk212278977"/>
            <w:r w:rsidRPr="00DE6484">
              <w:rPr>
                <w:rFonts w:ascii="Arial" w:hAnsi="Arial" w:cs="Arial"/>
              </w:rPr>
              <w:t>15.411</w:t>
            </w:r>
          </w:p>
          <w:bookmarkEnd w:id="13"/>
          <w:p w14:paraId="1346BD91" w14:textId="77777777" w:rsidR="00DE6484" w:rsidRPr="00DE6484" w:rsidRDefault="00DE6484" w:rsidP="00DE6484">
            <w:pPr>
              <w:jc w:val="both"/>
              <w:rPr>
                <w:rFonts w:ascii="Arial" w:hAnsi="Arial" w:cs="Arial"/>
              </w:rPr>
            </w:pPr>
          </w:p>
        </w:tc>
        <w:tc>
          <w:tcPr>
            <w:tcW w:w="1639" w:type="dxa"/>
          </w:tcPr>
          <w:p w14:paraId="1BE31C06" w14:textId="77777777" w:rsidR="00DE6484" w:rsidRPr="00DE6484" w:rsidRDefault="00DE6484" w:rsidP="00DE6484">
            <w:pPr>
              <w:jc w:val="both"/>
              <w:rPr>
                <w:rFonts w:ascii="Arial" w:hAnsi="Arial" w:cs="Arial"/>
              </w:rPr>
            </w:pPr>
          </w:p>
          <w:p w14:paraId="72B6DC6E" w14:textId="77777777" w:rsidR="00DE6484" w:rsidRPr="00DE6484" w:rsidRDefault="00DE6484" w:rsidP="00DE6484">
            <w:pPr>
              <w:jc w:val="both"/>
              <w:rPr>
                <w:rFonts w:ascii="Arial" w:hAnsi="Arial" w:cs="Arial"/>
              </w:rPr>
            </w:pPr>
            <w:r w:rsidRPr="00DE6484">
              <w:rPr>
                <w:rFonts w:ascii="Arial" w:hAnsi="Arial" w:cs="Arial"/>
              </w:rPr>
              <w:t>0.863</w:t>
            </w:r>
          </w:p>
          <w:p w14:paraId="6C336863" w14:textId="77777777" w:rsidR="00DE6484" w:rsidRPr="00DE6484" w:rsidRDefault="00DE6484" w:rsidP="00DE6484">
            <w:pPr>
              <w:jc w:val="both"/>
              <w:rPr>
                <w:rFonts w:ascii="Arial" w:hAnsi="Arial" w:cs="Arial"/>
              </w:rPr>
            </w:pPr>
          </w:p>
        </w:tc>
      </w:tr>
    </w:tbl>
    <w:p w14:paraId="12475557" w14:textId="77777777" w:rsidR="00DE6484" w:rsidRPr="00DE6484" w:rsidRDefault="00DE6484" w:rsidP="00DE6484">
      <w:pPr>
        <w:jc w:val="both"/>
        <w:rPr>
          <w:rFonts w:ascii="Arial" w:hAnsi="Arial" w:cs="Arial"/>
        </w:rPr>
      </w:pPr>
    </w:p>
    <w:p w14:paraId="55A1B8AE" w14:textId="77777777" w:rsidR="00DE6484" w:rsidRPr="00DE6484" w:rsidRDefault="00DE6484" w:rsidP="00DE6484">
      <w:pPr>
        <w:jc w:val="both"/>
        <w:rPr>
          <w:rFonts w:ascii="Arial" w:hAnsi="Arial" w:cs="Arial"/>
        </w:rPr>
      </w:pPr>
      <w:r w:rsidRPr="00DE6484">
        <w:rPr>
          <w:rFonts w:ascii="Arial" w:hAnsi="Arial" w:cs="Arial"/>
        </w:rPr>
        <w:t>The results show that the constant K</w:t>
      </w:r>
      <w:r w:rsidRPr="00DE6484">
        <w:rPr>
          <w:rFonts w:ascii="Arial" w:hAnsi="Arial" w:cs="Arial"/>
          <w:vertAlign w:val="subscript"/>
        </w:rPr>
        <w:t>F</w:t>
      </w:r>
      <w:r w:rsidRPr="00DE6484">
        <w:rPr>
          <w:rFonts w:ascii="Arial" w:hAnsi="Arial" w:cs="Arial"/>
        </w:rPr>
        <w:t>, which reflects the adsorption capacity, varies strongly with activation temperature. The RMA-2M-500 sample exhibits the highest value (K</w:t>
      </w:r>
      <w:r w:rsidRPr="00DE6484">
        <w:rPr>
          <w:rFonts w:ascii="Arial" w:hAnsi="Arial" w:cs="Arial"/>
          <w:vertAlign w:val="subscript"/>
        </w:rPr>
        <w:t>F</w:t>
      </w:r>
      <w:r w:rsidRPr="00DE6484">
        <w:rPr>
          <w:rFonts w:ascii="Arial" w:hAnsi="Arial" w:cs="Arial"/>
        </w:rPr>
        <w:t>=25.475 L.g</w:t>
      </w:r>
      <w:r w:rsidRPr="00DE6484">
        <w:rPr>
          <w:rFonts w:ascii="Cambria Math" w:hAnsi="Cambria Math" w:cs="Cambria Math"/>
        </w:rPr>
        <w:t>⁻</w:t>
      </w:r>
      <w:r w:rsidRPr="00DE6484">
        <w:rPr>
          <w:rFonts w:ascii="Arial" w:hAnsi="Arial" w:cs="Arial"/>
        </w:rPr>
        <w:t>¹), indicating a strong adsorption capacity, whereas the samples activated at 400 °C (K</w:t>
      </w:r>
      <w:r w:rsidRPr="00DE6484">
        <w:rPr>
          <w:rFonts w:ascii="Arial" w:hAnsi="Arial" w:cs="Arial"/>
          <w:vertAlign w:val="subscript"/>
        </w:rPr>
        <w:t>F</w:t>
      </w:r>
      <w:r w:rsidRPr="00DE6484">
        <w:rPr>
          <w:rFonts w:ascii="Arial" w:hAnsi="Arial" w:cs="Arial"/>
        </w:rPr>
        <w:t>=2.226 L.g</w:t>
      </w:r>
      <w:r w:rsidRPr="00DE6484">
        <w:rPr>
          <w:rFonts w:ascii="Cambria Math" w:hAnsi="Cambria Math" w:cs="Cambria Math"/>
        </w:rPr>
        <w:t>⁻</w:t>
      </w:r>
      <w:r w:rsidRPr="00DE6484">
        <w:rPr>
          <w:rFonts w:ascii="Arial" w:hAnsi="Arial" w:cs="Arial"/>
        </w:rPr>
        <w:t>¹) and 600 °C (K</w:t>
      </w:r>
      <w:r w:rsidRPr="00DE6484">
        <w:rPr>
          <w:rFonts w:ascii="Arial" w:hAnsi="Arial" w:cs="Arial"/>
          <w:vertAlign w:val="subscript"/>
        </w:rPr>
        <w:t>F</w:t>
      </w:r>
      <w:r w:rsidRPr="00DE6484">
        <w:rPr>
          <w:rFonts w:ascii="Arial" w:hAnsi="Arial" w:cs="Arial"/>
        </w:rPr>
        <w:t>=15.411 L.g</w:t>
      </w:r>
      <w:r w:rsidRPr="00DE6484">
        <w:rPr>
          <w:rFonts w:ascii="Cambria Math" w:hAnsi="Cambria Math" w:cs="Cambria Math"/>
        </w:rPr>
        <w:t>⁻</w:t>
      </w:r>
      <w:r w:rsidRPr="00DE6484">
        <w:rPr>
          <w:rFonts w:ascii="Arial" w:hAnsi="Arial" w:cs="Arial"/>
        </w:rPr>
        <w:t xml:space="preserve">¹) display significantly lower performance. This trend is consistent with the Langmuir model results, confirming that an activation temperature of 500 °C provides a pore structure and surface chemistry more favorable for adsorption </w:t>
      </w:r>
      <w:r w:rsidRPr="00DE6484">
        <w:rPr>
          <w:rFonts w:ascii="Arial" w:hAnsi="Arial" w:cs="Arial"/>
        </w:rPr>
        <w:fldChar w:fldCharType="begin"/>
      </w:r>
      <w:r w:rsidRPr="00DE6484">
        <w:rPr>
          <w:rFonts w:ascii="Arial" w:hAnsi="Arial" w:cs="Arial"/>
        </w:rPr>
        <w:instrText xml:space="preserve"> ADDIN ZOTERO_ITEM CSL_CITATION {"citationID":"eanKeRb9","properties":{"formattedCitation":"(Liou 2010; Freundlich 1907)","plainCitation":"(Liou 2010; Freundlich 1907)","noteIndex":0},"citationItems":[{"id":454,"uris":["http://zotero.org/users/18768689/items/BQZP9NJ9"],"itemData":{"id":454,"type":"article-journal","container-title":"Chemical Engineering Journal","DOI":"10.1016/j.cej.2009.12.016","ISSN":"13858947","issue":"2","journalAbbreviation":"Chemical Engineering Journal","language":"en","page":"129-142","source":"DOI.org (Crossref)","title":"Development of mesoporous structure and high adsorption capacity of biomass-based activated carbon by phosphoric acid and zinc chloride activation","volume":"158","author":[{"family":"Liou","given":"Tzong-Horng"}],"issued":{"date-parts":[["2010",4]]}}},{"id":446,"uris":["http://zotero.org/users/18768689/items/76XHDU42"],"itemData":{"id":446,"type":"article-journal","container-title":"Zeitschrift für Physikalische Chemie","DOI":"10.1515/zpch-1907-5723","ISSN":"2196-7156, 0942-9352","issue":"1","language":"en","page":"385-470","source":"DOI.org (Crossref)","title":"Über die Adsorption in Lösungen","volume":"57U","author":[{"family":"Freundlich","given":"Herbert"}],"issued":{"date-parts":[["1907",10,1]]}}}],"schema":"https://github.com/citation-style-language/schema/raw/master/csl-citation.json"} </w:instrText>
      </w:r>
      <w:r w:rsidRPr="00DE6484">
        <w:rPr>
          <w:rFonts w:ascii="Arial" w:hAnsi="Arial" w:cs="Arial"/>
        </w:rPr>
        <w:fldChar w:fldCharType="separate"/>
      </w:r>
      <w:r w:rsidRPr="00DE6484">
        <w:rPr>
          <w:rFonts w:ascii="Arial" w:hAnsi="Arial" w:cs="Arial"/>
        </w:rPr>
        <w:t>(Liou 2010; Freundlich 1907)</w:t>
      </w:r>
      <w:r w:rsidRPr="00DE6484">
        <w:rPr>
          <w:rFonts w:ascii="Arial" w:hAnsi="Arial" w:cs="Arial"/>
        </w:rPr>
        <w:fldChar w:fldCharType="end"/>
      </w:r>
      <w:r w:rsidRPr="00DE6484">
        <w:rPr>
          <w:rFonts w:ascii="Arial" w:hAnsi="Arial" w:cs="Arial"/>
        </w:rPr>
        <w:t>.</w:t>
      </w:r>
    </w:p>
    <w:p w14:paraId="3836CF64" w14:textId="1B0D72C0" w:rsidR="00DE6484" w:rsidRPr="00DE6484" w:rsidRDefault="00DE6484" w:rsidP="00DE6484">
      <w:pPr>
        <w:jc w:val="both"/>
        <w:rPr>
          <w:rFonts w:ascii="Arial" w:hAnsi="Arial" w:cs="Arial"/>
        </w:rPr>
      </w:pPr>
      <w:r w:rsidRPr="00DE6484">
        <w:rPr>
          <w:rFonts w:ascii="Arial" w:hAnsi="Arial" w:cs="Arial"/>
        </w:rPr>
        <w:t xml:space="preserve">The parameter </w:t>
      </w:r>
      <m:oMath>
        <m:f>
          <m:fPr>
            <m:ctrlPr>
              <w:rPr>
                <w:rFonts w:ascii="Cambria Math" w:hAnsi="Cambria Math" w:cs="Arial"/>
                <w:bCs/>
                <w:iCs/>
                <w:lang w:val="fr-FR"/>
              </w:rPr>
            </m:ctrlPr>
          </m:fPr>
          <m:num>
            <m:r>
              <m:rPr>
                <m:sty m:val="p"/>
              </m:rPr>
              <w:rPr>
                <w:rFonts w:ascii="Cambria Math" w:hAnsi="Cambria Math" w:cs="Arial"/>
              </w:rPr>
              <m:t>1</m:t>
            </m:r>
          </m:num>
          <m:den>
            <m:r>
              <m:rPr>
                <m:sty m:val="p"/>
              </m:rPr>
              <w:rPr>
                <w:rFonts w:ascii="Cambria Math" w:hAnsi="Cambria Math" w:cs="Arial"/>
              </w:rPr>
              <m:t xml:space="preserve"> </m:t>
            </m:r>
            <m:sSub>
              <m:sSubPr>
                <m:ctrlPr>
                  <w:rPr>
                    <w:rFonts w:ascii="Cambria Math" w:hAnsi="Cambria Math" w:cs="Arial"/>
                    <w:bCs/>
                    <w:iCs/>
                    <w:lang w:val="fr-FR"/>
                  </w:rPr>
                </m:ctrlPr>
              </m:sSubPr>
              <m:e>
                <m:r>
                  <m:rPr>
                    <m:sty m:val="p"/>
                  </m:rPr>
                  <w:rPr>
                    <w:rFonts w:ascii="Cambria Math" w:hAnsi="Cambria Math" w:cs="Arial"/>
                  </w:rPr>
                  <m:t>n</m:t>
                </m:r>
              </m:e>
              <m:sub>
                <m:r>
                  <m:rPr>
                    <m:sty m:val="p"/>
                  </m:rPr>
                  <w:rPr>
                    <w:rFonts w:ascii="Cambria Math" w:hAnsi="Cambria Math" w:cs="Arial"/>
                  </w:rPr>
                  <m:t>F</m:t>
                </m:r>
              </m:sub>
            </m:sSub>
          </m:den>
        </m:f>
      </m:oMath>
      <w:r w:rsidRPr="00DE6484">
        <w:rPr>
          <w:rFonts w:ascii="Arial" w:hAnsi="Arial" w:cs="Arial"/>
          <w:bCs/>
        </w:rPr>
        <w:t xml:space="preserve"> </w:t>
      </w:r>
      <w:r w:rsidRPr="00DE6484">
        <w:rPr>
          <w:rFonts w:ascii="Arial" w:hAnsi="Arial" w:cs="Arial"/>
        </w:rPr>
        <w:t xml:space="preserve">​, which indicates the intensity and favorability of adsorption, ranges from 0.485 to 0.792. All samples exhibit values of </w:t>
      </w:r>
      <m:oMath>
        <m:f>
          <m:fPr>
            <m:ctrlPr>
              <w:rPr>
                <w:rFonts w:ascii="Cambria Math" w:hAnsi="Cambria Math" w:cs="Arial"/>
                <w:bCs/>
                <w:iCs/>
                <w:lang w:val="fr-FR"/>
              </w:rPr>
            </m:ctrlPr>
          </m:fPr>
          <m:num>
            <m:r>
              <m:rPr>
                <m:sty m:val="p"/>
              </m:rPr>
              <w:rPr>
                <w:rFonts w:ascii="Cambria Math" w:hAnsi="Cambria Math" w:cs="Arial"/>
              </w:rPr>
              <m:t>1</m:t>
            </m:r>
          </m:num>
          <m:den>
            <m:r>
              <m:rPr>
                <m:sty m:val="p"/>
              </m:rPr>
              <w:rPr>
                <w:rFonts w:ascii="Cambria Math" w:hAnsi="Cambria Math" w:cs="Arial"/>
              </w:rPr>
              <m:t xml:space="preserve"> </m:t>
            </m:r>
            <m:sSub>
              <m:sSubPr>
                <m:ctrlPr>
                  <w:rPr>
                    <w:rFonts w:ascii="Cambria Math" w:hAnsi="Cambria Math" w:cs="Arial"/>
                    <w:bCs/>
                    <w:iCs/>
                    <w:lang w:val="fr-FR"/>
                  </w:rPr>
                </m:ctrlPr>
              </m:sSubPr>
              <m:e>
                <m:r>
                  <m:rPr>
                    <m:sty m:val="p"/>
                  </m:rPr>
                  <w:rPr>
                    <w:rFonts w:ascii="Cambria Math" w:hAnsi="Cambria Math" w:cs="Arial"/>
                  </w:rPr>
                  <m:t>n</m:t>
                </m:r>
              </m:e>
              <m:sub>
                <m:r>
                  <m:rPr>
                    <m:sty m:val="p"/>
                  </m:rPr>
                  <w:rPr>
                    <w:rFonts w:ascii="Cambria Math" w:hAnsi="Cambria Math" w:cs="Arial"/>
                  </w:rPr>
                  <m:t>F</m:t>
                </m:r>
              </m:sub>
            </m:sSub>
          </m:den>
        </m:f>
      </m:oMath>
      <w:r w:rsidRPr="00DE6484">
        <w:rPr>
          <w:rFonts w:ascii="Arial" w:hAnsi="Arial" w:cs="Arial"/>
          <w:bCs/>
        </w:rPr>
        <w:t xml:space="preserve">  ​&lt;1</w:t>
      </w:r>
      <w:r w:rsidRPr="00DE6484">
        <w:rPr>
          <w:rFonts w:ascii="Arial" w:hAnsi="Arial" w:cs="Arial"/>
        </w:rPr>
        <w:t xml:space="preserve">, which indicates favorable adsorption on the activated carbons and strong adsorbent–adsorbate interactions </w:t>
      </w:r>
      <w:r w:rsidRPr="00DE6484">
        <w:rPr>
          <w:rFonts w:ascii="Arial" w:hAnsi="Arial" w:cs="Arial"/>
        </w:rPr>
        <w:fldChar w:fldCharType="begin"/>
      </w:r>
      <w:r w:rsidRPr="00DE6484">
        <w:rPr>
          <w:rFonts w:ascii="Arial" w:hAnsi="Arial" w:cs="Arial"/>
        </w:rPr>
        <w:instrText xml:space="preserve"> ADDIN ZOTERO_ITEM CSL_CITATION {"citationID":"YfrLTFXr","properties":{"formattedCitation":"(Boumchita et al. 2016)","plainCitation":"(Boumchita et al. 2016)","noteIndex":0},"citationItems":[{"id":488,"uris":["http://zotero.org/users/18768689/items/JJR9YQRE"],"itemData":{"id":488,"type":"article-journal","abstract":"In this study, the adsorption of methylene blue dye from aqueous solution, on low cost adsorbent, potato peel, was studied using batch experiments. The characterization of the adsorbent was performed by scanning electron microscope (SEM) coupled with EDX and Fourier transforms infrared spectrometer (FTIR). The effect of adsorbent dose, initial dye concentration, contact time, pH and temperature was investigated. The kinetic data were fitted to the pseudo-first order and pseudo-second order models, and it is revealed that the adsorption of methylene blue onto potato peel follows the pseudo-second order model for all investigated initial dye concentration. The isotherms of adsorption data were analyzed by Langmuir and Freundlich models. It was found that the adsorption process could by described be the Langmuir isotherm (R2=0.995), the maximum adsorption capacity, obtained from the Langmuir isotherm plot was 32.70 mg.g-1.The thermodynamic parameters such as enthalpy ∆H°, entropy ∆S° and free energy ∆G° have also been evaluated to predict the nature of adsorption. The results indicate that the adsorption process is an exothermic, spontaneous physisorption.","language":"fr","source":"Zotero","title":"Elimination d’un colorant cationique dans une solution aqueuse par un déchet alimentaire : Epluchure de pomme de terre [Removal of cationic dye from aqueous solution by a food waste: Potato peel]","author":[{"family":"Boumchita","given":"S"},{"family":"Lahrichi","given":"A"},{"family":"Benjelloun","given":"Y"},{"family":"Lairini","given":"S"},{"family":"Nenov","given":"V"},{"family":"Zerrouq","given":"F"}],"issued":{"date-parts":[["2016"]]}}}],"schema":"https://github.com/citation-style-language/schema/raw/master/csl-citation.json"} </w:instrText>
      </w:r>
      <w:r w:rsidRPr="00DE6484">
        <w:rPr>
          <w:rFonts w:ascii="Arial" w:hAnsi="Arial" w:cs="Arial"/>
        </w:rPr>
        <w:fldChar w:fldCharType="separate"/>
      </w:r>
      <w:r w:rsidRPr="00DE6484">
        <w:rPr>
          <w:rFonts w:ascii="Arial" w:hAnsi="Arial" w:cs="Arial"/>
        </w:rPr>
        <w:t>(Boumchita et al. 2016)</w:t>
      </w:r>
      <w:r w:rsidRPr="00DE6484">
        <w:rPr>
          <w:rFonts w:ascii="Arial" w:hAnsi="Arial" w:cs="Arial"/>
        </w:rPr>
        <w:fldChar w:fldCharType="end"/>
      </w:r>
      <w:r w:rsidRPr="00DE6484">
        <w:rPr>
          <w:rFonts w:ascii="Arial" w:hAnsi="Arial" w:cs="Arial"/>
        </w:rPr>
        <w:t>.</w:t>
      </w:r>
    </w:p>
    <w:p w14:paraId="29BF038D" w14:textId="3ABBB213" w:rsidR="00DE6484" w:rsidRPr="00DE6484" w:rsidRDefault="00DE6484" w:rsidP="00DE6484">
      <w:pPr>
        <w:jc w:val="both"/>
        <w:rPr>
          <w:rFonts w:ascii="Arial" w:hAnsi="Arial" w:cs="Arial"/>
        </w:rPr>
      </w:pPr>
      <w:r w:rsidRPr="00DE6484">
        <w:rPr>
          <w:rFonts w:ascii="Arial" w:hAnsi="Arial" w:cs="Arial"/>
        </w:rPr>
        <w:t>Regarding the quality of fit, the correlation coefficient (R</w:t>
      </w:r>
      <w:r w:rsidRPr="00DE6484">
        <w:rPr>
          <w:rFonts w:ascii="Arial" w:hAnsi="Arial" w:cs="Arial"/>
          <w:vertAlign w:val="superscript"/>
        </w:rPr>
        <w:t>2</w:t>
      </w:r>
      <w:r w:rsidRPr="00DE6484">
        <w:rPr>
          <w:rFonts w:ascii="Arial" w:hAnsi="Arial" w:cs="Arial"/>
        </w:rPr>
        <w:t>) ranges from 0.569 to 0.964. The best fit is obtained for RMA-2M-400 (R</w:t>
      </w:r>
      <w:r w:rsidRPr="00DE6484">
        <w:rPr>
          <w:rFonts w:ascii="Arial" w:hAnsi="Arial" w:cs="Arial"/>
          <w:vertAlign w:val="superscript"/>
        </w:rPr>
        <w:t>2</w:t>
      </w:r>
      <w:r w:rsidRPr="00DE6484">
        <w:rPr>
          <w:rFonts w:ascii="Arial" w:hAnsi="Arial" w:cs="Arial"/>
        </w:rPr>
        <w:t>=0.964), followed by RMA-2M-600 (R</w:t>
      </w:r>
      <w:r w:rsidRPr="00DE6484">
        <w:rPr>
          <w:rFonts w:ascii="Arial" w:hAnsi="Arial" w:cs="Arial"/>
          <w:vertAlign w:val="superscript"/>
        </w:rPr>
        <w:t>2</w:t>
      </w:r>
      <w:r w:rsidRPr="00DE6484">
        <w:rPr>
          <w:rFonts w:ascii="Arial" w:hAnsi="Arial" w:cs="Arial"/>
        </w:rPr>
        <w:t>=0.863), whereas the RMA-2M-500 sample exhibits a very poor fit (R</w:t>
      </w:r>
      <w:r w:rsidRPr="00DE6484">
        <w:rPr>
          <w:rFonts w:ascii="Arial" w:hAnsi="Arial" w:cs="Arial"/>
          <w:vertAlign w:val="superscript"/>
        </w:rPr>
        <w:t>2</w:t>
      </w:r>
      <w:r w:rsidRPr="00DE6484">
        <w:rPr>
          <w:rFonts w:ascii="Arial" w:hAnsi="Arial" w:cs="Arial"/>
        </w:rPr>
        <w:t>=0.569). This indicates that, despite its excellent performance in terms of adsorption capacity (K</w:t>
      </w:r>
      <w:r w:rsidRPr="00DE6484">
        <w:rPr>
          <w:rFonts w:ascii="Arial" w:hAnsi="Arial" w:cs="Arial"/>
          <w:vertAlign w:val="subscript"/>
        </w:rPr>
        <w:t>F</w:t>
      </w:r>
      <w:r w:rsidRPr="00DE6484">
        <w:rPr>
          <w:rFonts w:ascii="Arial" w:hAnsi="Arial" w:cs="Arial"/>
        </w:rPr>
        <w:t>​) and favorability (</w:t>
      </w:r>
      <m:oMath>
        <m:f>
          <m:fPr>
            <m:ctrlPr>
              <w:rPr>
                <w:rFonts w:ascii="Cambria Math" w:hAnsi="Cambria Math" w:cs="Arial"/>
                <w:bCs/>
                <w:iCs/>
                <w:lang w:val="fr-FR"/>
              </w:rPr>
            </m:ctrlPr>
          </m:fPr>
          <m:num>
            <m:r>
              <m:rPr>
                <m:sty m:val="p"/>
              </m:rPr>
              <w:rPr>
                <w:rFonts w:ascii="Cambria Math" w:hAnsi="Cambria Math" w:cs="Arial"/>
              </w:rPr>
              <m:t>1</m:t>
            </m:r>
          </m:num>
          <m:den>
            <m:r>
              <m:rPr>
                <m:sty m:val="p"/>
              </m:rPr>
              <w:rPr>
                <w:rFonts w:ascii="Cambria Math" w:hAnsi="Cambria Math" w:cs="Arial"/>
              </w:rPr>
              <m:t xml:space="preserve"> </m:t>
            </m:r>
            <m:sSub>
              <m:sSubPr>
                <m:ctrlPr>
                  <w:rPr>
                    <w:rFonts w:ascii="Cambria Math" w:hAnsi="Cambria Math" w:cs="Arial"/>
                    <w:bCs/>
                    <w:iCs/>
                    <w:lang w:val="fr-FR"/>
                  </w:rPr>
                </m:ctrlPr>
              </m:sSubPr>
              <m:e>
                <m:r>
                  <m:rPr>
                    <m:sty m:val="p"/>
                  </m:rPr>
                  <w:rPr>
                    <w:rFonts w:ascii="Cambria Math" w:hAnsi="Cambria Math" w:cs="Arial"/>
                  </w:rPr>
                  <m:t>n</m:t>
                </m:r>
              </m:e>
              <m:sub>
                <m:r>
                  <m:rPr>
                    <m:sty m:val="p"/>
                  </m:rPr>
                  <w:rPr>
                    <w:rFonts w:ascii="Cambria Math" w:hAnsi="Cambria Math" w:cs="Arial"/>
                  </w:rPr>
                  <m:t>F</m:t>
                </m:r>
              </m:sub>
            </m:sSub>
          </m:den>
        </m:f>
      </m:oMath>
      <w:r w:rsidRPr="00DE6484">
        <w:rPr>
          <w:rFonts w:ascii="Arial" w:hAnsi="Arial" w:cs="Arial"/>
        </w:rPr>
        <w:t xml:space="preserve">​), the RMA-2M-500 sample is not well described by the Freundlich model. This result suggests that, for this sample, the adsorption mechanism is more homogeneous and better represented by the Langmuir model, which assumes monolayer adsorption on a uniform surface </w:t>
      </w:r>
      <w:r w:rsidRPr="00DE6484">
        <w:rPr>
          <w:rFonts w:ascii="Arial" w:hAnsi="Arial" w:cs="Arial"/>
        </w:rPr>
        <w:fldChar w:fldCharType="begin"/>
      </w:r>
      <w:r w:rsidRPr="00DE6484">
        <w:rPr>
          <w:rFonts w:ascii="Arial" w:hAnsi="Arial" w:cs="Arial"/>
        </w:rPr>
        <w:instrText xml:space="preserve"> ADDIN ZOTERO_ITEM CSL_CITATION {"citationID":"BpMnkc9m","properties":{"formattedCitation":"({\\i{}Activated Carbon} 2006)","plainCitation":"(Activated Carbon 2006)","noteIndex":0},"citationItems":[{"id":490,"uris":["http://zotero.org/users/18768689/items/FRQ4NM5T"],"itemData":{"id":490,"type":"book","abstract":"Recent years have seen an expansion in speciality uses of activated carbons including medicine, filtration, and the purification of liquids and gaseou","ISBN":"978-0-08-044463-5","language":"en-US","source":"shop.elsevier.com","title":"Activated Carbon","URL":"https://shop.elsevier.com/books/activated-carbon/marsh/978-0-08-044463-5","accessed":{"date-parts":[["2025",11,30]]},"issued":{"date-parts":[["2006",7,17]]}}}],"schema":"https://github.com/citation-style-language/schema/raw/master/csl-citation.json"} </w:instrText>
      </w:r>
      <w:r w:rsidRPr="00DE6484">
        <w:rPr>
          <w:rFonts w:ascii="Arial" w:hAnsi="Arial" w:cs="Arial"/>
        </w:rPr>
        <w:fldChar w:fldCharType="separate"/>
      </w:r>
      <w:r w:rsidRPr="00DE6484">
        <w:rPr>
          <w:rFonts w:ascii="Arial" w:hAnsi="Arial" w:cs="Arial"/>
        </w:rPr>
        <w:t xml:space="preserve"> (Harry Marsh, Francisco Rodríguez Reinoso, 2006)</w:t>
      </w:r>
      <w:r w:rsidRPr="00DE6484">
        <w:rPr>
          <w:rFonts w:ascii="Arial" w:hAnsi="Arial" w:cs="Arial"/>
        </w:rPr>
        <w:fldChar w:fldCharType="end"/>
      </w:r>
      <w:r w:rsidRPr="00DE6484">
        <w:rPr>
          <w:rFonts w:ascii="Arial" w:hAnsi="Arial" w:cs="Arial"/>
        </w:rPr>
        <w:t>.</w:t>
      </w:r>
    </w:p>
    <w:p w14:paraId="1FF7F1FF" w14:textId="77777777" w:rsidR="00DE6484" w:rsidRPr="00DE6484" w:rsidRDefault="00DE6484" w:rsidP="00DE6484">
      <w:pPr>
        <w:jc w:val="both"/>
        <w:rPr>
          <w:rFonts w:ascii="Arial" w:hAnsi="Arial" w:cs="Arial"/>
        </w:rPr>
      </w:pPr>
      <w:r w:rsidRPr="00DE6484">
        <w:rPr>
          <w:rFonts w:ascii="Arial" w:hAnsi="Arial" w:cs="Arial"/>
        </w:rPr>
        <w:t xml:space="preserve">Overall, the application of the Freundlich model shows that RMA-2M-500 maintains the highest adsorption performance, but its behavior is more accurately described by the Langmuir model. The samples activated at 400 and 600 °C exhibit more heterogeneous adsorption, which explains their better fit to the Freundlich model. This complementarity between the two models highlights the importance of comparative analysis for a more comprehensive description of adsorption phenomena </w:t>
      </w:r>
      <w:r w:rsidRPr="00DE6484">
        <w:rPr>
          <w:rFonts w:ascii="Arial" w:hAnsi="Arial" w:cs="Arial"/>
        </w:rPr>
        <w:fldChar w:fldCharType="begin"/>
      </w:r>
      <w:r w:rsidRPr="00DE6484">
        <w:rPr>
          <w:rFonts w:ascii="Arial" w:hAnsi="Arial" w:cs="Arial"/>
        </w:rPr>
        <w:instrText xml:space="preserve"> ADDIN ZOTERO_ITEM CSL_CITATION {"citationID":"V9koDyp7","properties":{"formattedCitation":"(Haghseresht et Lu 1998; M. Vargas-Rodr\\uc0\\u237{}guez et al. 2021)","plainCitation":"(Haghseresht et Lu 1998; M. Vargas-Rodríguez et al. 2021)","noteIndex":0},"citationItems":[{"id":489,"uris":["http://zotero.org/users/18768689/items/9HYBF99G"],"itemData":{"id":489,"type":"article-journal","container-title":"Energy &amp; Fuels","DOI":"10.1021/ef9801165","ISSN":"0887-0624, 1520-5029","issue":"6","journalAbbreviation":"Energy Fuels","language":"en","page":"1100-1107","source":"DOI.org (Crossref)","title":"Adsorption Characteristics of Phenolic Compounds onto Coal-Reject-Derived Adsorbents","volume":"12","author":[{"family":"Haghseresht","given":"F."},{"family":"Lu","given":"G. Q."}],"issued":{"date-parts":[["1998",11,1]]}}},{"id":492,"uris":["http://zotero.org/users/18768689/items/VZY29BFL"],"itemData":{"id":492,"type":"article-journal","container-title":"American Journal of Nanomaterials","DOI":"10.12691/ajn-9-1-1","ISSN":"2372-3114","issue":"1","journalAbbreviation":"AJN","page":"1-11","source":"DOI.org (Crossref)","title":"Adsorption Studies of Aqueous Solutions of Methyl Green for Halloysite Nanotubes: Kinetics, Isotherms, and Thermodynamic Parameters","title-short":"Adsorption Studies of Aqueous Solutions of Methyl Green for Halloysite Nanotubes","volume":"9","author":[{"family":"M. Vargas-Rodríguez","given":"Y."},{"family":"Obaya","given":"A."},{"family":"E. García-Petronilo","given":"J."},{"family":"I. Vargas-Rodríguez","given":"G."},{"family":"Gómez-Cortés","given":"A."},{"family":"Tavizón","given":"G."},{"family":"A. Chávez-Carvayar","given":"J."}],"issued":{"date-parts":[["2021",3,31]]}}}],"schema":"https://github.com/citation-style-language/schema/raw/master/csl-citation.json"} </w:instrText>
      </w:r>
      <w:r w:rsidRPr="00DE6484">
        <w:rPr>
          <w:rFonts w:ascii="Arial" w:hAnsi="Arial" w:cs="Arial"/>
        </w:rPr>
        <w:fldChar w:fldCharType="separate"/>
      </w:r>
      <w:r w:rsidRPr="00DE6484">
        <w:rPr>
          <w:rFonts w:ascii="Arial" w:hAnsi="Arial" w:cs="Arial"/>
        </w:rPr>
        <w:t>(Haghseresht et Lu 1998; M. Vargas-Rodríguez et al. 2021)</w:t>
      </w:r>
      <w:r w:rsidRPr="00DE6484">
        <w:rPr>
          <w:rFonts w:ascii="Arial" w:hAnsi="Arial" w:cs="Arial"/>
        </w:rPr>
        <w:fldChar w:fldCharType="end"/>
      </w:r>
      <w:r w:rsidRPr="00DE6484">
        <w:rPr>
          <w:rFonts w:ascii="Arial" w:hAnsi="Arial" w:cs="Arial"/>
        </w:rPr>
        <w:t>.</w:t>
      </w:r>
    </w:p>
    <w:p w14:paraId="75C7AB60" w14:textId="324CD3F4" w:rsidR="00DE6484" w:rsidRDefault="00DE6484" w:rsidP="00DE6484">
      <w:pPr>
        <w:jc w:val="both"/>
        <w:rPr>
          <w:rFonts w:ascii="Arial" w:hAnsi="Arial" w:cs="Arial"/>
        </w:rPr>
      </w:pPr>
      <w:r w:rsidRPr="00DE6484">
        <w:rPr>
          <w:rFonts w:ascii="Arial" w:hAnsi="Arial" w:cs="Arial"/>
        </w:rPr>
        <w:t>Following the analysis of adsorption isotherms which provided insight into maximum capacity and process favorability it is necessary to examine the dynamic retention of the adsorbate to better understand the mechanisms involved. The study of adsorption kinetics provides essential information on the rate of the process and the steps controlling mass transfer, enabling evaluation of the activated carbon’s efficiency over time.</w:t>
      </w:r>
    </w:p>
    <w:p w14:paraId="498198AB" w14:textId="77777777" w:rsidR="00DE6484" w:rsidRPr="00DE6484" w:rsidRDefault="00DE6484" w:rsidP="00DE6484">
      <w:pPr>
        <w:jc w:val="both"/>
        <w:rPr>
          <w:rFonts w:ascii="Arial" w:hAnsi="Arial" w:cs="Arial"/>
        </w:rPr>
      </w:pPr>
    </w:p>
    <w:p w14:paraId="1D11DB9E" w14:textId="31285A6B" w:rsidR="00DE6484" w:rsidRDefault="00DE6484" w:rsidP="00DE6484">
      <w:pPr>
        <w:jc w:val="both"/>
        <w:rPr>
          <w:rFonts w:ascii="Arial" w:hAnsi="Arial" w:cs="Arial"/>
          <w:b/>
          <w:bCs/>
        </w:rPr>
      </w:pPr>
      <w:r w:rsidRPr="00DE6484">
        <w:rPr>
          <w:rFonts w:ascii="Arial" w:hAnsi="Arial" w:cs="Arial"/>
          <w:b/>
          <w:bCs/>
        </w:rPr>
        <w:t>3.6.4. Pollutant removal efficiency</w:t>
      </w:r>
    </w:p>
    <w:p w14:paraId="5BD5DF9F" w14:textId="77777777" w:rsidR="00DE6484" w:rsidRPr="00DE6484" w:rsidRDefault="00DE6484" w:rsidP="00DE6484">
      <w:pPr>
        <w:jc w:val="both"/>
        <w:rPr>
          <w:rFonts w:ascii="Arial" w:hAnsi="Arial" w:cs="Arial"/>
          <w:b/>
          <w:bCs/>
        </w:rPr>
      </w:pPr>
    </w:p>
    <w:p w14:paraId="63BBFF20" w14:textId="77777777" w:rsidR="00DE6484" w:rsidRPr="00DE6484" w:rsidRDefault="00DE6484" w:rsidP="00DE6484">
      <w:pPr>
        <w:jc w:val="both"/>
        <w:rPr>
          <w:rFonts w:ascii="Arial" w:hAnsi="Arial" w:cs="Arial"/>
        </w:rPr>
      </w:pPr>
      <w:r w:rsidRPr="00DE6484">
        <w:rPr>
          <w:rFonts w:ascii="Arial" w:hAnsi="Arial" w:cs="Arial"/>
        </w:rPr>
        <w:t>To determine the removal efficiency of methylene blue (MB) by the activated carbons, 80 mL of a cationic dye solution with an initial concentration of 42 mg.L</w:t>
      </w:r>
      <w:r w:rsidRPr="00DE6484">
        <w:rPr>
          <w:rFonts w:ascii="Cambria Math" w:hAnsi="Cambria Math" w:cs="Cambria Math"/>
        </w:rPr>
        <w:t>⁻</w:t>
      </w:r>
      <w:r w:rsidRPr="00DE6484">
        <w:rPr>
          <w:rFonts w:ascii="Arial" w:hAnsi="Arial" w:cs="Arial"/>
        </w:rPr>
        <w:t>¹ were brought into contact with each sample and agitated for 90 minutes, corresponding to the equilibrium time. The removal efficiency R (%) was calculated using equation (13), and the results for the three activated carbon samples are shown in Figure 7.</w:t>
      </w:r>
    </w:p>
    <w:p w14:paraId="3E376BD5" w14:textId="1675FE3E" w:rsidR="00DE6484" w:rsidRPr="00DE6484" w:rsidRDefault="00DE6484" w:rsidP="00DE6484">
      <w:pPr>
        <w:jc w:val="both"/>
        <w:rPr>
          <w:rFonts w:ascii="Arial" w:hAnsi="Arial" w:cs="Arial"/>
          <w:iCs/>
          <w:lang w:val="fr-FR"/>
        </w:rPr>
      </w:pPr>
      <m:oMathPara>
        <m:oMath>
          <m:r>
            <m:rPr>
              <m:sty m:val="p"/>
            </m:rPr>
            <w:rPr>
              <w:rFonts w:ascii="Cambria Math" w:hAnsi="Cambria Math" w:cs="Arial"/>
              <w:lang w:val="fr-FR"/>
            </w:rPr>
            <m:t>R</m:t>
          </m:r>
          <m:d>
            <m:dPr>
              <m:ctrlPr>
                <w:rPr>
                  <w:rFonts w:ascii="Cambria Math" w:hAnsi="Cambria Math" w:cs="Arial"/>
                  <w:iCs/>
                  <w:lang w:val="fr-FR"/>
                </w:rPr>
              </m:ctrlPr>
            </m:dPr>
            <m:e>
              <m:r>
                <m:rPr>
                  <m:sty m:val="p"/>
                </m:rPr>
                <w:rPr>
                  <w:rFonts w:ascii="Cambria Math" w:hAnsi="Cambria Math" w:cs="Arial"/>
                  <w:lang w:val="fr-FR"/>
                </w:rPr>
                <m:t>%</m:t>
              </m:r>
            </m:e>
          </m:d>
          <m:r>
            <m:rPr>
              <m:sty m:val="p"/>
            </m:rPr>
            <w:rPr>
              <w:rFonts w:ascii="Cambria Math" w:hAnsi="Cambria Math" w:cs="Arial"/>
              <w:lang w:val="fr-FR"/>
            </w:rPr>
            <m:t>=</m:t>
          </m:r>
          <m:f>
            <m:fPr>
              <m:ctrlPr>
                <w:rPr>
                  <w:rFonts w:ascii="Cambria Math" w:hAnsi="Cambria Math" w:cs="Arial"/>
                  <w:iCs/>
                  <w:lang w:val="fr-FR"/>
                </w:rPr>
              </m:ctrlPr>
            </m:fPr>
            <m:num>
              <m:sSub>
                <m:sSubPr>
                  <m:ctrlPr>
                    <w:rPr>
                      <w:rFonts w:ascii="Cambria Math" w:hAnsi="Cambria Math" w:cs="Arial"/>
                      <w:iCs/>
                      <w:lang w:val="fr-FR"/>
                    </w:rPr>
                  </m:ctrlPr>
                </m:sSubPr>
                <m:e>
                  <m:r>
                    <m:rPr>
                      <m:sty m:val="p"/>
                    </m:rPr>
                    <w:rPr>
                      <w:rFonts w:ascii="Cambria Math" w:hAnsi="Cambria Math" w:cs="Arial"/>
                      <w:lang w:val="fr-FR"/>
                    </w:rPr>
                    <m:t>C</m:t>
                  </m:r>
                </m:e>
                <m:sub>
                  <m:r>
                    <m:rPr>
                      <m:sty m:val="p"/>
                    </m:rPr>
                    <w:rPr>
                      <w:rFonts w:ascii="Cambria Math" w:hAnsi="Cambria Math" w:cs="Arial"/>
                      <w:lang w:val="fr-FR"/>
                    </w:rPr>
                    <m:t>i</m:t>
                  </m:r>
                </m:sub>
              </m:sSub>
              <m:r>
                <m:rPr>
                  <m:sty m:val="p"/>
                </m:rPr>
                <w:rPr>
                  <w:rFonts w:ascii="Cambria Math" w:hAnsi="Cambria Math" w:cs="Arial"/>
                  <w:lang w:val="fr-FR"/>
                </w:rPr>
                <m:t>-</m:t>
              </m:r>
              <m:sSub>
                <m:sSubPr>
                  <m:ctrlPr>
                    <w:rPr>
                      <w:rFonts w:ascii="Cambria Math" w:hAnsi="Cambria Math" w:cs="Arial"/>
                      <w:iCs/>
                      <w:lang w:val="fr-FR"/>
                    </w:rPr>
                  </m:ctrlPr>
                </m:sSubPr>
                <m:e>
                  <m:r>
                    <m:rPr>
                      <m:sty m:val="p"/>
                    </m:rPr>
                    <w:rPr>
                      <w:rFonts w:ascii="Cambria Math" w:hAnsi="Cambria Math" w:cs="Arial"/>
                      <w:lang w:val="fr-FR"/>
                    </w:rPr>
                    <m:t>C</m:t>
                  </m:r>
                </m:e>
                <m:sub>
                  <m:r>
                    <m:rPr>
                      <m:sty m:val="p"/>
                    </m:rPr>
                    <w:rPr>
                      <w:rFonts w:ascii="Cambria Math" w:hAnsi="Cambria Math" w:cs="Arial"/>
                      <w:lang w:val="fr-FR"/>
                    </w:rPr>
                    <m:t>e</m:t>
                  </m:r>
                </m:sub>
              </m:sSub>
            </m:num>
            <m:den>
              <m:sSub>
                <m:sSubPr>
                  <m:ctrlPr>
                    <w:rPr>
                      <w:rFonts w:ascii="Cambria Math" w:hAnsi="Cambria Math" w:cs="Arial"/>
                      <w:iCs/>
                      <w:lang w:val="fr-FR"/>
                    </w:rPr>
                  </m:ctrlPr>
                </m:sSubPr>
                <m:e>
                  <m:r>
                    <m:rPr>
                      <m:sty m:val="p"/>
                    </m:rPr>
                    <w:rPr>
                      <w:rFonts w:ascii="Cambria Math" w:hAnsi="Cambria Math" w:cs="Arial"/>
                      <w:lang w:val="fr-FR"/>
                    </w:rPr>
                    <m:t>C</m:t>
                  </m:r>
                </m:e>
                <m:sub>
                  <m:r>
                    <m:rPr>
                      <m:sty m:val="p"/>
                    </m:rPr>
                    <w:rPr>
                      <w:rFonts w:ascii="Cambria Math" w:hAnsi="Cambria Math" w:cs="Arial"/>
                      <w:lang w:val="fr-FR"/>
                    </w:rPr>
                    <m:t>i</m:t>
                  </m:r>
                </m:sub>
              </m:sSub>
            </m:den>
          </m:f>
          <m:r>
            <m:rPr>
              <m:sty m:val="p"/>
            </m:rPr>
            <w:rPr>
              <w:rFonts w:ascii="Cambria Math" w:hAnsi="Cambria Math" w:cs="Arial"/>
              <w:lang w:val="fr-FR"/>
            </w:rPr>
            <m:t>×100</m:t>
          </m:r>
          <m:r>
            <w:rPr>
              <w:rFonts w:ascii="Cambria Math" w:hAnsi="Cambria Math" w:cs="Arial"/>
              <w:lang w:val="fr-FR"/>
            </w:rPr>
            <m:t xml:space="preserve">        (13)</m:t>
          </m:r>
        </m:oMath>
      </m:oMathPara>
    </w:p>
    <w:p w14:paraId="6F309D52" w14:textId="77777777" w:rsidR="00DE6484" w:rsidRPr="00DE6484" w:rsidRDefault="00DE6484" w:rsidP="00DE6484">
      <w:pPr>
        <w:jc w:val="both"/>
        <w:rPr>
          <w:rFonts w:ascii="Arial" w:hAnsi="Arial" w:cs="Arial"/>
        </w:rPr>
      </w:pPr>
      <w:r w:rsidRPr="00DE6484">
        <w:rPr>
          <w:rFonts w:ascii="Arial" w:hAnsi="Arial" w:cs="Arial"/>
        </w:rPr>
        <w:t xml:space="preserve">Where </w:t>
      </w:r>
      <w:proofErr w:type="gramStart"/>
      <w:r w:rsidRPr="00DE6484">
        <w:rPr>
          <w:rFonts w:ascii="Arial" w:hAnsi="Arial" w:cs="Arial"/>
        </w:rPr>
        <w:t>R(</w:t>
      </w:r>
      <w:proofErr w:type="gramEnd"/>
      <w:r w:rsidRPr="00DE6484">
        <w:rPr>
          <w:rFonts w:ascii="Arial" w:hAnsi="Arial" w:cs="Arial"/>
        </w:rPr>
        <w:t>%) is the removal efficiency; C</w:t>
      </w:r>
      <w:r w:rsidRPr="00DE6484">
        <w:rPr>
          <w:rFonts w:ascii="Arial" w:hAnsi="Arial" w:cs="Arial"/>
          <w:vertAlign w:val="subscript"/>
        </w:rPr>
        <w:t>i</w:t>
      </w:r>
      <w:r w:rsidRPr="00DE6484">
        <w:rPr>
          <w:rFonts w:ascii="Arial" w:hAnsi="Arial" w:cs="Arial"/>
        </w:rPr>
        <w:t xml:space="preserve"> is the initial concentration in </w:t>
      </w:r>
      <w:proofErr w:type="spellStart"/>
      <w:r w:rsidRPr="00DE6484">
        <w:rPr>
          <w:rFonts w:ascii="Arial" w:hAnsi="Arial" w:cs="Arial"/>
        </w:rPr>
        <w:t>mg.L</w:t>
      </w:r>
      <w:proofErr w:type="spellEnd"/>
      <w:r w:rsidRPr="00DE6484">
        <w:rPr>
          <w:rFonts w:ascii="Arial" w:hAnsi="Arial" w:cs="Arial"/>
          <w:vertAlign w:val="superscript"/>
        </w:rPr>
        <w:sym w:font="Symbol" w:char="F02D"/>
      </w:r>
      <w:r w:rsidRPr="00DE6484">
        <w:rPr>
          <w:rFonts w:ascii="Arial" w:hAnsi="Arial" w:cs="Arial"/>
          <w:vertAlign w:val="superscript"/>
        </w:rPr>
        <w:t>1</w:t>
      </w:r>
      <w:r w:rsidRPr="00DE6484">
        <w:rPr>
          <w:rFonts w:ascii="Arial" w:hAnsi="Arial" w:cs="Arial"/>
        </w:rPr>
        <w:t>; C</w:t>
      </w:r>
      <w:r w:rsidRPr="00DE6484">
        <w:rPr>
          <w:rFonts w:ascii="Arial" w:hAnsi="Arial" w:cs="Arial"/>
          <w:vertAlign w:val="subscript"/>
        </w:rPr>
        <w:t>e</w:t>
      </w:r>
      <w:r w:rsidRPr="00DE6484">
        <w:rPr>
          <w:rFonts w:ascii="Arial" w:hAnsi="Arial" w:cs="Arial"/>
        </w:rPr>
        <w:t xml:space="preserve"> is the residual concentration in </w:t>
      </w:r>
      <w:proofErr w:type="spellStart"/>
      <w:r w:rsidRPr="00DE6484">
        <w:rPr>
          <w:rFonts w:ascii="Arial" w:hAnsi="Arial" w:cs="Arial"/>
        </w:rPr>
        <w:t>mg.L</w:t>
      </w:r>
      <w:proofErr w:type="spellEnd"/>
      <w:r w:rsidRPr="00DE6484">
        <w:rPr>
          <w:rFonts w:ascii="Arial" w:hAnsi="Arial" w:cs="Arial"/>
          <w:vertAlign w:val="superscript"/>
        </w:rPr>
        <w:sym w:font="Symbol" w:char="F02D"/>
      </w:r>
      <w:r w:rsidRPr="00DE6484">
        <w:rPr>
          <w:rFonts w:ascii="Arial" w:hAnsi="Arial" w:cs="Arial"/>
          <w:vertAlign w:val="superscript"/>
        </w:rPr>
        <w:t xml:space="preserve">1 </w:t>
      </w:r>
      <w:r w:rsidRPr="00DE6484">
        <w:rPr>
          <w:rFonts w:ascii="Arial" w:hAnsi="Arial" w:cs="Arial"/>
        </w:rPr>
        <w:t>at a given time t.</w:t>
      </w:r>
    </w:p>
    <w:p w14:paraId="371055EA" w14:textId="77777777" w:rsidR="00DE6484" w:rsidRPr="00DE6484" w:rsidRDefault="00DE6484" w:rsidP="00DE6484">
      <w:pPr>
        <w:jc w:val="both"/>
        <w:rPr>
          <w:rFonts w:ascii="Arial" w:hAnsi="Arial" w:cs="Arial"/>
        </w:rPr>
      </w:pPr>
      <w:r w:rsidRPr="00DE6484">
        <w:rPr>
          <w:rFonts w:ascii="Arial" w:hAnsi="Arial" w:cs="Arial"/>
          <w:noProof/>
        </w:rPr>
        <w:drawing>
          <wp:inline distT="0" distB="0" distL="0" distR="0" wp14:anchorId="6F080928" wp14:editId="22542D7B">
            <wp:extent cx="4440555" cy="2520950"/>
            <wp:effectExtent l="0" t="0" r="17145" b="12700"/>
            <wp:docPr id="1246405572" name="Graphique 1">
              <a:extLst xmlns:a="http://schemas.openxmlformats.org/drawingml/2006/main">
                <a:ext uri="{FF2B5EF4-FFF2-40B4-BE49-F238E27FC236}">
                  <a16:creationId xmlns:a16="http://schemas.microsoft.com/office/drawing/2014/main" id="{9864384E-B2E8-0553-3E05-D53C139DD6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8BCC70E" w14:textId="77777777" w:rsidR="00DE6484" w:rsidRDefault="00DE6484" w:rsidP="00DE6484">
      <w:pPr>
        <w:jc w:val="both"/>
        <w:rPr>
          <w:rFonts w:ascii="Arial" w:hAnsi="Arial" w:cs="Arial"/>
        </w:rPr>
      </w:pPr>
      <w:r w:rsidRPr="00DE6484">
        <w:rPr>
          <w:rFonts w:ascii="Arial" w:hAnsi="Arial" w:cs="Arial"/>
          <w:b/>
          <w:bCs/>
        </w:rPr>
        <w:t>Figure 7</w:t>
      </w:r>
      <w:r w:rsidRPr="00DE6484">
        <w:rPr>
          <w:rFonts w:ascii="Arial" w:hAnsi="Arial" w:cs="Arial"/>
        </w:rPr>
        <w:t>: Methylene blue removal efficiency as a function of pyrolysis temperature (400–600 °C) of corn stover CA samples activated with H</w:t>
      </w:r>
      <w:r w:rsidRPr="00DE6484">
        <w:rPr>
          <w:rFonts w:ascii="Arial" w:hAnsi="Arial" w:cs="Arial"/>
          <w:vertAlign w:val="subscript"/>
        </w:rPr>
        <w:t>3</w:t>
      </w:r>
      <w:r w:rsidRPr="00DE6484">
        <w:rPr>
          <w:rFonts w:ascii="Arial" w:hAnsi="Arial" w:cs="Arial"/>
        </w:rPr>
        <w:t>PO</w:t>
      </w:r>
      <w:r w:rsidRPr="00DE6484">
        <w:rPr>
          <w:rFonts w:ascii="Arial" w:hAnsi="Arial" w:cs="Arial"/>
          <w:vertAlign w:val="subscript"/>
        </w:rPr>
        <w:t>4</w:t>
      </w:r>
      <w:r w:rsidRPr="00DE6484">
        <w:rPr>
          <w:rFonts w:ascii="Arial" w:hAnsi="Arial" w:cs="Arial"/>
        </w:rPr>
        <w:t xml:space="preserve"> at 90 minutes.</w:t>
      </w:r>
    </w:p>
    <w:p w14:paraId="15C375C9" w14:textId="77777777" w:rsidR="00DE6484" w:rsidRPr="00DE6484" w:rsidRDefault="00DE6484" w:rsidP="00DE6484">
      <w:pPr>
        <w:jc w:val="both"/>
        <w:rPr>
          <w:rFonts w:ascii="Arial" w:hAnsi="Arial" w:cs="Arial"/>
        </w:rPr>
      </w:pPr>
    </w:p>
    <w:p w14:paraId="4D2D1DC8" w14:textId="77777777" w:rsidR="00DE6484" w:rsidRPr="00DE6484" w:rsidRDefault="00DE6484" w:rsidP="00DE6484">
      <w:pPr>
        <w:jc w:val="both"/>
        <w:rPr>
          <w:rFonts w:ascii="Arial" w:hAnsi="Arial" w:cs="Arial"/>
        </w:rPr>
      </w:pPr>
      <w:r w:rsidRPr="00DE6484">
        <w:rPr>
          <w:rFonts w:ascii="Arial" w:hAnsi="Arial" w:cs="Arial"/>
        </w:rPr>
        <w:t>The removal of methylene blue was monitored using UV–Visible spectrophotometry. Figure 8 shows the superimposed spectra of the dye alone and those recorded after 60 minutes of contact with the activated carbons RMA-2M-400, RMA-2M-500, and RMA-2M-600. This comparison highlights the decrease in methylene blue absorbance after treatment, illustrating the adsorption efficiency of the materials.</w:t>
      </w:r>
    </w:p>
    <w:p w14:paraId="56DC5640" w14:textId="77777777" w:rsidR="00DE6484" w:rsidRPr="00DE6484" w:rsidRDefault="00DE6484" w:rsidP="00DE6484">
      <w:pPr>
        <w:jc w:val="both"/>
        <w:rPr>
          <w:rFonts w:ascii="Arial" w:hAnsi="Arial" w:cs="Arial"/>
        </w:rPr>
      </w:pPr>
    </w:p>
    <w:p w14:paraId="5DE5B1DC" w14:textId="77777777" w:rsidR="00DE6484" w:rsidRPr="00DE6484" w:rsidRDefault="00DE6484" w:rsidP="00DE6484">
      <w:pPr>
        <w:jc w:val="both"/>
        <w:rPr>
          <w:rFonts w:ascii="Arial" w:hAnsi="Arial" w:cs="Arial"/>
        </w:rPr>
      </w:pPr>
      <w:r w:rsidRPr="00DE6484">
        <w:rPr>
          <w:rFonts w:ascii="Arial" w:hAnsi="Arial" w:cs="Arial"/>
          <w:noProof/>
        </w:rPr>
        <w:lastRenderedPageBreak/>
        <w:drawing>
          <wp:inline distT="0" distB="0" distL="0" distR="0" wp14:anchorId="12619B88" wp14:editId="45986DB3">
            <wp:extent cx="5560695" cy="2857500"/>
            <wp:effectExtent l="0" t="0" r="1905" b="0"/>
            <wp:docPr id="2009869742" name="Graphique 1">
              <a:extLst xmlns:a="http://schemas.openxmlformats.org/drawingml/2006/main">
                <a:ext uri="{FF2B5EF4-FFF2-40B4-BE49-F238E27FC236}">
                  <a16:creationId xmlns:a16="http://schemas.microsoft.com/office/drawing/2014/main" id="{825B94F7-9F8B-F5FB-12B7-5908BCCC92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69B44CE" w14:textId="77777777" w:rsidR="00DE6484" w:rsidRPr="00DE6484" w:rsidRDefault="00DE6484" w:rsidP="00DE6484">
      <w:pPr>
        <w:jc w:val="both"/>
        <w:rPr>
          <w:rFonts w:ascii="Arial" w:hAnsi="Arial" w:cs="Arial"/>
        </w:rPr>
      </w:pPr>
      <w:r w:rsidRPr="00DE6484">
        <w:rPr>
          <w:rFonts w:ascii="Arial" w:hAnsi="Arial" w:cs="Arial"/>
          <w:b/>
          <w:bCs/>
        </w:rPr>
        <w:t>Figure 8:</w:t>
      </w:r>
      <w:r w:rsidRPr="00DE6484">
        <w:rPr>
          <w:rFonts w:ascii="Arial" w:hAnsi="Arial" w:cs="Arial"/>
        </w:rPr>
        <w:t xml:space="preserve"> UV-Visible adsorption spectra of methylene blue alone (red), MB + RMA-2M-400 (yellow), MB + RMA-2M-500 (green), and MB + RMA-2M-600 (purple) after 60 minutes of treatment.</w:t>
      </w:r>
    </w:p>
    <w:p w14:paraId="4FE5323E" w14:textId="77777777" w:rsidR="00DE6484" w:rsidRPr="00DE6484" w:rsidRDefault="00DE6484" w:rsidP="00DE6484">
      <w:pPr>
        <w:jc w:val="both"/>
        <w:rPr>
          <w:rFonts w:ascii="Arial" w:hAnsi="Arial" w:cs="Arial"/>
        </w:rPr>
      </w:pPr>
    </w:p>
    <w:p w14:paraId="26C54EE4" w14:textId="77777777" w:rsidR="00DE6484" w:rsidRPr="00DE6484" w:rsidRDefault="00DE6484" w:rsidP="00DE6484">
      <w:pPr>
        <w:jc w:val="both"/>
        <w:rPr>
          <w:rFonts w:ascii="Arial" w:hAnsi="Arial" w:cs="Arial"/>
        </w:rPr>
      </w:pPr>
      <w:r w:rsidRPr="00DE6484">
        <w:rPr>
          <w:rFonts w:ascii="Arial" w:hAnsi="Arial" w:cs="Arial"/>
        </w:rPr>
        <w:t>At contact times of 0, 60, 80, and 90 minutes, Figure 9 shows the UV–Visible absorption spectra of methylene blue in the presence of RMA-2M-500. The progressive decrease in absorbance over time reflects the increasing removal of the dye by this activated carbon.</w:t>
      </w:r>
    </w:p>
    <w:p w14:paraId="7A70368C" w14:textId="77777777" w:rsidR="00DE6484" w:rsidRPr="00DE6484" w:rsidRDefault="00DE6484" w:rsidP="00DE6484">
      <w:pPr>
        <w:jc w:val="both"/>
        <w:rPr>
          <w:rFonts w:ascii="Arial" w:hAnsi="Arial" w:cs="Arial"/>
        </w:rPr>
      </w:pPr>
      <w:r w:rsidRPr="00DE6484">
        <w:rPr>
          <w:rFonts w:ascii="Arial" w:hAnsi="Arial" w:cs="Arial"/>
          <w:noProof/>
        </w:rPr>
        <w:drawing>
          <wp:inline distT="0" distB="0" distL="0" distR="0" wp14:anchorId="03B535D6" wp14:editId="59DF02FF">
            <wp:extent cx="4697506" cy="2207260"/>
            <wp:effectExtent l="0" t="0" r="8255" b="2540"/>
            <wp:docPr id="811520726" name="Graphique 1">
              <a:extLst xmlns:a="http://schemas.openxmlformats.org/drawingml/2006/main">
                <a:ext uri="{FF2B5EF4-FFF2-40B4-BE49-F238E27FC236}">
                  <a16:creationId xmlns:a16="http://schemas.microsoft.com/office/drawing/2014/main" id="{6B2384C6-CA1A-C43B-3C41-A6C5C19895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DE9A221" w14:textId="77777777" w:rsidR="00DE6484" w:rsidRDefault="00DE6484" w:rsidP="00DE6484">
      <w:pPr>
        <w:jc w:val="both"/>
        <w:rPr>
          <w:rFonts w:ascii="Arial" w:hAnsi="Arial" w:cs="Arial"/>
        </w:rPr>
      </w:pPr>
      <w:r w:rsidRPr="00DE6484">
        <w:rPr>
          <w:rFonts w:ascii="Arial" w:hAnsi="Arial" w:cs="Arial"/>
          <w:b/>
          <w:bCs/>
        </w:rPr>
        <w:t>Figure 9:</w:t>
      </w:r>
      <w:r w:rsidRPr="00DE6484">
        <w:rPr>
          <w:rFonts w:ascii="Arial" w:hAnsi="Arial" w:cs="Arial"/>
        </w:rPr>
        <w:t xml:space="preserve"> UV-Visible absorption spectra illustrating the removal of methylene blue by CA RMA-2M-500 after 90 minutes of treatment. RMA-2M-500-1 (t = 0 min, blue), RMA-2M-500-2 (t = 60 min, yellow), RMA-2M-500-3 (t = 80 min, green), and RMA-2M-500-4 (t = 90 min, red).</w:t>
      </w:r>
    </w:p>
    <w:p w14:paraId="19210FBD" w14:textId="77777777" w:rsidR="00DE6484" w:rsidRPr="00DE6484" w:rsidRDefault="00DE6484" w:rsidP="00DE6484">
      <w:pPr>
        <w:jc w:val="both"/>
        <w:rPr>
          <w:rFonts w:ascii="Arial" w:hAnsi="Arial" w:cs="Arial"/>
        </w:rPr>
      </w:pPr>
    </w:p>
    <w:p w14:paraId="46FD9CD6" w14:textId="77777777" w:rsidR="00DE6484" w:rsidRPr="00DE6484" w:rsidRDefault="00DE6484" w:rsidP="00DE6484">
      <w:pPr>
        <w:jc w:val="both"/>
        <w:rPr>
          <w:rFonts w:ascii="Arial" w:hAnsi="Arial" w:cs="Arial"/>
        </w:rPr>
      </w:pPr>
      <w:r w:rsidRPr="00DE6484">
        <w:rPr>
          <w:rFonts w:ascii="Arial" w:hAnsi="Arial" w:cs="Arial"/>
        </w:rPr>
        <w:t>The effectiveness of the activated carbons was evaluated through the removal efficiency of methylene blue (Figure 7). The results show marked differences depending on the activation temperature. The RMA-2M-500 sample exhibits the highest removal efficiency at 98.62%, followed by RMA-2M-600 at 97.1%, whereas RMA-2M-400 displays a much lower efficiency of only 41.86%. These differences can be attributed to the structural and textural development of the activated carbon. At 500 °C, chemical activation with H</w:t>
      </w:r>
      <w:r w:rsidRPr="00DE6484">
        <w:rPr>
          <w:rFonts w:ascii="Arial" w:hAnsi="Arial" w:cs="Arial"/>
          <w:vertAlign w:val="subscript"/>
        </w:rPr>
        <w:t>3</w:t>
      </w:r>
      <w:r w:rsidRPr="00DE6484">
        <w:rPr>
          <w:rFonts w:ascii="Arial" w:hAnsi="Arial" w:cs="Arial"/>
        </w:rPr>
        <w:t>PO</w:t>
      </w:r>
      <w:r w:rsidRPr="00DE6484">
        <w:rPr>
          <w:rFonts w:ascii="Arial" w:hAnsi="Arial" w:cs="Arial"/>
          <w:vertAlign w:val="subscript"/>
        </w:rPr>
        <w:t>4</w:t>
      </w:r>
      <w:r w:rsidRPr="00DE6484">
        <w:rPr>
          <w:rFonts w:ascii="Arial" w:hAnsi="Arial" w:cs="Arial"/>
        </w:rPr>
        <w:t xml:space="preserve"> leads to optimal opening of micropores, which promotes the diffusion of methylene blue molecules and their attachment </w:t>
      </w:r>
      <w:r w:rsidRPr="00DE6484">
        <w:rPr>
          <w:rFonts w:ascii="Arial" w:hAnsi="Arial" w:cs="Arial"/>
        </w:rPr>
        <w:lastRenderedPageBreak/>
        <w:t xml:space="preserve">to active sites—thus explaining the near-complete removal efficiency observed </w:t>
      </w:r>
      <w:r w:rsidRPr="00DE6484">
        <w:rPr>
          <w:rFonts w:ascii="Arial" w:hAnsi="Arial" w:cs="Arial"/>
        </w:rPr>
        <w:fldChar w:fldCharType="begin"/>
      </w:r>
      <w:r w:rsidRPr="00DE6484">
        <w:rPr>
          <w:rFonts w:ascii="Arial" w:hAnsi="Arial" w:cs="Arial"/>
        </w:rPr>
        <w:instrText xml:space="preserve"> ADDIN ZOTERO_ITEM CSL_CITATION {"citationID":"X0gfXWiz","properties":{"formattedCitation":"(Liou 2010; Freundlich 1907)","plainCitation":"(Liou 2010; Freundlich 1907)","noteIndex":0},"citationItems":[{"id":454,"uris":["http://zotero.org/users/18768689/items/BQZP9NJ9"],"itemData":{"id":454,"type":"article-journal","container-title":"Chemical Engineering Journal","DOI":"10.1016/j.cej.2009.12.016","ISSN":"13858947","issue":"2","journalAbbreviation":"Chemical Engineering Journal","language":"en","page":"129-142","source":"DOI.org (Crossref)","title":"Development of mesoporous structure and high adsorption capacity of biomass-based activated carbon by phosphoric acid and zinc chloride activation","volume":"158","author":[{"family":"Liou","given":"Tzong-Horng"}],"issued":{"date-parts":[["2010",4]]}}},{"id":446,"uris":["http://zotero.org/users/18768689/items/76XHDU42"],"itemData":{"id":446,"type":"article-journal","container-title":"Zeitschrift für Physikalische Chemie","DOI":"10.1515/zpch-1907-5723","ISSN":"2196-7156, 0942-9352","issue":"1","language":"en","page":"385-470","source":"DOI.org (Crossref)","title":"Über die Adsorption in Lösungen","volume":"57U","author":[{"family":"Freundlich","given":"Herbert"}],"issued":{"date-parts":[["1907",10,1]]}}}],"schema":"https://github.com/citation-style-language/schema/raw/master/csl-citation.json"} </w:instrText>
      </w:r>
      <w:r w:rsidRPr="00DE6484">
        <w:rPr>
          <w:rFonts w:ascii="Arial" w:hAnsi="Arial" w:cs="Arial"/>
        </w:rPr>
        <w:fldChar w:fldCharType="separate"/>
      </w:r>
      <w:r w:rsidRPr="00DE6484">
        <w:rPr>
          <w:rFonts w:ascii="Arial" w:hAnsi="Arial" w:cs="Arial"/>
        </w:rPr>
        <w:t>(Liou 2010; Freundlich 1907)</w:t>
      </w:r>
      <w:r w:rsidRPr="00DE6484">
        <w:rPr>
          <w:rFonts w:ascii="Arial" w:hAnsi="Arial" w:cs="Arial"/>
        </w:rPr>
        <w:fldChar w:fldCharType="end"/>
      </w:r>
      <w:r w:rsidRPr="00DE6484">
        <w:rPr>
          <w:rFonts w:ascii="Arial" w:hAnsi="Arial" w:cs="Arial"/>
        </w:rPr>
        <w:t>.</w:t>
      </w:r>
    </w:p>
    <w:p w14:paraId="0A769736" w14:textId="77777777" w:rsidR="00DE6484" w:rsidRPr="00DE6484" w:rsidRDefault="00DE6484" w:rsidP="00DE6484">
      <w:pPr>
        <w:jc w:val="both"/>
        <w:rPr>
          <w:rFonts w:ascii="Arial" w:hAnsi="Arial" w:cs="Arial"/>
        </w:rPr>
      </w:pPr>
      <w:r w:rsidRPr="00DE6484">
        <w:rPr>
          <w:rFonts w:ascii="Arial" w:hAnsi="Arial" w:cs="Arial"/>
        </w:rPr>
        <w:t xml:space="preserve">The sample activated at 600 °C also maintains a high removal efficiency, although slightly lower than that of the 500 °C sample. This may be related to partial destabilization of the carbon structure at excessively high temperatures </w:t>
      </w:r>
      <w:r w:rsidRPr="00DE6484">
        <w:rPr>
          <w:rFonts w:ascii="Arial" w:hAnsi="Arial" w:cs="Arial"/>
        </w:rPr>
        <w:fldChar w:fldCharType="begin"/>
      </w:r>
      <w:r w:rsidRPr="00DE6484">
        <w:rPr>
          <w:rFonts w:ascii="Arial" w:hAnsi="Arial" w:cs="Arial"/>
        </w:rPr>
        <w:instrText xml:space="preserve"> ADDIN ZOTERO_ITEM CSL_CITATION {"citationID":"TSYAhwNv","properties":{"formattedCitation":"(Demiral et Aydin \\uc0\\u350{}amdan 2016)","plainCitation":"(Demiral et Aydin Şamdan 2016)","noteIndex":0},"citationItems":[{"id":455,"uris":["http://zotero.org/users/18768689/items/2SUHT5HC"],"itemData":{"id":455,"type":"article-journal","container-title":"Anadolu University Journal of Science and Technology-A Applied Sciences and Engineering","DOI":"10.18038/btda.64281","ISSN":"2146-0205, 1302-3160","issue":"1","journalAbbreviation":"AUBTD-A","source":"DOI.org (Crossref)","title":"Preparation and Characterisation of Activated Carbon From Pumpkin Seed Shell Using H3PO4","URL":"http://dergipark.gov.tr/doi/10.18038/btda.64281","volume":"17","author":[{"family":"Demiral","given":"Ilknur"},{"family":"Aydin Şamdan","given":"Canan"}],"accessed":{"date-parts":[["2025",11,30]]},"issued":{"date-parts":[["2016",3,14]]}}}],"schema":"https://github.com/citation-style-language/schema/raw/master/csl-citation.json"} </w:instrText>
      </w:r>
      <w:r w:rsidRPr="00DE6484">
        <w:rPr>
          <w:rFonts w:ascii="Arial" w:hAnsi="Arial" w:cs="Arial"/>
        </w:rPr>
        <w:fldChar w:fldCharType="separate"/>
      </w:r>
      <w:r w:rsidRPr="00DE6484">
        <w:rPr>
          <w:rFonts w:ascii="Arial" w:hAnsi="Arial" w:cs="Arial"/>
        </w:rPr>
        <w:t>(Demiral et Aydin Şamdan 2016)</w:t>
      </w:r>
      <w:r w:rsidRPr="00DE6484">
        <w:rPr>
          <w:rFonts w:ascii="Arial" w:hAnsi="Arial" w:cs="Arial"/>
        </w:rPr>
        <w:fldChar w:fldCharType="end"/>
      </w:r>
      <w:r w:rsidRPr="00DE6484">
        <w:rPr>
          <w:rFonts w:ascii="Arial" w:hAnsi="Arial" w:cs="Arial"/>
        </w:rPr>
        <w:t>.</w:t>
      </w:r>
    </w:p>
    <w:p w14:paraId="0293A174" w14:textId="77777777" w:rsidR="00DE6484" w:rsidRPr="00DE6484" w:rsidRDefault="00DE6484" w:rsidP="00DE6484">
      <w:pPr>
        <w:jc w:val="both"/>
        <w:rPr>
          <w:rFonts w:ascii="Arial" w:hAnsi="Arial" w:cs="Arial"/>
        </w:rPr>
      </w:pPr>
      <w:r w:rsidRPr="00DE6484">
        <w:rPr>
          <w:rFonts w:ascii="Arial" w:hAnsi="Arial" w:cs="Arial"/>
        </w:rPr>
        <w:t>The UV–Visible spectra (Figure 8) support these observations. After 60 minutes of treatment, a marked decrease in the characteristic methylene blue peak is observed for the RMA-2M-500 and RMA-2M-600 samples, whereas the RMA-2M-400 sample still exhibits significant absorbance, indicating lower dye removal.</w:t>
      </w:r>
    </w:p>
    <w:p w14:paraId="74A58068" w14:textId="77777777" w:rsidR="00DE6484" w:rsidRPr="00DE6484" w:rsidRDefault="00DE6484" w:rsidP="00DE6484">
      <w:pPr>
        <w:jc w:val="both"/>
        <w:rPr>
          <w:rFonts w:ascii="Arial" w:hAnsi="Arial" w:cs="Arial"/>
        </w:rPr>
      </w:pPr>
      <w:r w:rsidRPr="00DE6484">
        <w:rPr>
          <w:rFonts w:ascii="Arial" w:hAnsi="Arial" w:cs="Arial"/>
        </w:rPr>
        <w:t>Furthermore, the evolution of the spectra over time for the RMA-2M-500 sample (Figure 9) illustrates the rapid kinetics of the process: the progressive decrease in peak intensity between 60 and 90 minutes shows that adsorption is nearly complete within the first hour. This result is consistent with the kinetic studies, which already indicated fast adsorption followed by stabilization at equilibrium.</w:t>
      </w:r>
    </w:p>
    <w:p w14:paraId="0C3C0881" w14:textId="77777777" w:rsidR="00DE6484" w:rsidRDefault="00DE6484" w:rsidP="00DE6484">
      <w:pPr>
        <w:jc w:val="both"/>
        <w:rPr>
          <w:rFonts w:ascii="Arial" w:hAnsi="Arial" w:cs="Arial"/>
        </w:rPr>
      </w:pPr>
      <w:r w:rsidRPr="00DE6484">
        <w:rPr>
          <w:rFonts w:ascii="Arial" w:hAnsi="Arial" w:cs="Arial"/>
        </w:rPr>
        <w:t xml:space="preserve">Overall, these results confirm that the optimal activation temperature is 500 °C, under which the pore structure and functional groups provide the activated carbon with maximum adsorption capacity and removal efficiency. These findings corroborate previous reports on the adsorption of organic dyes by biomass-derived activated carbons, highlighting the importance of textural and functional properties in achieving removal efficiencies above 95% </w:t>
      </w:r>
      <w:r w:rsidRPr="00DE6484">
        <w:rPr>
          <w:rFonts w:ascii="Arial" w:hAnsi="Arial" w:cs="Arial"/>
        </w:rPr>
        <w:fldChar w:fldCharType="begin"/>
      </w:r>
      <w:r w:rsidRPr="00DE6484">
        <w:rPr>
          <w:rFonts w:ascii="Arial" w:hAnsi="Arial" w:cs="Arial"/>
        </w:rPr>
        <w:instrText xml:space="preserve"> ADDIN ZOTERO_ITEM CSL_CITATION {"citationID":"fDBIEvB6","properties":{"formattedCitation":"(Foo et Hameed 2010)","plainCitation":"(Foo et Hameed 2010)","noteIndex":0},"citationItems":[{"id":466,"uris":["http://zotero.org/users/18768689/items/X9J5EVW4"],"itemData":{"id":466,"type":"article-journal","container-title":"Chemical Engineering Journal","DOI":"10.1016/j.cej.2009.09.013","ISSN":"13858947","issue":"1","journalAbbreviation":"Chemical Engineering Journal","language":"en","page":"2-10","source":"DOI.org (Crossref)","title":"Insights into the modeling of adsorption isotherm systems","volume":"156","author":[{"family":"Foo","given":"K.Y."},{"family":"Hameed","given":"B.H."}],"issued":{"date-parts":[["2010",1]]}}}],"schema":"https://github.com/citation-style-language/schema/raw/master/csl-citation.json"} </w:instrText>
      </w:r>
      <w:r w:rsidRPr="00DE6484">
        <w:rPr>
          <w:rFonts w:ascii="Arial" w:hAnsi="Arial" w:cs="Arial"/>
        </w:rPr>
        <w:fldChar w:fldCharType="separate"/>
      </w:r>
      <w:r w:rsidRPr="00DE6484">
        <w:rPr>
          <w:rFonts w:ascii="Arial" w:hAnsi="Arial" w:cs="Arial"/>
        </w:rPr>
        <w:t>(Foo et Hameed 2010)</w:t>
      </w:r>
      <w:r w:rsidRPr="00DE6484">
        <w:rPr>
          <w:rFonts w:ascii="Arial" w:hAnsi="Arial" w:cs="Arial"/>
        </w:rPr>
        <w:fldChar w:fldCharType="end"/>
      </w:r>
      <w:r w:rsidRPr="00DE6484">
        <w:rPr>
          <w:rFonts w:ascii="Arial" w:hAnsi="Arial" w:cs="Arial"/>
        </w:rPr>
        <w:t>.</w:t>
      </w:r>
    </w:p>
    <w:p w14:paraId="5F76257F" w14:textId="77777777" w:rsidR="00DE6484" w:rsidRPr="00DE6484" w:rsidRDefault="00DE6484" w:rsidP="00DE6484">
      <w:pPr>
        <w:jc w:val="both"/>
        <w:rPr>
          <w:rFonts w:ascii="Arial" w:hAnsi="Arial" w:cs="Arial"/>
        </w:rPr>
      </w:pPr>
    </w:p>
    <w:p w14:paraId="20F1F6BE" w14:textId="77777777" w:rsidR="00E053D0" w:rsidRDefault="00E053D0" w:rsidP="00441B6F">
      <w:pPr>
        <w:pStyle w:val="Body"/>
        <w:spacing w:after="0"/>
        <w:rPr>
          <w:rFonts w:ascii="Arial" w:hAnsi="Arial" w:cs="Arial"/>
        </w:rPr>
      </w:pPr>
    </w:p>
    <w:p w14:paraId="7D938DB8" w14:textId="77777777" w:rsidR="00790ADA" w:rsidRPr="00FB3A86" w:rsidRDefault="00790ADA" w:rsidP="00441B6F">
      <w:pPr>
        <w:pStyle w:val="Body"/>
        <w:spacing w:after="0"/>
        <w:rPr>
          <w:rFonts w:ascii="Arial" w:hAnsi="Arial" w:cs="Arial"/>
        </w:rPr>
      </w:pPr>
    </w:p>
    <w:p w14:paraId="20B0BC9D"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74094C0" w14:textId="77777777" w:rsidR="00790ADA" w:rsidRPr="00FB3A86" w:rsidRDefault="00790ADA" w:rsidP="00441B6F">
      <w:pPr>
        <w:pStyle w:val="ConcHead"/>
        <w:spacing w:after="0"/>
        <w:jc w:val="both"/>
        <w:rPr>
          <w:rFonts w:ascii="Arial" w:hAnsi="Arial" w:cs="Arial"/>
        </w:rPr>
      </w:pPr>
    </w:p>
    <w:p w14:paraId="7CEED6F6" w14:textId="77777777" w:rsidR="0040703F" w:rsidRPr="0040703F" w:rsidRDefault="0040703F" w:rsidP="0040703F">
      <w:pPr>
        <w:pStyle w:val="Body"/>
        <w:spacing w:after="0"/>
        <w:rPr>
          <w:rFonts w:ascii="Arial" w:hAnsi="Arial" w:cs="Arial"/>
        </w:rPr>
      </w:pPr>
      <w:r w:rsidRPr="0040703F">
        <w:rPr>
          <w:rFonts w:ascii="Arial" w:hAnsi="Arial" w:cs="Arial"/>
        </w:rPr>
        <w:t>This study demonstrates that corncob can be converted into activated carbons through chemical activation with orthophosphoric acid (H</w:t>
      </w:r>
      <w:r w:rsidRPr="0040703F">
        <w:rPr>
          <w:rFonts w:ascii="Arial" w:hAnsi="Arial" w:cs="Arial"/>
          <w:vertAlign w:val="subscript"/>
        </w:rPr>
        <w:t>3</w:t>
      </w:r>
      <w:r w:rsidRPr="0040703F">
        <w:rPr>
          <w:rFonts w:ascii="Arial" w:hAnsi="Arial" w:cs="Arial"/>
        </w:rPr>
        <w:t>PO</w:t>
      </w:r>
      <w:r w:rsidRPr="0040703F">
        <w:rPr>
          <w:rFonts w:ascii="Arial" w:hAnsi="Arial" w:cs="Arial"/>
          <w:vertAlign w:val="subscript"/>
        </w:rPr>
        <w:t>4</w:t>
      </w:r>
      <w:r w:rsidRPr="0040703F">
        <w:rPr>
          <w:rFonts w:ascii="Arial" w:hAnsi="Arial" w:cs="Arial"/>
        </w:rPr>
        <w:t>), yielding a hierarchically structured texture and surface chemistry well suited for adsorption in aqueous media. FTIR analysis revealed the presence of acidic oxygenated functions (–OH, C=O) and phosphorus-containing groups (P–O–C, P=O, P–O), while SEM observations showed the coexistence of micropores, mesopores, and macropores; EDS confirmed the incorporation of phosphorus and the presence of silica, consistent with Si–P bonding.</w:t>
      </w:r>
    </w:p>
    <w:p w14:paraId="71B9A1A3" w14:textId="77777777" w:rsidR="0040703F" w:rsidRPr="0040703F" w:rsidRDefault="0040703F" w:rsidP="0040703F">
      <w:pPr>
        <w:pStyle w:val="Body"/>
        <w:spacing w:after="0"/>
        <w:rPr>
          <w:rFonts w:ascii="Arial" w:hAnsi="Arial" w:cs="Arial"/>
        </w:rPr>
      </w:pPr>
      <w:r w:rsidRPr="0040703F">
        <w:rPr>
          <w:rFonts w:ascii="Arial" w:hAnsi="Arial" w:cs="Arial"/>
        </w:rPr>
        <w:t xml:space="preserve">This combination of surface functional groups and hierarchical porosity promotes electrostatic and π–π interactions with methylene blue and reconciles access kinetics (meso-/macropores) with adsorption capacity (micropores). Modeling showed that the adsorption isotherms are better described by the Langmuir model than by the Freundlich model, with separation factors </w:t>
      </w:r>
      <w:r w:rsidRPr="0040703F">
        <w:rPr>
          <w:rFonts w:ascii="Arial" w:hAnsi="Arial" w:cs="Arial"/>
          <w:iCs/>
        </w:rPr>
        <w:t>0 &lt; R</w:t>
      </w:r>
      <w:r w:rsidRPr="0040703F">
        <w:rPr>
          <w:rFonts w:ascii="Arial" w:hAnsi="Arial" w:cs="Arial"/>
          <w:iCs/>
          <w:vertAlign w:val="subscript"/>
        </w:rPr>
        <w:t xml:space="preserve">L </w:t>
      </w:r>
      <w:r w:rsidRPr="0040703F">
        <w:rPr>
          <w:rFonts w:ascii="Arial" w:hAnsi="Arial" w:cs="Arial"/>
          <w:iCs/>
        </w:rPr>
        <w:t xml:space="preserve">​&lt; 1 </w:t>
      </w:r>
      <w:r w:rsidRPr="0040703F">
        <w:rPr>
          <w:rFonts w:ascii="Arial" w:hAnsi="Arial" w:cs="Arial"/>
        </w:rPr>
        <w:t xml:space="preserve">indicating favorable adsorption and coherent </w:t>
      </w:r>
      <w:proofErr w:type="spellStart"/>
      <w:r w:rsidRPr="0040703F">
        <w:rPr>
          <w:rFonts w:ascii="Arial" w:hAnsi="Arial" w:cs="Arial"/>
          <w:iCs/>
        </w:rPr>
        <w:t>Q</w:t>
      </w:r>
      <w:r w:rsidRPr="0040703F">
        <w:rPr>
          <w:rFonts w:ascii="Arial" w:hAnsi="Arial" w:cs="Arial"/>
          <w:iCs/>
          <w:vertAlign w:val="subscript"/>
        </w:rPr>
        <w:t>max</w:t>
      </w:r>
      <w:proofErr w:type="spellEnd"/>
      <w:r w:rsidRPr="0040703F">
        <w:rPr>
          <w:rFonts w:ascii="Arial" w:hAnsi="Arial" w:cs="Arial"/>
          <w:iCs/>
        </w:rPr>
        <w:t xml:space="preserve">  </w:t>
      </w:r>
      <w:r w:rsidRPr="0040703F">
        <w:rPr>
          <w:rFonts w:ascii="Arial" w:hAnsi="Arial" w:cs="Arial"/>
        </w:rPr>
        <w:t>and</w:t>
      </w:r>
      <w:r w:rsidRPr="0040703F">
        <w:rPr>
          <w:rFonts w:ascii="Arial" w:hAnsi="Arial" w:cs="Arial"/>
          <w:iCs/>
        </w:rPr>
        <w:t xml:space="preserve"> K</w:t>
      </w:r>
      <w:r w:rsidRPr="0040703F">
        <w:rPr>
          <w:rFonts w:ascii="Arial" w:hAnsi="Arial" w:cs="Arial"/>
          <w:iCs/>
          <w:vertAlign w:val="subscript"/>
        </w:rPr>
        <w:t>L</w:t>
      </w:r>
      <w:r w:rsidRPr="0040703F">
        <w:rPr>
          <w:rFonts w:ascii="Arial" w:hAnsi="Arial" w:cs="Arial"/>
          <w:iCs/>
        </w:rPr>
        <w:t xml:space="preserve"> </w:t>
      </w:r>
      <w:r w:rsidRPr="0040703F">
        <w:rPr>
          <w:rFonts w:ascii="Arial" w:hAnsi="Arial" w:cs="Arial"/>
        </w:rPr>
        <w:t>​parameters.</w:t>
      </w:r>
    </w:p>
    <w:p w14:paraId="797AD73B" w14:textId="77777777" w:rsidR="0040703F" w:rsidRPr="0040703F" w:rsidRDefault="0040703F" w:rsidP="0040703F">
      <w:pPr>
        <w:pStyle w:val="Body"/>
        <w:spacing w:after="0"/>
        <w:rPr>
          <w:rFonts w:ascii="Arial" w:hAnsi="Arial" w:cs="Arial"/>
        </w:rPr>
      </w:pPr>
      <w:r w:rsidRPr="0040703F">
        <w:rPr>
          <w:rFonts w:ascii="Arial" w:hAnsi="Arial" w:cs="Arial"/>
        </w:rPr>
        <w:t>The thermodynamic examination of the sample activated at 500 °C revealed ΔH° = +29.20 kJ.mol</w:t>
      </w:r>
      <w:r w:rsidRPr="0040703F">
        <w:rPr>
          <w:rFonts w:ascii="Cambria Math" w:hAnsi="Cambria Math" w:cs="Cambria Math"/>
        </w:rPr>
        <w:t>⁻</w:t>
      </w:r>
      <w:r w:rsidRPr="0040703F">
        <w:rPr>
          <w:rFonts w:ascii="Arial" w:hAnsi="Arial" w:cs="Arial"/>
        </w:rPr>
        <w:t>¹ and ΔS° &gt; 0, leading to ΔG° &lt; 0 over the investigated temperature range. This indicates that adsorption is endothermic, spontaneous, and thermodynamically favorable, with predominant physisorption strengthened by surface chemistry interactions. In terms of performance, the activated carbon produced at 500 °C (H</w:t>
      </w:r>
      <w:r w:rsidRPr="0040703F">
        <w:rPr>
          <w:rFonts w:ascii="Arial" w:hAnsi="Arial" w:cs="Arial"/>
          <w:vertAlign w:val="subscript"/>
        </w:rPr>
        <w:t>3</w:t>
      </w:r>
      <w:r w:rsidRPr="0040703F">
        <w:rPr>
          <w:rFonts w:ascii="Arial" w:hAnsi="Arial" w:cs="Arial"/>
        </w:rPr>
        <w:t>PO</w:t>
      </w:r>
      <w:r w:rsidRPr="0040703F">
        <w:rPr>
          <w:rFonts w:ascii="Arial" w:hAnsi="Arial" w:cs="Arial"/>
          <w:vertAlign w:val="subscript"/>
        </w:rPr>
        <w:t>4</w:t>
      </w:r>
      <w:r w:rsidRPr="0040703F">
        <w:rPr>
          <w:rFonts w:ascii="Arial" w:hAnsi="Arial" w:cs="Arial"/>
        </w:rPr>
        <w:t xml:space="preserve"> 2 M) exhibited the highest efficiency, with a specific surface area of 1887.45 m².g</w:t>
      </w:r>
      <w:r w:rsidRPr="0040703F">
        <w:rPr>
          <w:rFonts w:ascii="Cambria Math" w:hAnsi="Cambria Math" w:cs="Cambria Math"/>
        </w:rPr>
        <w:t>⁻</w:t>
      </w:r>
      <w:r w:rsidRPr="0040703F">
        <w:rPr>
          <w:rFonts w:ascii="Arial" w:hAnsi="Arial" w:cs="Arial"/>
        </w:rPr>
        <w:t>¹ and a methylene blue removal rate of 98.62%. These results confirm the relevance and suitability of this valorization pathway for water treatment applications, particularly in resource-limited contexts.</w:t>
      </w:r>
    </w:p>
    <w:p w14:paraId="1DCC77F5" w14:textId="77777777" w:rsidR="00790ADA" w:rsidRPr="0040703F" w:rsidRDefault="00790ADA" w:rsidP="00441B6F">
      <w:pPr>
        <w:pStyle w:val="Body"/>
        <w:spacing w:after="0"/>
        <w:rPr>
          <w:rFonts w:ascii="Arial" w:hAnsi="Arial" w:cs="Arial"/>
        </w:rPr>
      </w:pPr>
    </w:p>
    <w:p w14:paraId="1DE03863" w14:textId="77777777" w:rsidR="00315186" w:rsidRPr="00315186" w:rsidRDefault="00315186" w:rsidP="00441B6F"/>
    <w:p w14:paraId="3DDFFA8B" w14:textId="77777777" w:rsidR="00315186" w:rsidRPr="00315186" w:rsidRDefault="00315186" w:rsidP="00441B6F"/>
    <w:p w14:paraId="549B7266" w14:textId="77777777" w:rsidR="00315186" w:rsidRPr="00315186" w:rsidRDefault="00315186" w:rsidP="00441B6F"/>
    <w:p w14:paraId="6A808CF7" w14:textId="77777777" w:rsidR="00315186" w:rsidRPr="00315186" w:rsidRDefault="00315186" w:rsidP="00441B6F"/>
    <w:p w14:paraId="54E6C251" w14:textId="77777777" w:rsidR="005C784C" w:rsidRDefault="005C784C" w:rsidP="00441B6F">
      <w:pPr>
        <w:pStyle w:val="ReferHead"/>
        <w:spacing w:after="0"/>
        <w:jc w:val="both"/>
        <w:rPr>
          <w:rFonts w:ascii="Arial" w:hAnsi="Arial" w:cs="Arial"/>
          <w:b w:val="0"/>
          <w:caps w:val="0"/>
          <w:sz w:val="20"/>
        </w:rPr>
      </w:pPr>
      <w:bookmarkStart w:id="14" w:name="_GoBack"/>
      <w:bookmarkEnd w:id="14"/>
    </w:p>
    <w:p w14:paraId="7B6A462E"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71352EA" w14:textId="77777777" w:rsidR="00790ADA" w:rsidRDefault="00790ADA" w:rsidP="00441B6F">
      <w:pPr>
        <w:pStyle w:val="ReferHead"/>
        <w:spacing w:after="0"/>
        <w:jc w:val="both"/>
        <w:rPr>
          <w:rFonts w:ascii="Arial" w:hAnsi="Arial" w:cs="Arial"/>
        </w:rPr>
      </w:pPr>
    </w:p>
    <w:p w14:paraId="6B3CC887" w14:textId="23F1F6D2" w:rsidR="00632678" w:rsidRDefault="00632678" w:rsidP="00632678">
      <w:pPr>
        <w:pStyle w:val="ListParagraph"/>
        <w:numPr>
          <w:ilvl w:val="0"/>
          <w:numId w:val="31"/>
        </w:numPr>
        <w:spacing w:after="240"/>
        <w:jc w:val="both"/>
        <w:rPr>
          <w:rFonts w:ascii="Arial" w:eastAsia="Calibri" w:hAnsi="Arial" w:cs="Arial"/>
        </w:rPr>
      </w:pPr>
      <w:r w:rsidRPr="00632678">
        <w:rPr>
          <w:rFonts w:ascii="Arial" w:eastAsia="Calibri" w:hAnsi="Arial" w:cs="Arial"/>
        </w:rPr>
        <w:t xml:space="preserve">Abdulqader, M. A., Suliman, M. A., Ahmed, T. A., Wu, R., </w:t>
      </w:r>
      <w:proofErr w:type="spellStart"/>
      <w:r w:rsidRPr="00632678">
        <w:rPr>
          <w:rFonts w:ascii="Arial" w:eastAsia="Calibri" w:hAnsi="Arial" w:cs="Arial"/>
        </w:rPr>
        <w:t>Bobaker</w:t>
      </w:r>
      <w:proofErr w:type="spellEnd"/>
      <w:r w:rsidRPr="00632678">
        <w:rPr>
          <w:rFonts w:ascii="Arial" w:eastAsia="Calibri" w:hAnsi="Arial" w:cs="Arial"/>
        </w:rPr>
        <w:t xml:space="preserve">, A. M., Tiyasha, T., Yassin, M. A., &amp; Al-Areeq, N. (2024). Conversion of Chicken Rice Waste into Char via Hydrothermal, Pyrolysis, and Microwave Carbonization Processes: A Comparative Study. AUIQ Complementary Biological System, 1(1), 1-9. </w:t>
      </w:r>
      <w:hyperlink r:id="rId22" w:history="1">
        <w:r w:rsidRPr="00E52DA4">
          <w:rPr>
            <w:rStyle w:val="Hyperlink"/>
            <w:rFonts w:ascii="Arial" w:eastAsia="Calibri" w:hAnsi="Arial" w:cs="Arial"/>
          </w:rPr>
          <w:t>https://doi.org/10.70176/3007-973X.1003</w:t>
        </w:r>
      </w:hyperlink>
    </w:p>
    <w:p w14:paraId="3A96A3C5" w14:textId="5FBEB27D" w:rsidR="00632678" w:rsidRDefault="00632678" w:rsidP="00632678">
      <w:pPr>
        <w:pStyle w:val="ListParagraph"/>
        <w:numPr>
          <w:ilvl w:val="0"/>
          <w:numId w:val="31"/>
        </w:numPr>
        <w:spacing w:after="240"/>
        <w:jc w:val="both"/>
        <w:rPr>
          <w:rFonts w:ascii="Arial" w:eastAsia="Calibri" w:hAnsi="Arial" w:cs="Arial"/>
        </w:rPr>
      </w:pPr>
      <w:r w:rsidRPr="00632678">
        <w:rPr>
          <w:rFonts w:ascii="Arial" w:eastAsia="Calibri" w:hAnsi="Arial" w:cs="Arial"/>
        </w:rPr>
        <w:t xml:space="preserve">Abid, L. H., Mussa, Z. H., </w:t>
      </w:r>
      <w:proofErr w:type="spellStart"/>
      <w:r w:rsidRPr="00632678">
        <w:rPr>
          <w:rFonts w:ascii="Arial" w:eastAsia="Calibri" w:hAnsi="Arial" w:cs="Arial"/>
        </w:rPr>
        <w:t>Deyab</w:t>
      </w:r>
      <w:proofErr w:type="spellEnd"/>
      <w:r w:rsidRPr="00632678">
        <w:rPr>
          <w:rFonts w:ascii="Arial" w:eastAsia="Calibri" w:hAnsi="Arial" w:cs="Arial"/>
        </w:rPr>
        <w:t xml:space="preserve">, I. F., Al-Ameer, L. R., Al-Saedi, H. F. S., Al-Qaim, F. F., </w:t>
      </w:r>
      <w:proofErr w:type="spellStart"/>
      <w:r w:rsidRPr="00632678">
        <w:rPr>
          <w:rFonts w:ascii="Arial" w:eastAsia="Calibri" w:hAnsi="Arial" w:cs="Arial"/>
        </w:rPr>
        <w:t>Kamyab</w:t>
      </w:r>
      <w:proofErr w:type="spellEnd"/>
      <w:r w:rsidRPr="00632678">
        <w:rPr>
          <w:rFonts w:ascii="Arial" w:eastAsia="Calibri" w:hAnsi="Arial" w:cs="Arial"/>
        </w:rPr>
        <w:t xml:space="preserve">, H., Rajendran, S., Imran, A. F., &amp; Yaseen, Z. M. (2025). Walnut Shell as a bio-activated carbon for elimination of malachite green from its aqueous solution: Adsorption isotherms, kinetics and thermodynamic studies. *Results in Chemistry*, *14*(1), 102124. </w:t>
      </w:r>
      <w:hyperlink r:id="rId23" w:history="1">
        <w:r w:rsidRPr="00E52DA4">
          <w:rPr>
            <w:rStyle w:val="Hyperlink"/>
            <w:rFonts w:ascii="Arial" w:eastAsia="Calibri" w:hAnsi="Arial" w:cs="Arial"/>
          </w:rPr>
          <w:t>https://doi.org/10.1016/j.rechem.2025.102124</w:t>
        </w:r>
      </w:hyperlink>
    </w:p>
    <w:p w14:paraId="0E23D7F2" w14:textId="712FFDCC" w:rsidR="00632678" w:rsidRDefault="00632678" w:rsidP="00632678">
      <w:pPr>
        <w:pStyle w:val="ListParagraph"/>
        <w:numPr>
          <w:ilvl w:val="0"/>
          <w:numId w:val="31"/>
        </w:numPr>
        <w:spacing w:after="240"/>
        <w:jc w:val="both"/>
        <w:rPr>
          <w:rFonts w:ascii="Arial" w:eastAsia="Calibri" w:hAnsi="Arial" w:cs="Arial"/>
        </w:rPr>
      </w:pPr>
      <w:r w:rsidRPr="00632678">
        <w:rPr>
          <w:rFonts w:ascii="Arial" w:eastAsia="Calibri" w:hAnsi="Arial" w:cs="Arial"/>
        </w:rPr>
        <w:t xml:space="preserve">Marsh, H., &amp; Rodríguez Reinoso, F. (2006). Activated Carbon. Elsevier Science. </w:t>
      </w:r>
      <w:hyperlink r:id="rId24" w:history="1">
        <w:r w:rsidRPr="00E52DA4">
          <w:rPr>
            <w:rStyle w:val="Hyperlink"/>
            <w:rFonts w:ascii="Arial" w:eastAsia="Calibri" w:hAnsi="Arial" w:cs="Arial"/>
          </w:rPr>
          <w:t>https://www.elsevier.com/books/activated-carbon/marsh/978-0-08-044463-5</w:t>
        </w:r>
      </w:hyperlink>
    </w:p>
    <w:p w14:paraId="4C6A0F74" w14:textId="216D100C" w:rsidR="00632678" w:rsidRDefault="00632678" w:rsidP="00632678">
      <w:pPr>
        <w:pStyle w:val="ListParagraph"/>
        <w:numPr>
          <w:ilvl w:val="0"/>
          <w:numId w:val="31"/>
        </w:numPr>
        <w:spacing w:after="240"/>
        <w:jc w:val="both"/>
        <w:rPr>
          <w:rFonts w:ascii="Arial" w:eastAsia="Calibri" w:hAnsi="Arial" w:cs="Arial"/>
        </w:rPr>
      </w:pPr>
      <w:r w:rsidRPr="00632678">
        <w:rPr>
          <w:rFonts w:ascii="Arial" w:eastAsia="Calibri" w:hAnsi="Arial" w:cs="Arial"/>
        </w:rPr>
        <w:t xml:space="preserve">Ahmed, M. J., &amp; </w:t>
      </w:r>
      <w:proofErr w:type="spellStart"/>
      <w:r w:rsidRPr="00632678">
        <w:rPr>
          <w:rFonts w:ascii="Arial" w:eastAsia="Calibri" w:hAnsi="Arial" w:cs="Arial"/>
        </w:rPr>
        <w:t>Dhedan</w:t>
      </w:r>
      <w:proofErr w:type="spellEnd"/>
      <w:r w:rsidRPr="00632678">
        <w:rPr>
          <w:rFonts w:ascii="Arial" w:eastAsia="Calibri" w:hAnsi="Arial" w:cs="Arial"/>
        </w:rPr>
        <w:t xml:space="preserve">, S. K. (2012). Equilibrium isotherms and kinetics modeling of methylene blue adsorption on agricultural wastes-based activated carbons. Fluid Phase Equilibria, 317, 9–14. </w:t>
      </w:r>
      <w:hyperlink r:id="rId25" w:history="1">
        <w:r w:rsidRPr="00E52DA4">
          <w:rPr>
            <w:rStyle w:val="Hyperlink"/>
            <w:rFonts w:ascii="Arial" w:eastAsia="Calibri" w:hAnsi="Arial" w:cs="Arial"/>
          </w:rPr>
          <w:t>https://doi.org/10.1016/j.fluid.2011.12.026</w:t>
        </w:r>
      </w:hyperlink>
    </w:p>
    <w:p w14:paraId="3F19A71C" w14:textId="6BC42777" w:rsidR="00632678" w:rsidRDefault="00632678" w:rsidP="00632678">
      <w:pPr>
        <w:pStyle w:val="ListParagraph"/>
        <w:numPr>
          <w:ilvl w:val="0"/>
          <w:numId w:val="31"/>
        </w:numPr>
        <w:spacing w:after="240"/>
        <w:jc w:val="both"/>
        <w:rPr>
          <w:rFonts w:ascii="Arial" w:eastAsia="Calibri" w:hAnsi="Arial" w:cs="Arial"/>
        </w:rPr>
      </w:pPr>
      <w:r w:rsidRPr="00632678">
        <w:rPr>
          <w:rFonts w:ascii="Arial" w:eastAsia="Calibri" w:hAnsi="Arial" w:cs="Arial"/>
        </w:rPr>
        <w:t xml:space="preserve">Al-Asadi, S. T., Mussa, Z. H., Al-Qaim, F. F., </w:t>
      </w:r>
      <w:proofErr w:type="spellStart"/>
      <w:r w:rsidRPr="00632678">
        <w:rPr>
          <w:rFonts w:ascii="Arial" w:eastAsia="Calibri" w:hAnsi="Arial" w:cs="Arial"/>
        </w:rPr>
        <w:t>Kamyab</w:t>
      </w:r>
      <w:proofErr w:type="spellEnd"/>
      <w:r w:rsidRPr="00632678">
        <w:rPr>
          <w:rFonts w:ascii="Arial" w:eastAsia="Calibri" w:hAnsi="Arial" w:cs="Arial"/>
        </w:rPr>
        <w:t xml:space="preserve">, H., Al-Saedi, H. F. S., </w:t>
      </w:r>
      <w:proofErr w:type="spellStart"/>
      <w:r w:rsidRPr="00632678">
        <w:rPr>
          <w:rFonts w:ascii="Arial" w:eastAsia="Calibri" w:hAnsi="Arial" w:cs="Arial"/>
        </w:rPr>
        <w:t>Deyab</w:t>
      </w:r>
      <w:proofErr w:type="spellEnd"/>
      <w:r w:rsidRPr="00632678">
        <w:rPr>
          <w:rFonts w:ascii="Arial" w:eastAsia="Calibri" w:hAnsi="Arial" w:cs="Arial"/>
        </w:rPr>
        <w:t xml:space="preserve">, I. F., &amp; Kadhim, N. J. (2025). A comprehensive review of methylene blue dye adsorption on activated carbon from edible fruit seeds: A case study on kinetics and adsorption models. Carbon Trends, 20, 100507. </w:t>
      </w:r>
      <w:hyperlink r:id="rId26" w:history="1">
        <w:r w:rsidRPr="00E52DA4">
          <w:rPr>
            <w:rStyle w:val="Hyperlink"/>
            <w:rFonts w:ascii="Arial" w:eastAsia="Calibri" w:hAnsi="Arial" w:cs="Arial"/>
          </w:rPr>
          <w:t>https://doi.org/10.1016/j.cartre.2025.100507</w:t>
        </w:r>
      </w:hyperlink>
    </w:p>
    <w:p w14:paraId="4C6CD76A" w14:textId="073CE972" w:rsidR="00632678" w:rsidRDefault="00632678" w:rsidP="00632678">
      <w:pPr>
        <w:pStyle w:val="ListParagraph"/>
        <w:numPr>
          <w:ilvl w:val="0"/>
          <w:numId w:val="31"/>
        </w:numPr>
        <w:spacing w:after="240"/>
        <w:jc w:val="both"/>
        <w:rPr>
          <w:rFonts w:ascii="Arial" w:eastAsia="Calibri" w:hAnsi="Arial" w:cs="Arial"/>
        </w:rPr>
      </w:pPr>
      <w:proofErr w:type="spellStart"/>
      <w:r w:rsidRPr="00632678">
        <w:rPr>
          <w:rFonts w:ascii="Arial" w:eastAsia="Calibri" w:hAnsi="Arial" w:cs="Arial"/>
        </w:rPr>
        <w:t>Alhawtali</w:t>
      </w:r>
      <w:proofErr w:type="spellEnd"/>
      <w:r w:rsidRPr="00632678">
        <w:rPr>
          <w:rFonts w:ascii="Arial" w:eastAsia="Calibri" w:hAnsi="Arial" w:cs="Arial"/>
        </w:rPr>
        <w:t>, S., El-</w:t>
      </w:r>
      <w:proofErr w:type="spellStart"/>
      <w:r w:rsidRPr="00632678">
        <w:rPr>
          <w:rFonts w:ascii="Arial" w:eastAsia="Calibri" w:hAnsi="Arial" w:cs="Arial"/>
        </w:rPr>
        <w:t>Harbawi</w:t>
      </w:r>
      <w:proofErr w:type="spellEnd"/>
      <w:r w:rsidRPr="00632678">
        <w:rPr>
          <w:rFonts w:ascii="Arial" w:eastAsia="Calibri" w:hAnsi="Arial" w:cs="Arial"/>
        </w:rPr>
        <w:t xml:space="preserve">, M., El Blidi, L., </w:t>
      </w:r>
      <w:proofErr w:type="spellStart"/>
      <w:r w:rsidRPr="00632678">
        <w:rPr>
          <w:rFonts w:ascii="Arial" w:eastAsia="Calibri" w:hAnsi="Arial" w:cs="Arial"/>
        </w:rPr>
        <w:t>Alrashed</w:t>
      </w:r>
      <w:proofErr w:type="spellEnd"/>
      <w:r w:rsidRPr="00632678">
        <w:rPr>
          <w:rFonts w:ascii="Arial" w:eastAsia="Calibri" w:hAnsi="Arial" w:cs="Arial"/>
        </w:rPr>
        <w:t xml:space="preserve">, M. M., </w:t>
      </w:r>
      <w:proofErr w:type="spellStart"/>
      <w:r w:rsidRPr="00632678">
        <w:rPr>
          <w:rFonts w:ascii="Arial" w:eastAsia="Calibri" w:hAnsi="Arial" w:cs="Arial"/>
        </w:rPr>
        <w:t>Alzobidi</w:t>
      </w:r>
      <w:proofErr w:type="spellEnd"/>
      <w:r w:rsidRPr="00632678">
        <w:rPr>
          <w:rFonts w:ascii="Arial" w:eastAsia="Calibri" w:hAnsi="Arial" w:cs="Arial"/>
        </w:rPr>
        <w:t xml:space="preserve">, A., &amp; Yin, C.-Y. (2024). Date Palm Leaflet-Derived Carbon Microspheres Activated Using Phosphoric Acid for Efficient Lead (II) Adsorption. C, 10(1), 26. </w:t>
      </w:r>
      <w:hyperlink r:id="rId27" w:history="1">
        <w:r w:rsidRPr="00E52DA4">
          <w:rPr>
            <w:rStyle w:val="Hyperlink"/>
            <w:rFonts w:ascii="Arial" w:eastAsia="Calibri" w:hAnsi="Arial" w:cs="Arial"/>
          </w:rPr>
          <w:t>https://doi.org/10.3390/c10010026</w:t>
        </w:r>
      </w:hyperlink>
    </w:p>
    <w:p w14:paraId="7D5B3E7E" w14:textId="5EE1B622" w:rsidR="00632678" w:rsidRDefault="00632678" w:rsidP="00632678">
      <w:pPr>
        <w:pStyle w:val="ListParagraph"/>
        <w:numPr>
          <w:ilvl w:val="0"/>
          <w:numId w:val="31"/>
        </w:numPr>
        <w:spacing w:after="240"/>
        <w:jc w:val="both"/>
        <w:rPr>
          <w:rFonts w:ascii="Arial" w:eastAsia="Calibri" w:hAnsi="Arial" w:cs="Arial"/>
        </w:rPr>
      </w:pPr>
      <w:proofErr w:type="spellStart"/>
      <w:r w:rsidRPr="00632678">
        <w:rPr>
          <w:rFonts w:ascii="Arial" w:eastAsia="Calibri" w:hAnsi="Arial" w:cs="Arial"/>
        </w:rPr>
        <w:t>ALOthman</w:t>
      </w:r>
      <w:proofErr w:type="spellEnd"/>
      <w:r w:rsidRPr="00632678">
        <w:rPr>
          <w:rFonts w:ascii="Arial" w:eastAsia="Calibri" w:hAnsi="Arial" w:cs="Arial"/>
        </w:rPr>
        <w:t xml:space="preserve">, Z. A. (2012). A Review: Fundamental Aspects of Silicate Mesoporous Materials. Materials, 5(12), 2874–2902. </w:t>
      </w:r>
      <w:hyperlink r:id="rId28" w:history="1">
        <w:r w:rsidRPr="00E52DA4">
          <w:rPr>
            <w:rStyle w:val="Hyperlink"/>
            <w:rFonts w:ascii="Arial" w:eastAsia="Calibri" w:hAnsi="Arial" w:cs="Arial"/>
          </w:rPr>
          <w:t>https://doi.org/10.3390/ma512874</w:t>
        </w:r>
      </w:hyperlink>
    </w:p>
    <w:p w14:paraId="3636FD69" w14:textId="207D2E05" w:rsidR="00F30669" w:rsidRPr="00632678" w:rsidRDefault="00F30669" w:rsidP="00632678">
      <w:pPr>
        <w:pStyle w:val="ListParagraph"/>
        <w:numPr>
          <w:ilvl w:val="0"/>
          <w:numId w:val="31"/>
        </w:numPr>
        <w:spacing w:after="240"/>
        <w:jc w:val="both"/>
        <w:rPr>
          <w:rFonts w:ascii="Arial" w:eastAsia="Calibri" w:hAnsi="Arial" w:cs="Arial"/>
        </w:rPr>
      </w:pPr>
      <w:r w:rsidRPr="00632678">
        <w:rPr>
          <w:rFonts w:ascii="Arial" w:eastAsia="Calibri" w:hAnsi="Arial" w:cs="Arial"/>
        </w:rPr>
        <w:t xml:space="preserve">« Article Detail ». s. d. </w:t>
      </w:r>
      <w:r w:rsidRPr="00632678">
        <w:rPr>
          <w:rFonts w:ascii="Arial" w:eastAsia="Calibri" w:hAnsi="Arial" w:cs="Arial"/>
          <w:i/>
          <w:iCs/>
        </w:rPr>
        <w:t>International Journal of Advanced Research</w:t>
      </w:r>
      <w:r w:rsidRPr="00632678">
        <w:rPr>
          <w:rFonts w:ascii="Arial" w:eastAsia="Calibri" w:hAnsi="Arial" w:cs="Arial"/>
        </w:rPr>
        <w:t>. Consulté le 29 novembre 2025. https://www.journalijar.com/article/.</w:t>
      </w:r>
    </w:p>
    <w:p w14:paraId="0C39B516" w14:textId="350BCFC7" w:rsidR="00632678" w:rsidRDefault="00632678" w:rsidP="00632678">
      <w:pPr>
        <w:pStyle w:val="ListParagraph"/>
        <w:numPr>
          <w:ilvl w:val="0"/>
          <w:numId w:val="31"/>
        </w:numPr>
        <w:spacing w:after="240"/>
        <w:jc w:val="both"/>
        <w:rPr>
          <w:rFonts w:ascii="Arial" w:eastAsia="Calibri" w:hAnsi="Arial" w:cs="Arial"/>
        </w:rPr>
      </w:pPr>
      <w:r w:rsidRPr="00632678">
        <w:rPr>
          <w:rFonts w:ascii="Arial" w:eastAsia="Calibri" w:hAnsi="Arial" w:cs="Arial"/>
        </w:rPr>
        <w:t xml:space="preserve">Baari, M. J., Rudi, L., &amp; </w:t>
      </w:r>
      <w:proofErr w:type="spellStart"/>
      <w:r w:rsidRPr="00632678">
        <w:rPr>
          <w:rFonts w:ascii="Arial" w:eastAsia="Calibri" w:hAnsi="Arial" w:cs="Arial"/>
        </w:rPr>
        <w:t>Harimu</w:t>
      </w:r>
      <w:proofErr w:type="spellEnd"/>
      <w:r w:rsidRPr="00632678">
        <w:rPr>
          <w:rFonts w:ascii="Arial" w:eastAsia="Calibri" w:hAnsi="Arial" w:cs="Arial"/>
        </w:rPr>
        <w:t xml:space="preserve">, L. (2025). Adsorption isotherms, thermodynamics, and kinetics of activated carbon as adsorbent to water </w:t>
      </w:r>
      <w:r w:rsidRPr="00632678">
        <w:rPr>
          <w:rFonts w:ascii="Arial" w:eastAsia="Calibri" w:hAnsi="Arial" w:cs="Arial"/>
        </w:rPr>
        <w:lastRenderedPageBreak/>
        <w:t xml:space="preserve">pollutants: a review. </w:t>
      </w:r>
      <w:proofErr w:type="spellStart"/>
      <w:r w:rsidRPr="00632678">
        <w:rPr>
          <w:rFonts w:ascii="Arial" w:eastAsia="Calibri" w:hAnsi="Arial" w:cs="Arial"/>
        </w:rPr>
        <w:t>Chimica</w:t>
      </w:r>
      <w:proofErr w:type="spellEnd"/>
      <w:r w:rsidRPr="00632678">
        <w:rPr>
          <w:rFonts w:ascii="Arial" w:eastAsia="Calibri" w:hAnsi="Arial" w:cs="Arial"/>
        </w:rPr>
        <w:t xml:space="preserve"> Techno Acta. </w:t>
      </w:r>
      <w:hyperlink r:id="rId29" w:history="1">
        <w:r w:rsidRPr="00E52DA4">
          <w:rPr>
            <w:rStyle w:val="Hyperlink"/>
            <w:rFonts w:ascii="Arial" w:eastAsia="Calibri" w:hAnsi="Arial" w:cs="Arial"/>
          </w:rPr>
          <w:t>https://doi.org/10.15826/chimtech.2025.12.2.14</w:t>
        </w:r>
      </w:hyperlink>
    </w:p>
    <w:p w14:paraId="4EFF34A9" w14:textId="5C2C63AE" w:rsidR="00632678" w:rsidRDefault="00632678" w:rsidP="00632678">
      <w:pPr>
        <w:pStyle w:val="ListParagraph"/>
        <w:numPr>
          <w:ilvl w:val="0"/>
          <w:numId w:val="31"/>
        </w:numPr>
        <w:spacing w:after="240"/>
        <w:jc w:val="both"/>
        <w:rPr>
          <w:rFonts w:ascii="Arial" w:eastAsia="Calibri" w:hAnsi="Arial" w:cs="Arial"/>
        </w:rPr>
      </w:pPr>
      <w:r w:rsidRPr="00632678">
        <w:rPr>
          <w:rFonts w:ascii="Arial" w:eastAsia="Calibri" w:hAnsi="Arial" w:cs="Arial"/>
        </w:rPr>
        <w:t xml:space="preserve">Bamba, D., </w:t>
      </w:r>
      <w:proofErr w:type="spellStart"/>
      <w:r w:rsidRPr="00632678">
        <w:rPr>
          <w:rFonts w:ascii="Arial" w:eastAsia="Calibri" w:hAnsi="Arial" w:cs="Arial"/>
        </w:rPr>
        <w:t>Dongui</w:t>
      </w:r>
      <w:proofErr w:type="spellEnd"/>
      <w:r w:rsidRPr="00632678">
        <w:rPr>
          <w:rFonts w:ascii="Arial" w:eastAsia="Calibri" w:hAnsi="Arial" w:cs="Arial"/>
        </w:rPr>
        <w:t xml:space="preserve">, B., </w:t>
      </w:r>
      <w:proofErr w:type="spellStart"/>
      <w:r w:rsidRPr="00632678">
        <w:rPr>
          <w:rFonts w:ascii="Arial" w:eastAsia="Calibri" w:hAnsi="Arial" w:cs="Arial"/>
        </w:rPr>
        <w:t>Trokourey</w:t>
      </w:r>
      <w:proofErr w:type="spellEnd"/>
      <w:r w:rsidRPr="00632678">
        <w:rPr>
          <w:rFonts w:ascii="Arial" w:eastAsia="Calibri" w:hAnsi="Arial" w:cs="Arial"/>
        </w:rPr>
        <w:t xml:space="preserve">, A., Kouassi, K., &amp; Soro, A. (2009). Etudes </w:t>
      </w:r>
      <w:proofErr w:type="spellStart"/>
      <w:r w:rsidRPr="00632678">
        <w:rPr>
          <w:rFonts w:ascii="Arial" w:eastAsia="Calibri" w:hAnsi="Arial" w:cs="Arial"/>
        </w:rPr>
        <w:t>comparées</w:t>
      </w:r>
      <w:proofErr w:type="spellEnd"/>
      <w:r w:rsidRPr="00632678">
        <w:rPr>
          <w:rFonts w:ascii="Arial" w:eastAsia="Calibri" w:hAnsi="Arial" w:cs="Arial"/>
        </w:rPr>
        <w:t xml:space="preserve"> des </w:t>
      </w:r>
      <w:proofErr w:type="spellStart"/>
      <w:r w:rsidRPr="00632678">
        <w:rPr>
          <w:rFonts w:ascii="Arial" w:eastAsia="Calibri" w:hAnsi="Arial" w:cs="Arial"/>
        </w:rPr>
        <w:t>méthodes</w:t>
      </w:r>
      <w:proofErr w:type="spellEnd"/>
      <w:r w:rsidRPr="00632678">
        <w:rPr>
          <w:rFonts w:ascii="Arial" w:eastAsia="Calibri" w:hAnsi="Arial" w:cs="Arial"/>
        </w:rPr>
        <w:t xml:space="preserve"> de </w:t>
      </w:r>
      <w:proofErr w:type="spellStart"/>
      <w:r w:rsidRPr="00632678">
        <w:rPr>
          <w:rFonts w:ascii="Arial" w:eastAsia="Calibri" w:hAnsi="Arial" w:cs="Arial"/>
        </w:rPr>
        <w:t>préparation</w:t>
      </w:r>
      <w:proofErr w:type="spellEnd"/>
      <w:r w:rsidRPr="00632678">
        <w:rPr>
          <w:rFonts w:ascii="Arial" w:eastAsia="Calibri" w:hAnsi="Arial" w:cs="Arial"/>
        </w:rPr>
        <w:t xml:space="preserve"> du </w:t>
      </w:r>
      <w:proofErr w:type="spellStart"/>
      <w:r w:rsidRPr="00632678">
        <w:rPr>
          <w:rFonts w:ascii="Arial" w:eastAsia="Calibri" w:hAnsi="Arial" w:cs="Arial"/>
        </w:rPr>
        <w:t>charbon</w:t>
      </w:r>
      <w:proofErr w:type="spellEnd"/>
      <w:r w:rsidRPr="00632678">
        <w:rPr>
          <w:rFonts w:ascii="Arial" w:eastAsia="Calibri" w:hAnsi="Arial" w:cs="Arial"/>
        </w:rPr>
        <w:t xml:space="preserve"> </w:t>
      </w:r>
      <w:proofErr w:type="spellStart"/>
      <w:r w:rsidRPr="00632678">
        <w:rPr>
          <w:rFonts w:ascii="Arial" w:eastAsia="Calibri" w:hAnsi="Arial" w:cs="Arial"/>
        </w:rPr>
        <w:t>actif</w:t>
      </w:r>
      <w:proofErr w:type="spellEnd"/>
      <w:r w:rsidRPr="00632678">
        <w:rPr>
          <w:rFonts w:ascii="Arial" w:eastAsia="Calibri" w:hAnsi="Arial" w:cs="Arial"/>
        </w:rPr>
        <w:t xml:space="preserve">, </w:t>
      </w:r>
      <w:proofErr w:type="spellStart"/>
      <w:r w:rsidRPr="00632678">
        <w:rPr>
          <w:rFonts w:ascii="Arial" w:eastAsia="Calibri" w:hAnsi="Arial" w:cs="Arial"/>
        </w:rPr>
        <w:t>suivies</w:t>
      </w:r>
      <w:proofErr w:type="spellEnd"/>
      <w:r w:rsidRPr="00632678">
        <w:rPr>
          <w:rFonts w:ascii="Arial" w:eastAsia="Calibri" w:hAnsi="Arial" w:cs="Arial"/>
        </w:rPr>
        <w:t xml:space="preserve"> d’un test de </w:t>
      </w:r>
      <w:proofErr w:type="spellStart"/>
      <w:r w:rsidRPr="00632678">
        <w:rPr>
          <w:rFonts w:ascii="Arial" w:eastAsia="Calibri" w:hAnsi="Arial" w:cs="Arial"/>
        </w:rPr>
        <w:t>dépollution</w:t>
      </w:r>
      <w:proofErr w:type="spellEnd"/>
      <w:r w:rsidRPr="00632678">
        <w:rPr>
          <w:rFonts w:ascii="Arial" w:eastAsia="Calibri" w:hAnsi="Arial" w:cs="Arial"/>
        </w:rPr>
        <w:t xml:space="preserve"> </w:t>
      </w:r>
      <w:proofErr w:type="spellStart"/>
      <w:r w:rsidRPr="00632678">
        <w:rPr>
          <w:rFonts w:ascii="Arial" w:eastAsia="Calibri" w:hAnsi="Arial" w:cs="Arial"/>
        </w:rPr>
        <w:t>d’une</w:t>
      </w:r>
      <w:proofErr w:type="spellEnd"/>
      <w:r w:rsidRPr="00632678">
        <w:rPr>
          <w:rFonts w:ascii="Arial" w:eastAsia="Calibri" w:hAnsi="Arial" w:cs="Arial"/>
        </w:rPr>
        <w:t xml:space="preserve"> </w:t>
      </w:r>
      <w:proofErr w:type="spellStart"/>
      <w:r w:rsidRPr="00632678">
        <w:rPr>
          <w:rFonts w:ascii="Arial" w:eastAsia="Calibri" w:hAnsi="Arial" w:cs="Arial"/>
        </w:rPr>
        <w:t>eau</w:t>
      </w:r>
      <w:proofErr w:type="spellEnd"/>
      <w:r w:rsidRPr="00632678">
        <w:rPr>
          <w:rFonts w:ascii="Arial" w:eastAsia="Calibri" w:hAnsi="Arial" w:cs="Arial"/>
        </w:rPr>
        <w:t xml:space="preserve"> </w:t>
      </w:r>
      <w:proofErr w:type="spellStart"/>
      <w:r w:rsidRPr="00632678">
        <w:rPr>
          <w:rFonts w:ascii="Arial" w:eastAsia="Calibri" w:hAnsi="Arial" w:cs="Arial"/>
        </w:rPr>
        <w:t>contaminée</w:t>
      </w:r>
      <w:proofErr w:type="spellEnd"/>
      <w:r w:rsidRPr="00632678">
        <w:rPr>
          <w:rFonts w:ascii="Arial" w:eastAsia="Calibri" w:hAnsi="Arial" w:cs="Arial"/>
        </w:rPr>
        <w:t xml:space="preserve"> au diuron. Revue des Sciences et Technologies de </w:t>
      </w:r>
      <w:proofErr w:type="spellStart"/>
      <w:r w:rsidRPr="00632678">
        <w:rPr>
          <w:rFonts w:ascii="Arial" w:eastAsia="Calibri" w:hAnsi="Arial" w:cs="Arial"/>
        </w:rPr>
        <w:t>l'Environnement</w:t>
      </w:r>
      <w:proofErr w:type="spellEnd"/>
      <w:r w:rsidRPr="00632678">
        <w:rPr>
          <w:rFonts w:ascii="Arial" w:eastAsia="Calibri" w:hAnsi="Arial" w:cs="Arial"/>
        </w:rPr>
        <w:t xml:space="preserve">. </w:t>
      </w:r>
      <w:hyperlink r:id="rId30" w:history="1">
        <w:r w:rsidRPr="00E52DA4">
          <w:rPr>
            <w:rStyle w:val="Hyperlink"/>
            <w:rFonts w:ascii="Arial" w:eastAsia="Calibri" w:hAnsi="Arial" w:cs="Arial"/>
          </w:rPr>
          <w:t>https://www.semanticscholar.org/paper/Etudes-compar%C3%A9es-des-m%C3%A9thodes-de-pr%C3%A9paration-du-de-Bamba-Dongui/ca62c97384324b34def96ec4abb65bfba33dc14f</w:t>
        </w:r>
      </w:hyperlink>
    </w:p>
    <w:p w14:paraId="69B663EC" w14:textId="04424A96"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Bansal, R. C., &amp; Goyal, M. (2005). Activated Carbon Adsorption. CRC Press. </w:t>
      </w:r>
      <w:hyperlink r:id="rId31" w:history="1">
        <w:r w:rsidRPr="00E52DA4">
          <w:rPr>
            <w:rStyle w:val="Hyperlink"/>
            <w:rFonts w:ascii="Arial" w:eastAsia="Calibri" w:hAnsi="Arial" w:cs="Arial"/>
          </w:rPr>
          <w:t>https://doi.org/10.1201/9781420028812</w:t>
        </w:r>
      </w:hyperlink>
    </w:p>
    <w:p w14:paraId="4400C458" w14:textId="45885660"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Basu, S., Ghosh, G., &amp; Saha, S. (2018). Adsorption characteristics of phosphoric acid induced activation of bio-carbon: Equilibrium, kinetics, thermodynamics and batch adsorber design. Process Safety and Environmental Protection, 117, 125–142. </w:t>
      </w:r>
      <w:hyperlink r:id="rId32" w:history="1">
        <w:r w:rsidRPr="00E52DA4">
          <w:rPr>
            <w:rStyle w:val="Hyperlink"/>
            <w:rFonts w:ascii="Arial" w:eastAsia="Calibri" w:hAnsi="Arial" w:cs="Arial"/>
          </w:rPr>
          <w:t>https://doi.org/10.1016/j.psep.2018.04.015</w:t>
        </w:r>
      </w:hyperlink>
    </w:p>
    <w:p w14:paraId="6B74BF1C" w14:textId="27640AD8" w:rsidR="00F30669" w:rsidRPr="00632678" w:rsidRDefault="00F30669" w:rsidP="00632678">
      <w:pPr>
        <w:pStyle w:val="ListParagraph"/>
        <w:numPr>
          <w:ilvl w:val="0"/>
          <w:numId w:val="31"/>
        </w:numPr>
        <w:spacing w:after="240"/>
        <w:jc w:val="both"/>
        <w:rPr>
          <w:rFonts w:ascii="Arial" w:eastAsia="Calibri" w:hAnsi="Arial" w:cs="Arial"/>
        </w:rPr>
      </w:pPr>
      <w:proofErr w:type="spellStart"/>
      <w:r w:rsidRPr="00632678">
        <w:rPr>
          <w:rFonts w:ascii="Arial" w:eastAsia="Calibri" w:hAnsi="Arial" w:cs="Arial"/>
        </w:rPr>
        <w:t>Boumchita</w:t>
      </w:r>
      <w:proofErr w:type="spellEnd"/>
      <w:r w:rsidRPr="00632678">
        <w:rPr>
          <w:rFonts w:ascii="Arial" w:eastAsia="Calibri" w:hAnsi="Arial" w:cs="Arial"/>
        </w:rPr>
        <w:t xml:space="preserve">, S, A </w:t>
      </w:r>
      <w:proofErr w:type="spellStart"/>
      <w:r w:rsidRPr="00632678">
        <w:rPr>
          <w:rFonts w:ascii="Arial" w:eastAsia="Calibri" w:hAnsi="Arial" w:cs="Arial"/>
        </w:rPr>
        <w:t>Lahrichi</w:t>
      </w:r>
      <w:proofErr w:type="spellEnd"/>
      <w:r w:rsidRPr="00632678">
        <w:rPr>
          <w:rFonts w:ascii="Arial" w:eastAsia="Calibri" w:hAnsi="Arial" w:cs="Arial"/>
        </w:rPr>
        <w:t xml:space="preserve">, Y Benjelloun, S Lairini, V Nenov, et F Zerrouq. 2016. </w:t>
      </w:r>
      <w:r w:rsidRPr="00632678">
        <w:rPr>
          <w:rFonts w:ascii="Arial" w:eastAsia="Calibri" w:hAnsi="Arial" w:cs="Arial"/>
          <w:i/>
          <w:iCs/>
        </w:rPr>
        <w:t xml:space="preserve">Elimination d’un colorant cationique dans une solution aqueuse par un déchet </w:t>
      </w:r>
      <w:proofErr w:type="gramStart"/>
      <w:r w:rsidRPr="00632678">
        <w:rPr>
          <w:rFonts w:ascii="Arial" w:eastAsia="Calibri" w:hAnsi="Arial" w:cs="Arial"/>
          <w:i/>
          <w:iCs/>
        </w:rPr>
        <w:t>alimentaire :</w:t>
      </w:r>
      <w:proofErr w:type="gramEnd"/>
      <w:r w:rsidRPr="00632678">
        <w:rPr>
          <w:rFonts w:ascii="Arial" w:eastAsia="Calibri" w:hAnsi="Arial" w:cs="Arial"/>
          <w:i/>
          <w:iCs/>
        </w:rPr>
        <w:t xml:space="preserve"> Epluchure de pomme de terre [Removal of cationic dye from aqueous solution by a food waste: Potato peel]</w:t>
      </w:r>
      <w:r w:rsidRPr="00632678">
        <w:rPr>
          <w:rFonts w:ascii="Arial" w:eastAsia="Calibri" w:hAnsi="Arial" w:cs="Arial"/>
        </w:rPr>
        <w:t>.</w:t>
      </w:r>
    </w:p>
    <w:p w14:paraId="085A0537" w14:textId="60F6036E" w:rsidR="0067249B" w:rsidRDefault="0067249B" w:rsidP="00632678">
      <w:pPr>
        <w:pStyle w:val="ListParagraph"/>
        <w:numPr>
          <w:ilvl w:val="0"/>
          <w:numId w:val="31"/>
        </w:numPr>
        <w:spacing w:after="240"/>
        <w:jc w:val="both"/>
        <w:rPr>
          <w:rFonts w:ascii="Arial" w:eastAsia="Calibri" w:hAnsi="Arial" w:cs="Arial"/>
        </w:rPr>
      </w:pPr>
      <w:proofErr w:type="spellStart"/>
      <w:r w:rsidRPr="0067249B">
        <w:rPr>
          <w:rFonts w:ascii="Arial" w:eastAsia="Calibri" w:hAnsi="Arial" w:cs="Arial"/>
        </w:rPr>
        <w:t>Chyad</w:t>
      </w:r>
      <w:proofErr w:type="spellEnd"/>
      <w:r w:rsidRPr="0067249B">
        <w:rPr>
          <w:rFonts w:ascii="Arial" w:eastAsia="Calibri" w:hAnsi="Arial" w:cs="Arial"/>
        </w:rPr>
        <w:t xml:space="preserve">, T. F., </w:t>
      </w:r>
      <w:proofErr w:type="spellStart"/>
      <w:r w:rsidRPr="0067249B">
        <w:rPr>
          <w:rFonts w:ascii="Arial" w:eastAsia="Calibri" w:hAnsi="Arial" w:cs="Arial"/>
        </w:rPr>
        <w:t>Hammood</w:t>
      </w:r>
      <w:proofErr w:type="spellEnd"/>
      <w:r w:rsidRPr="0067249B">
        <w:rPr>
          <w:rFonts w:ascii="Arial" w:eastAsia="Calibri" w:hAnsi="Arial" w:cs="Arial"/>
        </w:rPr>
        <w:t xml:space="preserve">, Z. A., &amp; Al-Saedi, R. (2025). Agricultural Wastes Derived Activated Carbon for the Removal of Iron from Car-Wash Wastewater. *Ecological Chemistry and Engineering S*, *32*(1), 85-98. </w:t>
      </w:r>
      <w:hyperlink r:id="rId33" w:history="1">
        <w:r w:rsidRPr="00E52DA4">
          <w:rPr>
            <w:rStyle w:val="Hyperlink"/>
            <w:rFonts w:ascii="Arial" w:eastAsia="Calibri" w:hAnsi="Arial" w:cs="Arial"/>
          </w:rPr>
          <w:t>https://doi.org/10.2478/eces-2025-0005</w:t>
        </w:r>
      </w:hyperlink>
    </w:p>
    <w:p w14:paraId="71A019DE" w14:textId="0EB856FB"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Coates, J. (2006). Interpretation of Infrared Spectra, A Practical Approach. In R. A. Meyers (Ed.), Encyclopedia of Analytical Chemistry. </w:t>
      </w:r>
      <w:hyperlink r:id="rId34" w:history="1">
        <w:r w:rsidRPr="00E52DA4">
          <w:rPr>
            <w:rStyle w:val="Hyperlink"/>
            <w:rFonts w:ascii="Arial" w:eastAsia="Calibri" w:hAnsi="Arial" w:cs="Arial"/>
          </w:rPr>
          <w:t>https://doi.org/10.1002/9780470027318.a5606</w:t>
        </w:r>
      </w:hyperlink>
    </w:p>
    <w:p w14:paraId="6DF7A14B" w14:textId="1A01AA9E"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ASTM Committee D28. (2011). Standard Test Method for Total Ash Content of Activated Carbon. ASTM International. </w:t>
      </w:r>
      <w:hyperlink r:id="rId35" w:history="1">
        <w:r w:rsidRPr="00E52DA4">
          <w:rPr>
            <w:rStyle w:val="Hyperlink"/>
            <w:rFonts w:ascii="Arial" w:eastAsia="Calibri" w:hAnsi="Arial" w:cs="Arial"/>
          </w:rPr>
          <w:t>https://doi.org/10.1520/D2866-11</w:t>
        </w:r>
      </w:hyperlink>
    </w:p>
    <w:p w14:paraId="67DDBDD0" w14:textId="466633E9" w:rsidR="0067249B" w:rsidRDefault="0067249B" w:rsidP="00632678">
      <w:pPr>
        <w:pStyle w:val="ListParagraph"/>
        <w:numPr>
          <w:ilvl w:val="0"/>
          <w:numId w:val="31"/>
        </w:numPr>
        <w:spacing w:after="240"/>
        <w:jc w:val="both"/>
        <w:rPr>
          <w:rFonts w:ascii="Arial" w:eastAsia="Calibri" w:hAnsi="Arial" w:cs="Arial"/>
        </w:rPr>
      </w:pPr>
      <w:proofErr w:type="spellStart"/>
      <w:r w:rsidRPr="0067249B">
        <w:rPr>
          <w:rFonts w:ascii="Arial" w:eastAsia="Calibri" w:hAnsi="Arial" w:cs="Arial"/>
        </w:rPr>
        <w:t>Daifullah</w:t>
      </w:r>
      <w:proofErr w:type="spellEnd"/>
      <w:r w:rsidRPr="0067249B">
        <w:rPr>
          <w:rFonts w:ascii="Arial" w:eastAsia="Calibri" w:hAnsi="Arial" w:cs="Arial"/>
        </w:rPr>
        <w:t xml:space="preserve">, A. A. M., Girgis, B. S., &amp; Gad, H. M. H. (2004). A Study of the Factors Affecting the Removal of Humic Acid by Activated Carbon Prepared </w:t>
      </w:r>
      <w:proofErr w:type="gramStart"/>
      <w:r w:rsidRPr="0067249B">
        <w:rPr>
          <w:rFonts w:ascii="Arial" w:eastAsia="Calibri" w:hAnsi="Arial" w:cs="Arial"/>
        </w:rPr>
        <w:t>From</w:t>
      </w:r>
      <w:proofErr w:type="gramEnd"/>
      <w:r w:rsidRPr="0067249B">
        <w:rPr>
          <w:rFonts w:ascii="Arial" w:eastAsia="Calibri" w:hAnsi="Arial" w:cs="Arial"/>
        </w:rPr>
        <w:t xml:space="preserve"> Biomass Material. Colloids and Surfaces A: Physicochemical and Engineering Aspects, 235(1-3), 1–10. </w:t>
      </w:r>
      <w:hyperlink r:id="rId36" w:history="1">
        <w:r w:rsidRPr="00E52DA4">
          <w:rPr>
            <w:rStyle w:val="Hyperlink"/>
            <w:rFonts w:ascii="Arial" w:eastAsia="Calibri" w:hAnsi="Arial" w:cs="Arial"/>
          </w:rPr>
          <w:t>https://doi.org/10.1016/j.colsurfa.2003.12.020</w:t>
        </w:r>
      </w:hyperlink>
    </w:p>
    <w:p w14:paraId="3EBD600D" w14:textId="50851287"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Demiral, I., &amp; </w:t>
      </w:r>
      <w:proofErr w:type="spellStart"/>
      <w:r w:rsidRPr="0067249B">
        <w:rPr>
          <w:rFonts w:ascii="Arial" w:eastAsia="Calibri" w:hAnsi="Arial" w:cs="Arial"/>
        </w:rPr>
        <w:t>Aydın</w:t>
      </w:r>
      <w:proofErr w:type="spellEnd"/>
      <w:r w:rsidRPr="0067249B">
        <w:rPr>
          <w:rFonts w:ascii="Arial" w:eastAsia="Calibri" w:hAnsi="Arial" w:cs="Arial"/>
        </w:rPr>
        <w:t xml:space="preserve"> </w:t>
      </w:r>
      <w:proofErr w:type="spellStart"/>
      <w:r w:rsidRPr="0067249B">
        <w:rPr>
          <w:rFonts w:ascii="Arial" w:eastAsia="Calibri" w:hAnsi="Arial" w:cs="Arial"/>
        </w:rPr>
        <w:t>Şamdan</w:t>
      </w:r>
      <w:proofErr w:type="spellEnd"/>
      <w:r w:rsidRPr="0067249B">
        <w:rPr>
          <w:rFonts w:ascii="Arial" w:eastAsia="Calibri" w:hAnsi="Arial" w:cs="Arial"/>
        </w:rPr>
        <w:t xml:space="preserve">, C. (2016). Preparation and </w:t>
      </w:r>
      <w:proofErr w:type="spellStart"/>
      <w:r w:rsidRPr="0067249B">
        <w:rPr>
          <w:rFonts w:ascii="Arial" w:eastAsia="Calibri" w:hAnsi="Arial" w:cs="Arial"/>
        </w:rPr>
        <w:t>Characterisation</w:t>
      </w:r>
      <w:proofErr w:type="spellEnd"/>
      <w:r w:rsidRPr="0067249B">
        <w:rPr>
          <w:rFonts w:ascii="Arial" w:eastAsia="Calibri" w:hAnsi="Arial" w:cs="Arial"/>
        </w:rPr>
        <w:t xml:space="preserve"> of Activated Carbon </w:t>
      </w:r>
      <w:proofErr w:type="gramStart"/>
      <w:r w:rsidRPr="0067249B">
        <w:rPr>
          <w:rFonts w:ascii="Arial" w:eastAsia="Calibri" w:hAnsi="Arial" w:cs="Arial"/>
        </w:rPr>
        <w:t>From</w:t>
      </w:r>
      <w:proofErr w:type="gramEnd"/>
      <w:r w:rsidRPr="0067249B">
        <w:rPr>
          <w:rFonts w:ascii="Arial" w:eastAsia="Calibri" w:hAnsi="Arial" w:cs="Arial"/>
        </w:rPr>
        <w:t xml:space="preserve"> Pumpkin Seed Shell Using H3PO4. Anadolu University Journal of Science and Technology-A </w:t>
      </w:r>
      <w:r w:rsidRPr="0067249B">
        <w:rPr>
          <w:rFonts w:ascii="Arial" w:eastAsia="Calibri" w:hAnsi="Arial" w:cs="Arial"/>
        </w:rPr>
        <w:lastRenderedPageBreak/>
        <w:t xml:space="preserve">Applied Sciences and Engineering, 17(1), 125–138. </w:t>
      </w:r>
      <w:hyperlink r:id="rId37" w:history="1">
        <w:r w:rsidRPr="00E52DA4">
          <w:rPr>
            <w:rStyle w:val="Hyperlink"/>
            <w:rFonts w:ascii="Arial" w:eastAsia="Calibri" w:hAnsi="Arial" w:cs="Arial"/>
          </w:rPr>
          <w:t>https://doi.org/10.18038/btda.64281</w:t>
        </w:r>
      </w:hyperlink>
    </w:p>
    <w:p w14:paraId="10403958" w14:textId="287DB937" w:rsidR="0067249B" w:rsidRPr="0067249B" w:rsidRDefault="0067249B" w:rsidP="00632678">
      <w:pPr>
        <w:pStyle w:val="ListParagraph"/>
        <w:numPr>
          <w:ilvl w:val="0"/>
          <w:numId w:val="31"/>
        </w:numPr>
        <w:spacing w:after="240"/>
        <w:jc w:val="both"/>
        <w:rPr>
          <w:rFonts w:ascii="Arial" w:eastAsia="Calibri" w:hAnsi="Arial" w:cs="Arial"/>
        </w:rPr>
      </w:pPr>
      <w:proofErr w:type="spellStart"/>
      <w:r w:rsidRPr="0067249B">
        <w:rPr>
          <w:rFonts w:ascii="Arial" w:eastAsia="Calibri" w:hAnsi="Arial" w:cs="Arial"/>
        </w:rPr>
        <w:t>Demirbas</w:t>
      </w:r>
      <w:proofErr w:type="spellEnd"/>
      <w:r w:rsidRPr="0067249B">
        <w:rPr>
          <w:rFonts w:ascii="Arial" w:eastAsia="Calibri" w:hAnsi="Arial" w:cs="Arial"/>
        </w:rPr>
        <w:t xml:space="preserve">, A. (2004). Combustion characteristics of different biomass fuels. Progress in Energy and Combustion Science, 30(2), 219-230. </w:t>
      </w:r>
      <w:hyperlink r:id="rId38" w:history="1">
        <w:r w:rsidRPr="00E52DA4">
          <w:rPr>
            <w:rStyle w:val="Hyperlink"/>
            <w:rFonts w:ascii="Arial" w:eastAsia="Calibri" w:hAnsi="Arial" w:cs="Arial"/>
          </w:rPr>
          <w:t>https://doi.org/10.1016/j.pecs.2003.10.</w:t>
        </w:r>
        <w:r w:rsidRPr="00E52DA4">
          <w:rPr>
            <w:rStyle w:val="Hyperlink"/>
            <w:rFonts w:ascii="Arial" w:eastAsia="Calibri" w:hAnsi="Arial" w:cs="Arial"/>
            <w:b/>
            <w:bCs/>
          </w:rPr>
          <w:t>004</w:t>
        </w:r>
      </w:hyperlink>
    </w:p>
    <w:p w14:paraId="4F8D3DAC" w14:textId="432FA109" w:rsidR="0067249B" w:rsidRP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Foo, K. Y., &amp; Hameed, B. H. (2010). Insights into the modeling of adsorption isotherm systems. Chemical Engineering Journal, 156(1), 2-10. </w:t>
      </w:r>
      <w:hyperlink r:id="rId39" w:history="1">
        <w:r w:rsidRPr="0067249B">
          <w:rPr>
            <w:rStyle w:val="Hyperlink"/>
            <w:rFonts w:ascii="Arial" w:eastAsia="Calibri" w:hAnsi="Arial" w:cs="Arial"/>
          </w:rPr>
          <w:t>https://doi.org/10.1016/j.cej.2009.09.013</w:t>
        </w:r>
      </w:hyperlink>
      <w:r w:rsidRPr="0067249B">
        <w:rPr>
          <w:rFonts w:ascii="Arial" w:eastAsia="Calibri" w:hAnsi="Arial" w:cs="Arial"/>
        </w:rPr>
        <w:t>.</w:t>
      </w:r>
    </w:p>
    <w:p w14:paraId="6E9E5BEC" w14:textId="3C2445BA"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Freundlich, H. (1907). </w:t>
      </w:r>
      <w:proofErr w:type="spellStart"/>
      <w:r w:rsidRPr="0067249B">
        <w:rPr>
          <w:rFonts w:ascii="Arial" w:eastAsia="Calibri" w:hAnsi="Arial" w:cs="Arial"/>
        </w:rPr>
        <w:t>Über</w:t>
      </w:r>
      <w:proofErr w:type="spellEnd"/>
      <w:r w:rsidRPr="0067249B">
        <w:rPr>
          <w:rFonts w:ascii="Arial" w:eastAsia="Calibri" w:hAnsi="Arial" w:cs="Arial"/>
        </w:rPr>
        <w:t xml:space="preserve"> die Adsorption in </w:t>
      </w:r>
      <w:proofErr w:type="spellStart"/>
      <w:r w:rsidRPr="0067249B">
        <w:rPr>
          <w:rFonts w:ascii="Arial" w:eastAsia="Calibri" w:hAnsi="Arial" w:cs="Arial"/>
        </w:rPr>
        <w:t>Lösungen</w:t>
      </w:r>
      <w:proofErr w:type="spellEnd"/>
      <w:r w:rsidRPr="0067249B">
        <w:rPr>
          <w:rFonts w:ascii="Arial" w:eastAsia="Calibri" w:hAnsi="Arial" w:cs="Arial"/>
        </w:rPr>
        <w:t xml:space="preserve">. </w:t>
      </w:r>
      <w:proofErr w:type="spellStart"/>
      <w:r w:rsidRPr="0067249B">
        <w:rPr>
          <w:rFonts w:ascii="Arial" w:eastAsia="Calibri" w:hAnsi="Arial" w:cs="Arial"/>
        </w:rPr>
        <w:t>Zeitschrift</w:t>
      </w:r>
      <w:proofErr w:type="spellEnd"/>
      <w:r w:rsidRPr="0067249B">
        <w:rPr>
          <w:rFonts w:ascii="Arial" w:eastAsia="Calibri" w:hAnsi="Arial" w:cs="Arial"/>
        </w:rPr>
        <w:t xml:space="preserve"> </w:t>
      </w:r>
      <w:proofErr w:type="spellStart"/>
      <w:r w:rsidRPr="0067249B">
        <w:rPr>
          <w:rFonts w:ascii="Arial" w:eastAsia="Calibri" w:hAnsi="Arial" w:cs="Arial"/>
        </w:rPr>
        <w:t>für</w:t>
      </w:r>
      <w:proofErr w:type="spellEnd"/>
      <w:r w:rsidRPr="0067249B">
        <w:rPr>
          <w:rFonts w:ascii="Arial" w:eastAsia="Calibri" w:hAnsi="Arial" w:cs="Arial"/>
        </w:rPr>
        <w:t xml:space="preserve"> </w:t>
      </w:r>
      <w:proofErr w:type="spellStart"/>
      <w:r w:rsidRPr="0067249B">
        <w:rPr>
          <w:rFonts w:ascii="Arial" w:eastAsia="Calibri" w:hAnsi="Arial" w:cs="Arial"/>
        </w:rPr>
        <w:t>Physikalische</w:t>
      </w:r>
      <w:proofErr w:type="spellEnd"/>
      <w:r w:rsidRPr="0067249B">
        <w:rPr>
          <w:rFonts w:ascii="Arial" w:eastAsia="Calibri" w:hAnsi="Arial" w:cs="Arial"/>
        </w:rPr>
        <w:t xml:space="preserve"> </w:t>
      </w:r>
      <w:proofErr w:type="spellStart"/>
      <w:r w:rsidRPr="0067249B">
        <w:rPr>
          <w:rFonts w:ascii="Arial" w:eastAsia="Calibri" w:hAnsi="Arial" w:cs="Arial"/>
        </w:rPr>
        <w:t>Chemie</w:t>
      </w:r>
      <w:proofErr w:type="spellEnd"/>
      <w:r w:rsidRPr="0067249B">
        <w:rPr>
          <w:rFonts w:ascii="Arial" w:eastAsia="Calibri" w:hAnsi="Arial" w:cs="Arial"/>
        </w:rPr>
        <w:t>, 57</w:t>
      </w:r>
      <w:proofErr w:type="gramStart"/>
      <w:r w:rsidRPr="0067249B">
        <w:rPr>
          <w:rFonts w:ascii="Arial" w:eastAsia="Calibri" w:hAnsi="Arial" w:cs="Arial"/>
        </w:rPr>
        <w:t>U(</w:t>
      </w:r>
      <w:proofErr w:type="gramEnd"/>
      <w:r w:rsidRPr="0067249B">
        <w:rPr>
          <w:rFonts w:ascii="Arial" w:eastAsia="Calibri" w:hAnsi="Arial" w:cs="Arial"/>
        </w:rPr>
        <w:t xml:space="preserve">1), 385-470. </w:t>
      </w:r>
      <w:hyperlink r:id="rId40" w:history="1">
        <w:r w:rsidRPr="00E52DA4">
          <w:rPr>
            <w:rStyle w:val="Hyperlink"/>
            <w:rFonts w:ascii="Arial" w:eastAsia="Calibri" w:hAnsi="Arial" w:cs="Arial"/>
          </w:rPr>
          <w:t>https://doi.org/10.1515/zpch-1907-5723</w:t>
        </w:r>
      </w:hyperlink>
    </w:p>
    <w:p w14:paraId="2212883E" w14:textId="1FEB34AF"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Gottipati, R. (2012). Preparation and characterization of microporous activated carbon from biomass and its application in the removal of </w:t>
      </w:r>
      <w:proofErr w:type="gramStart"/>
      <w:r w:rsidRPr="0067249B">
        <w:rPr>
          <w:rFonts w:ascii="Arial" w:eastAsia="Calibri" w:hAnsi="Arial" w:cs="Arial"/>
        </w:rPr>
        <w:t>chromium(</w:t>
      </w:r>
      <w:proofErr w:type="gramEnd"/>
      <w:r w:rsidRPr="0067249B">
        <w:rPr>
          <w:rFonts w:ascii="Arial" w:eastAsia="Calibri" w:hAnsi="Arial" w:cs="Arial"/>
        </w:rPr>
        <w:t xml:space="preserve">VI) from aqueous phase. (PhD thesis). National Institute of Technology, Rourkela. </w:t>
      </w:r>
      <w:hyperlink r:id="rId41" w:history="1">
        <w:r w:rsidRPr="00E52DA4">
          <w:rPr>
            <w:rStyle w:val="Hyperlink"/>
            <w:rFonts w:ascii="Arial" w:eastAsia="Calibri" w:hAnsi="Arial" w:cs="Arial"/>
          </w:rPr>
          <w:t>http://ethesis.nitrkl.ac.in/4000/</w:t>
        </w:r>
      </w:hyperlink>
    </w:p>
    <w:p w14:paraId="6051B88A" w14:textId="718477D9" w:rsidR="0067249B" w:rsidRDefault="0067249B" w:rsidP="00632678">
      <w:pPr>
        <w:pStyle w:val="ListParagraph"/>
        <w:numPr>
          <w:ilvl w:val="0"/>
          <w:numId w:val="31"/>
        </w:numPr>
        <w:spacing w:after="240"/>
        <w:jc w:val="both"/>
        <w:rPr>
          <w:rFonts w:ascii="Arial" w:eastAsia="Calibri" w:hAnsi="Arial" w:cs="Arial"/>
        </w:rPr>
      </w:pPr>
      <w:proofErr w:type="spellStart"/>
      <w:r w:rsidRPr="0067249B">
        <w:rPr>
          <w:rFonts w:ascii="Arial" w:eastAsia="Calibri" w:hAnsi="Arial" w:cs="Arial"/>
        </w:rPr>
        <w:t>Haghseresht</w:t>
      </w:r>
      <w:proofErr w:type="spellEnd"/>
      <w:r w:rsidRPr="0067249B">
        <w:rPr>
          <w:rFonts w:ascii="Arial" w:eastAsia="Calibri" w:hAnsi="Arial" w:cs="Arial"/>
        </w:rPr>
        <w:t xml:space="preserve">, F., &amp; Lu, G. Q. (1998). Adsorption characteristics of phenolic compounds onto coal-reject-derived adsorbents. Energy &amp; Fuels, 12(6), 1100–1107. </w:t>
      </w:r>
      <w:hyperlink r:id="rId42" w:history="1">
        <w:r w:rsidRPr="00E52DA4">
          <w:rPr>
            <w:rStyle w:val="Hyperlink"/>
            <w:rFonts w:ascii="Arial" w:eastAsia="Calibri" w:hAnsi="Arial" w:cs="Arial"/>
          </w:rPr>
          <w:t>https://doi.org/10.1021/ef9801165</w:t>
        </w:r>
      </w:hyperlink>
    </w:p>
    <w:p w14:paraId="70AD3CE2" w14:textId="5ACB04EB"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Han, Q., Wang, J., Goodman, B. A., Xie, J., &amp; Liu, Z. (2020). High Adsorption of Methylene Blue by Activated Carbon Prepared from Phosphoric Acid Treated Eucalyptus Residue. Powder Technology, 366, 239–248. </w:t>
      </w:r>
      <w:hyperlink r:id="rId43" w:history="1">
        <w:r w:rsidRPr="00E52DA4">
          <w:rPr>
            <w:rStyle w:val="Hyperlink"/>
            <w:rFonts w:ascii="Arial" w:eastAsia="Calibri" w:hAnsi="Arial" w:cs="Arial"/>
          </w:rPr>
          <w:t>https://doi.org/10.1016/j.powtec.2020.02.013</w:t>
        </w:r>
      </w:hyperlink>
    </w:p>
    <w:p w14:paraId="43187CA6" w14:textId="473ADA6E"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Hashemian, S., Salari, K., &amp; Yazdi, Z. A. (2014). Preparation of activated carbon from agricultural wastes (almond shell and orange peel) for adsorption of 2-</w:t>
      </w:r>
      <w:proofErr w:type="spellStart"/>
      <w:r w:rsidRPr="0067249B">
        <w:rPr>
          <w:rFonts w:ascii="Arial" w:eastAsia="Calibri" w:hAnsi="Arial" w:cs="Arial"/>
        </w:rPr>
        <w:t>pic</w:t>
      </w:r>
      <w:proofErr w:type="spellEnd"/>
      <w:r w:rsidRPr="0067249B">
        <w:rPr>
          <w:rFonts w:ascii="Arial" w:eastAsia="Calibri" w:hAnsi="Arial" w:cs="Arial"/>
        </w:rPr>
        <w:t xml:space="preserve"> from aqueous solution. Journal of Industrial and Engineering Chemistry, 20(4), 1892–1900. </w:t>
      </w:r>
      <w:hyperlink r:id="rId44" w:history="1">
        <w:r w:rsidRPr="00E52DA4">
          <w:rPr>
            <w:rStyle w:val="Hyperlink"/>
            <w:rFonts w:ascii="Arial" w:eastAsia="Calibri" w:hAnsi="Arial" w:cs="Arial"/>
          </w:rPr>
          <w:t>https://doi.org/10.1016/j.jiec.2013.09.009</w:t>
        </w:r>
      </w:hyperlink>
    </w:p>
    <w:p w14:paraId="4F105576" w14:textId="5668FFC2"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Ioannidou, O., &amp; </w:t>
      </w:r>
      <w:proofErr w:type="spellStart"/>
      <w:r w:rsidRPr="0067249B">
        <w:rPr>
          <w:rFonts w:ascii="Arial" w:eastAsia="Calibri" w:hAnsi="Arial" w:cs="Arial"/>
        </w:rPr>
        <w:t>Zabaniotou</w:t>
      </w:r>
      <w:proofErr w:type="spellEnd"/>
      <w:r w:rsidRPr="0067249B">
        <w:rPr>
          <w:rFonts w:ascii="Arial" w:eastAsia="Calibri" w:hAnsi="Arial" w:cs="Arial"/>
        </w:rPr>
        <w:t xml:space="preserve">, A. (2007). Agricultural Residues as Precursors for Activated Carbon Production—A Review. Renewable and Sustainable Energy Reviews, 11(9), 1966–2005. </w:t>
      </w:r>
      <w:hyperlink r:id="rId45" w:history="1">
        <w:r w:rsidRPr="00E52DA4">
          <w:rPr>
            <w:rStyle w:val="Hyperlink"/>
            <w:rFonts w:ascii="Arial" w:eastAsia="Calibri" w:hAnsi="Arial" w:cs="Arial"/>
          </w:rPr>
          <w:t>https://doi.org/10.1016/j.rser.2006.03.013</w:t>
        </w:r>
      </w:hyperlink>
    </w:p>
    <w:p w14:paraId="665E7B5B" w14:textId="08178032" w:rsidR="0067249B" w:rsidRDefault="0067249B" w:rsidP="00632678">
      <w:pPr>
        <w:pStyle w:val="ListParagraph"/>
        <w:numPr>
          <w:ilvl w:val="0"/>
          <w:numId w:val="31"/>
        </w:numPr>
        <w:spacing w:after="240"/>
        <w:jc w:val="both"/>
        <w:rPr>
          <w:rFonts w:ascii="Arial" w:eastAsia="Calibri" w:hAnsi="Arial" w:cs="Arial"/>
        </w:rPr>
      </w:pPr>
      <w:proofErr w:type="spellStart"/>
      <w:r w:rsidRPr="0067249B">
        <w:rPr>
          <w:rFonts w:ascii="Arial" w:eastAsia="Calibri" w:hAnsi="Arial" w:cs="Arial"/>
        </w:rPr>
        <w:t>Jagtoyen</w:t>
      </w:r>
      <w:proofErr w:type="spellEnd"/>
      <w:r w:rsidRPr="0067249B">
        <w:rPr>
          <w:rFonts w:ascii="Arial" w:eastAsia="Calibri" w:hAnsi="Arial" w:cs="Arial"/>
        </w:rPr>
        <w:t xml:space="preserve">, M., &amp; Derbyshire, F. (1998). Activated carbons from yellow poplar and white oak by H3PO4 activation. Carbon, 36(7-8), 1085-1097. </w:t>
      </w:r>
      <w:hyperlink r:id="rId46" w:history="1">
        <w:r w:rsidRPr="00E52DA4">
          <w:rPr>
            <w:rStyle w:val="Hyperlink"/>
            <w:rFonts w:ascii="Arial" w:eastAsia="Calibri" w:hAnsi="Arial" w:cs="Arial"/>
          </w:rPr>
          <w:t>https://doi.org/10.1016/S0008-6223(98)00082-7</w:t>
        </w:r>
      </w:hyperlink>
    </w:p>
    <w:p w14:paraId="2D37B53F" w14:textId="1F0BB617"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Jawad, A. H., Rashid, R. A., Ishak, M. A. M., &amp; Wilson, L. D. (2016). Adsorption of methylene blue onto activated carbon developed from biomass waste by H2SO4 activation: kinetic, equilibrium and </w:t>
      </w:r>
      <w:r w:rsidRPr="0067249B">
        <w:rPr>
          <w:rFonts w:ascii="Arial" w:eastAsia="Calibri" w:hAnsi="Arial" w:cs="Arial"/>
        </w:rPr>
        <w:lastRenderedPageBreak/>
        <w:t xml:space="preserve">thermodynamic studies. Desalination and Water Treatment, 57(52), 25194–25206. </w:t>
      </w:r>
      <w:hyperlink r:id="rId47" w:history="1">
        <w:r w:rsidRPr="00E52DA4">
          <w:rPr>
            <w:rStyle w:val="Hyperlink"/>
            <w:rFonts w:ascii="Arial" w:eastAsia="Calibri" w:hAnsi="Arial" w:cs="Arial"/>
          </w:rPr>
          <w:t>https://doi.org/10.1080/19443994.2016.1144534</w:t>
        </w:r>
      </w:hyperlink>
    </w:p>
    <w:p w14:paraId="59F4944E" w14:textId="0BAE9B9C"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Kafando, G. I., Kone, M., Kindo, A., Yamma, R., Sawadogo, J., Tamboura, S., Konate, S., </w:t>
      </w:r>
      <w:proofErr w:type="spellStart"/>
      <w:r w:rsidRPr="0067249B">
        <w:rPr>
          <w:rFonts w:ascii="Arial" w:eastAsia="Calibri" w:hAnsi="Arial" w:cs="Arial"/>
        </w:rPr>
        <w:t>Kutangila</w:t>
      </w:r>
      <w:proofErr w:type="spellEnd"/>
      <w:r w:rsidRPr="0067249B">
        <w:rPr>
          <w:rFonts w:ascii="Arial" w:eastAsia="Calibri" w:hAnsi="Arial" w:cs="Arial"/>
        </w:rPr>
        <w:t xml:space="preserve">, S. M., Zerbo, M., &amp; Bougouma, M. (2025). Groundwater Pollution in Koudougou, Burkina Faso: Chemical and Microbiological Assessment. Asian Journal of Chemical Sciences, 15(1), 16-29. </w:t>
      </w:r>
      <w:hyperlink r:id="rId48" w:history="1">
        <w:r w:rsidRPr="00E52DA4">
          <w:rPr>
            <w:rStyle w:val="Hyperlink"/>
            <w:rFonts w:ascii="Arial" w:eastAsia="Calibri" w:hAnsi="Arial" w:cs="Arial"/>
          </w:rPr>
          <w:t>https://doi.org/10.9734/ajocs/2025/v15i1345</w:t>
        </w:r>
      </w:hyperlink>
    </w:p>
    <w:p w14:paraId="7A86CA28" w14:textId="556727B6"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Khan, M. A., </w:t>
      </w:r>
      <w:proofErr w:type="spellStart"/>
      <w:r w:rsidRPr="0067249B">
        <w:rPr>
          <w:rFonts w:ascii="Arial" w:eastAsia="Calibri" w:hAnsi="Arial" w:cs="Arial"/>
        </w:rPr>
        <w:t>Alqadami</w:t>
      </w:r>
      <w:proofErr w:type="spellEnd"/>
      <w:r w:rsidRPr="0067249B">
        <w:rPr>
          <w:rFonts w:ascii="Arial" w:eastAsia="Calibri" w:hAnsi="Arial" w:cs="Arial"/>
        </w:rPr>
        <w:t xml:space="preserve">, A. A., </w:t>
      </w:r>
      <w:proofErr w:type="spellStart"/>
      <w:r w:rsidRPr="0067249B">
        <w:rPr>
          <w:rFonts w:ascii="Arial" w:eastAsia="Calibri" w:hAnsi="Arial" w:cs="Arial"/>
        </w:rPr>
        <w:t>Wabaidur</w:t>
      </w:r>
      <w:proofErr w:type="spellEnd"/>
      <w:r w:rsidRPr="0067249B">
        <w:rPr>
          <w:rFonts w:ascii="Arial" w:eastAsia="Calibri" w:hAnsi="Arial" w:cs="Arial"/>
        </w:rPr>
        <w:t>, S. M., Al-Harbi, M. S., Al-Muhtaseb, A. H., Al-</w:t>
      </w:r>
      <w:proofErr w:type="spellStart"/>
      <w:r w:rsidRPr="0067249B">
        <w:rPr>
          <w:rFonts w:ascii="Arial" w:eastAsia="Calibri" w:hAnsi="Arial" w:cs="Arial"/>
        </w:rPr>
        <w:t>Ghouti</w:t>
      </w:r>
      <w:proofErr w:type="spellEnd"/>
      <w:r w:rsidRPr="0067249B">
        <w:rPr>
          <w:rFonts w:ascii="Arial" w:eastAsia="Calibri" w:hAnsi="Arial" w:cs="Arial"/>
        </w:rPr>
        <w:t xml:space="preserve">, M. A., Otero, M., &amp; Jeon, B. H. (2020). Oil industry waste based non-magnetic and magnetic </w:t>
      </w:r>
      <w:proofErr w:type="spellStart"/>
      <w:r w:rsidRPr="0067249B">
        <w:rPr>
          <w:rFonts w:ascii="Arial" w:eastAsia="Calibri" w:hAnsi="Arial" w:cs="Arial"/>
        </w:rPr>
        <w:t>hydrochar</w:t>
      </w:r>
      <w:proofErr w:type="spellEnd"/>
      <w:r w:rsidRPr="0067249B">
        <w:rPr>
          <w:rFonts w:ascii="Arial" w:eastAsia="Calibri" w:hAnsi="Arial" w:cs="Arial"/>
        </w:rPr>
        <w:t xml:space="preserve"> to sequester potentially toxic post-transition metal ions from water. Journal of Hazardous Materials, 400, 123247. </w:t>
      </w:r>
      <w:hyperlink r:id="rId49" w:history="1">
        <w:r w:rsidRPr="00E52DA4">
          <w:rPr>
            <w:rStyle w:val="Hyperlink"/>
            <w:rFonts w:ascii="Arial" w:eastAsia="Calibri" w:hAnsi="Arial" w:cs="Arial"/>
          </w:rPr>
          <w:t>https://doi.org/10.1016/j.jhazmat.2020.123247</w:t>
        </w:r>
      </w:hyperlink>
    </w:p>
    <w:p w14:paraId="07731EF0" w14:textId="364BEA1F"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Koné, M., Bonou, L., Bouvet, Y., Joly, P., &amp; </w:t>
      </w:r>
      <w:proofErr w:type="spellStart"/>
      <w:r w:rsidRPr="0067249B">
        <w:rPr>
          <w:rFonts w:ascii="Arial" w:eastAsia="Calibri" w:hAnsi="Arial" w:cs="Arial"/>
        </w:rPr>
        <w:t>Koulidiaty</w:t>
      </w:r>
      <w:proofErr w:type="spellEnd"/>
      <w:r w:rsidRPr="0067249B">
        <w:rPr>
          <w:rFonts w:ascii="Arial" w:eastAsia="Calibri" w:hAnsi="Arial" w:cs="Arial"/>
        </w:rPr>
        <w:t xml:space="preserve">, J. (2009). Study of water pollution by agricultural inputs: Case of five intensive agriculture areas in Burkina Faso. *Sud Sciences &amp; Technologies*, *17*, 6-15. </w:t>
      </w:r>
      <w:hyperlink r:id="rId50" w:history="1">
        <w:r w:rsidRPr="00E52DA4">
          <w:rPr>
            <w:rStyle w:val="Hyperlink"/>
            <w:rFonts w:ascii="Arial" w:eastAsia="Calibri" w:hAnsi="Arial" w:cs="Arial"/>
          </w:rPr>
          <w:t>https://www.ajol.info/index.php/sst</w:t>
        </w:r>
      </w:hyperlink>
    </w:p>
    <w:p w14:paraId="2A89613B" w14:textId="59ED8308"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Kouadio, D. L., Diarra, M., Djassou, A. C., Dibi, B., </w:t>
      </w:r>
      <w:proofErr w:type="spellStart"/>
      <w:r w:rsidRPr="0067249B">
        <w:rPr>
          <w:rFonts w:ascii="Arial" w:eastAsia="Calibri" w:hAnsi="Arial" w:cs="Arial"/>
        </w:rPr>
        <w:t>Dongui</w:t>
      </w:r>
      <w:proofErr w:type="spellEnd"/>
      <w:r w:rsidRPr="0067249B">
        <w:rPr>
          <w:rFonts w:ascii="Arial" w:eastAsia="Calibri" w:hAnsi="Arial" w:cs="Arial"/>
        </w:rPr>
        <w:t xml:space="preserve">, B. K., Mamadou, K., &amp; Traore, K. S. (2022). Experimental study of the adsorption of blue 16 and methyl red on coal from the shell of the cocoa pod. *Journal de la Société Ouest-Africaine de Chimie*, *51*, 17-30. </w:t>
      </w:r>
      <w:hyperlink r:id="rId51" w:history="1">
        <w:r w:rsidRPr="00E52DA4">
          <w:rPr>
            <w:rStyle w:val="Hyperlink"/>
            <w:rFonts w:ascii="Arial" w:eastAsia="Calibri" w:hAnsi="Arial" w:cs="Arial"/>
          </w:rPr>
          <w:t>http://www.soachim.org/</w:t>
        </w:r>
      </w:hyperlink>
    </w:p>
    <w:p w14:paraId="20F56F40" w14:textId="6C9851DC" w:rsidR="00F30669" w:rsidRPr="00632678" w:rsidRDefault="00F30669" w:rsidP="00632678">
      <w:pPr>
        <w:pStyle w:val="ListParagraph"/>
        <w:numPr>
          <w:ilvl w:val="0"/>
          <w:numId w:val="31"/>
        </w:numPr>
        <w:spacing w:after="240"/>
        <w:jc w:val="both"/>
        <w:rPr>
          <w:rFonts w:ascii="Arial" w:eastAsia="Calibri" w:hAnsi="Arial" w:cs="Arial"/>
        </w:rPr>
      </w:pPr>
      <w:r w:rsidRPr="00632678">
        <w:rPr>
          <w:rFonts w:ascii="Arial" w:eastAsia="Calibri" w:hAnsi="Arial" w:cs="Arial"/>
        </w:rPr>
        <w:t xml:space="preserve">Kriz Pavia (Author), Lampman (Author). s. d. </w:t>
      </w:r>
      <w:r w:rsidRPr="00632678">
        <w:rPr>
          <w:rFonts w:ascii="Arial" w:eastAsia="Calibri" w:hAnsi="Arial" w:cs="Arial"/>
          <w:i/>
          <w:iCs/>
        </w:rPr>
        <w:t>Introduction to Spectroscopy</w:t>
      </w:r>
      <w:r w:rsidRPr="00632678">
        <w:rPr>
          <w:rFonts w:ascii="Arial" w:eastAsia="Calibri" w:hAnsi="Arial" w:cs="Arial"/>
        </w:rPr>
        <w:t>. Thomson Brooks/Cole.</w:t>
      </w:r>
    </w:p>
    <w:p w14:paraId="415FD8DB" w14:textId="53412C15"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Langmuir, I. (1918). THE ADSORPTION OF GASES ON PLANE SURFACES OF GLASS, MICA AND PLATINUM. Journal of the American Chemical Society, 40(9), 1361-1403. </w:t>
      </w:r>
      <w:hyperlink r:id="rId52" w:history="1">
        <w:r w:rsidRPr="00E52DA4">
          <w:rPr>
            <w:rStyle w:val="Hyperlink"/>
            <w:rFonts w:ascii="Arial" w:eastAsia="Calibri" w:hAnsi="Arial" w:cs="Arial"/>
          </w:rPr>
          <w:t>https://doi.org/10.1021/ja02242a004</w:t>
        </w:r>
      </w:hyperlink>
    </w:p>
    <w:p w14:paraId="4681EBB3" w14:textId="6AF78BB0"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Liou, T.-H. (2010). Development of mesoporous structure and high adsorption capacity of biomass-based activated carbon by phosphoric acid and zinc chloride activation. Chemical Engineering Journal, 158(2), 129-142. </w:t>
      </w:r>
      <w:hyperlink r:id="rId53" w:history="1">
        <w:r w:rsidRPr="00E52DA4">
          <w:rPr>
            <w:rStyle w:val="Hyperlink"/>
            <w:rFonts w:ascii="Arial" w:eastAsia="Calibri" w:hAnsi="Arial" w:cs="Arial"/>
          </w:rPr>
          <w:t>https://doi.org/10.1016/j.cej.2009.12.016</w:t>
        </w:r>
      </w:hyperlink>
    </w:p>
    <w:p w14:paraId="120C9EC7" w14:textId="0B837520"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Lopez-Ramon, M. V., </w:t>
      </w:r>
      <w:proofErr w:type="spellStart"/>
      <w:r w:rsidRPr="0067249B">
        <w:rPr>
          <w:rFonts w:ascii="Arial" w:eastAsia="Calibri" w:hAnsi="Arial" w:cs="Arial"/>
        </w:rPr>
        <w:t>Stoeckli</w:t>
      </w:r>
      <w:proofErr w:type="spellEnd"/>
      <w:r w:rsidRPr="0067249B">
        <w:rPr>
          <w:rFonts w:ascii="Arial" w:eastAsia="Calibri" w:hAnsi="Arial" w:cs="Arial"/>
        </w:rPr>
        <w:t xml:space="preserve">, F., Moreno-Castilla, C., &amp; Carrasco-Marin, F. (1999). On the characterization of acidic and basic surface sites on carbons by various techniques. Carbon, 37(8), 1215-1221. </w:t>
      </w:r>
      <w:hyperlink r:id="rId54" w:history="1">
        <w:r w:rsidRPr="00E52DA4">
          <w:rPr>
            <w:rStyle w:val="Hyperlink"/>
            <w:rFonts w:ascii="Arial" w:eastAsia="Calibri" w:hAnsi="Arial" w:cs="Arial"/>
          </w:rPr>
          <w:t>https://doi.org/10.1016/S0008-6223(98)00317-0</w:t>
        </w:r>
      </w:hyperlink>
    </w:p>
    <w:p w14:paraId="4C15C34A" w14:textId="72E4F1CC"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Lua, A. C., &amp; Yang, T. (2004). Effect of activation temperature on the textural and chemical properties of potassium hydroxide activated </w:t>
      </w:r>
      <w:r w:rsidRPr="0067249B">
        <w:rPr>
          <w:rFonts w:ascii="Arial" w:eastAsia="Calibri" w:hAnsi="Arial" w:cs="Arial"/>
        </w:rPr>
        <w:lastRenderedPageBreak/>
        <w:t xml:space="preserve">carbon prepared from pistachio-nut shell. Journal of Colloid and Interface Science, 274(2), 594-601. </w:t>
      </w:r>
      <w:hyperlink r:id="rId55" w:history="1">
        <w:r w:rsidRPr="00E52DA4">
          <w:rPr>
            <w:rStyle w:val="Hyperlink"/>
            <w:rFonts w:ascii="Arial" w:eastAsia="Calibri" w:hAnsi="Arial" w:cs="Arial"/>
          </w:rPr>
          <w:t>https://doi.org/10.1016/j.jcis.2003.10.001</w:t>
        </w:r>
      </w:hyperlink>
    </w:p>
    <w:p w14:paraId="3A8AECCC" w14:textId="127F8D47"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Vargas-Rodríguez, Y. M., Obaya, A., García-Petronilo, J. E., Vargas-Rodríguez, G. I., Gómez-Cortés, A., </w:t>
      </w:r>
      <w:proofErr w:type="spellStart"/>
      <w:r w:rsidRPr="0067249B">
        <w:rPr>
          <w:rFonts w:ascii="Arial" w:eastAsia="Calibri" w:hAnsi="Arial" w:cs="Arial"/>
        </w:rPr>
        <w:t>Tavizón</w:t>
      </w:r>
      <w:proofErr w:type="spellEnd"/>
      <w:r w:rsidRPr="0067249B">
        <w:rPr>
          <w:rFonts w:ascii="Arial" w:eastAsia="Calibri" w:hAnsi="Arial" w:cs="Arial"/>
        </w:rPr>
        <w:t>, G., &amp; Chávez-</w:t>
      </w:r>
      <w:proofErr w:type="spellStart"/>
      <w:r w:rsidRPr="0067249B">
        <w:rPr>
          <w:rFonts w:ascii="Arial" w:eastAsia="Calibri" w:hAnsi="Arial" w:cs="Arial"/>
        </w:rPr>
        <w:t>Carvayar</w:t>
      </w:r>
      <w:proofErr w:type="spellEnd"/>
      <w:r w:rsidRPr="0067249B">
        <w:rPr>
          <w:rFonts w:ascii="Arial" w:eastAsia="Calibri" w:hAnsi="Arial" w:cs="Arial"/>
        </w:rPr>
        <w:t xml:space="preserve">, J. A. (2021). Adsorption Studies of Aqueous Solutions of Methyl Green for Halloysite Nanotubes: Kinetics, Isotherms, and Thermodynamic Parameters. American Journal of Nanomaterials, 9(1), 1-11. </w:t>
      </w:r>
      <w:hyperlink r:id="rId56" w:history="1">
        <w:r w:rsidRPr="00E52DA4">
          <w:rPr>
            <w:rStyle w:val="Hyperlink"/>
            <w:rFonts w:ascii="Arial" w:eastAsia="Calibri" w:hAnsi="Arial" w:cs="Arial"/>
          </w:rPr>
          <w:t>https://doi.org/10.12691/ajn-9-1-1</w:t>
        </w:r>
      </w:hyperlink>
    </w:p>
    <w:p w14:paraId="597C7B40" w14:textId="67DE752F"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Maazou, S. D. B., Hima, H. I., Malam Alma, M. M., Adamou, Z., &amp; </w:t>
      </w:r>
      <w:proofErr w:type="spellStart"/>
      <w:r w:rsidRPr="0067249B">
        <w:rPr>
          <w:rFonts w:ascii="Arial" w:eastAsia="Calibri" w:hAnsi="Arial" w:cs="Arial"/>
        </w:rPr>
        <w:t>Natatou</w:t>
      </w:r>
      <w:proofErr w:type="spellEnd"/>
      <w:r w:rsidRPr="0067249B">
        <w:rPr>
          <w:rFonts w:ascii="Arial" w:eastAsia="Calibri" w:hAnsi="Arial" w:cs="Arial"/>
        </w:rPr>
        <w:t xml:space="preserve">, I. (2018). Elimination du chrome </w:t>
      </w:r>
      <w:proofErr w:type="gramStart"/>
      <w:r w:rsidRPr="0067249B">
        <w:rPr>
          <w:rFonts w:ascii="Arial" w:eastAsia="Calibri" w:hAnsi="Arial" w:cs="Arial"/>
        </w:rPr>
        <w:t>par</w:t>
      </w:r>
      <w:proofErr w:type="gramEnd"/>
      <w:r w:rsidRPr="0067249B">
        <w:rPr>
          <w:rFonts w:ascii="Arial" w:eastAsia="Calibri" w:hAnsi="Arial" w:cs="Arial"/>
        </w:rPr>
        <w:t xml:space="preserve"> du </w:t>
      </w:r>
      <w:proofErr w:type="spellStart"/>
      <w:r w:rsidRPr="0067249B">
        <w:rPr>
          <w:rFonts w:ascii="Arial" w:eastAsia="Calibri" w:hAnsi="Arial" w:cs="Arial"/>
        </w:rPr>
        <w:t>charbon</w:t>
      </w:r>
      <w:proofErr w:type="spellEnd"/>
      <w:r w:rsidRPr="0067249B">
        <w:rPr>
          <w:rFonts w:ascii="Arial" w:eastAsia="Calibri" w:hAnsi="Arial" w:cs="Arial"/>
        </w:rPr>
        <w:t xml:space="preserve"> </w:t>
      </w:r>
      <w:proofErr w:type="spellStart"/>
      <w:r w:rsidRPr="0067249B">
        <w:rPr>
          <w:rFonts w:ascii="Arial" w:eastAsia="Calibri" w:hAnsi="Arial" w:cs="Arial"/>
        </w:rPr>
        <w:t>actif</w:t>
      </w:r>
      <w:proofErr w:type="spellEnd"/>
      <w:r w:rsidRPr="0067249B">
        <w:rPr>
          <w:rFonts w:ascii="Arial" w:eastAsia="Calibri" w:hAnsi="Arial" w:cs="Arial"/>
        </w:rPr>
        <w:t xml:space="preserve"> </w:t>
      </w:r>
      <w:proofErr w:type="spellStart"/>
      <w:r w:rsidRPr="0067249B">
        <w:rPr>
          <w:rFonts w:ascii="Arial" w:eastAsia="Calibri" w:hAnsi="Arial" w:cs="Arial"/>
        </w:rPr>
        <w:t>élaboré</w:t>
      </w:r>
      <w:proofErr w:type="spellEnd"/>
      <w:r w:rsidRPr="0067249B">
        <w:rPr>
          <w:rFonts w:ascii="Arial" w:eastAsia="Calibri" w:hAnsi="Arial" w:cs="Arial"/>
        </w:rPr>
        <w:t xml:space="preserve"> et </w:t>
      </w:r>
      <w:proofErr w:type="spellStart"/>
      <w:r w:rsidRPr="0067249B">
        <w:rPr>
          <w:rFonts w:ascii="Arial" w:eastAsia="Calibri" w:hAnsi="Arial" w:cs="Arial"/>
        </w:rPr>
        <w:t>caractérisé</w:t>
      </w:r>
      <w:proofErr w:type="spellEnd"/>
      <w:r w:rsidRPr="0067249B">
        <w:rPr>
          <w:rFonts w:ascii="Arial" w:eastAsia="Calibri" w:hAnsi="Arial" w:cs="Arial"/>
        </w:rPr>
        <w:t xml:space="preserve"> à </w:t>
      </w:r>
      <w:proofErr w:type="spellStart"/>
      <w:r w:rsidRPr="0067249B">
        <w:rPr>
          <w:rFonts w:ascii="Arial" w:eastAsia="Calibri" w:hAnsi="Arial" w:cs="Arial"/>
        </w:rPr>
        <w:t>partir</w:t>
      </w:r>
      <w:proofErr w:type="spellEnd"/>
      <w:r w:rsidRPr="0067249B">
        <w:rPr>
          <w:rFonts w:ascii="Arial" w:eastAsia="Calibri" w:hAnsi="Arial" w:cs="Arial"/>
        </w:rPr>
        <w:t xml:space="preserve"> de la </w:t>
      </w:r>
      <w:proofErr w:type="spellStart"/>
      <w:r w:rsidRPr="0067249B">
        <w:rPr>
          <w:rFonts w:ascii="Arial" w:eastAsia="Calibri" w:hAnsi="Arial" w:cs="Arial"/>
        </w:rPr>
        <w:t>coque</w:t>
      </w:r>
      <w:proofErr w:type="spellEnd"/>
      <w:r w:rsidRPr="0067249B">
        <w:rPr>
          <w:rFonts w:ascii="Arial" w:eastAsia="Calibri" w:hAnsi="Arial" w:cs="Arial"/>
        </w:rPr>
        <w:t xml:space="preserve"> du noyau de Balanites aegyptiaca. International Journal of Biological and Chemical Sciences, 11(6), 3050-3065. </w:t>
      </w:r>
      <w:hyperlink r:id="rId57" w:history="1">
        <w:r w:rsidRPr="00E52DA4">
          <w:rPr>
            <w:rStyle w:val="Hyperlink"/>
            <w:rFonts w:ascii="Arial" w:eastAsia="Calibri" w:hAnsi="Arial" w:cs="Arial"/>
          </w:rPr>
          <w:t>https://doi.org/10.4314/ijbcs.v11i6.39</w:t>
        </w:r>
      </w:hyperlink>
    </w:p>
    <w:p w14:paraId="413559B4" w14:textId="4ECE3D20"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Mandal, S., Stephen, D., &amp; Janardhanan, S. K. (2024). Activated carbon with composite pore structures made from peanut shell and areca nut fibers as sustainable adsorbent material for the efficient removal of active pharmaceuticals from aqueous media. RSC Sustainability, 2(10), 3022-3035. </w:t>
      </w:r>
      <w:hyperlink r:id="rId58" w:history="1">
        <w:r w:rsidRPr="00E52DA4">
          <w:rPr>
            <w:rStyle w:val="Hyperlink"/>
            <w:rFonts w:ascii="Arial" w:eastAsia="Calibri" w:hAnsi="Arial" w:cs="Arial"/>
          </w:rPr>
          <w:t>https://doi.org/10.1039/D4SU00262H</w:t>
        </w:r>
      </w:hyperlink>
    </w:p>
    <w:p w14:paraId="3968AD84" w14:textId="7BC35078" w:rsidR="0067249B" w:rsidRDefault="0067249B" w:rsidP="00632678">
      <w:pPr>
        <w:pStyle w:val="ListParagraph"/>
        <w:numPr>
          <w:ilvl w:val="0"/>
          <w:numId w:val="31"/>
        </w:numPr>
        <w:spacing w:after="240"/>
        <w:jc w:val="both"/>
        <w:rPr>
          <w:rFonts w:ascii="Arial" w:eastAsia="Calibri" w:hAnsi="Arial" w:cs="Arial"/>
        </w:rPr>
      </w:pPr>
      <w:proofErr w:type="spellStart"/>
      <w:r w:rsidRPr="0067249B">
        <w:rPr>
          <w:rFonts w:ascii="Arial" w:eastAsia="Calibri" w:hAnsi="Arial" w:cs="Arial"/>
        </w:rPr>
        <w:t>Melouki</w:t>
      </w:r>
      <w:proofErr w:type="spellEnd"/>
      <w:r w:rsidRPr="0067249B">
        <w:rPr>
          <w:rFonts w:ascii="Arial" w:eastAsia="Calibri" w:hAnsi="Arial" w:cs="Arial"/>
        </w:rPr>
        <w:t xml:space="preserve">, S., </w:t>
      </w:r>
      <w:proofErr w:type="spellStart"/>
      <w:r w:rsidRPr="0067249B">
        <w:rPr>
          <w:rFonts w:ascii="Arial" w:eastAsia="Calibri" w:hAnsi="Arial" w:cs="Arial"/>
        </w:rPr>
        <w:t>Reffas</w:t>
      </w:r>
      <w:proofErr w:type="spellEnd"/>
      <w:r w:rsidRPr="0067249B">
        <w:rPr>
          <w:rFonts w:ascii="Arial" w:eastAsia="Calibri" w:hAnsi="Arial" w:cs="Arial"/>
        </w:rPr>
        <w:t xml:space="preserve">, A., Merrouche, A., Reinert, L., &amp; </w:t>
      </w:r>
      <w:proofErr w:type="spellStart"/>
      <w:r w:rsidRPr="0067249B">
        <w:rPr>
          <w:rFonts w:ascii="Arial" w:eastAsia="Calibri" w:hAnsi="Arial" w:cs="Arial"/>
        </w:rPr>
        <w:t>Duclaux</w:t>
      </w:r>
      <w:proofErr w:type="spellEnd"/>
      <w:r w:rsidRPr="0067249B">
        <w:rPr>
          <w:rFonts w:ascii="Arial" w:eastAsia="Calibri" w:hAnsi="Arial" w:cs="Arial"/>
        </w:rPr>
        <w:t xml:space="preserve">, L. (2020). </w:t>
      </w:r>
      <w:proofErr w:type="spellStart"/>
      <w:r w:rsidRPr="0067249B">
        <w:rPr>
          <w:rFonts w:ascii="Arial" w:eastAsia="Calibri" w:hAnsi="Arial" w:cs="Arial"/>
        </w:rPr>
        <w:t>Biochars</w:t>
      </w:r>
      <w:proofErr w:type="spellEnd"/>
      <w:r w:rsidRPr="0067249B">
        <w:rPr>
          <w:rFonts w:ascii="Arial" w:eastAsia="Calibri" w:hAnsi="Arial" w:cs="Arial"/>
        </w:rPr>
        <w:t xml:space="preserve"> derived from common reed for the adsorption of methyl orange in aqueous solution. Revue des Sciences de </w:t>
      </w:r>
      <w:proofErr w:type="spellStart"/>
      <w:r w:rsidRPr="0067249B">
        <w:rPr>
          <w:rFonts w:ascii="Arial" w:eastAsia="Calibri" w:hAnsi="Arial" w:cs="Arial"/>
        </w:rPr>
        <w:t>l’Eau</w:t>
      </w:r>
      <w:proofErr w:type="spellEnd"/>
      <w:r w:rsidRPr="0067249B">
        <w:rPr>
          <w:rFonts w:ascii="Arial" w:eastAsia="Calibri" w:hAnsi="Arial" w:cs="Arial"/>
        </w:rPr>
        <w:t xml:space="preserve">, 32(4), 349-367. </w:t>
      </w:r>
      <w:hyperlink r:id="rId59" w:history="1">
        <w:r w:rsidRPr="00E52DA4">
          <w:rPr>
            <w:rStyle w:val="Hyperlink"/>
            <w:rFonts w:ascii="Arial" w:eastAsia="Calibri" w:hAnsi="Arial" w:cs="Arial"/>
          </w:rPr>
          <w:t>https://doi.org/10.7202/1069570ar</w:t>
        </w:r>
      </w:hyperlink>
    </w:p>
    <w:p w14:paraId="7E8F9413" w14:textId="40EB7CEB"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Mitra, T., Bar, N., &amp; Das, S. K. (2019). Rice Husk: Green Adsorbent for </w:t>
      </w:r>
      <w:proofErr w:type="gramStart"/>
      <w:r w:rsidRPr="0067249B">
        <w:rPr>
          <w:rFonts w:ascii="Arial" w:eastAsia="Calibri" w:hAnsi="Arial" w:cs="Arial"/>
        </w:rPr>
        <w:t>Pb(</w:t>
      </w:r>
      <w:proofErr w:type="gramEnd"/>
      <w:r w:rsidRPr="0067249B">
        <w:rPr>
          <w:rFonts w:ascii="Arial" w:eastAsia="Calibri" w:hAnsi="Arial" w:cs="Arial"/>
        </w:rPr>
        <w:t xml:space="preserve">II) and Cr(VI) Removal from Aqueous Solution—Column Study and GA–NN Modeling. SN Applied Sciences </w:t>
      </w:r>
      <w:hyperlink r:id="rId60" w:history="1">
        <w:r w:rsidRPr="00E52DA4">
          <w:rPr>
            <w:rStyle w:val="Hyperlink"/>
            <w:rFonts w:ascii="Arial" w:eastAsia="Calibri" w:hAnsi="Arial" w:cs="Arial"/>
          </w:rPr>
          <w:t>https://doi.org/10.1007/s42452-019-0513-5</w:t>
        </w:r>
      </w:hyperlink>
    </w:p>
    <w:p w14:paraId="518064ED" w14:textId="4C3C4476"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Mohan, D., &amp; Pittman, C. U., Jr. (2007). Arsenic removal from water/wastewater using adsorbents—A critical review. Journal of Hazardous Materials, 142(1-2), 1–53. </w:t>
      </w:r>
      <w:hyperlink r:id="rId61" w:history="1">
        <w:r w:rsidRPr="00E52DA4">
          <w:rPr>
            <w:rStyle w:val="Hyperlink"/>
            <w:rFonts w:ascii="Arial" w:eastAsia="Calibri" w:hAnsi="Arial" w:cs="Arial"/>
          </w:rPr>
          <w:t>https://doi.org/10.1016/j.jhazmat.2007.01.006</w:t>
        </w:r>
      </w:hyperlink>
    </w:p>
    <w:p w14:paraId="24033981" w14:textId="2E8D0ABB"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Molina-Sabio, M., &amp; Rodríguez-Reinoso, F. (2004). Role of Chemical Activation in the Development of Carbon Porosity. Colloids and Surfaces A: Physicochemical and Engineering Aspects, 241(1-3), 15-25. </w:t>
      </w:r>
      <w:hyperlink r:id="rId62" w:history="1">
        <w:r w:rsidRPr="00E52DA4">
          <w:rPr>
            <w:rStyle w:val="Hyperlink"/>
            <w:rFonts w:ascii="Arial" w:eastAsia="Calibri" w:hAnsi="Arial" w:cs="Arial"/>
          </w:rPr>
          <w:t>https://doi.org/10.1016/j.colsurfa.2004.04.007</w:t>
        </w:r>
      </w:hyperlink>
    </w:p>
    <w:p w14:paraId="47205160" w14:textId="6663B88A"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Moreno-Castilla, C. (2004). Adsorption of organic molecules from aqueous solutions on carbon materials. Carbon, 42(1), 83-94. </w:t>
      </w:r>
      <w:hyperlink r:id="rId63" w:history="1">
        <w:r w:rsidRPr="00E52DA4">
          <w:rPr>
            <w:rStyle w:val="Hyperlink"/>
            <w:rFonts w:ascii="Arial" w:eastAsia="Calibri" w:hAnsi="Arial" w:cs="Arial"/>
          </w:rPr>
          <w:t>https://doi.org/10.1016/j.carbon.2003.09.022</w:t>
        </w:r>
      </w:hyperlink>
    </w:p>
    <w:p w14:paraId="6D825DD5" w14:textId="6499EACC"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lastRenderedPageBreak/>
        <w:t xml:space="preserve">Ortiz-Anaya, I., &amp; Nishina, Y. (2024). Refined Surface Area Determination of Graphene Oxide Using Methylene Blue as a Probe Molecule: A Comparative Approach. Bulletin of the Chemical Society of Japan, 97(11), uoae118. </w:t>
      </w:r>
      <w:hyperlink r:id="rId64" w:history="1">
        <w:r w:rsidRPr="00E52DA4">
          <w:rPr>
            <w:rStyle w:val="Hyperlink"/>
            <w:rFonts w:ascii="Arial" w:eastAsia="Calibri" w:hAnsi="Arial" w:cs="Arial"/>
          </w:rPr>
          <w:t>https://doi.org/10.1093/bulcsj/uoae118</w:t>
        </w:r>
      </w:hyperlink>
    </w:p>
    <w:p w14:paraId="72DE143F" w14:textId="231E8566"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Pan, J., Deng, H., Du, Z., Tian, K., &amp; Zhang, J. (2022). Design of nitrogen-phosphorus-doped biochar and its lead adsorption performance. Environmental Science and Pollution Research, 29(19), 28984–28994. </w:t>
      </w:r>
      <w:hyperlink r:id="rId65" w:history="1">
        <w:r w:rsidRPr="00E52DA4">
          <w:rPr>
            <w:rStyle w:val="Hyperlink"/>
            <w:rFonts w:ascii="Arial" w:eastAsia="Calibri" w:hAnsi="Arial" w:cs="Arial"/>
          </w:rPr>
          <w:t>https://doi.org/10.1007/s11356-021-17335-3</w:t>
        </w:r>
      </w:hyperlink>
    </w:p>
    <w:p w14:paraId="71BE816A" w14:textId="3902B532" w:rsidR="0067249B" w:rsidRDefault="0067249B" w:rsidP="00632678">
      <w:pPr>
        <w:pStyle w:val="ListParagraph"/>
        <w:numPr>
          <w:ilvl w:val="0"/>
          <w:numId w:val="31"/>
        </w:numPr>
        <w:spacing w:after="240"/>
        <w:jc w:val="both"/>
        <w:rPr>
          <w:rFonts w:ascii="Arial" w:eastAsia="Calibri" w:hAnsi="Arial" w:cs="Arial"/>
        </w:rPr>
      </w:pPr>
      <w:proofErr w:type="spellStart"/>
      <w:r w:rsidRPr="0067249B">
        <w:rPr>
          <w:rFonts w:ascii="Arial" w:eastAsia="Calibri" w:hAnsi="Arial" w:cs="Arial"/>
        </w:rPr>
        <w:t>Patnukao</w:t>
      </w:r>
      <w:proofErr w:type="spellEnd"/>
      <w:r w:rsidRPr="0067249B">
        <w:rPr>
          <w:rFonts w:ascii="Arial" w:eastAsia="Calibri" w:hAnsi="Arial" w:cs="Arial"/>
        </w:rPr>
        <w:t xml:space="preserve">, P., &amp; </w:t>
      </w:r>
      <w:proofErr w:type="spellStart"/>
      <w:r w:rsidRPr="0067249B">
        <w:rPr>
          <w:rFonts w:ascii="Arial" w:eastAsia="Calibri" w:hAnsi="Arial" w:cs="Arial"/>
        </w:rPr>
        <w:t>Pavasant</w:t>
      </w:r>
      <w:proofErr w:type="spellEnd"/>
      <w:r w:rsidRPr="0067249B">
        <w:rPr>
          <w:rFonts w:ascii="Arial" w:eastAsia="Calibri" w:hAnsi="Arial" w:cs="Arial"/>
        </w:rPr>
        <w:t xml:space="preserve">, P. (2008). Activated carbon from Eucalyptus camaldulensis Dehn bark using phosphoric acid activation. Bioresource Technology, 99(17), 8540–8543. </w:t>
      </w:r>
      <w:hyperlink r:id="rId66" w:history="1">
        <w:r w:rsidRPr="00E52DA4">
          <w:rPr>
            <w:rStyle w:val="Hyperlink"/>
            <w:rFonts w:ascii="Arial" w:eastAsia="Calibri" w:hAnsi="Arial" w:cs="Arial"/>
          </w:rPr>
          <w:t>https://doi.org/10.1016/j.biortech.2006.10.049</w:t>
        </w:r>
      </w:hyperlink>
    </w:p>
    <w:p w14:paraId="62C85335" w14:textId="14AF3E6B"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Allaire, S. E., &amp; Lange, S. F. (2013). Le biochar dans les </w:t>
      </w:r>
      <w:proofErr w:type="spellStart"/>
      <w:r w:rsidRPr="0067249B">
        <w:rPr>
          <w:rFonts w:ascii="Arial" w:eastAsia="Calibri" w:hAnsi="Arial" w:cs="Arial"/>
        </w:rPr>
        <w:t>milieux</w:t>
      </w:r>
      <w:proofErr w:type="spellEnd"/>
      <w:r w:rsidRPr="0067249B">
        <w:rPr>
          <w:rFonts w:ascii="Arial" w:eastAsia="Calibri" w:hAnsi="Arial" w:cs="Arial"/>
        </w:rPr>
        <w:t xml:space="preserve"> </w:t>
      </w:r>
      <w:proofErr w:type="spellStart"/>
      <w:proofErr w:type="gramStart"/>
      <w:r w:rsidRPr="0067249B">
        <w:rPr>
          <w:rFonts w:ascii="Arial" w:eastAsia="Calibri" w:hAnsi="Arial" w:cs="Arial"/>
        </w:rPr>
        <w:t>poreux</w:t>
      </w:r>
      <w:proofErr w:type="spellEnd"/>
      <w:r w:rsidRPr="0067249B">
        <w:rPr>
          <w:rFonts w:ascii="Arial" w:eastAsia="Calibri" w:hAnsi="Arial" w:cs="Arial"/>
        </w:rPr>
        <w:t xml:space="preserve"> :</w:t>
      </w:r>
      <w:proofErr w:type="gramEnd"/>
      <w:r w:rsidRPr="0067249B">
        <w:rPr>
          <w:rFonts w:ascii="Arial" w:eastAsia="Calibri" w:hAnsi="Arial" w:cs="Arial"/>
        </w:rPr>
        <w:t xml:space="preserve"> </w:t>
      </w:r>
      <w:proofErr w:type="spellStart"/>
      <w:r w:rsidRPr="0067249B">
        <w:rPr>
          <w:rFonts w:ascii="Arial" w:eastAsia="Calibri" w:hAnsi="Arial" w:cs="Arial"/>
        </w:rPr>
        <w:t>une</w:t>
      </w:r>
      <w:proofErr w:type="spellEnd"/>
      <w:r w:rsidRPr="0067249B">
        <w:rPr>
          <w:rFonts w:ascii="Arial" w:eastAsia="Calibri" w:hAnsi="Arial" w:cs="Arial"/>
        </w:rPr>
        <w:t xml:space="preserve"> solution miracle </w:t>
      </w:r>
      <w:proofErr w:type="spellStart"/>
      <w:r w:rsidRPr="0067249B">
        <w:rPr>
          <w:rFonts w:ascii="Arial" w:eastAsia="Calibri" w:hAnsi="Arial" w:cs="Arial"/>
        </w:rPr>
        <w:t>en</w:t>
      </w:r>
      <w:proofErr w:type="spellEnd"/>
      <w:r w:rsidRPr="0067249B">
        <w:rPr>
          <w:rFonts w:ascii="Arial" w:eastAsia="Calibri" w:hAnsi="Arial" w:cs="Arial"/>
        </w:rPr>
        <w:t xml:space="preserve"> </w:t>
      </w:r>
      <w:proofErr w:type="spellStart"/>
      <w:r w:rsidRPr="0067249B">
        <w:rPr>
          <w:rFonts w:ascii="Arial" w:eastAsia="Calibri" w:hAnsi="Arial" w:cs="Arial"/>
        </w:rPr>
        <w:t>environnement</w:t>
      </w:r>
      <w:proofErr w:type="spellEnd"/>
      <w:r w:rsidRPr="0067249B">
        <w:rPr>
          <w:rFonts w:ascii="Arial" w:eastAsia="Calibri" w:hAnsi="Arial" w:cs="Arial"/>
        </w:rPr>
        <w:t xml:space="preserve"> ?. *</w:t>
      </w:r>
      <w:proofErr w:type="spellStart"/>
      <w:r w:rsidRPr="0067249B">
        <w:rPr>
          <w:rFonts w:ascii="Arial" w:eastAsia="Calibri" w:hAnsi="Arial" w:cs="Arial"/>
        </w:rPr>
        <w:t>Vecteur</w:t>
      </w:r>
      <w:proofErr w:type="spellEnd"/>
      <w:r w:rsidRPr="0067249B">
        <w:rPr>
          <w:rFonts w:ascii="Arial" w:eastAsia="Calibri" w:hAnsi="Arial" w:cs="Arial"/>
        </w:rPr>
        <w:t xml:space="preserve"> </w:t>
      </w:r>
      <w:proofErr w:type="spellStart"/>
      <w:r w:rsidRPr="0067249B">
        <w:rPr>
          <w:rFonts w:ascii="Arial" w:eastAsia="Calibri" w:hAnsi="Arial" w:cs="Arial"/>
        </w:rPr>
        <w:t>Environnement</w:t>
      </w:r>
      <w:proofErr w:type="spellEnd"/>
      <w:r w:rsidRPr="0067249B">
        <w:rPr>
          <w:rFonts w:ascii="Arial" w:eastAsia="Calibri" w:hAnsi="Arial" w:cs="Arial"/>
        </w:rPr>
        <w:t xml:space="preserve">*, *46*(4), 58-67. </w:t>
      </w:r>
      <w:hyperlink r:id="rId67" w:history="1">
        <w:r w:rsidRPr="00E52DA4">
          <w:rPr>
            <w:rStyle w:val="Hyperlink"/>
            <w:rFonts w:ascii="Arial" w:eastAsia="Calibri" w:hAnsi="Arial" w:cs="Arial"/>
          </w:rPr>
          <w:t>https://www.researchgate.net/publication/308071666_Le_biochar_dans_les_milieux_poreux_Une_solution_miracle_en_environnement</w:t>
        </w:r>
      </w:hyperlink>
    </w:p>
    <w:p w14:paraId="5206760F" w14:textId="7D286A1C" w:rsidR="0067249B" w:rsidRP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Rodríguez Arana, J. M. R., &amp; Reyes Mazzoco, R. (2010). Adsorption studies of methylene blue and phenol onto black stone cherries prepared by chemical activation. Journal of Hazardous Materials, 180(1-3), 656-661. </w:t>
      </w:r>
      <w:hyperlink r:id="rId68" w:history="1">
        <w:r w:rsidRPr="00E52DA4">
          <w:rPr>
            <w:rStyle w:val="Hyperlink"/>
            <w:rFonts w:ascii="Arial" w:eastAsia="Calibri" w:hAnsi="Arial" w:cs="Arial"/>
          </w:rPr>
          <w:t>https://doi.org/10.1016/j.jhazmat.2010.04.</w:t>
        </w:r>
        <w:r w:rsidRPr="00E52DA4">
          <w:rPr>
            <w:rStyle w:val="Hyperlink"/>
            <w:rFonts w:ascii="Arial" w:eastAsia="Calibri" w:hAnsi="Arial" w:cs="Arial"/>
            <w:b/>
            <w:bCs/>
          </w:rPr>
          <w:t>086</w:t>
        </w:r>
      </w:hyperlink>
    </w:p>
    <w:p w14:paraId="58C48337" w14:textId="040181AB" w:rsidR="0067249B" w:rsidRPr="0067249B" w:rsidRDefault="0067249B" w:rsidP="00632678">
      <w:pPr>
        <w:pStyle w:val="ListParagraph"/>
        <w:numPr>
          <w:ilvl w:val="0"/>
          <w:numId w:val="31"/>
        </w:numPr>
        <w:spacing w:after="240"/>
        <w:jc w:val="both"/>
        <w:rPr>
          <w:rFonts w:ascii="Arial" w:eastAsia="Calibri" w:hAnsi="Arial" w:cs="Arial"/>
        </w:rPr>
      </w:pPr>
      <w:proofErr w:type="spellStart"/>
      <w:r w:rsidRPr="0067249B">
        <w:rPr>
          <w:rFonts w:ascii="Arial" w:eastAsia="Calibri" w:hAnsi="Arial" w:cs="Arial"/>
        </w:rPr>
        <w:t>Sangoremi</w:t>
      </w:r>
      <w:proofErr w:type="spellEnd"/>
      <w:r w:rsidRPr="0067249B">
        <w:rPr>
          <w:rFonts w:ascii="Arial" w:eastAsia="Calibri" w:hAnsi="Arial" w:cs="Arial"/>
        </w:rPr>
        <w:t xml:space="preserve">, A. A. (2025). Preparation and Characterization of Adsorbent Derived from Maize Cob. International Journal of Research and Scientific Innovation, XII(V), 259-269. </w:t>
      </w:r>
      <w:hyperlink r:id="rId69" w:history="1">
        <w:r w:rsidRPr="0067249B">
          <w:rPr>
            <w:rStyle w:val="Hyperlink"/>
            <w:rFonts w:ascii="Arial" w:eastAsia="Calibri" w:hAnsi="Arial" w:cs="Arial"/>
          </w:rPr>
          <w:t>https://doi.org/10.51244/IJRSI.2025.120500020</w:t>
        </w:r>
      </w:hyperlink>
    </w:p>
    <w:p w14:paraId="0D8CFCF4" w14:textId="5321F518" w:rsidR="00F30669" w:rsidRPr="00632678" w:rsidRDefault="00F30669" w:rsidP="00632678">
      <w:pPr>
        <w:pStyle w:val="ListParagraph"/>
        <w:numPr>
          <w:ilvl w:val="0"/>
          <w:numId w:val="31"/>
        </w:numPr>
        <w:spacing w:after="240"/>
        <w:jc w:val="both"/>
        <w:rPr>
          <w:rFonts w:ascii="Arial" w:eastAsia="Calibri" w:hAnsi="Arial" w:cs="Arial"/>
        </w:rPr>
      </w:pPr>
      <w:r w:rsidRPr="00632678">
        <w:rPr>
          <w:rFonts w:ascii="Arial" w:eastAsia="Calibri" w:hAnsi="Arial" w:cs="Arial"/>
        </w:rPr>
        <w:t xml:space="preserve">Socrates, G. 2001. « Infrared and Raman characteristic group </w:t>
      </w:r>
      <w:proofErr w:type="gramStart"/>
      <w:r w:rsidRPr="00632678">
        <w:rPr>
          <w:rFonts w:ascii="Arial" w:eastAsia="Calibri" w:hAnsi="Arial" w:cs="Arial"/>
        </w:rPr>
        <w:t>frequencies :</w:t>
      </w:r>
      <w:proofErr w:type="gramEnd"/>
      <w:r w:rsidRPr="00632678">
        <w:rPr>
          <w:rFonts w:ascii="Arial" w:eastAsia="Calibri" w:hAnsi="Arial" w:cs="Arial"/>
        </w:rPr>
        <w:t xml:space="preserve"> tables and charts ». https://www.semanticscholar.org/paper/Infrared-and-Raman-characteristic-group-frequencies-Socrates/c13c5a33c987b1483b8ac9a06db0f4f51b7c23f9.</w:t>
      </w:r>
    </w:p>
    <w:p w14:paraId="5FC3474C" w14:textId="7C12B42A" w:rsidR="0067249B" w:rsidRDefault="0067249B" w:rsidP="00632678">
      <w:pPr>
        <w:pStyle w:val="ListParagraph"/>
        <w:numPr>
          <w:ilvl w:val="0"/>
          <w:numId w:val="31"/>
        </w:numPr>
        <w:spacing w:after="240"/>
        <w:jc w:val="both"/>
        <w:rPr>
          <w:rFonts w:ascii="Arial" w:eastAsia="Calibri" w:hAnsi="Arial" w:cs="Arial"/>
        </w:rPr>
      </w:pPr>
      <w:r w:rsidRPr="0067249B">
        <w:rPr>
          <w:rFonts w:ascii="Arial" w:eastAsia="Calibri" w:hAnsi="Arial" w:cs="Arial"/>
        </w:rPr>
        <w:t xml:space="preserve">Silverstein, R. M., Webster, F. X., &amp; </w:t>
      </w:r>
      <w:proofErr w:type="spellStart"/>
      <w:r w:rsidRPr="0067249B">
        <w:rPr>
          <w:rFonts w:ascii="Arial" w:eastAsia="Calibri" w:hAnsi="Arial" w:cs="Arial"/>
        </w:rPr>
        <w:t>Kiemle</w:t>
      </w:r>
      <w:proofErr w:type="spellEnd"/>
      <w:r w:rsidRPr="0067249B">
        <w:rPr>
          <w:rFonts w:ascii="Arial" w:eastAsia="Calibri" w:hAnsi="Arial" w:cs="Arial"/>
        </w:rPr>
        <w:t xml:space="preserve">, D. J. (2005). Spectrometric identification of organic compounds (7th ed.). John Wiley &amp; Sons. </w:t>
      </w:r>
      <w:hyperlink r:id="rId70" w:history="1">
        <w:r w:rsidRPr="00E52DA4">
          <w:rPr>
            <w:rStyle w:val="Hyperlink"/>
            <w:rFonts w:ascii="Arial" w:eastAsia="Calibri" w:hAnsi="Arial" w:cs="Arial"/>
          </w:rPr>
          <w:t>https://www.wiley.com/en-us/Spectrometric+Identification+of+Organic+Compounds,+7th+Edition-p-9780471393623</w:t>
        </w:r>
      </w:hyperlink>
    </w:p>
    <w:p w14:paraId="469EC29F" w14:textId="57E6443F" w:rsidR="00D029DB" w:rsidRDefault="00D029DB" w:rsidP="00632678">
      <w:pPr>
        <w:pStyle w:val="ListParagraph"/>
        <w:numPr>
          <w:ilvl w:val="0"/>
          <w:numId w:val="31"/>
        </w:numPr>
        <w:spacing w:after="240"/>
        <w:jc w:val="both"/>
        <w:rPr>
          <w:rFonts w:ascii="Arial" w:eastAsia="Calibri" w:hAnsi="Arial" w:cs="Arial"/>
        </w:rPr>
      </w:pPr>
      <w:proofErr w:type="spellStart"/>
      <w:r w:rsidRPr="00D029DB">
        <w:rPr>
          <w:rFonts w:ascii="Arial" w:eastAsia="Calibri" w:hAnsi="Arial" w:cs="Arial"/>
        </w:rPr>
        <w:t>Tchakala</w:t>
      </w:r>
      <w:proofErr w:type="spellEnd"/>
      <w:r w:rsidRPr="00D029DB">
        <w:rPr>
          <w:rFonts w:ascii="Arial" w:eastAsia="Calibri" w:hAnsi="Arial" w:cs="Arial"/>
        </w:rPr>
        <w:t xml:space="preserve">, I., Bawa, L. M., </w:t>
      </w:r>
      <w:proofErr w:type="spellStart"/>
      <w:r w:rsidRPr="00D029DB">
        <w:rPr>
          <w:rFonts w:ascii="Arial" w:eastAsia="Calibri" w:hAnsi="Arial" w:cs="Arial"/>
        </w:rPr>
        <w:t>Djaneye-Boundjou</w:t>
      </w:r>
      <w:proofErr w:type="spellEnd"/>
      <w:r w:rsidRPr="00D029DB">
        <w:rPr>
          <w:rFonts w:ascii="Arial" w:eastAsia="Calibri" w:hAnsi="Arial" w:cs="Arial"/>
        </w:rPr>
        <w:t xml:space="preserve">, G., Doni, K. S., &amp; Nambo, P. (2012). </w:t>
      </w:r>
      <w:proofErr w:type="spellStart"/>
      <w:r w:rsidRPr="00D029DB">
        <w:rPr>
          <w:rFonts w:ascii="Arial" w:eastAsia="Calibri" w:hAnsi="Arial" w:cs="Arial"/>
        </w:rPr>
        <w:t>Optimisation</w:t>
      </w:r>
      <w:proofErr w:type="spellEnd"/>
      <w:r w:rsidRPr="00D029DB">
        <w:rPr>
          <w:rFonts w:ascii="Arial" w:eastAsia="Calibri" w:hAnsi="Arial" w:cs="Arial"/>
        </w:rPr>
        <w:t xml:space="preserve"> du </w:t>
      </w:r>
      <w:proofErr w:type="spellStart"/>
      <w:r w:rsidRPr="00D029DB">
        <w:rPr>
          <w:rFonts w:ascii="Arial" w:eastAsia="Calibri" w:hAnsi="Arial" w:cs="Arial"/>
        </w:rPr>
        <w:t>procédé</w:t>
      </w:r>
      <w:proofErr w:type="spellEnd"/>
      <w:r w:rsidRPr="00D029DB">
        <w:rPr>
          <w:rFonts w:ascii="Arial" w:eastAsia="Calibri" w:hAnsi="Arial" w:cs="Arial"/>
        </w:rPr>
        <w:t xml:space="preserve"> de </w:t>
      </w:r>
      <w:proofErr w:type="spellStart"/>
      <w:r w:rsidRPr="00D029DB">
        <w:rPr>
          <w:rFonts w:ascii="Arial" w:eastAsia="Calibri" w:hAnsi="Arial" w:cs="Arial"/>
        </w:rPr>
        <w:t>préparation</w:t>
      </w:r>
      <w:proofErr w:type="spellEnd"/>
      <w:r w:rsidRPr="00D029DB">
        <w:rPr>
          <w:rFonts w:ascii="Arial" w:eastAsia="Calibri" w:hAnsi="Arial" w:cs="Arial"/>
        </w:rPr>
        <w:t xml:space="preserve"> des </w:t>
      </w:r>
      <w:proofErr w:type="spellStart"/>
      <w:r w:rsidRPr="00D029DB">
        <w:rPr>
          <w:rFonts w:ascii="Arial" w:eastAsia="Calibri" w:hAnsi="Arial" w:cs="Arial"/>
        </w:rPr>
        <w:t>charbons</w:t>
      </w:r>
      <w:proofErr w:type="spellEnd"/>
      <w:r w:rsidRPr="00D029DB">
        <w:rPr>
          <w:rFonts w:ascii="Arial" w:eastAsia="Calibri" w:hAnsi="Arial" w:cs="Arial"/>
        </w:rPr>
        <w:t xml:space="preserve"> </w:t>
      </w:r>
      <w:proofErr w:type="spellStart"/>
      <w:r w:rsidRPr="00D029DB">
        <w:rPr>
          <w:rFonts w:ascii="Arial" w:eastAsia="Calibri" w:hAnsi="Arial" w:cs="Arial"/>
        </w:rPr>
        <w:t>actifs</w:t>
      </w:r>
      <w:proofErr w:type="spellEnd"/>
      <w:r w:rsidRPr="00D029DB">
        <w:rPr>
          <w:rFonts w:ascii="Arial" w:eastAsia="Calibri" w:hAnsi="Arial" w:cs="Arial"/>
        </w:rPr>
        <w:t xml:space="preserve"> par </w:t>
      </w:r>
      <w:proofErr w:type="spellStart"/>
      <w:r w:rsidRPr="00D029DB">
        <w:rPr>
          <w:rFonts w:ascii="Arial" w:eastAsia="Calibri" w:hAnsi="Arial" w:cs="Arial"/>
        </w:rPr>
        <w:t>voie</w:t>
      </w:r>
      <w:proofErr w:type="spellEnd"/>
      <w:r w:rsidRPr="00D029DB">
        <w:rPr>
          <w:rFonts w:ascii="Arial" w:eastAsia="Calibri" w:hAnsi="Arial" w:cs="Arial"/>
        </w:rPr>
        <w:t xml:space="preserve"> </w:t>
      </w:r>
      <w:proofErr w:type="spellStart"/>
      <w:r w:rsidRPr="00D029DB">
        <w:rPr>
          <w:rFonts w:ascii="Arial" w:eastAsia="Calibri" w:hAnsi="Arial" w:cs="Arial"/>
        </w:rPr>
        <w:t>chimique</w:t>
      </w:r>
      <w:proofErr w:type="spellEnd"/>
      <w:r w:rsidRPr="00D029DB">
        <w:rPr>
          <w:rFonts w:ascii="Arial" w:eastAsia="Calibri" w:hAnsi="Arial" w:cs="Arial"/>
        </w:rPr>
        <w:t xml:space="preserve"> (H3PO4) à </w:t>
      </w:r>
      <w:proofErr w:type="spellStart"/>
      <w:r w:rsidRPr="00D029DB">
        <w:rPr>
          <w:rFonts w:ascii="Arial" w:eastAsia="Calibri" w:hAnsi="Arial" w:cs="Arial"/>
        </w:rPr>
        <w:t>partir</w:t>
      </w:r>
      <w:proofErr w:type="spellEnd"/>
      <w:r w:rsidRPr="00D029DB">
        <w:rPr>
          <w:rFonts w:ascii="Arial" w:eastAsia="Calibri" w:hAnsi="Arial" w:cs="Arial"/>
        </w:rPr>
        <w:t xml:space="preserve"> des </w:t>
      </w:r>
      <w:proofErr w:type="spellStart"/>
      <w:r w:rsidRPr="00D029DB">
        <w:rPr>
          <w:rFonts w:ascii="Arial" w:eastAsia="Calibri" w:hAnsi="Arial" w:cs="Arial"/>
        </w:rPr>
        <w:t>tourteaux</w:t>
      </w:r>
      <w:proofErr w:type="spellEnd"/>
      <w:r w:rsidRPr="00D029DB">
        <w:rPr>
          <w:rFonts w:ascii="Arial" w:eastAsia="Calibri" w:hAnsi="Arial" w:cs="Arial"/>
        </w:rPr>
        <w:t xml:space="preserve"> de </w:t>
      </w:r>
      <w:proofErr w:type="spellStart"/>
      <w:r w:rsidRPr="00D029DB">
        <w:rPr>
          <w:rFonts w:ascii="Arial" w:eastAsia="Calibri" w:hAnsi="Arial" w:cs="Arial"/>
        </w:rPr>
        <w:t>Karité</w:t>
      </w:r>
      <w:proofErr w:type="spellEnd"/>
      <w:r w:rsidRPr="00D029DB">
        <w:rPr>
          <w:rFonts w:ascii="Arial" w:eastAsia="Calibri" w:hAnsi="Arial" w:cs="Arial"/>
        </w:rPr>
        <w:t xml:space="preserve"> et des </w:t>
      </w:r>
      <w:proofErr w:type="spellStart"/>
      <w:r w:rsidRPr="00D029DB">
        <w:rPr>
          <w:rFonts w:ascii="Arial" w:eastAsia="Calibri" w:hAnsi="Arial" w:cs="Arial"/>
        </w:rPr>
        <w:lastRenderedPageBreak/>
        <w:t>tourteaux</w:t>
      </w:r>
      <w:proofErr w:type="spellEnd"/>
      <w:r w:rsidRPr="00D029DB">
        <w:rPr>
          <w:rFonts w:ascii="Arial" w:eastAsia="Calibri" w:hAnsi="Arial" w:cs="Arial"/>
        </w:rPr>
        <w:t xml:space="preserve"> de Coton. International Journal of Biological and Chemical Sciences, 6(1), 461–478. </w:t>
      </w:r>
      <w:hyperlink r:id="rId71" w:history="1">
        <w:r w:rsidRPr="00E52DA4">
          <w:rPr>
            <w:rStyle w:val="Hyperlink"/>
            <w:rFonts w:ascii="Arial" w:eastAsia="Calibri" w:hAnsi="Arial" w:cs="Arial"/>
          </w:rPr>
          <w:t>https://doi.org/10.4314/ijbcs.v6i1.42</w:t>
        </w:r>
      </w:hyperlink>
    </w:p>
    <w:p w14:paraId="1F1A55C8" w14:textId="6408F4A8" w:rsidR="00F30669" w:rsidRPr="00632678" w:rsidRDefault="00F30669" w:rsidP="00632678">
      <w:pPr>
        <w:pStyle w:val="ListParagraph"/>
        <w:numPr>
          <w:ilvl w:val="0"/>
          <w:numId w:val="31"/>
        </w:numPr>
        <w:spacing w:after="240"/>
        <w:jc w:val="both"/>
        <w:rPr>
          <w:rFonts w:ascii="Arial" w:eastAsia="Calibri" w:hAnsi="Arial" w:cs="Arial"/>
        </w:rPr>
      </w:pPr>
      <w:proofErr w:type="spellStart"/>
      <w:r w:rsidRPr="00632678">
        <w:rPr>
          <w:rFonts w:ascii="Arial" w:eastAsia="Calibri" w:hAnsi="Arial" w:cs="Arial"/>
        </w:rPr>
        <w:t>Wabaidur</w:t>
      </w:r>
      <w:proofErr w:type="spellEnd"/>
      <w:r w:rsidRPr="00632678">
        <w:rPr>
          <w:rFonts w:ascii="Arial" w:eastAsia="Calibri" w:hAnsi="Arial" w:cs="Arial"/>
        </w:rPr>
        <w:t xml:space="preserve">, </w:t>
      </w:r>
      <w:proofErr w:type="spellStart"/>
      <w:r w:rsidRPr="00632678">
        <w:rPr>
          <w:rFonts w:ascii="Arial" w:eastAsia="Calibri" w:hAnsi="Arial" w:cs="Arial"/>
        </w:rPr>
        <w:t>Saikh</w:t>
      </w:r>
      <w:proofErr w:type="spellEnd"/>
      <w:r w:rsidRPr="00632678">
        <w:rPr>
          <w:rFonts w:ascii="Arial" w:eastAsia="Calibri" w:hAnsi="Arial" w:cs="Arial"/>
        </w:rPr>
        <w:t xml:space="preserve"> Mohammad, </w:t>
      </w:r>
      <w:proofErr w:type="spellStart"/>
      <w:r w:rsidRPr="00632678">
        <w:rPr>
          <w:rFonts w:ascii="Arial" w:eastAsia="Calibri" w:hAnsi="Arial" w:cs="Arial"/>
        </w:rPr>
        <w:t>Moonis</w:t>
      </w:r>
      <w:proofErr w:type="spellEnd"/>
      <w:r w:rsidRPr="00632678">
        <w:rPr>
          <w:rFonts w:ascii="Arial" w:eastAsia="Calibri" w:hAnsi="Arial" w:cs="Arial"/>
        </w:rPr>
        <w:t xml:space="preserve"> Ali Khan, Masoom Raza Siddiqui, et al. 2020. « Oxygenated Functionalities Enriched MWCNTs Decorated with Silica Coated Spinel Ferrite – A Nanocomposite for Potentially Rapid and Efficient de-Colorization of Aquatic Environment ». </w:t>
      </w:r>
      <w:r w:rsidRPr="00632678">
        <w:rPr>
          <w:rFonts w:ascii="Arial" w:eastAsia="Calibri" w:hAnsi="Arial" w:cs="Arial"/>
          <w:i/>
          <w:iCs/>
        </w:rPr>
        <w:t>Journal of Molecular Liquids</w:t>
      </w:r>
      <w:r w:rsidRPr="00632678">
        <w:rPr>
          <w:rFonts w:ascii="Arial" w:eastAsia="Calibri" w:hAnsi="Arial" w:cs="Arial"/>
        </w:rPr>
        <w:t xml:space="preserve"> 317 (novembre): 113916. https://doi.org/10.1016/j.molliq.2020.113916.</w:t>
      </w:r>
    </w:p>
    <w:p w14:paraId="7B3C331D" w14:textId="2ECEF2A1" w:rsidR="00D029DB" w:rsidRDefault="00D029DB" w:rsidP="00632678">
      <w:pPr>
        <w:pStyle w:val="ListParagraph"/>
        <w:numPr>
          <w:ilvl w:val="0"/>
          <w:numId w:val="31"/>
        </w:numPr>
        <w:spacing w:after="240"/>
        <w:jc w:val="both"/>
        <w:rPr>
          <w:rFonts w:ascii="Arial" w:eastAsia="Calibri" w:hAnsi="Arial" w:cs="Arial"/>
        </w:rPr>
      </w:pPr>
      <w:r w:rsidRPr="00D029DB">
        <w:rPr>
          <w:rFonts w:ascii="Arial" w:eastAsia="Calibri" w:hAnsi="Arial" w:cs="Arial"/>
        </w:rPr>
        <w:t xml:space="preserve">Wang, Y., Zuo, S., Yang, J., &amp; Yoon, S.-H. (2017). Evolution of Phosphorus-Containing Groups on Activated Carbons during Heat Treatment. Langmuir </w:t>
      </w:r>
      <w:hyperlink r:id="rId72" w:history="1">
        <w:r w:rsidRPr="00E52DA4">
          <w:rPr>
            <w:rStyle w:val="Hyperlink"/>
            <w:rFonts w:ascii="Arial" w:eastAsia="Calibri" w:hAnsi="Arial" w:cs="Arial"/>
          </w:rPr>
          <w:t>https://doi.org/10.1021/acs.langmuir.7b00095</w:t>
        </w:r>
      </w:hyperlink>
    </w:p>
    <w:p w14:paraId="1E3AF01B" w14:textId="60330A02" w:rsidR="00D029DB" w:rsidRDefault="00D029DB" w:rsidP="00632678">
      <w:pPr>
        <w:pStyle w:val="ListParagraph"/>
        <w:numPr>
          <w:ilvl w:val="0"/>
          <w:numId w:val="31"/>
        </w:numPr>
        <w:spacing w:after="240"/>
        <w:jc w:val="both"/>
        <w:rPr>
          <w:rFonts w:ascii="Arial" w:eastAsia="Calibri" w:hAnsi="Arial" w:cs="Arial"/>
        </w:rPr>
      </w:pPr>
      <w:proofErr w:type="spellStart"/>
      <w:r w:rsidRPr="00D029DB">
        <w:rPr>
          <w:rFonts w:ascii="Arial" w:eastAsia="Calibri" w:hAnsi="Arial" w:cs="Arial"/>
        </w:rPr>
        <w:t>Yakout</w:t>
      </w:r>
      <w:proofErr w:type="spellEnd"/>
      <w:r w:rsidRPr="00D029DB">
        <w:rPr>
          <w:rFonts w:ascii="Arial" w:eastAsia="Calibri" w:hAnsi="Arial" w:cs="Arial"/>
        </w:rPr>
        <w:t>, S. M., &amp; Sharaf El-Deen, G. (2011). Characterization of activated carbon prepared by phosphoric acid activation of olive stones. *Arabian Journal of Chemistry*, *9*(</w:t>
      </w:r>
      <w:proofErr w:type="spellStart"/>
      <w:r w:rsidRPr="00D029DB">
        <w:rPr>
          <w:rFonts w:ascii="Arial" w:eastAsia="Calibri" w:hAnsi="Arial" w:cs="Arial"/>
        </w:rPr>
        <w:t>novembre</w:t>
      </w:r>
      <w:proofErr w:type="spellEnd"/>
      <w:r w:rsidRPr="00D029DB">
        <w:rPr>
          <w:rFonts w:ascii="Arial" w:eastAsia="Calibri" w:hAnsi="Arial" w:cs="Arial"/>
        </w:rPr>
        <w:t xml:space="preserve">), S1155-S1162. </w:t>
      </w:r>
      <w:hyperlink r:id="rId73" w:history="1">
        <w:r w:rsidRPr="00E52DA4">
          <w:rPr>
            <w:rStyle w:val="Hyperlink"/>
            <w:rFonts w:ascii="Arial" w:eastAsia="Calibri" w:hAnsi="Arial" w:cs="Arial"/>
          </w:rPr>
          <w:t>https://doi.org/10.1016/j.arabjc.2011.12.002</w:t>
        </w:r>
      </w:hyperlink>
    </w:p>
    <w:p w14:paraId="0D0F9970" w14:textId="6F23CD22" w:rsidR="00D029DB" w:rsidRDefault="00D029DB" w:rsidP="00632678">
      <w:pPr>
        <w:pStyle w:val="ListParagraph"/>
        <w:numPr>
          <w:ilvl w:val="0"/>
          <w:numId w:val="31"/>
        </w:numPr>
        <w:spacing w:after="240"/>
        <w:jc w:val="both"/>
        <w:rPr>
          <w:rFonts w:ascii="Arial" w:eastAsia="Calibri" w:hAnsi="Arial" w:cs="Arial"/>
        </w:rPr>
      </w:pPr>
      <w:r w:rsidRPr="00D029DB">
        <w:rPr>
          <w:rFonts w:ascii="Arial" w:eastAsia="Calibri" w:hAnsi="Arial" w:cs="Arial"/>
        </w:rPr>
        <w:t xml:space="preserve">Yap, P. L., Wang, D., &amp; </w:t>
      </w:r>
      <w:proofErr w:type="spellStart"/>
      <w:r w:rsidRPr="00D029DB">
        <w:rPr>
          <w:rFonts w:ascii="Arial" w:eastAsia="Calibri" w:hAnsi="Arial" w:cs="Arial"/>
        </w:rPr>
        <w:t>Losic</w:t>
      </w:r>
      <w:proofErr w:type="spellEnd"/>
      <w:r w:rsidRPr="00D029DB">
        <w:rPr>
          <w:rFonts w:ascii="Arial" w:eastAsia="Calibri" w:hAnsi="Arial" w:cs="Arial"/>
        </w:rPr>
        <w:t xml:space="preserve">, D. (2025). Advancing Methylene Blue Adsorption Approach for More Precise Measurement of Specific Surface Area of Graphene Oxide. Advanced Materials Interfaces. </w:t>
      </w:r>
      <w:hyperlink r:id="rId74" w:history="1">
        <w:r w:rsidRPr="00E52DA4">
          <w:rPr>
            <w:rStyle w:val="Hyperlink"/>
            <w:rFonts w:ascii="Arial" w:eastAsia="Calibri" w:hAnsi="Arial" w:cs="Arial"/>
          </w:rPr>
          <w:t>https://doi.org/10.1002/admi.202500233</w:t>
        </w:r>
      </w:hyperlink>
    </w:p>
    <w:p w14:paraId="654D7DF2" w14:textId="25D23A34" w:rsidR="00F30669" w:rsidRPr="00632678" w:rsidRDefault="00F30669" w:rsidP="00632678">
      <w:pPr>
        <w:pStyle w:val="ListParagraph"/>
        <w:numPr>
          <w:ilvl w:val="0"/>
          <w:numId w:val="31"/>
        </w:numPr>
        <w:spacing w:after="240"/>
        <w:jc w:val="both"/>
        <w:rPr>
          <w:rFonts w:ascii="Arial" w:eastAsia="Calibri" w:hAnsi="Arial" w:cs="Arial"/>
        </w:rPr>
      </w:pPr>
      <w:r w:rsidRPr="00632678">
        <w:rPr>
          <w:rFonts w:ascii="Arial" w:eastAsia="Calibri" w:hAnsi="Arial" w:cs="Arial"/>
        </w:rPr>
        <w:t xml:space="preserve">Yeo, N. A. 2020. </w:t>
      </w:r>
      <w:r w:rsidRPr="00632678">
        <w:rPr>
          <w:rFonts w:ascii="Arial" w:eastAsia="Calibri" w:hAnsi="Arial" w:cs="Arial"/>
          <w:i/>
          <w:iCs/>
        </w:rPr>
        <w:t>Adsorption des colorants des eaux usées sur du charbon actif et brut issu de la coque d’arachide</w:t>
      </w:r>
      <w:r w:rsidRPr="00632678">
        <w:rPr>
          <w:rFonts w:ascii="Arial" w:eastAsia="Calibri" w:hAnsi="Arial" w:cs="Arial"/>
        </w:rPr>
        <w:t>. Master de Physique-chimie option Environnement. Université Jean Lorougnon Guédé, République de Côte d’Ivoire.</w:t>
      </w:r>
    </w:p>
    <w:p w14:paraId="7118F8C3" w14:textId="18CB94F1" w:rsidR="00D029DB" w:rsidRDefault="00D029DB" w:rsidP="00632678">
      <w:pPr>
        <w:pStyle w:val="ListParagraph"/>
        <w:numPr>
          <w:ilvl w:val="0"/>
          <w:numId w:val="31"/>
        </w:numPr>
        <w:spacing w:after="240"/>
        <w:jc w:val="both"/>
        <w:rPr>
          <w:rFonts w:ascii="Arial" w:eastAsia="Calibri" w:hAnsi="Arial" w:cs="Arial"/>
        </w:rPr>
      </w:pPr>
      <w:proofErr w:type="spellStart"/>
      <w:r w:rsidRPr="00D029DB">
        <w:rPr>
          <w:rFonts w:ascii="Arial" w:eastAsia="Calibri" w:hAnsi="Arial" w:cs="Arial"/>
        </w:rPr>
        <w:t>Yorgun</w:t>
      </w:r>
      <w:proofErr w:type="spellEnd"/>
      <w:r w:rsidRPr="00D029DB">
        <w:rPr>
          <w:rFonts w:ascii="Arial" w:eastAsia="Calibri" w:hAnsi="Arial" w:cs="Arial"/>
        </w:rPr>
        <w:t xml:space="preserve">, S., &amp; Yıldız, D. (2015). Preparation and characterization of activated carbons from Paulownia wood by chemical activation with H3PO4. Journal of the Taiwan Institute of Chemical Engineers, 53, 122-131. </w:t>
      </w:r>
      <w:hyperlink r:id="rId75" w:history="1">
        <w:r w:rsidRPr="00E52DA4">
          <w:rPr>
            <w:rStyle w:val="Hyperlink"/>
            <w:rFonts w:ascii="Arial" w:eastAsia="Calibri" w:hAnsi="Arial" w:cs="Arial"/>
          </w:rPr>
          <w:t>https://doi.org/10.1016/j.jtice.2015.02.032</w:t>
        </w:r>
      </w:hyperlink>
    </w:p>
    <w:p w14:paraId="4E35D3B5" w14:textId="135714C5" w:rsidR="00F30669" w:rsidRDefault="00D029DB" w:rsidP="00D029DB">
      <w:pPr>
        <w:pStyle w:val="ReferHead"/>
        <w:numPr>
          <w:ilvl w:val="0"/>
          <w:numId w:val="31"/>
        </w:numPr>
        <w:spacing w:after="0"/>
        <w:jc w:val="both"/>
        <w:rPr>
          <w:rFonts w:ascii="Arial" w:eastAsia="Calibri" w:hAnsi="Arial" w:cs="Arial"/>
          <w:b w:val="0"/>
          <w:caps w:val="0"/>
          <w:kern w:val="2"/>
          <w:sz w:val="24"/>
          <w:szCs w:val="24"/>
          <w14:ligatures w14:val="standardContextual"/>
        </w:rPr>
      </w:pPr>
      <w:r w:rsidRPr="00D029DB">
        <w:rPr>
          <w:rFonts w:ascii="Arial" w:eastAsia="Calibri" w:hAnsi="Arial" w:cs="Arial"/>
          <w:b w:val="0"/>
          <w:caps w:val="0"/>
          <w:kern w:val="2"/>
          <w:sz w:val="24"/>
          <w:szCs w:val="24"/>
          <w14:ligatures w14:val="standardContextual"/>
        </w:rPr>
        <w:t xml:space="preserve">Yuen, F. K., &amp; Hameed, B. H. (2009). Recent developments in the preparation and regeneration of activated carbons by microwaves. Advances in Colloid and Interface Science, 149(1-2), 19-27. </w:t>
      </w:r>
      <w:hyperlink r:id="rId76" w:history="1">
        <w:r w:rsidRPr="00E52DA4">
          <w:rPr>
            <w:rStyle w:val="Hyperlink"/>
            <w:rFonts w:ascii="Arial" w:eastAsia="Calibri" w:hAnsi="Arial" w:cs="Arial"/>
            <w:b w:val="0"/>
            <w:caps w:val="0"/>
            <w:kern w:val="2"/>
            <w:sz w:val="24"/>
            <w:szCs w:val="24"/>
            <w14:ligatures w14:val="standardContextual"/>
          </w:rPr>
          <w:t>https://doi.org/10.1016/j.cis.2008.12.005</w:t>
        </w:r>
      </w:hyperlink>
    </w:p>
    <w:p w14:paraId="39B60052" w14:textId="77777777" w:rsidR="00D029DB" w:rsidRPr="00F30669" w:rsidRDefault="00D029DB" w:rsidP="00441B6F">
      <w:pPr>
        <w:pStyle w:val="ReferHead"/>
        <w:spacing w:after="0"/>
        <w:jc w:val="both"/>
        <w:rPr>
          <w:rFonts w:ascii="Arial" w:hAnsi="Arial" w:cs="Arial"/>
        </w:rPr>
      </w:pPr>
    </w:p>
    <w:p w14:paraId="567B4AFA" w14:textId="68DD4751" w:rsidR="004D4277" w:rsidRPr="00FB3A86" w:rsidRDefault="004D4277" w:rsidP="00441B6F">
      <w:pPr>
        <w:pStyle w:val="Appendix"/>
        <w:spacing w:after="0"/>
        <w:jc w:val="both"/>
        <w:rPr>
          <w:rFonts w:ascii="Arial" w:hAnsi="Arial" w:cs="Arial"/>
          <w:b w:val="0"/>
        </w:rPr>
        <w:sectPr w:rsidR="004D4277" w:rsidRPr="00FB3A86" w:rsidSect="003B6BD1">
          <w:headerReference w:type="even" r:id="rId77"/>
          <w:headerReference w:type="default" r:id="rId78"/>
          <w:footerReference w:type="even" r:id="rId79"/>
          <w:footerReference w:type="default" r:id="rId80"/>
          <w:headerReference w:type="first" r:id="rId81"/>
          <w:footerReference w:type="first" r:id="rId82"/>
          <w:type w:val="continuous"/>
          <w:pgSz w:w="12240" w:h="15840"/>
          <w:pgMar w:top="1440" w:right="2016" w:bottom="2016" w:left="2016" w:header="720" w:footer="1123" w:gutter="0"/>
          <w:cols w:space="720"/>
          <w:docGrid w:linePitch="272"/>
        </w:sectPr>
      </w:pPr>
    </w:p>
    <w:p w14:paraId="52F83A14" w14:textId="77777777" w:rsidR="00B01FCD" w:rsidRPr="00FB3A86" w:rsidRDefault="00B01FCD" w:rsidP="00441B6F">
      <w:pPr>
        <w:pStyle w:val="Appendix"/>
        <w:spacing w:after="0"/>
        <w:jc w:val="both"/>
        <w:rPr>
          <w:rFonts w:ascii="Arial" w:hAnsi="Arial" w:cs="Arial"/>
          <w:b w:val="0"/>
        </w:rPr>
      </w:pPr>
    </w:p>
    <w:sectPr w:rsidR="00B01FCD" w:rsidRPr="00FB3A86" w:rsidSect="003B6BD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93C1FD" w14:textId="77777777" w:rsidR="00BE62BF" w:rsidRDefault="00BE62BF" w:rsidP="00C37E61">
      <w:r>
        <w:separator/>
      </w:r>
    </w:p>
  </w:endnote>
  <w:endnote w:type="continuationSeparator" w:id="0">
    <w:p w14:paraId="70D5B0E5" w14:textId="77777777" w:rsidR="00BE62BF" w:rsidRDefault="00BE62B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8A160" w14:textId="77777777" w:rsidR="003B6BD1" w:rsidRDefault="003B6B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83C47"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41747" w14:textId="77777777" w:rsidR="003B6BD1" w:rsidRDefault="003B6B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47439F" w14:textId="77777777" w:rsidR="00BE62BF" w:rsidRDefault="00BE62BF" w:rsidP="00C37E61">
      <w:r>
        <w:separator/>
      </w:r>
    </w:p>
  </w:footnote>
  <w:footnote w:type="continuationSeparator" w:id="0">
    <w:p w14:paraId="779FBF70" w14:textId="77777777" w:rsidR="00BE62BF" w:rsidRDefault="00BE62B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165DC" w14:textId="74459B0D" w:rsidR="003B6BD1" w:rsidRDefault="003B6BD1">
    <w:pPr>
      <w:pStyle w:val="Header"/>
    </w:pPr>
    <w:r>
      <w:rPr>
        <w:noProof/>
      </w:rPr>
      <w:pict w14:anchorId="3C5718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182776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818F3" w14:textId="2B86CA17" w:rsidR="003B6BD1" w:rsidRDefault="003B6BD1">
    <w:pPr>
      <w:pStyle w:val="Header"/>
    </w:pPr>
    <w:r>
      <w:rPr>
        <w:noProof/>
      </w:rPr>
      <w:pict w14:anchorId="229E3C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182776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7AC0F" w14:textId="4EAEC578" w:rsidR="003B6BD1" w:rsidRDefault="003B6BD1">
    <w:pPr>
      <w:pStyle w:val="Header"/>
    </w:pPr>
    <w:r>
      <w:rPr>
        <w:noProof/>
      </w:rPr>
      <w:pict w14:anchorId="12AB3F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1827765" o:spid="_x0000_s2049" type="#_x0000_t136" style="position:absolute;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54448B"/>
    <w:multiLevelType w:val="hybridMultilevel"/>
    <w:tmpl w:val="9304A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9"/>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96E"/>
    <w:rsid w:val="00000F8F"/>
    <w:rsid w:val="000126C3"/>
    <w:rsid w:val="00030174"/>
    <w:rsid w:val="0004579C"/>
    <w:rsid w:val="0006763C"/>
    <w:rsid w:val="00081FD9"/>
    <w:rsid w:val="00083E8E"/>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0B0F"/>
    <w:rsid w:val="0024282C"/>
    <w:rsid w:val="002460DC"/>
    <w:rsid w:val="00250985"/>
    <w:rsid w:val="002556F6"/>
    <w:rsid w:val="00283105"/>
    <w:rsid w:val="00284C4C"/>
    <w:rsid w:val="00287E68"/>
    <w:rsid w:val="00296529"/>
    <w:rsid w:val="002B27FB"/>
    <w:rsid w:val="002B685A"/>
    <w:rsid w:val="002C57D2"/>
    <w:rsid w:val="002D0B75"/>
    <w:rsid w:val="002E0D56"/>
    <w:rsid w:val="00315186"/>
    <w:rsid w:val="0033343E"/>
    <w:rsid w:val="003443B4"/>
    <w:rsid w:val="003512C2"/>
    <w:rsid w:val="00371FB6"/>
    <w:rsid w:val="003763C1"/>
    <w:rsid w:val="00376BBE"/>
    <w:rsid w:val="0039224F"/>
    <w:rsid w:val="003A43A4"/>
    <w:rsid w:val="003A7E18"/>
    <w:rsid w:val="003B6BD1"/>
    <w:rsid w:val="003C4C86"/>
    <w:rsid w:val="003C6258"/>
    <w:rsid w:val="003D59A8"/>
    <w:rsid w:val="003E2904"/>
    <w:rsid w:val="00401927"/>
    <w:rsid w:val="0040703F"/>
    <w:rsid w:val="0041027F"/>
    <w:rsid w:val="00412475"/>
    <w:rsid w:val="00423789"/>
    <w:rsid w:val="00440F43"/>
    <w:rsid w:val="00441B6F"/>
    <w:rsid w:val="00446221"/>
    <w:rsid w:val="00450E62"/>
    <w:rsid w:val="004539DB"/>
    <w:rsid w:val="004605D8"/>
    <w:rsid w:val="00471A80"/>
    <w:rsid w:val="004B5468"/>
    <w:rsid w:val="004D305E"/>
    <w:rsid w:val="004D4277"/>
    <w:rsid w:val="00502497"/>
    <w:rsid w:val="00502516"/>
    <w:rsid w:val="00505F06"/>
    <w:rsid w:val="00506828"/>
    <w:rsid w:val="0053056E"/>
    <w:rsid w:val="00554FDA"/>
    <w:rsid w:val="005C784C"/>
    <w:rsid w:val="005D17F6"/>
    <w:rsid w:val="005E5539"/>
    <w:rsid w:val="00602BF5"/>
    <w:rsid w:val="0061557F"/>
    <w:rsid w:val="00617FDD"/>
    <w:rsid w:val="00632678"/>
    <w:rsid w:val="00633614"/>
    <w:rsid w:val="00633F68"/>
    <w:rsid w:val="00636EB2"/>
    <w:rsid w:val="006375B8"/>
    <w:rsid w:val="0066510A"/>
    <w:rsid w:val="0067249B"/>
    <w:rsid w:val="00673F9F"/>
    <w:rsid w:val="00686953"/>
    <w:rsid w:val="00687DEA"/>
    <w:rsid w:val="00687E67"/>
    <w:rsid w:val="006967F7"/>
    <w:rsid w:val="006A250C"/>
    <w:rsid w:val="006B21D3"/>
    <w:rsid w:val="006B57D0"/>
    <w:rsid w:val="006C0C8E"/>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1B20"/>
    <w:rsid w:val="008B459E"/>
    <w:rsid w:val="008E13AE"/>
    <w:rsid w:val="008E1506"/>
    <w:rsid w:val="008E710C"/>
    <w:rsid w:val="008F69D6"/>
    <w:rsid w:val="00902823"/>
    <w:rsid w:val="00915CA6"/>
    <w:rsid w:val="00927834"/>
    <w:rsid w:val="009500A6"/>
    <w:rsid w:val="00957C18"/>
    <w:rsid w:val="009659BA"/>
    <w:rsid w:val="009718EB"/>
    <w:rsid w:val="00983040"/>
    <w:rsid w:val="00997F63"/>
    <w:rsid w:val="009B3FB9"/>
    <w:rsid w:val="009C2465"/>
    <w:rsid w:val="009D35A0"/>
    <w:rsid w:val="009D7EB7"/>
    <w:rsid w:val="009E048A"/>
    <w:rsid w:val="009E08E9"/>
    <w:rsid w:val="009E3DB9"/>
    <w:rsid w:val="009E6E35"/>
    <w:rsid w:val="009F0A40"/>
    <w:rsid w:val="009F0EDA"/>
    <w:rsid w:val="00A03B96"/>
    <w:rsid w:val="00A05B19"/>
    <w:rsid w:val="00A0613C"/>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373D5"/>
    <w:rsid w:val="00B52583"/>
    <w:rsid w:val="00B52896"/>
    <w:rsid w:val="00B95236"/>
    <w:rsid w:val="00B96BD9"/>
    <w:rsid w:val="00BA1B01"/>
    <w:rsid w:val="00BA2641"/>
    <w:rsid w:val="00BB37AA"/>
    <w:rsid w:val="00BC53A0"/>
    <w:rsid w:val="00BE2698"/>
    <w:rsid w:val="00BE571E"/>
    <w:rsid w:val="00BE62AD"/>
    <w:rsid w:val="00BE62BF"/>
    <w:rsid w:val="00BF121F"/>
    <w:rsid w:val="00BF1F80"/>
    <w:rsid w:val="00C035C3"/>
    <w:rsid w:val="00C166EF"/>
    <w:rsid w:val="00C17EB0"/>
    <w:rsid w:val="00C27F5F"/>
    <w:rsid w:val="00C30A0F"/>
    <w:rsid w:val="00C37E61"/>
    <w:rsid w:val="00C70F1B"/>
    <w:rsid w:val="00C71A47"/>
    <w:rsid w:val="00C7464C"/>
    <w:rsid w:val="00C85588"/>
    <w:rsid w:val="00CD6755"/>
    <w:rsid w:val="00CD6856"/>
    <w:rsid w:val="00CE0089"/>
    <w:rsid w:val="00CE793C"/>
    <w:rsid w:val="00CF193C"/>
    <w:rsid w:val="00CF6AB3"/>
    <w:rsid w:val="00D029DB"/>
    <w:rsid w:val="00D173F1"/>
    <w:rsid w:val="00D74CB0"/>
    <w:rsid w:val="00D8295D"/>
    <w:rsid w:val="00DC2A65"/>
    <w:rsid w:val="00DE15F0"/>
    <w:rsid w:val="00DE5663"/>
    <w:rsid w:val="00DE6484"/>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30669"/>
    <w:rsid w:val="00F469F0"/>
    <w:rsid w:val="00F53273"/>
    <w:rsid w:val="00F755E4"/>
    <w:rsid w:val="00F77D02"/>
    <w:rsid w:val="00FA0089"/>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00EF15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DE6484"/>
    <w:pPr>
      <w:keepNext/>
      <w:keepLines/>
      <w:spacing w:before="160" w:after="80" w:line="278" w:lineRule="auto"/>
      <w:outlineLvl w:val="1"/>
    </w:pPr>
    <w:rPr>
      <w:rFonts w:asciiTheme="majorHAnsi" w:eastAsiaTheme="majorEastAsia" w:hAnsiTheme="majorHAnsi" w:cstheme="majorBidi"/>
      <w:color w:val="365F9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DE6484"/>
    <w:pPr>
      <w:keepNext/>
      <w:keepLines/>
      <w:spacing w:before="160" w:after="80" w:line="278" w:lineRule="auto"/>
      <w:outlineLvl w:val="2"/>
    </w:pPr>
    <w:rPr>
      <w:rFonts w:asciiTheme="minorHAnsi" w:eastAsiaTheme="majorEastAsia" w:hAnsiTheme="minorHAnsi" w:cstheme="majorBidi"/>
      <w:color w:val="365F9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DE6484"/>
    <w:pPr>
      <w:keepNext/>
      <w:keepLines/>
      <w:spacing w:before="80" w:after="40" w:line="278" w:lineRule="auto"/>
      <w:outlineLvl w:val="3"/>
    </w:pPr>
    <w:rPr>
      <w:rFonts w:asciiTheme="minorHAnsi" w:eastAsiaTheme="majorEastAsia" w:hAnsiTheme="minorHAnsi" w:cstheme="majorBidi"/>
      <w:i/>
      <w:iCs/>
      <w:color w:val="365F9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DE6484"/>
    <w:pPr>
      <w:keepNext/>
      <w:keepLines/>
      <w:spacing w:before="80" w:after="40" w:line="278" w:lineRule="auto"/>
      <w:outlineLvl w:val="4"/>
    </w:pPr>
    <w:rPr>
      <w:rFonts w:asciiTheme="minorHAnsi" w:eastAsiaTheme="majorEastAsia" w:hAnsiTheme="minorHAnsi" w:cstheme="majorBidi"/>
      <w:color w:val="365F9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DE6484"/>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DE6484"/>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DE6484"/>
    <w:pPr>
      <w:keepNext/>
      <w:keepLines/>
      <w:spacing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DE6484"/>
    <w:pPr>
      <w:keepNext/>
      <w:keepLines/>
      <w:spacing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uiPriority w:val="9"/>
    <w:semiHidden/>
    <w:rsid w:val="00DE6484"/>
    <w:rPr>
      <w:rFonts w:asciiTheme="majorHAnsi" w:eastAsiaTheme="majorEastAsia" w:hAnsiTheme="majorHAnsi" w:cstheme="majorBidi"/>
      <w:color w:val="365F91"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DE6484"/>
    <w:rPr>
      <w:rFonts w:asciiTheme="minorHAnsi" w:eastAsiaTheme="majorEastAsia" w:hAnsiTheme="minorHAnsi" w:cstheme="majorBidi"/>
      <w:color w:val="365F91"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DE6484"/>
    <w:rPr>
      <w:rFonts w:asciiTheme="minorHAnsi" w:eastAsiaTheme="majorEastAsia" w:hAnsiTheme="minorHAnsi" w:cstheme="majorBidi"/>
      <w:i/>
      <w:iCs/>
      <w:color w:val="365F91"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DE6484"/>
    <w:rPr>
      <w:rFonts w:asciiTheme="minorHAnsi" w:eastAsiaTheme="majorEastAsia" w:hAnsiTheme="minorHAnsi" w:cstheme="majorBidi"/>
      <w:color w:val="365F91"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DE6484"/>
    <w:rPr>
      <w:rFonts w:asciiTheme="minorHAnsi" w:eastAsiaTheme="majorEastAsia" w:hAnsiTheme="minorHAnsi"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DE6484"/>
    <w:rPr>
      <w:rFonts w:asciiTheme="minorHAnsi" w:eastAsiaTheme="majorEastAsia" w:hAnsiTheme="minorHAnsi"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DE6484"/>
    <w:rPr>
      <w:rFonts w:asciiTheme="minorHAnsi" w:eastAsiaTheme="majorEastAsia" w:hAnsiTheme="minorHAnsi"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DE6484"/>
    <w:rPr>
      <w:rFonts w:asciiTheme="minorHAnsi" w:eastAsiaTheme="majorEastAsia" w:hAnsiTheme="minorHAnsi" w:cstheme="majorBidi"/>
      <w:color w:val="272727" w:themeColor="text1" w:themeTint="D8"/>
      <w:kern w:val="2"/>
      <w:sz w:val="24"/>
      <w:szCs w:val="24"/>
      <w14:ligatures w14:val="standardContextual"/>
    </w:rPr>
  </w:style>
  <w:style w:type="character" w:customStyle="1" w:styleId="Heading1Char">
    <w:name w:val="Heading 1 Char"/>
    <w:basedOn w:val="DefaultParagraphFont"/>
    <w:link w:val="Heading1"/>
    <w:uiPriority w:val="9"/>
    <w:rsid w:val="00DE6484"/>
    <w:rPr>
      <w:rFonts w:ascii="Arial" w:hAnsi="Arial"/>
      <w:b/>
      <w:kern w:val="28"/>
      <w:sz w:val="28"/>
    </w:rPr>
  </w:style>
  <w:style w:type="character" w:customStyle="1" w:styleId="TitleChar">
    <w:name w:val="Title Char"/>
    <w:basedOn w:val="DefaultParagraphFont"/>
    <w:link w:val="Title"/>
    <w:uiPriority w:val="10"/>
    <w:rsid w:val="00DE6484"/>
    <w:rPr>
      <w:rFonts w:ascii="Helvetica" w:hAnsi="Helvetica"/>
      <w:b/>
      <w:kern w:val="28"/>
      <w:sz w:val="36"/>
    </w:rPr>
  </w:style>
  <w:style w:type="paragraph" w:styleId="Subtitle">
    <w:name w:val="Subtitle"/>
    <w:basedOn w:val="Normal"/>
    <w:next w:val="Normal"/>
    <w:link w:val="SubtitleChar"/>
    <w:uiPriority w:val="11"/>
    <w:qFormat/>
    <w:rsid w:val="00DE6484"/>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DE6484"/>
    <w:rPr>
      <w:rFonts w:asciiTheme="minorHAnsi" w:eastAsiaTheme="majorEastAsia" w:hAnsiTheme="minorHAnsi"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DE6484"/>
    <w:pPr>
      <w:spacing w:before="160" w:after="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DE6484"/>
    <w:rPr>
      <w:rFonts w:asciiTheme="minorHAnsi" w:eastAsiaTheme="minorHAnsi" w:hAnsiTheme="minorHAnsi" w:cstheme="minorBidi"/>
      <w:i/>
      <w:iCs/>
      <w:color w:val="404040" w:themeColor="text1" w:themeTint="BF"/>
      <w:kern w:val="2"/>
      <w:sz w:val="24"/>
      <w:szCs w:val="24"/>
      <w14:ligatures w14:val="standardContextual"/>
    </w:rPr>
  </w:style>
  <w:style w:type="paragraph" w:styleId="ListParagraph">
    <w:name w:val="List Paragraph"/>
    <w:basedOn w:val="Normal"/>
    <w:uiPriority w:val="34"/>
    <w:qFormat/>
    <w:rsid w:val="00DE6484"/>
    <w:pPr>
      <w:spacing w:after="160" w:line="278" w:lineRule="auto"/>
      <w:ind w:left="720"/>
      <w:contextualSpacing/>
    </w:pPr>
    <w:rPr>
      <w:rFonts w:asciiTheme="minorHAnsi" w:eastAsiaTheme="minorHAnsi" w:hAnsiTheme="minorHAnsi" w:cstheme="minorBidi"/>
      <w:kern w:val="2"/>
      <w:sz w:val="24"/>
      <w:szCs w:val="24"/>
      <w14:ligatures w14:val="standardContextual"/>
    </w:rPr>
  </w:style>
  <w:style w:type="character" w:styleId="IntenseEmphasis">
    <w:name w:val="Intense Emphasis"/>
    <w:basedOn w:val="DefaultParagraphFont"/>
    <w:uiPriority w:val="21"/>
    <w:qFormat/>
    <w:rsid w:val="00DE6484"/>
    <w:rPr>
      <w:i/>
      <w:iCs/>
      <w:color w:val="365F91" w:themeColor="accent1" w:themeShade="BF"/>
    </w:rPr>
  </w:style>
  <w:style w:type="paragraph" w:styleId="IntenseQuote">
    <w:name w:val="Intense Quote"/>
    <w:basedOn w:val="Normal"/>
    <w:next w:val="Normal"/>
    <w:link w:val="IntenseQuoteChar"/>
    <w:uiPriority w:val="30"/>
    <w:qFormat/>
    <w:rsid w:val="00DE6484"/>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Theme="minorHAnsi" w:eastAsiaTheme="minorHAnsi" w:hAnsiTheme="minorHAnsi" w:cstheme="minorBidi"/>
      <w:i/>
      <w:iCs/>
      <w:color w:val="365F9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DE6484"/>
    <w:rPr>
      <w:rFonts w:asciiTheme="minorHAnsi" w:eastAsiaTheme="minorHAnsi" w:hAnsiTheme="minorHAnsi" w:cstheme="minorBidi"/>
      <w:i/>
      <w:iCs/>
      <w:color w:val="365F91" w:themeColor="accent1" w:themeShade="BF"/>
      <w:kern w:val="2"/>
      <w:sz w:val="24"/>
      <w:szCs w:val="24"/>
      <w14:ligatures w14:val="standardContextual"/>
    </w:rPr>
  </w:style>
  <w:style w:type="character" w:styleId="IntenseReference">
    <w:name w:val="Intense Reference"/>
    <w:basedOn w:val="DefaultParagraphFont"/>
    <w:uiPriority w:val="32"/>
    <w:qFormat/>
    <w:rsid w:val="00DE6484"/>
    <w:rPr>
      <w:b/>
      <w:bCs/>
      <w:smallCaps/>
      <w:color w:val="365F91" w:themeColor="accent1" w:themeShade="BF"/>
      <w:spacing w:val="5"/>
    </w:rPr>
  </w:style>
  <w:style w:type="table" w:customStyle="1" w:styleId="Grilledutableau1">
    <w:name w:val="Grille du tableau1"/>
    <w:basedOn w:val="TableNormal"/>
    <w:next w:val="TableGrid"/>
    <w:uiPriority w:val="39"/>
    <w:rsid w:val="00DE648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39"/>
    <w:rsid w:val="00DE6484"/>
    <w:rPr>
      <w:rFonts w:ascii="Calibri" w:eastAsia="Calibri" w:hAnsi="Calibri"/>
      <w:kern w:val="2"/>
      <w:sz w:val="24"/>
      <w:szCs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Normal"/>
    <w:uiPriority w:val="39"/>
    <w:rsid w:val="00DE6484"/>
    <w:rPr>
      <w:rFonts w:ascii="Calibri" w:eastAsia="Calibri" w:hAnsi="Calibri"/>
      <w:kern w:val="2"/>
      <w:sz w:val="22"/>
      <w:szCs w:val="2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3">
    <w:name w:val="Grille du tableau23"/>
    <w:basedOn w:val="TableNormal"/>
    <w:next w:val="TableGrid"/>
    <w:uiPriority w:val="39"/>
    <w:rsid w:val="00DE6484"/>
    <w:rPr>
      <w:rFonts w:asciiTheme="minorHAnsi" w:eastAsia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DE6484"/>
    <w:pPr>
      <w:spacing w:after="240"/>
      <w:ind w:left="720" w:hanging="720"/>
    </w:pPr>
    <w:rPr>
      <w:rFonts w:asciiTheme="minorHAnsi" w:eastAsiaTheme="minorHAnsi" w:hAnsiTheme="minorHAnsi" w:cstheme="minorBidi"/>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cartre.2025.100507" TargetMode="External"/><Relationship Id="rId21" Type="http://schemas.openxmlformats.org/officeDocument/2006/relationships/chart" Target="charts/chart10.xml"/><Relationship Id="rId42" Type="http://schemas.openxmlformats.org/officeDocument/2006/relationships/hyperlink" Target="https://doi.org/10.1021/ef9801165" TargetMode="External"/><Relationship Id="rId47" Type="http://schemas.openxmlformats.org/officeDocument/2006/relationships/hyperlink" Target="https://doi.org/10.1080/19443994.2016.1144534" TargetMode="External"/><Relationship Id="rId63" Type="http://schemas.openxmlformats.org/officeDocument/2006/relationships/hyperlink" Target="https://doi.org/10.1016/j.carbon.2003.09.022" TargetMode="External"/><Relationship Id="rId68" Type="http://schemas.openxmlformats.org/officeDocument/2006/relationships/hyperlink" Target="https://doi.org/10.1016/j.jhazmat.2010.04.086" TargetMode="External"/><Relationship Id="rId84" Type="http://schemas.openxmlformats.org/officeDocument/2006/relationships/theme" Target="theme/theme1.xml"/><Relationship Id="rId16" Type="http://schemas.openxmlformats.org/officeDocument/2006/relationships/chart" Target="charts/chart5.xml"/><Relationship Id="rId11" Type="http://schemas.openxmlformats.org/officeDocument/2006/relationships/image" Target="media/image3.jpeg"/><Relationship Id="rId32" Type="http://schemas.openxmlformats.org/officeDocument/2006/relationships/hyperlink" Target="https://doi.org/10.1016/j.psep.2018.04.015" TargetMode="External"/><Relationship Id="rId37" Type="http://schemas.openxmlformats.org/officeDocument/2006/relationships/hyperlink" Target="https://doi.org/10.18038/btda.64281" TargetMode="External"/><Relationship Id="rId53" Type="http://schemas.openxmlformats.org/officeDocument/2006/relationships/hyperlink" Target="https://doi.org/10.1016/j.cej.2009.12.016" TargetMode="External"/><Relationship Id="rId58" Type="http://schemas.openxmlformats.org/officeDocument/2006/relationships/hyperlink" Target="https://doi.org/10.1039/D4SU00262H" TargetMode="External"/><Relationship Id="rId74" Type="http://schemas.openxmlformats.org/officeDocument/2006/relationships/hyperlink" Target="https://doi.org/10.1002/admi.202500233"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doi.org/10.1016/j.jhazmat.2007.01.006" TargetMode="External"/><Relationship Id="rId82" Type="http://schemas.openxmlformats.org/officeDocument/2006/relationships/footer" Target="footer3.xml"/><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hyperlink" Target="https://doi.org/10.70176/3007-973X.1003" TargetMode="External"/><Relationship Id="rId27" Type="http://schemas.openxmlformats.org/officeDocument/2006/relationships/hyperlink" Target="https://doi.org/10.3390/c10010026" TargetMode="External"/><Relationship Id="rId30" Type="http://schemas.openxmlformats.org/officeDocument/2006/relationships/hyperlink" Target="https://www.semanticscholar.org/paper/Etudes-compar%C3%A9es-des-m%C3%A9thodes-de-pr%C3%A9paration-du-de-Bamba-Dongui/ca62c97384324b34def96ec4abb65bfba33dc14f" TargetMode="External"/><Relationship Id="rId35" Type="http://schemas.openxmlformats.org/officeDocument/2006/relationships/hyperlink" Target="https://doi.org/10.1520/D2866-11" TargetMode="External"/><Relationship Id="rId43" Type="http://schemas.openxmlformats.org/officeDocument/2006/relationships/hyperlink" Target="https://doi.org/10.1016/j.powtec.2020.02.013" TargetMode="External"/><Relationship Id="rId48" Type="http://schemas.openxmlformats.org/officeDocument/2006/relationships/hyperlink" Target="https://doi.org/10.9734/ajocs/2025/v15i1345" TargetMode="External"/><Relationship Id="rId56" Type="http://schemas.openxmlformats.org/officeDocument/2006/relationships/hyperlink" Target="https://doi.org/10.12691/ajn-9-1-1" TargetMode="External"/><Relationship Id="rId64" Type="http://schemas.openxmlformats.org/officeDocument/2006/relationships/hyperlink" Target="https://doi.org/10.1093/bulcsj/uoae118" TargetMode="External"/><Relationship Id="rId69" Type="http://schemas.openxmlformats.org/officeDocument/2006/relationships/hyperlink" Target="https://doi.org/10.51244/IJRSI.2025.120500020" TargetMode="External"/><Relationship Id="rId77" Type="http://schemas.openxmlformats.org/officeDocument/2006/relationships/header" Target="header1.xml"/><Relationship Id="rId8" Type="http://schemas.openxmlformats.org/officeDocument/2006/relationships/chart" Target="charts/chart1.xml"/><Relationship Id="rId51" Type="http://schemas.openxmlformats.org/officeDocument/2006/relationships/hyperlink" Target="http://www.soachim.org/" TargetMode="External"/><Relationship Id="rId72" Type="http://schemas.openxmlformats.org/officeDocument/2006/relationships/hyperlink" Target="https://doi.org/10.1021/acs.langmuir.7b00095" TargetMode="Externa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chart" Target="charts/chart6.xml"/><Relationship Id="rId25" Type="http://schemas.openxmlformats.org/officeDocument/2006/relationships/hyperlink" Target="https://doi.org/10.1016/j.fluid.2011.12.026" TargetMode="External"/><Relationship Id="rId33" Type="http://schemas.openxmlformats.org/officeDocument/2006/relationships/hyperlink" Target="https://doi.org/10.2478/eces-2025-0005" TargetMode="External"/><Relationship Id="rId38" Type="http://schemas.openxmlformats.org/officeDocument/2006/relationships/hyperlink" Target="https://doi.org/10.1016/j.pecs.2003.10.004" TargetMode="External"/><Relationship Id="rId46" Type="http://schemas.openxmlformats.org/officeDocument/2006/relationships/hyperlink" Target="https://doi.org/10.1016/S0008-6223(98)00082-7" TargetMode="External"/><Relationship Id="rId59" Type="http://schemas.openxmlformats.org/officeDocument/2006/relationships/hyperlink" Target="https://doi.org/10.7202/1069570ar" TargetMode="External"/><Relationship Id="rId67" Type="http://schemas.openxmlformats.org/officeDocument/2006/relationships/hyperlink" Target="https://www.researchgate.net/publication/308071666_Le_biochar_dans_les_milieux_poreux_Une_solution_miracle_en_environnement" TargetMode="External"/><Relationship Id="rId20" Type="http://schemas.openxmlformats.org/officeDocument/2006/relationships/chart" Target="charts/chart9.xml"/><Relationship Id="rId41" Type="http://schemas.openxmlformats.org/officeDocument/2006/relationships/hyperlink" Target="http://ethesis.nitrkl.ac.in/4000/" TargetMode="External"/><Relationship Id="rId54" Type="http://schemas.openxmlformats.org/officeDocument/2006/relationships/hyperlink" Target="https://doi.org/10.1016/S0008-6223(98)00317-0" TargetMode="External"/><Relationship Id="rId62" Type="http://schemas.openxmlformats.org/officeDocument/2006/relationships/hyperlink" Target="https://doi.org/10.1016/j.colsurfa.2004.04.007" TargetMode="External"/><Relationship Id="rId70" Type="http://schemas.openxmlformats.org/officeDocument/2006/relationships/hyperlink" Target="https://www.wiley.com/en-us/Spectrometric+Identification+of+Organic+Compounds,+7th+Edition-p-9780471393623" TargetMode="External"/><Relationship Id="rId75" Type="http://schemas.openxmlformats.org/officeDocument/2006/relationships/hyperlink" Target="https://doi.org/10.1016/j.jtice.2015.02.032"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hyperlink" Target="https://doi.org/10.1016/j.rechem.2025.102124" TargetMode="External"/><Relationship Id="rId28" Type="http://schemas.openxmlformats.org/officeDocument/2006/relationships/hyperlink" Target="https://doi.org/10.3390/ma512874" TargetMode="External"/><Relationship Id="rId36" Type="http://schemas.openxmlformats.org/officeDocument/2006/relationships/hyperlink" Target="https://doi.org/10.1016/j.colsurfa.2003.12.020" TargetMode="External"/><Relationship Id="rId49" Type="http://schemas.openxmlformats.org/officeDocument/2006/relationships/hyperlink" Target="https://doi.org/10.1016/j.jhazmat.2020.123247" TargetMode="External"/><Relationship Id="rId57" Type="http://schemas.openxmlformats.org/officeDocument/2006/relationships/hyperlink" Target="https://doi.org/10.4314/ijbcs.v11i6.39" TargetMode="External"/><Relationship Id="rId10" Type="http://schemas.openxmlformats.org/officeDocument/2006/relationships/image" Target="media/image2.png"/><Relationship Id="rId31" Type="http://schemas.openxmlformats.org/officeDocument/2006/relationships/hyperlink" Target="https://doi.org/10.1201/9781420028812" TargetMode="External"/><Relationship Id="rId44" Type="http://schemas.openxmlformats.org/officeDocument/2006/relationships/hyperlink" Target="https://doi.org/10.1016/j.jiec.2013.09.009" TargetMode="External"/><Relationship Id="rId52" Type="http://schemas.openxmlformats.org/officeDocument/2006/relationships/hyperlink" Target="https://doi.org/10.1021/ja02242a004" TargetMode="External"/><Relationship Id="rId60" Type="http://schemas.openxmlformats.org/officeDocument/2006/relationships/hyperlink" Target="https://doi.org/10.1007/s42452-019-0513-5" TargetMode="External"/><Relationship Id="rId65" Type="http://schemas.openxmlformats.org/officeDocument/2006/relationships/hyperlink" Target="https://doi.org/10.1007/s11356-021-17335-3" TargetMode="External"/><Relationship Id="rId73" Type="http://schemas.openxmlformats.org/officeDocument/2006/relationships/hyperlink" Target="https://doi.org/10.1016/j.arabjc.2011.12.002" TargetMode="External"/><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hyperlink" Target="https://doi.org/10.1016/j.cej.2009.09.013" TargetMode="External"/><Relationship Id="rId34" Type="http://schemas.openxmlformats.org/officeDocument/2006/relationships/hyperlink" Target="https://doi.org/10.1002/9780470027318.a5606" TargetMode="External"/><Relationship Id="rId50" Type="http://schemas.openxmlformats.org/officeDocument/2006/relationships/hyperlink" Target="https://www.ajol.info/index.php/sst" TargetMode="External"/><Relationship Id="rId55" Type="http://schemas.openxmlformats.org/officeDocument/2006/relationships/hyperlink" Target="https://doi.org/10.1016/j.jcis.2003.10.001" TargetMode="External"/><Relationship Id="rId76" Type="http://schemas.openxmlformats.org/officeDocument/2006/relationships/hyperlink" Target="https://doi.org/10.1016/j.cis.2008.12.005" TargetMode="External"/><Relationship Id="rId7" Type="http://schemas.openxmlformats.org/officeDocument/2006/relationships/endnotes" Target="endnotes.xml"/><Relationship Id="rId71" Type="http://schemas.openxmlformats.org/officeDocument/2006/relationships/hyperlink" Target="https://doi.org/10.4314/ijbcs.v6i1.42" TargetMode="External"/><Relationship Id="rId2" Type="http://schemas.openxmlformats.org/officeDocument/2006/relationships/numbering" Target="numbering.xml"/><Relationship Id="rId29" Type="http://schemas.openxmlformats.org/officeDocument/2006/relationships/hyperlink" Target="https://doi.org/10.15826/chimtech.2025.12.2.14" TargetMode="External"/><Relationship Id="rId24" Type="http://schemas.openxmlformats.org/officeDocument/2006/relationships/hyperlink" Target="https://www.elsevier.com/books/activated-carbon/marsh/978-0-08-044463-5" TargetMode="External"/><Relationship Id="rId40" Type="http://schemas.openxmlformats.org/officeDocument/2006/relationships/hyperlink" Target="https://doi.org/10.1515/zpch-1907-5723" TargetMode="External"/><Relationship Id="rId45" Type="http://schemas.openxmlformats.org/officeDocument/2006/relationships/hyperlink" Target="https://doi.org/10.1016/j.rser.2006.03.013" TargetMode="External"/><Relationship Id="rId66" Type="http://schemas.openxmlformats.org/officeDocument/2006/relationships/hyperlink" Target="https://doi.org/10.1016/j.biortech.2006.10.04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2.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2.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pH final = pH initial</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Feuil1!$D$3:$D$8</c:f>
              <c:numCache>
                <c:formatCode>General</c:formatCode>
                <c:ptCount val="6"/>
                <c:pt idx="0">
                  <c:v>2.3199999999999998</c:v>
                </c:pt>
                <c:pt idx="1">
                  <c:v>4.05</c:v>
                </c:pt>
                <c:pt idx="2">
                  <c:v>6.03</c:v>
                </c:pt>
                <c:pt idx="3">
                  <c:v>8.0500000000000007</c:v>
                </c:pt>
                <c:pt idx="4">
                  <c:v>10.06</c:v>
                </c:pt>
                <c:pt idx="5">
                  <c:v>12</c:v>
                </c:pt>
              </c:numCache>
            </c:numRef>
          </c:xVal>
          <c:yVal>
            <c:numRef>
              <c:f>Feuil1!$E$3:$E$8</c:f>
              <c:numCache>
                <c:formatCode>General</c:formatCode>
                <c:ptCount val="6"/>
                <c:pt idx="0">
                  <c:v>2.5</c:v>
                </c:pt>
                <c:pt idx="1">
                  <c:v>3.59</c:v>
                </c:pt>
                <c:pt idx="2">
                  <c:v>3.65</c:v>
                </c:pt>
                <c:pt idx="3">
                  <c:v>3.9</c:v>
                </c:pt>
                <c:pt idx="4">
                  <c:v>4.3499999999999996</c:v>
                </c:pt>
                <c:pt idx="5">
                  <c:v>10.29</c:v>
                </c:pt>
              </c:numCache>
            </c:numRef>
          </c:yVal>
          <c:smooth val="1"/>
          <c:extLst>
            <c:ext xmlns:c16="http://schemas.microsoft.com/office/drawing/2014/chart" uri="{C3380CC4-5D6E-409C-BE32-E72D297353CC}">
              <c16:uniqueId val="{00000000-77D9-4B2C-BE73-7AC106143DEE}"/>
            </c:ext>
          </c:extLst>
        </c:ser>
        <c:ser>
          <c:idx val="1"/>
          <c:order val="1"/>
          <c:tx>
            <c:v>Première bissectrice </c:v>
          </c:tx>
          <c:spPr>
            <a:ln w="19050" cap="rnd">
              <a:solidFill>
                <a:srgbClr val="EE0000"/>
              </a:solidFill>
              <a:round/>
            </a:ln>
            <a:effectLst/>
          </c:spPr>
          <c:marker>
            <c:symbol val="none"/>
          </c:marker>
          <c:xVal>
            <c:numRef>
              <c:f>Feuil1!$G$3:$G$8</c:f>
              <c:numCache>
                <c:formatCode>General</c:formatCode>
                <c:ptCount val="6"/>
                <c:pt idx="0">
                  <c:v>1</c:v>
                </c:pt>
                <c:pt idx="1">
                  <c:v>2</c:v>
                </c:pt>
                <c:pt idx="2">
                  <c:v>3.4</c:v>
                </c:pt>
                <c:pt idx="3">
                  <c:v>6</c:v>
                </c:pt>
                <c:pt idx="4">
                  <c:v>8</c:v>
                </c:pt>
                <c:pt idx="5">
                  <c:v>12</c:v>
                </c:pt>
              </c:numCache>
            </c:numRef>
          </c:xVal>
          <c:yVal>
            <c:numRef>
              <c:f>Feuil1!$H$3:$H$8</c:f>
              <c:numCache>
                <c:formatCode>General</c:formatCode>
                <c:ptCount val="6"/>
                <c:pt idx="0">
                  <c:v>1</c:v>
                </c:pt>
                <c:pt idx="1">
                  <c:v>2</c:v>
                </c:pt>
                <c:pt idx="2">
                  <c:v>3.4</c:v>
                </c:pt>
                <c:pt idx="3">
                  <c:v>6</c:v>
                </c:pt>
                <c:pt idx="4">
                  <c:v>8</c:v>
                </c:pt>
                <c:pt idx="5">
                  <c:v>12</c:v>
                </c:pt>
              </c:numCache>
            </c:numRef>
          </c:yVal>
          <c:smooth val="1"/>
          <c:extLst>
            <c:ext xmlns:c16="http://schemas.microsoft.com/office/drawing/2014/chart" uri="{C3380CC4-5D6E-409C-BE32-E72D297353CC}">
              <c16:uniqueId val="{00000001-77D9-4B2C-BE73-7AC106143DEE}"/>
            </c:ext>
          </c:extLst>
        </c:ser>
        <c:dLbls>
          <c:showLegendKey val="0"/>
          <c:showVal val="0"/>
          <c:showCatName val="0"/>
          <c:showSerName val="0"/>
          <c:showPercent val="0"/>
          <c:showBubbleSize val="0"/>
        </c:dLbls>
        <c:axId val="305787312"/>
        <c:axId val="305788752"/>
      </c:scatterChart>
      <c:valAx>
        <c:axId val="30578731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fr-FR" sz="900" b="1" i="0" u="none" strike="noStrike" baseline="0">
                    <a:effectLst/>
                    <a:latin typeface="Times New Roman" panose="02020603050405020304" pitchFamily="18" charset="0"/>
                    <a:cs typeface="Times New Roman" panose="02020603050405020304" pitchFamily="18" charset="0"/>
                  </a:rPr>
                  <a:t>pH</a:t>
                </a:r>
                <a:r>
                  <a:rPr lang="fr-FR" sz="900" b="1" i="0" u="none" strike="noStrike" baseline="-25000">
                    <a:effectLst/>
                    <a:latin typeface="Times New Roman" panose="02020603050405020304" pitchFamily="18" charset="0"/>
                    <a:cs typeface="Times New Roman" panose="02020603050405020304" pitchFamily="18" charset="0"/>
                  </a:rPr>
                  <a:t>initial</a:t>
                </a:r>
                <a:endParaRPr lang="fr-FR" sz="900" b="1" baseline="-250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5788752"/>
        <c:crosses val="autoZero"/>
        <c:crossBetween val="midCat"/>
        <c:majorUnit val="1"/>
      </c:valAx>
      <c:valAx>
        <c:axId val="30578875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fr-FR" sz="900" b="1" i="0" u="none" strike="noStrike" baseline="0">
                    <a:effectLst/>
                    <a:latin typeface="Times New Roman" panose="02020603050405020304" pitchFamily="18" charset="0"/>
                    <a:cs typeface="Times New Roman" panose="02020603050405020304" pitchFamily="18" charset="0"/>
                  </a:rPr>
                  <a:t>pH</a:t>
                </a:r>
                <a:r>
                  <a:rPr lang="fr-FR" sz="900" b="1" i="0" u="none" strike="noStrike" baseline="-25000">
                    <a:effectLst/>
                    <a:latin typeface="Times New Roman" panose="02020603050405020304" pitchFamily="18" charset="0"/>
                    <a:cs typeface="Times New Roman" panose="02020603050405020304" pitchFamily="18" charset="0"/>
                  </a:rPr>
                  <a:t>final</a:t>
                </a:r>
                <a:r>
                  <a:rPr lang="fr-FR" sz="900" b="1" i="0" u="none" strike="noStrike" baseline="0">
                    <a:effectLst/>
                    <a:latin typeface="Times New Roman" panose="02020603050405020304" pitchFamily="18" charset="0"/>
                    <a:cs typeface="Times New Roman" panose="02020603050405020304" pitchFamily="18" charset="0"/>
                  </a:rPr>
                  <a:t> </a:t>
                </a:r>
                <a:endParaRPr lang="fr-FR" sz="900" b="1">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5787312"/>
        <c:crosses val="autoZero"/>
        <c:crossBetween val="midCat"/>
      </c:valAx>
      <c:spPr>
        <a:noFill/>
        <a:ln>
          <a:solidFill>
            <a:sysClr val="windowText" lastClr="000000"/>
          </a:solidFill>
        </a:ln>
        <a:effectLst/>
      </c:spPr>
    </c:plotArea>
    <c:legend>
      <c:legendPos val="t"/>
      <c:layout>
        <c:manualLayout>
          <c:xMode val="edge"/>
          <c:yMode val="edge"/>
          <c:x val="0.24359864391951006"/>
          <c:y val="0.18981481481481483"/>
          <c:w val="0.39058048993875766"/>
          <c:h val="0.1707181393992417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v>RMA-2M-500-1</c:v>
          </c:tx>
          <c:spPr>
            <a:ln w="19050" cap="rnd">
              <a:solidFill>
                <a:schemeClr val="accent1"/>
              </a:solidFill>
              <a:round/>
            </a:ln>
            <a:effectLst/>
          </c:spPr>
          <c:marker>
            <c:symbol val="none"/>
          </c:marker>
          <c:xVal>
            <c:numRef>
              <c:f>'[Graphique dans Microsoft Word]Feuil5'!$C$2:$C$202</c:f>
              <c:numCache>
                <c:formatCode>General</c:formatCode>
                <c:ptCount val="201"/>
                <c:pt idx="0">
                  <c:v>400</c:v>
                </c:pt>
                <c:pt idx="1">
                  <c:v>402</c:v>
                </c:pt>
                <c:pt idx="2">
                  <c:v>404</c:v>
                </c:pt>
                <c:pt idx="3">
                  <c:v>406</c:v>
                </c:pt>
                <c:pt idx="4">
                  <c:v>408</c:v>
                </c:pt>
                <c:pt idx="5">
                  <c:v>410</c:v>
                </c:pt>
                <c:pt idx="6">
                  <c:v>412</c:v>
                </c:pt>
                <c:pt idx="7">
                  <c:v>414</c:v>
                </c:pt>
                <c:pt idx="8">
                  <c:v>416</c:v>
                </c:pt>
                <c:pt idx="9">
                  <c:v>418</c:v>
                </c:pt>
                <c:pt idx="10">
                  <c:v>420</c:v>
                </c:pt>
                <c:pt idx="11">
                  <c:v>422</c:v>
                </c:pt>
                <c:pt idx="12">
                  <c:v>424</c:v>
                </c:pt>
                <c:pt idx="13">
                  <c:v>426</c:v>
                </c:pt>
                <c:pt idx="14">
                  <c:v>428</c:v>
                </c:pt>
                <c:pt idx="15">
                  <c:v>430</c:v>
                </c:pt>
                <c:pt idx="16">
                  <c:v>432</c:v>
                </c:pt>
                <c:pt idx="17">
                  <c:v>434</c:v>
                </c:pt>
                <c:pt idx="18">
                  <c:v>436</c:v>
                </c:pt>
                <c:pt idx="19">
                  <c:v>438</c:v>
                </c:pt>
                <c:pt idx="20">
                  <c:v>440</c:v>
                </c:pt>
                <c:pt idx="21">
                  <c:v>442</c:v>
                </c:pt>
                <c:pt idx="22">
                  <c:v>444</c:v>
                </c:pt>
                <c:pt idx="23">
                  <c:v>446</c:v>
                </c:pt>
                <c:pt idx="24">
                  <c:v>448</c:v>
                </c:pt>
                <c:pt idx="25">
                  <c:v>450</c:v>
                </c:pt>
                <c:pt idx="26">
                  <c:v>452</c:v>
                </c:pt>
                <c:pt idx="27">
                  <c:v>454</c:v>
                </c:pt>
                <c:pt idx="28">
                  <c:v>456</c:v>
                </c:pt>
                <c:pt idx="29">
                  <c:v>458</c:v>
                </c:pt>
                <c:pt idx="30">
                  <c:v>460</c:v>
                </c:pt>
                <c:pt idx="31">
                  <c:v>462</c:v>
                </c:pt>
                <c:pt idx="32">
                  <c:v>464</c:v>
                </c:pt>
                <c:pt idx="33">
                  <c:v>466</c:v>
                </c:pt>
                <c:pt idx="34">
                  <c:v>468</c:v>
                </c:pt>
                <c:pt idx="35">
                  <c:v>470</c:v>
                </c:pt>
                <c:pt idx="36">
                  <c:v>472</c:v>
                </c:pt>
                <c:pt idx="37">
                  <c:v>474</c:v>
                </c:pt>
                <c:pt idx="38">
                  <c:v>476</c:v>
                </c:pt>
                <c:pt idx="39">
                  <c:v>478</c:v>
                </c:pt>
                <c:pt idx="40">
                  <c:v>480</c:v>
                </c:pt>
                <c:pt idx="41">
                  <c:v>482</c:v>
                </c:pt>
                <c:pt idx="42">
                  <c:v>484</c:v>
                </c:pt>
                <c:pt idx="43">
                  <c:v>486</c:v>
                </c:pt>
                <c:pt idx="44">
                  <c:v>488</c:v>
                </c:pt>
                <c:pt idx="45">
                  <c:v>490</c:v>
                </c:pt>
                <c:pt idx="46">
                  <c:v>492</c:v>
                </c:pt>
                <c:pt idx="47">
                  <c:v>494</c:v>
                </c:pt>
                <c:pt idx="48">
                  <c:v>496</c:v>
                </c:pt>
                <c:pt idx="49">
                  <c:v>498</c:v>
                </c:pt>
                <c:pt idx="50">
                  <c:v>500</c:v>
                </c:pt>
                <c:pt idx="51">
                  <c:v>502</c:v>
                </c:pt>
                <c:pt idx="52">
                  <c:v>504</c:v>
                </c:pt>
                <c:pt idx="53">
                  <c:v>506</c:v>
                </c:pt>
                <c:pt idx="54">
                  <c:v>508</c:v>
                </c:pt>
                <c:pt idx="55">
                  <c:v>510</c:v>
                </c:pt>
                <c:pt idx="56">
                  <c:v>512</c:v>
                </c:pt>
                <c:pt idx="57">
                  <c:v>514</c:v>
                </c:pt>
                <c:pt idx="58">
                  <c:v>516</c:v>
                </c:pt>
                <c:pt idx="59">
                  <c:v>518</c:v>
                </c:pt>
                <c:pt idx="60">
                  <c:v>520</c:v>
                </c:pt>
                <c:pt idx="61">
                  <c:v>522</c:v>
                </c:pt>
                <c:pt idx="62">
                  <c:v>524</c:v>
                </c:pt>
                <c:pt idx="63">
                  <c:v>526</c:v>
                </c:pt>
                <c:pt idx="64">
                  <c:v>528</c:v>
                </c:pt>
                <c:pt idx="65">
                  <c:v>530</c:v>
                </c:pt>
                <c:pt idx="66">
                  <c:v>532</c:v>
                </c:pt>
                <c:pt idx="67">
                  <c:v>534</c:v>
                </c:pt>
                <c:pt idx="68">
                  <c:v>536</c:v>
                </c:pt>
                <c:pt idx="69">
                  <c:v>538</c:v>
                </c:pt>
                <c:pt idx="70">
                  <c:v>540</c:v>
                </c:pt>
                <c:pt idx="71">
                  <c:v>542</c:v>
                </c:pt>
                <c:pt idx="72">
                  <c:v>544</c:v>
                </c:pt>
                <c:pt idx="73">
                  <c:v>546</c:v>
                </c:pt>
                <c:pt idx="74">
                  <c:v>548</c:v>
                </c:pt>
                <c:pt idx="75">
                  <c:v>550</c:v>
                </c:pt>
                <c:pt idx="76">
                  <c:v>552</c:v>
                </c:pt>
                <c:pt idx="77">
                  <c:v>554</c:v>
                </c:pt>
                <c:pt idx="78">
                  <c:v>556</c:v>
                </c:pt>
                <c:pt idx="79">
                  <c:v>558</c:v>
                </c:pt>
                <c:pt idx="80">
                  <c:v>560</c:v>
                </c:pt>
                <c:pt idx="81">
                  <c:v>562</c:v>
                </c:pt>
                <c:pt idx="82">
                  <c:v>564</c:v>
                </c:pt>
                <c:pt idx="83">
                  <c:v>566</c:v>
                </c:pt>
                <c:pt idx="84">
                  <c:v>568</c:v>
                </c:pt>
                <c:pt idx="85">
                  <c:v>570</c:v>
                </c:pt>
                <c:pt idx="86">
                  <c:v>572</c:v>
                </c:pt>
                <c:pt idx="87">
                  <c:v>574</c:v>
                </c:pt>
                <c:pt idx="88">
                  <c:v>576</c:v>
                </c:pt>
                <c:pt idx="89">
                  <c:v>578</c:v>
                </c:pt>
                <c:pt idx="90">
                  <c:v>580</c:v>
                </c:pt>
                <c:pt idx="91">
                  <c:v>582</c:v>
                </c:pt>
                <c:pt idx="92">
                  <c:v>584</c:v>
                </c:pt>
                <c:pt idx="93">
                  <c:v>586</c:v>
                </c:pt>
                <c:pt idx="94">
                  <c:v>588</c:v>
                </c:pt>
                <c:pt idx="95">
                  <c:v>590</c:v>
                </c:pt>
                <c:pt idx="96">
                  <c:v>592</c:v>
                </c:pt>
                <c:pt idx="97">
                  <c:v>594</c:v>
                </c:pt>
                <c:pt idx="98">
                  <c:v>596</c:v>
                </c:pt>
                <c:pt idx="99">
                  <c:v>598</c:v>
                </c:pt>
                <c:pt idx="100">
                  <c:v>600</c:v>
                </c:pt>
                <c:pt idx="101">
                  <c:v>602</c:v>
                </c:pt>
                <c:pt idx="102">
                  <c:v>604</c:v>
                </c:pt>
                <c:pt idx="103">
                  <c:v>606</c:v>
                </c:pt>
                <c:pt idx="104">
                  <c:v>608</c:v>
                </c:pt>
                <c:pt idx="105">
                  <c:v>610</c:v>
                </c:pt>
                <c:pt idx="106">
                  <c:v>612</c:v>
                </c:pt>
                <c:pt idx="107">
                  <c:v>614</c:v>
                </c:pt>
                <c:pt idx="108">
                  <c:v>616</c:v>
                </c:pt>
                <c:pt idx="109">
                  <c:v>618</c:v>
                </c:pt>
                <c:pt idx="110">
                  <c:v>620</c:v>
                </c:pt>
                <c:pt idx="111">
                  <c:v>622</c:v>
                </c:pt>
                <c:pt idx="112">
                  <c:v>624</c:v>
                </c:pt>
                <c:pt idx="113">
                  <c:v>626</c:v>
                </c:pt>
                <c:pt idx="114">
                  <c:v>628</c:v>
                </c:pt>
                <c:pt idx="115">
                  <c:v>630</c:v>
                </c:pt>
                <c:pt idx="116">
                  <c:v>632</c:v>
                </c:pt>
                <c:pt idx="117">
                  <c:v>634</c:v>
                </c:pt>
                <c:pt idx="118">
                  <c:v>636</c:v>
                </c:pt>
                <c:pt idx="119">
                  <c:v>638</c:v>
                </c:pt>
                <c:pt idx="120">
                  <c:v>640</c:v>
                </c:pt>
                <c:pt idx="121">
                  <c:v>642</c:v>
                </c:pt>
                <c:pt idx="122">
                  <c:v>644</c:v>
                </c:pt>
                <c:pt idx="123">
                  <c:v>646</c:v>
                </c:pt>
                <c:pt idx="124">
                  <c:v>648</c:v>
                </c:pt>
                <c:pt idx="125">
                  <c:v>650</c:v>
                </c:pt>
                <c:pt idx="126">
                  <c:v>652</c:v>
                </c:pt>
                <c:pt idx="127">
                  <c:v>654</c:v>
                </c:pt>
                <c:pt idx="128">
                  <c:v>656</c:v>
                </c:pt>
                <c:pt idx="129">
                  <c:v>658</c:v>
                </c:pt>
                <c:pt idx="130">
                  <c:v>660</c:v>
                </c:pt>
                <c:pt idx="131">
                  <c:v>662</c:v>
                </c:pt>
                <c:pt idx="132">
                  <c:v>664</c:v>
                </c:pt>
                <c:pt idx="133">
                  <c:v>666</c:v>
                </c:pt>
                <c:pt idx="134">
                  <c:v>668</c:v>
                </c:pt>
                <c:pt idx="135">
                  <c:v>670</c:v>
                </c:pt>
                <c:pt idx="136">
                  <c:v>672</c:v>
                </c:pt>
                <c:pt idx="137">
                  <c:v>674</c:v>
                </c:pt>
                <c:pt idx="138">
                  <c:v>676</c:v>
                </c:pt>
                <c:pt idx="139">
                  <c:v>678</c:v>
                </c:pt>
                <c:pt idx="140">
                  <c:v>680</c:v>
                </c:pt>
                <c:pt idx="141">
                  <c:v>682</c:v>
                </c:pt>
                <c:pt idx="142">
                  <c:v>684</c:v>
                </c:pt>
                <c:pt idx="143">
                  <c:v>686</c:v>
                </c:pt>
                <c:pt idx="144">
                  <c:v>688</c:v>
                </c:pt>
                <c:pt idx="145">
                  <c:v>690</c:v>
                </c:pt>
                <c:pt idx="146">
                  <c:v>692</c:v>
                </c:pt>
                <c:pt idx="147">
                  <c:v>694</c:v>
                </c:pt>
                <c:pt idx="148">
                  <c:v>696</c:v>
                </c:pt>
                <c:pt idx="149">
                  <c:v>698</c:v>
                </c:pt>
                <c:pt idx="150">
                  <c:v>700</c:v>
                </c:pt>
                <c:pt idx="151">
                  <c:v>702</c:v>
                </c:pt>
                <c:pt idx="152">
                  <c:v>704</c:v>
                </c:pt>
                <c:pt idx="153">
                  <c:v>706</c:v>
                </c:pt>
                <c:pt idx="154">
                  <c:v>708</c:v>
                </c:pt>
                <c:pt idx="155">
                  <c:v>710</c:v>
                </c:pt>
                <c:pt idx="156">
                  <c:v>712</c:v>
                </c:pt>
                <c:pt idx="157">
                  <c:v>714</c:v>
                </c:pt>
                <c:pt idx="158">
                  <c:v>716</c:v>
                </c:pt>
                <c:pt idx="159">
                  <c:v>718</c:v>
                </c:pt>
                <c:pt idx="160">
                  <c:v>720</c:v>
                </c:pt>
                <c:pt idx="161">
                  <c:v>722</c:v>
                </c:pt>
                <c:pt idx="162">
                  <c:v>724</c:v>
                </c:pt>
                <c:pt idx="163">
                  <c:v>726</c:v>
                </c:pt>
                <c:pt idx="164">
                  <c:v>728</c:v>
                </c:pt>
                <c:pt idx="165">
                  <c:v>730</c:v>
                </c:pt>
                <c:pt idx="166">
                  <c:v>732</c:v>
                </c:pt>
                <c:pt idx="167">
                  <c:v>734</c:v>
                </c:pt>
                <c:pt idx="168">
                  <c:v>736</c:v>
                </c:pt>
                <c:pt idx="169">
                  <c:v>738</c:v>
                </c:pt>
                <c:pt idx="170">
                  <c:v>740</c:v>
                </c:pt>
                <c:pt idx="171">
                  <c:v>742</c:v>
                </c:pt>
                <c:pt idx="172">
                  <c:v>744</c:v>
                </c:pt>
                <c:pt idx="173">
                  <c:v>746</c:v>
                </c:pt>
                <c:pt idx="174">
                  <c:v>748</c:v>
                </c:pt>
                <c:pt idx="175">
                  <c:v>750</c:v>
                </c:pt>
                <c:pt idx="176">
                  <c:v>752</c:v>
                </c:pt>
                <c:pt idx="177">
                  <c:v>754</c:v>
                </c:pt>
                <c:pt idx="178">
                  <c:v>756</c:v>
                </c:pt>
                <c:pt idx="179">
                  <c:v>758</c:v>
                </c:pt>
                <c:pt idx="180">
                  <c:v>760</c:v>
                </c:pt>
                <c:pt idx="181">
                  <c:v>762</c:v>
                </c:pt>
                <c:pt idx="182">
                  <c:v>764</c:v>
                </c:pt>
                <c:pt idx="183">
                  <c:v>766</c:v>
                </c:pt>
                <c:pt idx="184">
                  <c:v>768</c:v>
                </c:pt>
                <c:pt idx="185">
                  <c:v>770</c:v>
                </c:pt>
                <c:pt idx="186">
                  <c:v>772</c:v>
                </c:pt>
                <c:pt idx="187">
                  <c:v>774</c:v>
                </c:pt>
                <c:pt idx="188">
                  <c:v>776</c:v>
                </c:pt>
                <c:pt idx="189">
                  <c:v>778</c:v>
                </c:pt>
                <c:pt idx="190">
                  <c:v>780</c:v>
                </c:pt>
                <c:pt idx="191">
                  <c:v>782</c:v>
                </c:pt>
                <c:pt idx="192">
                  <c:v>784</c:v>
                </c:pt>
                <c:pt idx="193">
                  <c:v>786</c:v>
                </c:pt>
                <c:pt idx="194">
                  <c:v>788</c:v>
                </c:pt>
                <c:pt idx="195">
                  <c:v>790</c:v>
                </c:pt>
                <c:pt idx="196">
                  <c:v>792</c:v>
                </c:pt>
                <c:pt idx="197">
                  <c:v>794</c:v>
                </c:pt>
                <c:pt idx="198">
                  <c:v>796</c:v>
                </c:pt>
                <c:pt idx="199">
                  <c:v>798</c:v>
                </c:pt>
                <c:pt idx="200">
                  <c:v>800</c:v>
                </c:pt>
              </c:numCache>
            </c:numRef>
          </c:xVal>
          <c:yVal>
            <c:numRef>
              <c:f>'[Graphique dans Microsoft Word]Feuil5'!$D$2:$D$202</c:f>
              <c:numCache>
                <c:formatCode>General</c:formatCode>
                <c:ptCount val="201"/>
                <c:pt idx="0">
                  <c:v>3.2000000000000001E-2</c:v>
                </c:pt>
                <c:pt idx="1">
                  <c:v>0.03</c:v>
                </c:pt>
                <c:pt idx="2">
                  <c:v>0.03</c:v>
                </c:pt>
                <c:pt idx="3">
                  <c:v>2.5999999999999999E-2</c:v>
                </c:pt>
                <c:pt idx="4">
                  <c:v>2.8000000000000001E-2</c:v>
                </c:pt>
                <c:pt idx="5">
                  <c:v>2.9000000000000001E-2</c:v>
                </c:pt>
                <c:pt idx="6">
                  <c:v>2.4E-2</c:v>
                </c:pt>
                <c:pt idx="7">
                  <c:v>2.7E-2</c:v>
                </c:pt>
                <c:pt idx="8">
                  <c:v>2.8000000000000001E-2</c:v>
                </c:pt>
                <c:pt idx="9">
                  <c:v>2.5000000000000001E-2</c:v>
                </c:pt>
                <c:pt idx="10">
                  <c:v>2.5999999999999999E-2</c:v>
                </c:pt>
                <c:pt idx="11">
                  <c:v>2.5999999999999999E-2</c:v>
                </c:pt>
                <c:pt idx="12">
                  <c:v>2.5999999999999999E-2</c:v>
                </c:pt>
                <c:pt idx="13">
                  <c:v>2.5000000000000001E-2</c:v>
                </c:pt>
                <c:pt idx="14">
                  <c:v>2.4E-2</c:v>
                </c:pt>
                <c:pt idx="15">
                  <c:v>2.7E-2</c:v>
                </c:pt>
                <c:pt idx="16">
                  <c:v>2.8000000000000001E-2</c:v>
                </c:pt>
                <c:pt idx="17">
                  <c:v>2.8000000000000001E-2</c:v>
                </c:pt>
                <c:pt idx="18">
                  <c:v>3.2000000000000001E-2</c:v>
                </c:pt>
                <c:pt idx="19">
                  <c:v>0.03</c:v>
                </c:pt>
                <c:pt idx="20">
                  <c:v>0.03</c:v>
                </c:pt>
                <c:pt idx="21">
                  <c:v>3.5000000000000003E-2</c:v>
                </c:pt>
                <c:pt idx="22">
                  <c:v>3.1E-2</c:v>
                </c:pt>
                <c:pt idx="23">
                  <c:v>3.5999999999999997E-2</c:v>
                </c:pt>
                <c:pt idx="24">
                  <c:v>3.9E-2</c:v>
                </c:pt>
                <c:pt idx="25">
                  <c:v>0.04</c:v>
                </c:pt>
                <c:pt idx="26">
                  <c:v>3.9E-2</c:v>
                </c:pt>
                <c:pt idx="27">
                  <c:v>4.1000000000000002E-2</c:v>
                </c:pt>
                <c:pt idx="28">
                  <c:v>4.5999999999999999E-2</c:v>
                </c:pt>
                <c:pt idx="29">
                  <c:v>4.5999999999999999E-2</c:v>
                </c:pt>
                <c:pt idx="30">
                  <c:v>4.5999999999999999E-2</c:v>
                </c:pt>
                <c:pt idx="31">
                  <c:v>4.7E-2</c:v>
                </c:pt>
                <c:pt idx="32">
                  <c:v>4.7E-2</c:v>
                </c:pt>
                <c:pt idx="33">
                  <c:v>5.2999999999999999E-2</c:v>
                </c:pt>
                <c:pt idx="34">
                  <c:v>5.2999999999999999E-2</c:v>
                </c:pt>
                <c:pt idx="35">
                  <c:v>5.3999999999999999E-2</c:v>
                </c:pt>
                <c:pt idx="36">
                  <c:v>0.05</c:v>
                </c:pt>
                <c:pt idx="37">
                  <c:v>5.6000000000000001E-2</c:v>
                </c:pt>
                <c:pt idx="38">
                  <c:v>6.3E-2</c:v>
                </c:pt>
                <c:pt idx="39">
                  <c:v>5.8000000000000003E-2</c:v>
                </c:pt>
                <c:pt idx="40">
                  <c:v>6.7000000000000004E-2</c:v>
                </c:pt>
                <c:pt idx="41">
                  <c:v>6.7000000000000004E-2</c:v>
                </c:pt>
                <c:pt idx="42">
                  <c:v>6.2E-2</c:v>
                </c:pt>
                <c:pt idx="43">
                  <c:v>6.6000000000000003E-2</c:v>
                </c:pt>
                <c:pt idx="44">
                  <c:v>6.5000000000000002E-2</c:v>
                </c:pt>
                <c:pt idx="45">
                  <c:v>6.7000000000000004E-2</c:v>
                </c:pt>
                <c:pt idx="46">
                  <c:v>6.7000000000000004E-2</c:v>
                </c:pt>
                <c:pt idx="47">
                  <c:v>6.9000000000000006E-2</c:v>
                </c:pt>
                <c:pt idx="48">
                  <c:v>6.9000000000000006E-2</c:v>
                </c:pt>
                <c:pt idx="49">
                  <c:v>7.1999999999999995E-2</c:v>
                </c:pt>
                <c:pt idx="50">
                  <c:v>7.3999999999999996E-2</c:v>
                </c:pt>
                <c:pt idx="51">
                  <c:v>7.5999999999999998E-2</c:v>
                </c:pt>
                <c:pt idx="52">
                  <c:v>7.3999999999999996E-2</c:v>
                </c:pt>
                <c:pt idx="53">
                  <c:v>7.5999999999999998E-2</c:v>
                </c:pt>
                <c:pt idx="54">
                  <c:v>7.0000000000000007E-2</c:v>
                </c:pt>
                <c:pt idx="55">
                  <c:v>7.9000000000000001E-2</c:v>
                </c:pt>
                <c:pt idx="56">
                  <c:v>7.6999999999999999E-2</c:v>
                </c:pt>
                <c:pt idx="57">
                  <c:v>7.8E-2</c:v>
                </c:pt>
                <c:pt idx="58">
                  <c:v>0.08</c:v>
                </c:pt>
                <c:pt idx="59">
                  <c:v>8.5999999999999993E-2</c:v>
                </c:pt>
                <c:pt idx="60">
                  <c:v>8.2000000000000003E-2</c:v>
                </c:pt>
                <c:pt idx="61">
                  <c:v>8.6999999999999994E-2</c:v>
                </c:pt>
                <c:pt idx="62">
                  <c:v>8.8999999999999996E-2</c:v>
                </c:pt>
                <c:pt idx="63">
                  <c:v>9.0999999999999998E-2</c:v>
                </c:pt>
                <c:pt idx="64">
                  <c:v>9.4E-2</c:v>
                </c:pt>
                <c:pt idx="65">
                  <c:v>0.1</c:v>
                </c:pt>
                <c:pt idx="66">
                  <c:v>0.10100000000000001</c:v>
                </c:pt>
                <c:pt idx="67">
                  <c:v>0.111</c:v>
                </c:pt>
                <c:pt idx="68">
                  <c:v>0.112</c:v>
                </c:pt>
                <c:pt idx="69">
                  <c:v>0.123</c:v>
                </c:pt>
                <c:pt idx="70">
                  <c:v>0.13500000000000001</c:v>
                </c:pt>
                <c:pt idx="71">
                  <c:v>0.14199999999999999</c:v>
                </c:pt>
                <c:pt idx="72">
                  <c:v>0.14699999999999999</c:v>
                </c:pt>
                <c:pt idx="73">
                  <c:v>0.151</c:v>
                </c:pt>
                <c:pt idx="74">
                  <c:v>0.16200000000000001</c:v>
                </c:pt>
                <c:pt idx="75">
                  <c:v>0.17599999999999999</c:v>
                </c:pt>
                <c:pt idx="76">
                  <c:v>0.183</c:v>
                </c:pt>
                <c:pt idx="77">
                  <c:v>0.19500000000000001</c:v>
                </c:pt>
                <c:pt idx="78">
                  <c:v>0.20499999999999999</c:v>
                </c:pt>
                <c:pt idx="79">
                  <c:v>0.214</c:v>
                </c:pt>
                <c:pt idx="80">
                  <c:v>0.22900000000000001</c:v>
                </c:pt>
                <c:pt idx="81">
                  <c:v>0.24199999999999999</c:v>
                </c:pt>
                <c:pt idx="82">
                  <c:v>0.25800000000000001</c:v>
                </c:pt>
                <c:pt idx="83">
                  <c:v>0.27</c:v>
                </c:pt>
                <c:pt idx="84">
                  <c:v>0.28699999999999998</c:v>
                </c:pt>
                <c:pt idx="85">
                  <c:v>0.30299999999999999</c:v>
                </c:pt>
                <c:pt idx="86">
                  <c:v>0.316</c:v>
                </c:pt>
                <c:pt idx="87">
                  <c:v>0.33400000000000002</c:v>
                </c:pt>
                <c:pt idx="88">
                  <c:v>0.35699999999999998</c:v>
                </c:pt>
                <c:pt idx="89">
                  <c:v>0.374</c:v>
                </c:pt>
                <c:pt idx="90">
                  <c:v>0.39800000000000002</c:v>
                </c:pt>
                <c:pt idx="91">
                  <c:v>0.42699999999999999</c:v>
                </c:pt>
                <c:pt idx="92">
                  <c:v>0.45800000000000002</c:v>
                </c:pt>
                <c:pt idx="93">
                  <c:v>0.49099999999999999</c:v>
                </c:pt>
                <c:pt idx="94">
                  <c:v>0.52800000000000002</c:v>
                </c:pt>
                <c:pt idx="95">
                  <c:v>0.55900000000000005</c:v>
                </c:pt>
                <c:pt idx="96">
                  <c:v>0.58899999999999997</c:v>
                </c:pt>
                <c:pt idx="97">
                  <c:v>0.626</c:v>
                </c:pt>
                <c:pt idx="98">
                  <c:v>0.66900000000000004</c:v>
                </c:pt>
                <c:pt idx="99">
                  <c:v>0.70099999999999996</c:v>
                </c:pt>
                <c:pt idx="100">
                  <c:v>0.73099999999999998</c:v>
                </c:pt>
                <c:pt idx="101">
                  <c:v>0.77100000000000002</c:v>
                </c:pt>
                <c:pt idx="102">
                  <c:v>0.79900000000000004</c:v>
                </c:pt>
                <c:pt idx="103">
                  <c:v>0.82399999999999995</c:v>
                </c:pt>
                <c:pt idx="104">
                  <c:v>0.84199999999999997</c:v>
                </c:pt>
                <c:pt idx="105">
                  <c:v>0.85899999999999999</c:v>
                </c:pt>
                <c:pt idx="106">
                  <c:v>0.86499999999999999</c:v>
                </c:pt>
                <c:pt idx="107">
                  <c:v>0.872</c:v>
                </c:pt>
                <c:pt idx="108">
                  <c:v>0.871</c:v>
                </c:pt>
                <c:pt idx="109">
                  <c:v>0.876</c:v>
                </c:pt>
                <c:pt idx="110">
                  <c:v>0.876</c:v>
                </c:pt>
                <c:pt idx="111">
                  <c:v>0.876</c:v>
                </c:pt>
                <c:pt idx="112">
                  <c:v>0.88500000000000001</c:v>
                </c:pt>
                <c:pt idx="113">
                  <c:v>0.88800000000000001</c:v>
                </c:pt>
                <c:pt idx="114">
                  <c:v>0.90400000000000003</c:v>
                </c:pt>
                <c:pt idx="115">
                  <c:v>0.92</c:v>
                </c:pt>
                <c:pt idx="116">
                  <c:v>0.93500000000000005</c:v>
                </c:pt>
                <c:pt idx="117">
                  <c:v>0.96299999999999997</c:v>
                </c:pt>
                <c:pt idx="118">
                  <c:v>0.99</c:v>
                </c:pt>
                <c:pt idx="119">
                  <c:v>1.028</c:v>
                </c:pt>
                <c:pt idx="120">
                  <c:v>1.0609999999999999</c:v>
                </c:pt>
                <c:pt idx="121">
                  <c:v>1.101</c:v>
                </c:pt>
                <c:pt idx="122">
                  <c:v>1.145</c:v>
                </c:pt>
                <c:pt idx="123">
                  <c:v>1.1859999999999999</c:v>
                </c:pt>
                <c:pt idx="124">
                  <c:v>1.2310000000000001</c:v>
                </c:pt>
                <c:pt idx="125">
                  <c:v>1.2629999999999999</c:v>
                </c:pt>
                <c:pt idx="126">
                  <c:v>1.298</c:v>
                </c:pt>
                <c:pt idx="127">
                  <c:v>1.327</c:v>
                </c:pt>
                <c:pt idx="128">
                  <c:v>1.3520000000000001</c:v>
                </c:pt>
                <c:pt idx="129">
                  <c:v>1.371</c:v>
                </c:pt>
                <c:pt idx="130">
                  <c:v>1.38</c:v>
                </c:pt>
                <c:pt idx="131">
                  <c:v>1.379</c:v>
                </c:pt>
                <c:pt idx="132">
                  <c:v>1.377</c:v>
                </c:pt>
                <c:pt idx="133">
                  <c:v>1.3580000000000001</c:v>
                </c:pt>
                <c:pt idx="134">
                  <c:v>1.32</c:v>
                </c:pt>
                <c:pt idx="135">
                  <c:v>1.2629999999999999</c:v>
                </c:pt>
                <c:pt idx="136">
                  <c:v>1.1819999999999999</c:v>
                </c:pt>
                <c:pt idx="137">
                  <c:v>1.0900000000000001</c:v>
                </c:pt>
                <c:pt idx="138">
                  <c:v>0.98199999999999998</c:v>
                </c:pt>
                <c:pt idx="139">
                  <c:v>0.85199999999999998</c:v>
                </c:pt>
                <c:pt idx="140">
                  <c:v>0.749</c:v>
                </c:pt>
                <c:pt idx="141">
                  <c:v>0.64300000000000002</c:v>
                </c:pt>
                <c:pt idx="142">
                  <c:v>0.55200000000000005</c:v>
                </c:pt>
                <c:pt idx="143">
                  <c:v>0.44700000000000001</c:v>
                </c:pt>
                <c:pt idx="144">
                  <c:v>0.371</c:v>
                </c:pt>
                <c:pt idx="145">
                  <c:v>0.31</c:v>
                </c:pt>
                <c:pt idx="146">
                  <c:v>0.252</c:v>
                </c:pt>
                <c:pt idx="147">
                  <c:v>0.21099999999999999</c:v>
                </c:pt>
                <c:pt idx="148">
                  <c:v>0.17199999999999999</c:v>
                </c:pt>
                <c:pt idx="149">
                  <c:v>0.14499999999999999</c:v>
                </c:pt>
                <c:pt idx="150">
                  <c:v>0.124</c:v>
                </c:pt>
                <c:pt idx="151">
                  <c:v>0.106</c:v>
                </c:pt>
                <c:pt idx="152">
                  <c:v>8.7999999999999995E-2</c:v>
                </c:pt>
                <c:pt idx="153">
                  <c:v>7.8E-2</c:v>
                </c:pt>
                <c:pt idx="154">
                  <c:v>6.4000000000000001E-2</c:v>
                </c:pt>
                <c:pt idx="155">
                  <c:v>5.6000000000000001E-2</c:v>
                </c:pt>
                <c:pt idx="156">
                  <c:v>5.2999999999999999E-2</c:v>
                </c:pt>
                <c:pt idx="157">
                  <c:v>4.5999999999999999E-2</c:v>
                </c:pt>
                <c:pt idx="158">
                  <c:v>3.7999999999999999E-2</c:v>
                </c:pt>
                <c:pt idx="159">
                  <c:v>3.9E-2</c:v>
                </c:pt>
                <c:pt idx="160">
                  <c:v>3.4000000000000002E-2</c:v>
                </c:pt>
                <c:pt idx="161">
                  <c:v>0.03</c:v>
                </c:pt>
                <c:pt idx="162">
                  <c:v>3.3000000000000002E-2</c:v>
                </c:pt>
                <c:pt idx="163">
                  <c:v>2.5999999999999999E-2</c:v>
                </c:pt>
                <c:pt idx="164">
                  <c:v>2.1999999999999999E-2</c:v>
                </c:pt>
                <c:pt idx="165">
                  <c:v>2.4E-2</c:v>
                </c:pt>
                <c:pt idx="166">
                  <c:v>2.1999999999999999E-2</c:v>
                </c:pt>
                <c:pt idx="167">
                  <c:v>1.9E-2</c:v>
                </c:pt>
                <c:pt idx="168">
                  <c:v>1.7999999999999999E-2</c:v>
                </c:pt>
                <c:pt idx="169">
                  <c:v>1.6E-2</c:v>
                </c:pt>
                <c:pt idx="170">
                  <c:v>1.9E-2</c:v>
                </c:pt>
                <c:pt idx="171">
                  <c:v>1.7000000000000001E-2</c:v>
                </c:pt>
                <c:pt idx="172">
                  <c:v>1.7999999999999999E-2</c:v>
                </c:pt>
                <c:pt idx="173">
                  <c:v>1.2E-2</c:v>
                </c:pt>
                <c:pt idx="174">
                  <c:v>1.4999999999999999E-2</c:v>
                </c:pt>
                <c:pt idx="175">
                  <c:v>1.2999999999999999E-2</c:v>
                </c:pt>
                <c:pt idx="176">
                  <c:v>1.2999999999999999E-2</c:v>
                </c:pt>
                <c:pt idx="177">
                  <c:v>1.4999999999999999E-2</c:v>
                </c:pt>
                <c:pt idx="178">
                  <c:v>1.2E-2</c:v>
                </c:pt>
                <c:pt idx="179">
                  <c:v>1.2E-2</c:v>
                </c:pt>
                <c:pt idx="180">
                  <c:v>1.2E-2</c:v>
                </c:pt>
                <c:pt idx="181">
                  <c:v>8.9999999999999993E-3</c:v>
                </c:pt>
                <c:pt idx="182">
                  <c:v>1.0999999999999999E-2</c:v>
                </c:pt>
                <c:pt idx="183">
                  <c:v>8.0000000000000002E-3</c:v>
                </c:pt>
                <c:pt idx="184">
                  <c:v>6.0000000000000001E-3</c:v>
                </c:pt>
                <c:pt idx="185">
                  <c:v>0.01</c:v>
                </c:pt>
                <c:pt idx="186">
                  <c:v>8.9999999999999993E-3</c:v>
                </c:pt>
                <c:pt idx="187">
                  <c:v>7.0000000000000001E-3</c:v>
                </c:pt>
                <c:pt idx="188">
                  <c:v>6.0000000000000001E-3</c:v>
                </c:pt>
                <c:pt idx="189">
                  <c:v>0.01</c:v>
                </c:pt>
                <c:pt idx="190">
                  <c:v>7.0000000000000001E-3</c:v>
                </c:pt>
                <c:pt idx="191">
                  <c:v>7.0000000000000001E-3</c:v>
                </c:pt>
                <c:pt idx="192">
                  <c:v>6.0000000000000001E-3</c:v>
                </c:pt>
                <c:pt idx="193">
                  <c:v>8.0000000000000002E-3</c:v>
                </c:pt>
                <c:pt idx="194">
                  <c:v>1.2E-2</c:v>
                </c:pt>
                <c:pt idx="195">
                  <c:v>8.9999999999999993E-3</c:v>
                </c:pt>
                <c:pt idx="196">
                  <c:v>1.7000000000000001E-2</c:v>
                </c:pt>
                <c:pt idx="197">
                  <c:v>5.0000000000000001E-3</c:v>
                </c:pt>
                <c:pt idx="198">
                  <c:v>0.01</c:v>
                </c:pt>
                <c:pt idx="199">
                  <c:v>8.9999999999999993E-3</c:v>
                </c:pt>
                <c:pt idx="200">
                  <c:v>4.0000000000000001E-3</c:v>
                </c:pt>
              </c:numCache>
            </c:numRef>
          </c:yVal>
          <c:smooth val="1"/>
          <c:extLst>
            <c:ext xmlns:c16="http://schemas.microsoft.com/office/drawing/2014/chart" uri="{C3380CC4-5D6E-409C-BE32-E72D297353CC}">
              <c16:uniqueId val="{00000000-6E1B-4D28-B0B3-664647D223D0}"/>
            </c:ext>
          </c:extLst>
        </c:ser>
        <c:ser>
          <c:idx val="1"/>
          <c:order val="1"/>
          <c:tx>
            <c:v>RMA-2M-500-2</c:v>
          </c:tx>
          <c:spPr>
            <a:ln w="19050" cap="rnd">
              <a:solidFill>
                <a:srgbClr val="FFC000"/>
              </a:solidFill>
              <a:round/>
            </a:ln>
            <a:effectLst/>
          </c:spPr>
          <c:marker>
            <c:symbol val="none"/>
          </c:marker>
          <c:xVal>
            <c:numRef>
              <c:f>'[Graphique dans Microsoft Word]Feuil5'!$F$2:$F$202</c:f>
              <c:numCache>
                <c:formatCode>General</c:formatCode>
                <c:ptCount val="201"/>
                <c:pt idx="0">
                  <c:v>400</c:v>
                </c:pt>
                <c:pt idx="1">
                  <c:v>402</c:v>
                </c:pt>
                <c:pt idx="2">
                  <c:v>404</c:v>
                </c:pt>
                <c:pt idx="3">
                  <c:v>406</c:v>
                </c:pt>
                <c:pt idx="4">
                  <c:v>408</c:v>
                </c:pt>
                <c:pt idx="5">
                  <c:v>410</c:v>
                </c:pt>
                <c:pt idx="6">
                  <c:v>412</c:v>
                </c:pt>
                <c:pt idx="7">
                  <c:v>414</c:v>
                </c:pt>
                <c:pt idx="8">
                  <c:v>416</c:v>
                </c:pt>
                <c:pt idx="9">
                  <c:v>418</c:v>
                </c:pt>
                <c:pt idx="10">
                  <c:v>420</c:v>
                </c:pt>
                <c:pt idx="11">
                  <c:v>422</c:v>
                </c:pt>
                <c:pt idx="12">
                  <c:v>424</c:v>
                </c:pt>
                <c:pt idx="13">
                  <c:v>426</c:v>
                </c:pt>
                <c:pt idx="14">
                  <c:v>428</c:v>
                </c:pt>
                <c:pt idx="15">
                  <c:v>430</c:v>
                </c:pt>
                <c:pt idx="16">
                  <c:v>432</c:v>
                </c:pt>
                <c:pt idx="17">
                  <c:v>434</c:v>
                </c:pt>
                <c:pt idx="18">
                  <c:v>436</c:v>
                </c:pt>
                <c:pt idx="19">
                  <c:v>438</c:v>
                </c:pt>
                <c:pt idx="20">
                  <c:v>440</c:v>
                </c:pt>
                <c:pt idx="21">
                  <c:v>442</c:v>
                </c:pt>
                <c:pt idx="22">
                  <c:v>444</c:v>
                </c:pt>
                <c:pt idx="23">
                  <c:v>446</c:v>
                </c:pt>
                <c:pt idx="24">
                  <c:v>448</c:v>
                </c:pt>
                <c:pt idx="25">
                  <c:v>450</c:v>
                </c:pt>
                <c:pt idx="26">
                  <c:v>452</c:v>
                </c:pt>
                <c:pt idx="27">
                  <c:v>454</c:v>
                </c:pt>
                <c:pt idx="28">
                  <c:v>456</c:v>
                </c:pt>
                <c:pt idx="29">
                  <c:v>458</c:v>
                </c:pt>
                <c:pt idx="30">
                  <c:v>460</c:v>
                </c:pt>
                <c:pt idx="31">
                  <c:v>462</c:v>
                </c:pt>
                <c:pt idx="32">
                  <c:v>464</c:v>
                </c:pt>
                <c:pt idx="33">
                  <c:v>466</c:v>
                </c:pt>
                <c:pt idx="34">
                  <c:v>468</c:v>
                </c:pt>
                <c:pt idx="35">
                  <c:v>470</c:v>
                </c:pt>
                <c:pt idx="36">
                  <c:v>472</c:v>
                </c:pt>
                <c:pt idx="37">
                  <c:v>474</c:v>
                </c:pt>
                <c:pt idx="38">
                  <c:v>476</c:v>
                </c:pt>
                <c:pt idx="39">
                  <c:v>478</c:v>
                </c:pt>
                <c:pt idx="40">
                  <c:v>480</c:v>
                </c:pt>
                <c:pt idx="41">
                  <c:v>482</c:v>
                </c:pt>
                <c:pt idx="42">
                  <c:v>484</c:v>
                </c:pt>
                <c:pt idx="43">
                  <c:v>486</c:v>
                </c:pt>
                <c:pt idx="44">
                  <c:v>488</c:v>
                </c:pt>
                <c:pt idx="45">
                  <c:v>490</c:v>
                </c:pt>
                <c:pt idx="46">
                  <c:v>492</c:v>
                </c:pt>
                <c:pt idx="47">
                  <c:v>494</c:v>
                </c:pt>
                <c:pt idx="48">
                  <c:v>496</c:v>
                </c:pt>
                <c:pt idx="49">
                  <c:v>498</c:v>
                </c:pt>
                <c:pt idx="50">
                  <c:v>500</c:v>
                </c:pt>
                <c:pt idx="51">
                  <c:v>502</c:v>
                </c:pt>
                <c:pt idx="52">
                  <c:v>504</c:v>
                </c:pt>
                <c:pt idx="53">
                  <c:v>506</c:v>
                </c:pt>
                <c:pt idx="54">
                  <c:v>508</c:v>
                </c:pt>
                <c:pt idx="55">
                  <c:v>510</c:v>
                </c:pt>
                <c:pt idx="56">
                  <c:v>512</c:v>
                </c:pt>
                <c:pt idx="57">
                  <c:v>514</c:v>
                </c:pt>
                <c:pt idx="58">
                  <c:v>516</c:v>
                </c:pt>
                <c:pt idx="59">
                  <c:v>518</c:v>
                </c:pt>
                <c:pt idx="60">
                  <c:v>520</c:v>
                </c:pt>
                <c:pt idx="61">
                  <c:v>522</c:v>
                </c:pt>
                <c:pt idx="62">
                  <c:v>524</c:v>
                </c:pt>
                <c:pt idx="63">
                  <c:v>526</c:v>
                </c:pt>
                <c:pt idx="64">
                  <c:v>528</c:v>
                </c:pt>
                <c:pt idx="65">
                  <c:v>530</c:v>
                </c:pt>
                <c:pt idx="66">
                  <c:v>532</c:v>
                </c:pt>
                <c:pt idx="67">
                  <c:v>534</c:v>
                </c:pt>
                <c:pt idx="68">
                  <c:v>536</c:v>
                </c:pt>
                <c:pt idx="69">
                  <c:v>538</c:v>
                </c:pt>
                <c:pt idx="70">
                  <c:v>540</c:v>
                </c:pt>
                <c:pt idx="71">
                  <c:v>542</c:v>
                </c:pt>
                <c:pt idx="72">
                  <c:v>544</c:v>
                </c:pt>
                <c:pt idx="73">
                  <c:v>546</c:v>
                </c:pt>
                <c:pt idx="74">
                  <c:v>548</c:v>
                </c:pt>
                <c:pt idx="75">
                  <c:v>550</c:v>
                </c:pt>
                <c:pt idx="76">
                  <c:v>552</c:v>
                </c:pt>
                <c:pt idx="77">
                  <c:v>554</c:v>
                </c:pt>
                <c:pt idx="78">
                  <c:v>556</c:v>
                </c:pt>
                <c:pt idx="79">
                  <c:v>558</c:v>
                </c:pt>
                <c:pt idx="80">
                  <c:v>560</c:v>
                </c:pt>
                <c:pt idx="81">
                  <c:v>562</c:v>
                </c:pt>
                <c:pt idx="82">
                  <c:v>564</c:v>
                </c:pt>
                <c:pt idx="83">
                  <c:v>566</c:v>
                </c:pt>
                <c:pt idx="84">
                  <c:v>568</c:v>
                </c:pt>
                <c:pt idx="85">
                  <c:v>570</c:v>
                </c:pt>
                <c:pt idx="86">
                  <c:v>572</c:v>
                </c:pt>
                <c:pt idx="87">
                  <c:v>574</c:v>
                </c:pt>
                <c:pt idx="88">
                  <c:v>576</c:v>
                </c:pt>
                <c:pt idx="89">
                  <c:v>578</c:v>
                </c:pt>
                <c:pt idx="90">
                  <c:v>580</c:v>
                </c:pt>
                <c:pt idx="91">
                  <c:v>582</c:v>
                </c:pt>
                <c:pt idx="92">
                  <c:v>584</c:v>
                </c:pt>
                <c:pt idx="93">
                  <c:v>586</c:v>
                </c:pt>
                <c:pt idx="94">
                  <c:v>588</c:v>
                </c:pt>
                <c:pt idx="95">
                  <c:v>590</c:v>
                </c:pt>
                <c:pt idx="96">
                  <c:v>592</c:v>
                </c:pt>
                <c:pt idx="97">
                  <c:v>594</c:v>
                </c:pt>
                <c:pt idx="98">
                  <c:v>596</c:v>
                </c:pt>
                <c:pt idx="99">
                  <c:v>598</c:v>
                </c:pt>
                <c:pt idx="100">
                  <c:v>600</c:v>
                </c:pt>
                <c:pt idx="101">
                  <c:v>602</c:v>
                </c:pt>
                <c:pt idx="102">
                  <c:v>604</c:v>
                </c:pt>
                <c:pt idx="103">
                  <c:v>606</c:v>
                </c:pt>
                <c:pt idx="104">
                  <c:v>608</c:v>
                </c:pt>
                <c:pt idx="105">
                  <c:v>610</c:v>
                </c:pt>
                <c:pt idx="106">
                  <c:v>612</c:v>
                </c:pt>
                <c:pt idx="107">
                  <c:v>614</c:v>
                </c:pt>
                <c:pt idx="108">
                  <c:v>616</c:v>
                </c:pt>
                <c:pt idx="109">
                  <c:v>618</c:v>
                </c:pt>
                <c:pt idx="110">
                  <c:v>620</c:v>
                </c:pt>
                <c:pt idx="111">
                  <c:v>622</c:v>
                </c:pt>
                <c:pt idx="112">
                  <c:v>624</c:v>
                </c:pt>
                <c:pt idx="113">
                  <c:v>626</c:v>
                </c:pt>
                <c:pt idx="114">
                  <c:v>628</c:v>
                </c:pt>
                <c:pt idx="115">
                  <c:v>630</c:v>
                </c:pt>
                <c:pt idx="116">
                  <c:v>632</c:v>
                </c:pt>
                <c:pt idx="117">
                  <c:v>634</c:v>
                </c:pt>
                <c:pt idx="118">
                  <c:v>636</c:v>
                </c:pt>
                <c:pt idx="119">
                  <c:v>638</c:v>
                </c:pt>
                <c:pt idx="120">
                  <c:v>640</c:v>
                </c:pt>
                <c:pt idx="121">
                  <c:v>642</c:v>
                </c:pt>
                <c:pt idx="122">
                  <c:v>644</c:v>
                </c:pt>
                <c:pt idx="123">
                  <c:v>646</c:v>
                </c:pt>
                <c:pt idx="124">
                  <c:v>648</c:v>
                </c:pt>
                <c:pt idx="125">
                  <c:v>650</c:v>
                </c:pt>
                <c:pt idx="126">
                  <c:v>652</c:v>
                </c:pt>
                <c:pt idx="127">
                  <c:v>654</c:v>
                </c:pt>
                <c:pt idx="128">
                  <c:v>656</c:v>
                </c:pt>
                <c:pt idx="129">
                  <c:v>658</c:v>
                </c:pt>
                <c:pt idx="130">
                  <c:v>660</c:v>
                </c:pt>
                <c:pt idx="131">
                  <c:v>662</c:v>
                </c:pt>
                <c:pt idx="132">
                  <c:v>664</c:v>
                </c:pt>
                <c:pt idx="133">
                  <c:v>666</c:v>
                </c:pt>
                <c:pt idx="134">
                  <c:v>668</c:v>
                </c:pt>
                <c:pt idx="135">
                  <c:v>670</c:v>
                </c:pt>
                <c:pt idx="136">
                  <c:v>672</c:v>
                </c:pt>
                <c:pt idx="137">
                  <c:v>674</c:v>
                </c:pt>
                <c:pt idx="138">
                  <c:v>676</c:v>
                </c:pt>
                <c:pt idx="139">
                  <c:v>678</c:v>
                </c:pt>
                <c:pt idx="140">
                  <c:v>680</c:v>
                </c:pt>
                <c:pt idx="141">
                  <c:v>682</c:v>
                </c:pt>
                <c:pt idx="142">
                  <c:v>684</c:v>
                </c:pt>
                <c:pt idx="143">
                  <c:v>686</c:v>
                </c:pt>
                <c:pt idx="144">
                  <c:v>688</c:v>
                </c:pt>
                <c:pt idx="145">
                  <c:v>690</c:v>
                </c:pt>
                <c:pt idx="146">
                  <c:v>692</c:v>
                </c:pt>
                <c:pt idx="147">
                  <c:v>694</c:v>
                </c:pt>
                <c:pt idx="148">
                  <c:v>696</c:v>
                </c:pt>
                <c:pt idx="149">
                  <c:v>698</c:v>
                </c:pt>
                <c:pt idx="150">
                  <c:v>700</c:v>
                </c:pt>
                <c:pt idx="151">
                  <c:v>702</c:v>
                </c:pt>
                <c:pt idx="152">
                  <c:v>704</c:v>
                </c:pt>
                <c:pt idx="153">
                  <c:v>706</c:v>
                </c:pt>
                <c:pt idx="154">
                  <c:v>708</c:v>
                </c:pt>
                <c:pt idx="155">
                  <c:v>710</c:v>
                </c:pt>
                <c:pt idx="156">
                  <c:v>712</c:v>
                </c:pt>
                <c:pt idx="157">
                  <c:v>714</c:v>
                </c:pt>
                <c:pt idx="158">
                  <c:v>716</c:v>
                </c:pt>
                <c:pt idx="159">
                  <c:v>718</c:v>
                </c:pt>
                <c:pt idx="160">
                  <c:v>720</c:v>
                </c:pt>
                <c:pt idx="161">
                  <c:v>722</c:v>
                </c:pt>
                <c:pt idx="162">
                  <c:v>724</c:v>
                </c:pt>
                <c:pt idx="163">
                  <c:v>726</c:v>
                </c:pt>
                <c:pt idx="164">
                  <c:v>728</c:v>
                </c:pt>
                <c:pt idx="165">
                  <c:v>730</c:v>
                </c:pt>
                <c:pt idx="166">
                  <c:v>732</c:v>
                </c:pt>
                <c:pt idx="167">
                  <c:v>734</c:v>
                </c:pt>
                <c:pt idx="168">
                  <c:v>736</c:v>
                </c:pt>
                <c:pt idx="169">
                  <c:v>738</c:v>
                </c:pt>
                <c:pt idx="170">
                  <c:v>740</c:v>
                </c:pt>
                <c:pt idx="171">
                  <c:v>742</c:v>
                </c:pt>
                <c:pt idx="172">
                  <c:v>744</c:v>
                </c:pt>
                <c:pt idx="173">
                  <c:v>746</c:v>
                </c:pt>
                <c:pt idx="174">
                  <c:v>748</c:v>
                </c:pt>
                <c:pt idx="175">
                  <c:v>750</c:v>
                </c:pt>
                <c:pt idx="176">
                  <c:v>752</c:v>
                </c:pt>
                <c:pt idx="177">
                  <c:v>754</c:v>
                </c:pt>
                <c:pt idx="178">
                  <c:v>756</c:v>
                </c:pt>
                <c:pt idx="179">
                  <c:v>758</c:v>
                </c:pt>
                <c:pt idx="180">
                  <c:v>760</c:v>
                </c:pt>
                <c:pt idx="181">
                  <c:v>762</c:v>
                </c:pt>
                <c:pt idx="182">
                  <c:v>764</c:v>
                </c:pt>
                <c:pt idx="183">
                  <c:v>766</c:v>
                </c:pt>
                <c:pt idx="184">
                  <c:v>768</c:v>
                </c:pt>
                <c:pt idx="185">
                  <c:v>770</c:v>
                </c:pt>
                <c:pt idx="186">
                  <c:v>772</c:v>
                </c:pt>
                <c:pt idx="187">
                  <c:v>774</c:v>
                </c:pt>
                <c:pt idx="188">
                  <c:v>776</c:v>
                </c:pt>
                <c:pt idx="189">
                  <c:v>778</c:v>
                </c:pt>
                <c:pt idx="190">
                  <c:v>780</c:v>
                </c:pt>
                <c:pt idx="191">
                  <c:v>782</c:v>
                </c:pt>
                <c:pt idx="192">
                  <c:v>784</c:v>
                </c:pt>
                <c:pt idx="193">
                  <c:v>786</c:v>
                </c:pt>
                <c:pt idx="194">
                  <c:v>788</c:v>
                </c:pt>
                <c:pt idx="195">
                  <c:v>790</c:v>
                </c:pt>
                <c:pt idx="196">
                  <c:v>792</c:v>
                </c:pt>
                <c:pt idx="197">
                  <c:v>794</c:v>
                </c:pt>
                <c:pt idx="198">
                  <c:v>796</c:v>
                </c:pt>
                <c:pt idx="199">
                  <c:v>798</c:v>
                </c:pt>
                <c:pt idx="200">
                  <c:v>800</c:v>
                </c:pt>
              </c:numCache>
            </c:numRef>
          </c:xVal>
          <c:yVal>
            <c:numRef>
              <c:f>'[Graphique dans Microsoft Word]Feuil5'!$G$2:$G$202</c:f>
              <c:numCache>
                <c:formatCode>General</c:formatCode>
                <c:ptCount val="201"/>
                <c:pt idx="0">
                  <c:v>1.4999999999999999E-2</c:v>
                </c:pt>
                <c:pt idx="1">
                  <c:v>1.2E-2</c:v>
                </c:pt>
                <c:pt idx="2">
                  <c:v>1.6E-2</c:v>
                </c:pt>
                <c:pt idx="3">
                  <c:v>1.2999999999999999E-2</c:v>
                </c:pt>
                <c:pt idx="4">
                  <c:v>1.2E-2</c:v>
                </c:pt>
                <c:pt idx="5">
                  <c:v>1.6E-2</c:v>
                </c:pt>
                <c:pt idx="6">
                  <c:v>1.4999999999999999E-2</c:v>
                </c:pt>
                <c:pt idx="7">
                  <c:v>1.4E-2</c:v>
                </c:pt>
                <c:pt idx="8">
                  <c:v>1.4E-2</c:v>
                </c:pt>
                <c:pt idx="9">
                  <c:v>1.2999999999999999E-2</c:v>
                </c:pt>
                <c:pt idx="10">
                  <c:v>1.2999999999999999E-2</c:v>
                </c:pt>
                <c:pt idx="11">
                  <c:v>1.0999999999999999E-2</c:v>
                </c:pt>
                <c:pt idx="12">
                  <c:v>1.2999999999999999E-2</c:v>
                </c:pt>
                <c:pt idx="13">
                  <c:v>1.0999999999999999E-2</c:v>
                </c:pt>
                <c:pt idx="14">
                  <c:v>1.2E-2</c:v>
                </c:pt>
                <c:pt idx="15">
                  <c:v>1.4999999999999999E-2</c:v>
                </c:pt>
                <c:pt idx="16">
                  <c:v>1.4E-2</c:v>
                </c:pt>
                <c:pt idx="17">
                  <c:v>1.6E-2</c:v>
                </c:pt>
                <c:pt idx="18">
                  <c:v>1.4999999999999999E-2</c:v>
                </c:pt>
                <c:pt idx="19">
                  <c:v>1.4E-2</c:v>
                </c:pt>
                <c:pt idx="20">
                  <c:v>1.2E-2</c:v>
                </c:pt>
                <c:pt idx="21">
                  <c:v>1.6E-2</c:v>
                </c:pt>
                <c:pt idx="22">
                  <c:v>1.4999999999999999E-2</c:v>
                </c:pt>
                <c:pt idx="23">
                  <c:v>1.4999999999999999E-2</c:v>
                </c:pt>
                <c:pt idx="24">
                  <c:v>1.7000000000000001E-2</c:v>
                </c:pt>
                <c:pt idx="25">
                  <c:v>1.7999999999999999E-2</c:v>
                </c:pt>
                <c:pt idx="26">
                  <c:v>1.6E-2</c:v>
                </c:pt>
                <c:pt idx="27">
                  <c:v>1.4999999999999999E-2</c:v>
                </c:pt>
                <c:pt idx="28">
                  <c:v>1.9E-2</c:v>
                </c:pt>
                <c:pt idx="29">
                  <c:v>2.3E-2</c:v>
                </c:pt>
                <c:pt idx="30">
                  <c:v>1.6E-2</c:v>
                </c:pt>
                <c:pt idx="31">
                  <c:v>1.4999999999999999E-2</c:v>
                </c:pt>
                <c:pt idx="32">
                  <c:v>1.4E-2</c:v>
                </c:pt>
                <c:pt idx="33">
                  <c:v>2.1000000000000001E-2</c:v>
                </c:pt>
                <c:pt idx="34">
                  <c:v>1.9E-2</c:v>
                </c:pt>
                <c:pt idx="35">
                  <c:v>0.02</c:v>
                </c:pt>
                <c:pt idx="36">
                  <c:v>1.7000000000000001E-2</c:v>
                </c:pt>
                <c:pt idx="37">
                  <c:v>0.02</c:v>
                </c:pt>
                <c:pt idx="38">
                  <c:v>2.5000000000000001E-2</c:v>
                </c:pt>
                <c:pt idx="39">
                  <c:v>1.9E-2</c:v>
                </c:pt>
                <c:pt idx="40">
                  <c:v>2.3E-2</c:v>
                </c:pt>
                <c:pt idx="41">
                  <c:v>2.1000000000000001E-2</c:v>
                </c:pt>
                <c:pt idx="42">
                  <c:v>1.6E-2</c:v>
                </c:pt>
                <c:pt idx="43">
                  <c:v>2.1000000000000001E-2</c:v>
                </c:pt>
                <c:pt idx="44">
                  <c:v>1.9E-2</c:v>
                </c:pt>
                <c:pt idx="45">
                  <c:v>2.1000000000000001E-2</c:v>
                </c:pt>
                <c:pt idx="46">
                  <c:v>2.1000000000000001E-2</c:v>
                </c:pt>
                <c:pt idx="47">
                  <c:v>2.1000000000000001E-2</c:v>
                </c:pt>
                <c:pt idx="48">
                  <c:v>1.9E-2</c:v>
                </c:pt>
                <c:pt idx="49">
                  <c:v>2.4E-2</c:v>
                </c:pt>
                <c:pt idx="50">
                  <c:v>2.1000000000000001E-2</c:v>
                </c:pt>
                <c:pt idx="51">
                  <c:v>2.3E-2</c:v>
                </c:pt>
                <c:pt idx="52">
                  <c:v>0.02</c:v>
                </c:pt>
                <c:pt idx="53">
                  <c:v>2.3E-2</c:v>
                </c:pt>
                <c:pt idx="54">
                  <c:v>2.1000000000000001E-2</c:v>
                </c:pt>
                <c:pt idx="55">
                  <c:v>2.4E-2</c:v>
                </c:pt>
                <c:pt idx="56">
                  <c:v>2.1999999999999999E-2</c:v>
                </c:pt>
                <c:pt idx="57">
                  <c:v>2.3E-2</c:v>
                </c:pt>
                <c:pt idx="58">
                  <c:v>2.3E-2</c:v>
                </c:pt>
                <c:pt idx="59">
                  <c:v>2.4E-2</c:v>
                </c:pt>
                <c:pt idx="60">
                  <c:v>2.3E-2</c:v>
                </c:pt>
                <c:pt idx="61">
                  <c:v>2.4E-2</c:v>
                </c:pt>
                <c:pt idx="62">
                  <c:v>2.4E-2</c:v>
                </c:pt>
                <c:pt idx="63">
                  <c:v>2.3E-2</c:v>
                </c:pt>
                <c:pt idx="64">
                  <c:v>2.5999999999999999E-2</c:v>
                </c:pt>
                <c:pt idx="65">
                  <c:v>2.7E-2</c:v>
                </c:pt>
                <c:pt idx="66">
                  <c:v>2.5999999999999999E-2</c:v>
                </c:pt>
                <c:pt idx="67">
                  <c:v>2.8000000000000001E-2</c:v>
                </c:pt>
                <c:pt idx="68">
                  <c:v>3.1E-2</c:v>
                </c:pt>
                <c:pt idx="69">
                  <c:v>3.3000000000000002E-2</c:v>
                </c:pt>
                <c:pt idx="70">
                  <c:v>4.2000000000000003E-2</c:v>
                </c:pt>
                <c:pt idx="71">
                  <c:v>4.3999999999999997E-2</c:v>
                </c:pt>
                <c:pt idx="72">
                  <c:v>4.2999999999999997E-2</c:v>
                </c:pt>
                <c:pt idx="73">
                  <c:v>3.7999999999999999E-2</c:v>
                </c:pt>
                <c:pt idx="74">
                  <c:v>4.2000000000000003E-2</c:v>
                </c:pt>
                <c:pt idx="75">
                  <c:v>4.9000000000000002E-2</c:v>
                </c:pt>
                <c:pt idx="76">
                  <c:v>4.8000000000000001E-2</c:v>
                </c:pt>
                <c:pt idx="77">
                  <c:v>0.05</c:v>
                </c:pt>
                <c:pt idx="78">
                  <c:v>5.1999999999999998E-2</c:v>
                </c:pt>
                <c:pt idx="79">
                  <c:v>5.2999999999999999E-2</c:v>
                </c:pt>
                <c:pt idx="80">
                  <c:v>5.7000000000000002E-2</c:v>
                </c:pt>
                <c:pt idx="81">
                  <c:v>5.8000000000000003E-2</c:v>
                </c:pt>
                <c:pt idx="82">
                  <c:v>0.06</c:v>
                </c:pt>
                <c:pt idx="83">
                  <c:v>6.5000000000000002E-2</c:v>
                </c:pt>
                <c:pt idx="84">
                  <c:v>7.3999999999999996E-2</c:v>
                </c:pt>
                <c:pt idx="85">
                  <c:v>7.9000000000000001E-2</c:v>
                </c:pt>
                <c:pt idx="86">
                  <c:v>7.5999999999999998E-2</c:v>
                </c:pt>
                <c:pt idx="87">
                  <c:v>0.08</c:v>
                </c:pt>
                <c:pt idx="88">
                  <c:v>8.5999999999999993E-2</c:v>
                </c:pt>
                <c:pt idx="89">
                  <c:v>9.0999999999999998E-2</c:v>
                </c:pt>
                <c:pt idx="90">
                  <c:v>9.6000000000000002E-2</c:v>
                </c:pt>
                <c:pt idx="91">
                  <c:v>0.106</c:v>
                </c:pt>
                <c:pt idx="92">
                  <c:v>0.108</c:v>
                </c:pt>
                <c:pt idx="93">
                  <c:v>0.11899999999999999</c:v>
                </c:pt>
                <c:pt idx="94">
                  <c:v>0.13200000000000001</c:v>
                </c:pt>
                <c:pt idx="95">
                  <c:v>0.13600000000000001</c:v>
                </c:pt>
                <c:pt idx="96">
                  <c:v>0.13900000000000001</c:v>
                </c:pt>
                <c:pt idx="97">
                  <c:v>0.14799999999999999</c:v>
                </c:pt>
                <c:pt idx="98">
                  <c:v>0.161</c:v>
                </c:pt>
                <c:pt idx="99">
                  <c:v>0.17100000000000001</c:v>
                </c:pt>
                <c:pt idx="100">
                  <c:v>0.17199999999999999</c:v>
                </c:pt>
                <c:pt idx="101">
                  <c:v>0.183</c:v>
                </c:pt>
                <c:pt idx="102">
                  <c:v>0.193</c:v>
                </c:pt>
                <c:pt idx="103">
                  <c:v>0.2</c:v>
                </c:pt>
                <c:pt idx="104">
                  <c:v>0.20799999999999999</c:v>
                </c:pt>
                <c:pt idx="105">
                  <c:v>0.214</c:v>
                </c:pt>
                <c:pt idx="106">
                  <c:v>0.215</c:v>
                </c:pt>
                <c:pt idx="107">
                  <c:v>0.222</c:v>
                </c:pt>
                <c:pt idx="108">
                  <c:v>0.218</c:v>
                </c:pt>
                <c:pt idx="109">
                  <c:v>0.22500000000000001</c:v>
                </c:pt>
                <c:pt idx="110">
                  <c:v>0.22900000000000001</c:v>
                </c:pt>
                <c:pt idx="111">
                  <c:v>0.22900000000000001</c:v>
                </c:pt>
                <c:pt idx="112">
                  <c:v>0.23300000000000001</c:v>
                </c:pt>
                <c:pt idx="113">
                  <c:v>0.23899999999999999</c:v>
                </c:pt>
                <c:pt idx="114">
                  <c:v>0.24299999999999999</c:v>
                </c:pt>
                <c:pt idx="115">
                  <c:v>0.247</c:v>
                </c:pt>
                <c:pt idx="116">
                  <c:v>0.25700000000000001</c:v>
                </c:pt>
                <c:pt idx="117">
                  <c:v>0.26600000000000001</c:v>
                </c:pt>
                <c:pt idx="118">
                  <c:v>0.27200000000000002</c:v>
                </c:pt>
                <c:pt idx="119">
                  <c:v>0.28599999999999998</c:v>
                </c:pt>
                <c:pt idx="120">
                  <c:v>0.29299999999999998</c:v>
                </c:pt>
                <c:pt idx="121">
                  <c:v>0.30599999999999999</c:v>
                </c:pt>
                <c:pt idx="122">
                  <c:v>0.32</c:v>
                </c:pt>
                <c:pt idx="123">
                  <c:v>0.33300000000000002</c:v>
                </c:pt>
                <c:pt idx="124">
                  <c:v>0.34499999999999997</c:v>
                </c:pt>
                <c:pt idx="125">
                  <c:v>0.35399999999999998</c:v>
                </c:pt>
                <c:pt idx="126">
                  <c:v>0.36599999999999999</c:v>
                </c:pt>
                <c:pt idx="127">
                  <c:v>0.372</c:v>
                </c:pt>
                <c:pt idx="128">
                  <c:v>0.38400000000000001</c:v>
                </c:pt>
                <c:pt idx="129">
                  <c:v>0.38800000000000001</c:v>
                </c:pt>
                <c:pt idx="130">
                  <c:v>0.39300000000000002</c:v>
                </c:pt>
                <c:pt idx="131">
                  <c:v>0.38800000000000001</c:v>
                </c:pt>
                <c:pt idx="132">
                  <c:v>0.39200000000000002</c:v>
                </c:pt>
                <c:pt idx="133">
                  <c:v>0.38500000000000001</c:v>
                </c:pt>
                <c:pt idx="134">
                  <c:v>0.372</c:v>
                </c:pt>
                <c:pt idx="135">
                  <c:v>0.35699999999999998</c:v>
                </c:pt>
                <c:pt idx="136">
                  <c:v>0.33500000000000002</c:v>
                </c:pt>
                <c:pt idx="137">
                  <c:v>0.31</c:v>
                </c:pt>
                <c:pt idx="138">
                  <c:v>0.28299999999999997</c:v>
                </c:pt>
                <c:pt idx="139">
                  <c:v>0.24199999999999999</c:v>
                </c:pt>
                <c:pt idx="140">
                  <c:v>0.214</c:v>
                </c:pt>
                <c:pt idx="141">
                  <c:v>0.182</c:v>
                </c:pt>
                <c:pt idx="142">
                  <c:v>0.15</c:v>
                </c:pt>
                <c:pt idx="143">
                  <c:v>0.124</c:v>
                </c:pt>
                <c:pt idx="144">
                  <c:v>0.10299999999999999</c:v>
                </c:pt>
                <c:pt idx="145">
                  <c:v>8.3000000000000004E-2</c:v>
                </c:pt>
                <c:pt idx="146">
                  <c:v>6.8000000000000005E-2</c:v>
                </c:pt>
                <c:pt idx="147">
                  <c:v>5.8999999999999997E-2</c:v>
                </c:pt>
                <c:pt idx="148">
                  <c:v>4.7E-2</c:v>
                </c:pt>
                <c:pt idx="149">
                  <c:v>3.6999999999999998E-2</c:v>
                </c:pt>
                <c:pt idx="150">
                  <c:v>3.3000000000000002E-2</c:v>
                </c:pt>
                <c:pt idx="151">
                  <c:v>2.9000000000000001E-2</c:v>
                </c:pt>
                <c:pt idx="152">
                  <c:v>2.5000000000000001E-2</c:v>
                </c:pt>
                <c:pt idx="153">
                  <c:v>2.1999999999999999E-2</c:v>
                </c:pt>
                <c:pt idx="154">
                  <c:v>1.7999999999999999E-2</c:v>
                </c:pt>
                <c:pt idx="155">
                  <c:v>1.7999999999999999E-2</c:v>
                </c:pt>
                <c:pt idx="156">
                  <c:v>1.2999999999999999E-2</c:v>
                </c:pt>
                <c:pt idx="157">
                  <c:v>1.4999999999999999E-2</c:v>
                </c:pt>
                <c:pt idx="158">
                  <c:v>8.0000000000000002E-3</c:v>
                </c:pt>
                <c:pt idx="159">
                  <c:v>0.01</c:v>
                </c:pt>
                <c:pt idx="160">
                  <c:v>6.0000000000000001E-3</c:v>
                </c:pt>
                <c:pt idx="161">
                  <c:v>4.0000000000000001E-3</c:v>
                </c:pt>
                <c:pt idx="162">
                  <c:v>1.2E-2</c:v>
                </c:pt>
                <c:pt idx="163">
                  <c:v>8.0000000000000002E-3</c:v>
                </c:pt>
                <c:pt idx="164">
                  <c:v>3.0000000000000001E-3</c:v>
                </c:pt>
                <c:pt idx="165">
                  <c:v>7.0000000000000001E-3</c:v>
                </c:pt>
                <c:pt idx="166">
                  <c:v>1.0999999999999999E-2</c:v>
                </c:pt>
                <c:pt idx="167">
                  <c:v>8.0000000000000002E-3</c:v>
                </c:pt>
                <c:pt idx="168">
                  <c:v>5.0000000000000001E-3</c:v>
                </c:pt>
                <c:pt idx="169">
                  <c:v>5.0000000000000001E-3</c:v>
                </c:pt>
                <c:pt idx="170">
                  <c:v>6.0000000000000001E-3</c:v>
                </c:pt>
                <c:pt idx="171">
                  <c:v>5.0000000000000001E-3</c:v>
                </c:pt>
                <c:pt idx="172">
                  <c:v>5.0000000000000001E-3</c:v>
                </c:pt>
                <c:pt idx="173">
                  <c:v>2E-3</c:v>
                </c:pt>
                <c:pt idx="174">
                  <c:v>6.0000000000000001E-3</c:v>
                </c:pt>
                <c:pt idx="175">
                  <c:v>4.0000000000000001E-3</c:v>
                </c:pt>
                <c:pt idx="176">
                  <c:v>5.0000000000000001E-3</c:v>
                </c:pt>
                <c:pt idx="177">
                  <c:v>4.0000000000000001E-3</c:v>
                </c:pt>
                <c:pt idx="178">
                  <c:v>7.0000000000000001E-3</c:v>
                </c:pt>
                <c:pt idx="179">
                  <c:v>6.0000000000000001E-3</c:v>
                </c:pt>
                <c:pt idx="180">
                  <c:v>4.0000000000000001E-3</c:v>
                </c:pt>
                <c:pt idx="181">
                  <c:v>1E-3</c:v>
                </c:pt>
                <c:pt idx="182">
                  <c:v>5.0000000000000001E-3</c:v>
                </c:pt>
                <c:pt idx="183">
                  <c:v>3.0000000000000001E-3</c:v>
                </c:pt>
                <c:pt idx="184">
                  <c:v>2E-3</c:v>
                </c:pt>
                <c:pt idx="185">
                  <c:v>4.0000000000000001E-3</c:v>
                </c:pt>
                <c:pt idx="186">
                  <c:v>5.0000000000000001E-3</c:v>
                </c:pt>
                <c:pt idx="187">
                  <c:v>2E-3</c:v>
                </c:pt>
                <c:pt idx="188">
                  <c:v>2E-3</c:v>
                </c:pt>
                <c:pt idx="189">
                  <c:v>6.0000000000000001E-3</c:v>
                </c:pt>
                <c:pt idx="190">
                  <c:v>2E-3</c:v>
                </c:pt>
                <c:pt idx="191">
                  <c:v>3.0000000000000001E-3</c:v>
                </c:pt>
                <c:pt idx="192">
                  <c:v>2E-3</c:v>
                </c:pt>
                <c:pt idx="193">
                  <c:v>2E-3</c:v>
                </c:pt>
                <c:pt idx="194">
                  <c:v>4.0000000000000001E-3</c:v>
                </c:pt>
                <c:pt idx="195">
                  <c:v>1E-3</c:v>
                </c:pt>
                <c:pt idx="196">
                  <c:v>8.9999999999999993E-3</c:v>
                </c:pt>
                <c:pt idx="197">
                  <c:v>0</c:v>
                </c:pt>
                <c:pt idx="198">
                  <c:v>2E-3</c:v>
                </c:pt>
                <c:pt idx="199">
                  <c:v>5.0000000000000001E-3</c:v>
                </c:pt>
                <c:pt idx="200">
                  <c:v>3.0000000000000001E-3</c:v>
                </c:pt>
              </c:numCache>
            </c:numRef>
          </c:yVal>
          <c:smooth val="1"/>
          <c:extLst>
            <c:ext xmlns:c16="http://schemas.microsoft.com/office/drawing/2014/chart" uri="{C3380CC4-5D6E-409C-BE32-E72D297353CC}">
              <c16:uniqueId val="{00000001-6E1B-4D28-B0B3-664647D223D0}"/>
            </c:ext>
          </c:extLst>
        </c:ser>
        <c:ser>
          <c:idx val="3"/>
          <c:order val="2"/>
          <c:tx>
            <c:v>RMA-2M-500-3</c:v>
          </c:tx>
          <c:spPr>
            <a:ln w="19050" cap="rnd">
              <a:solidFill>
                <a:srgbClr val="00B050"/>
              </a:solidFill>
              <a:round/>
            </a:ln>
            <a:effectLst/>
          </c:spPr>
          <c:marker>
            <c:symbol val="none"/>
          </c:marker>
          <c:xVal>
            <c:numRef>
              <c:f>'[Graphique dans Microsoft Word]Feuil5'!$R$1:$R$201</c:f>
              <c:numCache>
                <c:formatCode>General</c:formatCode>
                <c:ptCount val="201"/>
                <c:pt idx="0">
                  <c:v>400</c:v>
                </c:pt>
                <c:pt idx="1">
                  <c:v>402</c:v>
                </c:pt>
                <c:pt idx="2">
                  <c:v>404</c:v>
                </c:pt>
                <c:pt idx="3">
                  <c:v>406</c:v>
                </c:pt>
                <c:pt idx="4">
                  <c:v>408</c:v>
                </c:pt>
                <c:pt idx="5">
                  <c:v>410</c:v>
                </c:pt>
                <c:pt idx="6">
                  <c:v>412</c:v>
                </c:pt>
                <c:pt idx="7">
                  <c:v>414</c:v>
                </c:pt>
                <c:pt idx="8">
                  <c:v>416</c:v>
                </c:pt>
                <c:pt idx="9">
                  <c:v>418</c:v>
                </c:pt>
                <c:pt idx="10">
                  <c:v>420</c:v>
                </c:pt>
                <c:pt idx="11">
                  <c:v>422</c:v>
                </c:pt>
                <c:pt idx="12">
                  <c:v>424</c:v>
                </c:pt>
                <c:pt idx="13">
                  <c:v>426</c:v>
                </c:pt>
                <c:pt idx="14">
                  <c:v>428</c:v>
                </c:pt>
                <c:pt idx="15">
                  <c:v>430</c:v>
                </c:pt>
                <c:pt idx="16">
                  <c:v>432</c:v>
                </c:pt>
                <c:pt idx="17">
                  <c:v>434</c:v>
                </c:pt>
                <c:pt idx="18">
                  <c:v>436</c:v>
                </c:pt>
                <c:pt idx="19">
                  <c:v>438</c:v>
                </c:pt>
                <c:pt idx="20">
                  <c:v>440</c:v>
                </c:pt>
                <c:pt idx="21">
                  <c:v>442</c:v>
                </c:pt>
                <c:pt idx="22">
                  <c:v>444</c:v>
                </c:pt>
                <c:pt idx="23">
                  <c:v>446</c:v>
                </c:pt>
                <c:pt idx="24">
                  <c:v>448</c:v>
                </c:pt>
                <c:pt idx="25">
                  <c:v>450</c:v>
                </c:pt>
                <c:pt idx="26">
                  <c:v>452</c:v>
                </c:pt>
                <c:pt idx="27">
                  <c:v>454</c:v>
                </c:pt>
                <c:pt idx="28">
                  <c:v>456</c:v>
                </c:pt>
                <c:pt idx="29">
                  <c:v>458</c:v>
                </c:pt>
                <c:pt idx="30">
                  <c:v>460</c:v>
                </c:pt>
                <c:pt idx="31">
                  <c:v>462</c:v>
                </c:pt>
                <c:pt idx="32">
                  <c:v>464</c:v>
                </c:pt>
                <c:pt idx="33">
                  <c:v>466</c:v>
                </c:pt>
                <c:pt idx="34">
                  <c:v>468</c:v>
                </c:pt>
                <c:pt idx="35">
                  <c:v>470</c:v>
                </c:pt>
                <c:pt idx="36">
                  <c:v>472</c:v>
                </c:pt>
                <c:pt idx="37">
                  <c:v>474</c:v>
                </c:pt>
                <c:pt idx="38">
                  <c:v>476</c:v>
                </c:pt>
                <c:pt idx="39">
                  <c:v>478</c:v>
                </c:pt>
                <c:pt idx="40">
                  <c:v>480</c:v>
                </c:pt>
                <c:pt idx="41">
                  <c:v>482</c:v>
                </c:pt>
                <c:pt idx="42">
                  <c:v>484</c:v>
                </c:pt>
                <c:pt idx="43">
                  <c:v>486</c:v>
                </c:pt>
                <c:pt idx="44">
                  <c:v>488</c:v>
                </c:pt>
                <c:pt idx="45">
                  <c:v>490</c:v>
                </c:pt>
                <c:pt idx="46">
                  <c:v>492</c:v>
                </c:pt>
                <c:pt idx="47">
                  <c:v>494</c:v>
                </c:pt>
                <c:pt idx="48">
                  <c:v>496</c:v>
                </c:pt>
                <c:pt idx="49">
                  <c:v>498</c:v>
                </c:pt>
                <c:pt idx="50">
                  <c:v>500</c:v>
                </c:pt>
                <c:pt idx="51">
                  <c:v>502</c:v>
                </c:pt>
                <c:pt idx="52">
                  <c:v>504</c:v>
                </c:pt>
                <c:pt idx="53">
                  <c:v>506</c:v>
                </c:pt>
                <c:pt idx="54">
                  <c:v>508</c:v>
                </c:pt>
                <c:pt idx="55">
                  <c:v>510</c:v>
                </c:pt>
                <c:pt idx="56">
                  <c:v>512</c:v>
                </c:pt>
                <c:pt idx="57">
                  <c:v>514</c:v>
                </c:pt>
                <c:pt idx="58">
                  <c:v>516</c:v>
                </c:pt>
                <c:pt idx="59">
                  <c:v>518</c:v>
                </c:pt>
                <c:pt idx="60">
                  <c:v>520</c:v>
                </c:pt>
                <c:pt idx="61">
                  <c:v>522</c:v>
                </c:pt>
                <c:pt idx="62">
                  <c:v>524</c:v>
                </c:pt>
                <c:pt idx="63">
                  <c:v>526</c:v>
                </c:pt>
                <c:pt idx="64">
                  <c:v>528</c:v>
                </c:pt>
                <c:pt idx="65">
                  <c:v>530</c:v>
                </c:pt>
                <c:pt idx="66">
                  <c:v>532</c:v>
                </c:pt>
                <c:pt idx="67">
                  <c:v>534</c:v>
                </c:pt>
                <c:pt idx="68">
                  <c:v>536</c:v>
                </c:pt>
                <c:pt idx="69">
                  <c:v>538</c:v>
                </c:pt>
                <c:pt idx="70">
                  <c:v>540</c:v>
                </c:pt>
                <c:pt idx="71">
                  <c:v>542</c:v>
                </c:pt>
                <c:pt idx="72">
                  <c:v>544</c:v>
                </c:pt>
                <c:pt idx="73">
                  <c:v>546</c:v>
                </c:pt>
                <c:pt idx="74">
                  <c:v>548</c:v>
                </c:pt>
                <c:pt idx="75">
                  <c:v>550</c:v>
                </c:pt>
                <c:pt idx="76">
                  <c:v>552</c:v>
                </c:pt>
                <c:pt idx="77">
                  <c:v>554</c:v>
                </c:pt>
                <c:pt idx="78">
                  <c:v>556</c:v>
                </c:pt>
                <c:pt idx="79">
                  <c:v>558</c:v>
                </c:pt>
                <c:pt idx="80">
                  <c:v>560</c:v>
                </c:pt>
                <c:pt idx="81">
                  <c:v>562</c:v>
                </c:pt>
                <c:pt idx="82">
                  <c:v>564</c:v>
                </c:pt>
                <c:pt idx="83">
                  <c:v>566</c:v>
                </c:pt>
                <c:pt idx="84">
                  <c:v>568</c:v>
                </c:pt>
                <c:pt idx="85">
                  <c:v>570</c:v>
                </c:pt>
                <c:pt idx="86">
                  <c:v>572</c:v>
                </c:pt>
                <c:pt idx="87">
                  <c:v>574</c:v>
                </c:pt>
                <c:pt idx="88">
                  <c:v>576</c:v>
                </c:pt>
                <c:pt idx="89">
                  <c:v>578</c:v>
                </c:pt>
                <c:pt idx="90">
                  <c:v>580</c:v>
                </c:pt>
                <c:pt idx="91">
                  <c:v>582</c:v>
                </c:pt>
                <c:pt idx="92">
                  <c:v>584</c:v>
                </c:pt>
                <c:pt idx="93">
                  <c:v>586</c:v>
                </c:pt>
                <c:pt idx="94">
                  <c:v>588</c:v>
                </c:pt>
                <c:pt idx="95">
                  <c:v>590</c:v>
                </c:pt>
                <c:pt idx="96">
                  <c:v>592</c:v>
                </c:pt>
                <c:pt idx="97">
                  <c:v>594</c:v>
                </c:pt>
                <c:pt idx="98">
                  <c:v>596</c:v>
                </c:pt>
                <c:pt idx="99">
                  <c:v>598</c:v>
                </c:pt>
                <c:pt idx="100">
                  <c:v>600</c:v>
                </c:pt>
                <c:pt idx="101">
                  <c:v>602</c:v>
                </c:pt>
                <c:pt idx="102">
                  <c:v>604</c:v>
                </c:pt>
                <c:pt idx="103">
                  <c:v>606</c:v>
                </c:pt>
                <c:pt idx="104">
                  <c:v>608</c:v>
                </c:pt>
                <c:pt idx="105">
                  <c:v>610</c:v>
                </c:pt>
                <c:pt idx="106">
                  <c:v>612</c:v>
                </c:pt>
                <c:pt idx="107">
                  <c:v>614</c:v>
                </c:pt>
                <c:pt idx="108">
                  <c:v>616</c:v>
                </c:pt>
                <c:pt idx="109">
                  <c:v>618</c:v>
                </c:pt>
                <c:pt idx="110">
                  <c:v>620</c:v>
                </c:pt>
                <c:pt idx="111">
                  <c:v>622</c:v>
                </c:pt>
                <c:pt idx="112">
                  <c:v>624</c:v>
                </c:pt>
                <c:pt idx="113">
                  <c:v>626</c:v>
                </c:pt>
                <c:pt idx="114">
                  <c:v>628</c:v>
                </c:pt>
                <c:pt idx="115">
                  <c:v>630</c:v>
                </c:pt>
                <c:pt idx="116">
                  <c:v>632</c:v>
                </c:pt>
                <c:pt idx="117">
                  <c:v>634</c:v>
                </c:pt>
                <c:pt idx="118">
                  <c:v>636</c:v>
                </c:pt>
                <c:pt idx="119">
                  <c:v>638</c:v>
                </c:pt>
                <c:pt idx="120">
                  <c:v>640</c:v>
                </c:pt>
                <c:pt idx="121">
                  <c:v>642</c:v>
                </c:pt>
                <c:pt idx="122">
                  <c:v>644</c:v>
                </c:pt>
                <c:pt idx="123">
                  <c:v>646</c:v>
                </c:pt>
                <c:pt idx="124">
                  <c:v>648</c:v>
                </c:pt>
                <c:pt idx="125">
                  <c:v>650</c:v>
                </c:pt>
                <c:pt idx="126">
                  <c:v>652</c:v>
                </c:pt>
                <c:pt idx="127">
                  <c:v>654</c:v>
                </c:pt>
                <c:pt idx="128">
                  <c:v>656</c:v>
                </c:pt>
                <c:pt idx="129">
                  <c:v>658</c:v>
                </c:pt>
                <c:pt idx="130">
                  <c:v>660</c:v>
                </c:pt>
                <c:pt idx="131">
                  <c:v>662</c:v>
                </c:pt>
                <c:pt idx="132">
                  <c:v>664</c:v>
                </c:pt>
                <c:pt idx="133">
                  <c:v>666</c:v>
                </c:pt>
                <c:pt idx="134">
                  <c:v>668</c:v>
                </c:pt>
                <c:pt idx="135">
                  <c:v>670</c:v>
                </c:pt>
                <c:pt idx="136">
                  <c:v>672</c:v>
                </c:pt>
                <c:pt idx="137">
                  <c:v>674</c:v>
                </c:pt>
                <c:pt idx="138">
                  <c:v>676</c:v>
                </c:pt>
                <c:pt idx="139">
                  <c:v>678</c:v>
                </c:pt>
                <c:pt idx="140">
                  <c:v>680</c:v>
                </c:pt>
                <c:pt idx="141">
                  <c:v>682</c:v>
                </c:pt>
                <c:pt idx="142">
                  <c:v>684</c:v>
                </c:pt>
                <c:pt idx="143">
                  <c:v>686</c:v>
                </c:pt>
                <c:pt idx="144">
                  <c:v>688</c:v>
                </c:pt>
                <c:pt idx="145">
                  <c:v>690</c:v>
                </c:pt>
                <c:pt idx="146">
                  <c:v>692</c:v>
                </c:pt>
                <c:pt idx="147">
                  <c:v>694</c:v>
                </c:pt>
                <c:pt idx="148">
                  <c:v>696</c:v>
                </c:pt>
                <c:pt idx="149">
                  <c:v>698</c:v>
                </c:pt>
                <c:pt idx="150">
                  <c:v>700</c:v>
                </c:pt>
                <c:pt idx="151">
                  <c:v>702</c:v>
                </c:pt>
                <c:pt idx="152">
                  <c:v>704</c:v>
                </c:pt>
                <c:pt idx="153">
                  <c:v>706</c:v>
                </c:pt>
                <c:pt idx="154">
                  <c:v>708</c:v>
                </c:pt>
                <c:pt idx="155">
                  <c:v>710</c:v>
                </c:pt>
                <c:pt idx="156">
                  <c:v>712</c:v>
                </c:pt>
                <c:pt idx="157">
                  <c:v>714</c:v>
                </c:pt>
                <c:pt idx="158">
                  <c:v>716</c:v>
                </c:pt>
                <c:pt idx="159">
                  <c:v>718</c:v>
                </c:pt>
                <c:pt idx="160">
                  <c:v>720</c:v>
                </c:pt>
                <c:pt idx="161">
                  <c:v>722</c:v>
                </c:pt>
                <c:pt idx="162">
                  <c:v>724</c:v>
                </c:pt>
                <c:pt idx="163">
                  <c:v>726</c:v>
                </c:pt>
                <c:pt idx="164">
                  <c:v>728</c:v>
                </c:pt>
                <c:pt idx="165">
                  <c:v>730</c:v>
                </c:pt>
                <c:pt idx="166">
                  <c:v>732</c:v>
                </c:pt>
                <c:pt idx="167">
                  <c:v>734</c:v>
                </c:pt>
                <c:pt idx="168">
                  <c:v>736</c:v>
                </c:pt>
                <c:pt idx="169">
                  <c:v>738</c:v>
                </c:pt>
                <c:pt idx="170">
                  <c:v>740</c:v>
                </c:pt>
                <c:pt idx="171">
                  <c:v>742</c:v>
                </c:pt>
                <c:pt idx="172">
                  <c:v>744</c:v>
                </c:pt>
                <c:pt idx="173">
                  <c:v>746</c:v>
                </c:pt>
                <c:pt idx="174">
                  <c:v>748</c:v>
                </c:pt>
                <c:pt idx="175">
                  <c:v>750</c:v>
                </c:pt>
                <c:pt idx="176">
                  <c:v>752</c:v>
                </c:pt>
                <c:pt idx="177">
                  <c:v>754</c:v>
                </c:pt>
                <c:pt idx="178">
                  <c:v>756</c:v>
                </c:pt>
                <c:pt idx="179">
                  <c:v>758</c:v>
                </c:pt>
                <c:pt idx="180">
                  <c:v>760</c:v>
                </c:pt>
                <c:pt idx="181">
                  <c:v>762</c:v>
                </c:pt>
                <c:pt idx="182">
                  <c:v>764</c:v>
                </c:pt>
                <c:pt idx="183">
                  <c:v>766</c:v>
                </c:pt>
                <c:pt idx="184">
                  <c:v>768</c:v>
                </c:pt>
                <c:pt idx="185">
                  <c:v>770</c:v>
                </c:pt>
                <c:pt idx="186">
                  <c:v>772</c:v>
                </c:pt>
                <c:pt idx="187">
                  <c:v>774</c:v>
                </c:pt>
                <c:pt idx="188">
                  <c:v>776</c:v>
                </c:pt>
                <c:pt idx="189">
                  <c:v>778</c:v>
                </c:pt>
                <c:pt idx="190">
                  <c:v>780</c:v>
                </c:pt>
                <c:pt idx="191">
                  <c:v>782</c:v>
                </c:pt>
                <c:pt idx="192">
                  <c:v>784</c:v>
                </c:pt>
                <c:pt idx="193">
                  <c:v>786</c:v>
                </c:pt>
                <c:pt idx="194">
                  <c:v>788</c:v>
                </c:pt>
                <c:pt idx="195">
                  <c:v>790</c:v>
                </c:pt>
                <c:pt idx="196">
                  <c:v>792</c:v>
                </c:pt>
                <c:pt idx="197">
                  <c:v>794</c:v>
                </c:pt>
                <c:pt idx="198">
                  <c:v>796</c:v>
                </c:pt>
                <c:pt idx="199">
                  <c:v>798</c:v>
                </c:pt>
                <c:pt idx="200">
                  <c:v>800</c:v>
                </c:pt>
              </c:numCache>
            </c:numRef>
          </c:xVal>
          <c:yVal>
            <c:numRef>
              <c:f>'[Graphique dans Microsoft Word]Feuil5'!$S$1:$S$201</c:f>
              <c:numCache>
                <c:formatCode>General</c:formatCode>
                <c:ptCount val="201"/>
                <c:pt idx="0">
                  <c:v>5.0000000000000001E-3</c:v>
                </c:pt>
                <c:pt idx="1">
                  <c:v>5.0000000000000001E-3</c:v>
                </c:pt>
                <c:pt idx="2">
                  <c:v>7.0000000000000001E-3</c:v>
                </c:pt>
                <c:pt idx="3">
                  <c:v>5.0000000000000001E-3</c:v>
                </c:pt>
                <c:pt idx="4">
                  <c:v>8.9999999999999993E-3</c:v>
                </c:pt>
                <c:pt idx="5">
                  <c:v>8.0000000000000002E-3</c:v>
                </c:pt>
                <c:pt idx="6">
                  <c:v>0.01</c:v>
                </c:pt>
                <c:pt idx="7">
                  <c:v>8.9999999999999993E-3</c:v>
                </c:pt>
                <c:pt idx="8">
                  <c:v>0.01</c:v>
                </c:pt>
                <c:pt idx="9">
                  <c:v>3.0000000000000001E-3</c:v>
                </c:pt>
                <c:pt idx="10">
                  <c:v>7.0000000000000001E-3</c:v>
                </c:pt>
                <c:pt idx="11">
                  <c:v>7.0000000000000001E-3</c:v>
                </c:pt>
                <c:pt idx="12">
                  <c:v>8.0000000000000002E-3</c:v>
                </c:pt>
                <c:pt idx="13">
                  <c:v>4.0000000000000001E-3</c:v>
                </c:pt>
                <c:pt idx="14">
                  <c:v>5.0000000000000001E-3</c:v>
                </c:pt>
                <c:pt idx="15">
                  <c:v>8.0000000000000002E-3</c:v>
                </c:pt>
                <c:pt idx="16">
                  <c:v>7.0000000000000001E-3</c:v>
                </c:pt>
                <c:pt idx="17">
                  <c:v>7.0000000000000001E-3</c:v>
                </c:pt>
                <c:pt idx="18">
                  <c:v>8.9999999999999993E-3</c:v>
                </c:pt>
                <c:pt idx="19">
                  <c:v>5.0000000000000001E-3</c:v>
                </c:pt>
                <c:pt idx="20">
                  <c:v>3.0000000000000001E-3</c:v>
                </c:pt>
                <c:pt idx="21">
                  <c:v>6.0000000000000001E-3</c:v>
                </c:pt>
                <c:pt idx="22">
                  <c:v>7.0000000000000001E-3</c:v>
                </c:pt>
                <c:pt idx="23">
                  <c:v>7.0000000000000001E-3</c:v>
                </c:pt>
                <c:pt idx="24">
                  <c:v>8.9999999999999993E-3</c:v>
                </c:pt>
                <c:pt idx="25">
                  <c:v>5.0000000000000001E-3</c:v>
                </c:pt>
                <c:pt idx="26">
                  <c:v>4.0000000000000001E-3</c:v>
                </c:pt>
                <c:pt idx="27">
                  <c:v>6.0000000000000001E-3</c:v>
                </c:pt>
                <c:pt idx="28">
                  <c:v>8.0000000000000002E-3</c:v>
                </c:pt>
                <c:pt idx="29">
                  <c:v>8.9999999999999993E-3</c:v>
                </c:pt>
                <c:pt idx="30">
                  <c:v>8.9999999999999993E-3</c:v>
                </c:pt>
                <c:pt idx="31">
                  <c:v>4.0000000000000001E-3</c:v>
                </c:pt>
                <c:pt idx="32">
                  <c:v>6.0000000000000001E-3</c:v>
                </c:pt>
                <c:pt idx="33">
                  <c:v>0.01</c:v>
                </c:pt>
                <c:pt idx="34">
                  <c:v>7.0000000000000001E-3</c:v>
                </c:pt>
                <c:pt idx="35">
                  <c:v>8.0000000000000002E-3</c:v>
                </c:pt>
                <c:pt idx="36">
                  <c:v>2E-3</c:v>
                </c:pt>
                <c:pt idx="37">
                  <c:v>7.0000000000000001E-3</c:v>
                </c:pt>
                <c:pt idx="38">
                  <c:v>7.0000000000000001E-3</c:v>
                </c:pt>
                <c:pt idx="39">
                  <c:v>5.0000000000000001E-3</c:v>
                </c:pt>
                <c:pt idx="40">
                  <c:v>1.0999999999999999E-2</c:v>
                </c:pt>
                <c:pt idx="41">
                  <c:v>6.0000000000000001E-3</c:v>
                </c:pt>
                <c:pt idx="42">
                  <c:v>4.0000000000000001E-3</c:v>
                </c:pt>
                <c:pt idx="43">
                  <c:v>8.0000000000000002E-3</c:v>
                </c:pt>
                <c:pt idx="44">
                  <c:v>5.0000000000000001E-3</c:v>
                </c:pt>
                <c:pt idx="45">
                  <c:v>5.0000000000000001E-3</c:v>
                </c:pt>
                <c:pt idx="46">
                  <c:v>3.0000000000000001E-3</c:v>
                </c:pt>
                <c:pt idx="47">
                  <c:v>5.0000000000000001E-3</c:v>
                </c:pt>
                <c:pt idx="48">
                  <c:v>5.0000000000000001E-3</c:v>
                </c:pt>
                <c:pt idx="49">
                  <c:v>4.0000000000000001E-3</c:v>
                </c:pt>
                <c:pt idx="50">
                  <c:v>5.0000000000000001E-3</c:v>
                </c:pt>
                <c:pt idx="51">
                  <c:v>8.0000000000000002E-3</c:v>
                </c:pt>
                <c:pt idx="52">
                  <c:v>1E-3</c:v>
                </c:pt>
                <c:pt idx="53">
                  <c:v>6.0000000000000001E-3</c:v>
                </c:pt>
                <c:pt idx="54">
                  <c:v>1E-3</c:v>
                </c:pt>
                <c:pt idx="55">
                  <c:v>6.0000000000000001E-3</c:v>
                </c:pt>
                <c:pt idx="56">
                  <c:v>3.0000000000000001E-3</c:v>
                </c:pt>
                <c:pt idx="57">
                  <c:v>6.0000000000000001E-3</c:v>
                </c:pt>
                <c:pt idx="58">
                  <c:v>7.0000000000000001E-3</c:v>
                </c:pt>
                <c:pt idx="59">
                  <c:v>7.0000000000000001E-3</c:v>
                </c:pt>
                <c:pt idx="60">
                  <c:v>7.0000000000000001E-3</c:v>
                </c:pt>
                <c:pt idx="61">
                  <c:v>6.0000000000000001E-3</c:v>
                </c:pt>
                <c:pt idx="62">
                  <c:v>4.0000000000000001E-3</c:v>
                </c:pt>
                <c:pt idx="63">
                  <c:v>8.9999999999999993E-3</c:v>
                </c:pt>
                <c:pt idx="64">
                  <c:v>5.0000000000000001E-3</c:v>
                </c:pt>
                <c:pt idx="65">
                  <c:v>5.0000000000000001E-3</c:v>
                </c:pt>
                <c:pt idx="66">
                  <c:v>5.0000000000000001E-3</c:v>
                </c:pt>
                <c:pt idx="67">
                  <c:v>4.0000000000000001E-3</c:v>
                </c:pt>
                <c:pt idx="68">
                  <c:v>6.0000000000000001E-3</c:v>
                </c:pt>
                <c:pt idx="69">
                  <c:v>6.0000000000000001E-3</c:v>
                </c:pt>
                <c:pt idx="70">
                  <c:v>2.3E-2</c:v>
                </c:pt>
                <c:pt idx="71">
                  <c:v>1.7000000000000001E-2</c:v>
                </c:pt>
                <c:pt idx="72">
                  <c:v>1.7000000000000001E-2</c:v>
                </c:pt>
                <c:pt idx="73">
                  <c:v>1.2999999999999999E-2</c:v>
                </c:pt>
                <c:pt idx="74">
                  <c:v>1.2999999999999999E-2</c:v>
                </c:pt>
                <c:pt idx="75">
                  <c:v>1.2E-2</c:v>
                </c:pt>
                <c:pt idx="76">
                  <c:v>0.01</c:v>
                </c:pt>
                <c:pt idx="77">
                  <c:v>8.9999999999999993E-3</c:v>
                </c:pt>
                <c:pt idx="78">
                  <c:v>8.0000000000000002E-3</c:v>
                </c:pt>
                <c:pt idx="79">
                  <c:v>8.0000000000000002E-3</c:v>
                </c:pt>
                <c:pt idx="80">
                  <c:v>0.01</c:v>
                </c:pt>
                <c:pt idx="81">
                  <c:v>7.0000000000000001E-3</c:v>
                </c:pt>
                <c:pt idx="82">
                  <c:v>8.0000000000000002E-3</c:v>
                </c:pt>
                <c:pt idx="83">
                  <c:v>7.0000000000000001E-3</c:v>
                </c:pt>
                <c:pt idx="84">
                  <c:v>8.9999999999999993E-3</c:v>
                </c:pt>
                <c:pt idx="85">
                  <c:v>7.0000000000000001E-3</c:v>
                </c:pt>
                <c:pt idx="86">
                  <c:v>0.01</c:v>
                </c:pt>
                <c:pt idx="87">
                  <c:v>7.0000000000000001E-3</c:v>
                </c:pt>
                <c:pt idx="88">
                  <c:v>0.01</c:v>
                </c:pt>
                <c:pt idx="89">
                  <c:v>8.9999999999999993E-3</c:v>
                </c:pt>
                <c:pt idx="90">
                  <c:v>8.0000000000000002E-3</c:v>
                </c:pt>
                <c:pt idx="91">
                  <c:v>1.2E-2</c:v>
                </c:pt>
                <c:pt idx="92">
                  <c:v>8.0000000000000002E-3</c:v>
                </c:pt>
                <c:pt idx="93">
                  <c:v>1.4E-2</c:v>
                </c:pt>
                <c:pt idx="94">
                  <c:v>1.6E-2</c:v>
                </c:pt>
                <c:pt idx="95">
                  <c:v>1.4999999999999999E-2</c:v>
                </c:pt>
                <c:pt idx="96">
                  <c:v>1.4E-2</c:v>
                </c:pt>
                <c:pt idx="97">
                  <c:v>0.01</c:v>
                </c:pt>
                <c:pt idx="98">
                  <c:v>1.4999999999999999E-2</c:v>
                </c:pt>
                <c:pt idx="99">
                  <c:v>1.7000000000000001E-2</c:v>
                </c:pt>
                <c:pt idx="100">
                  <c:v>1.4E-2</c:v>
                </c:pt>
                <c:pt idx="101">
                  <c:v>1.2999999999999999E-2</c:v>
                </c:pt>
                <c:pt idx="102">
                  <c:v>1.4E-2</c:v>
                </c:pt>
                <c:pt idx="103">
                  <c:v>1.7999999999999999E-2</c:v>
                </c:pt>
                <c:pt idx="104">
                  <c:v>1.7999999999999999E-2</c:v>
                </c:pt>
                <c:pt idx="105">
                  <c:v>1.9E-2</c:v>
                </c:pt>
                <c:pt idx="106">
                  <c:v>2.1999999999999999E-2</c:v>
                </c:pt>
                <c:pt idx="107">
                  <c:v>2.1000000000000001E-2</c:v>
                </c:pt>
                <c:pt idx="108">
                  <c:v>1.9E-2</c:v>
                </c:pt>
                <c:pt idx="109">
                  <c:v>1.9E-2</c:v>
                </c:pt>
                <c:pt idx="110">
                  <c:v>1.7000000000000001E-2</c:v>
                </c:pt>
                <c:pt idx="111">
                  <c:v>0.02</c:v>
                </c:pt>
                <c:pt idx="112">
                  <c:v>2.5000000000000001E-2</c:v>
                </c:pt>
                <c:pt idx="113">
                  <c:v>0.02</c:v>
                </c:pt>
                <c:pt idx="114">
                  <c:v>2.4E-2</c:v>
                </c:pt>
                <c:pt idx="115">
                  <c:v>1.9E-2</c:v>
                </c:pt>
                <c:pt idx="116">
                  <c:v>2.1999999999999999E-2</c:v>
                </c:pt>
                <c:pt idx="117">
                  <c:v>2.4E-2</c:v>
                </c:pt>
                <c:pt idx="118">
                  <c:v>2.4E-2</c:v>
                </c:pt>
                <c:pt idx="119">
                  <c:v>2.1000000000000001E-2</c:v>
                </c:pt>
                <c:pt idx="120">
                  <c:v>2.1999999999999999E-2</c:v>
                </c:pt>
                <c:pt idx="121">
                  <c:v>2.9000000000000001E-2</c:v>
                </c:pt>
                <c:pt idx="122">
                  <c:v>2.8000000000000001E-2</c:v>
                </c:pt>
                <c:pt idx="123">
                  <c:v>2.4E-2</c:v>
                </c:pt>
                <c:pt idx="124">
                  <c:v>3.1E-2</c:v>
                </c:pt>
                <c:pt idx="125">
                  <c:v>0.03</c:v>
                </c:pt>
                <c:pt idx="126">
                  <c:v>2.8000000000000001E-2</c:v>
                </c:pt>
                <c:pt idx="127">
                  <c:v>2.8000000000000001E-2</c:v>
                </c:pt>
                <c:pt idx="128">
                  <c:v>3.7999999999999999E-2</c:v>
                </c:pt>
                <c:pt idx="129">
                  <c:v>3.2000000000000001E-2</c:v>
                </c:pt>
                <c:pt idx="130">
                  <c:v>3.3000000000000002E-2</c:v>
                </c:pt>
                <c:pt idx="131">
                  <c:v>3.1E-2</c:v>
                </c:pt>
                <c:pt idx="132">
                  <c:v>3.4000000000000002E-2</c:v>
                </c:pt>
                <c:pt idx="133">
                  <c:v>3.1E-2</c:v>
                </c:pt>
                <c:pt idx="134">
                  <c:v>2.8000000000000001E-2</c:v>
                </c:pt>
                <c:pt idx="135">
                  <c:v>3.1E-2</c:v>
                </c:pt>
                <c:pt idx="136">
                  <c:v>3.1E-2</c:v>
                </c:pt>
                <c:pt idx="137">
                  <c:v>2.5999999999999999E-2</c:v>
                </c:pt>
                <c:pt idx="138">
                  <c:v>2.5999999999999999E-2</c:v>
                </c:pt>
                <c:pt idx="139">
                  <c:v>2.1000000000000001E-2</c:v>
                </c:pt>
                <c:pt idx="140">
                  <c:v>2.1000000000000001E-2</c:v>
                </c:pt>
                <c:pt idx="141">
                  <c:v>1.7999999999999999E-2</c:v>
                </c:pt>
                <c:pt idx="142">
                  <c:v>0.01</c:v>
                </c:pt>
                <c:pt idx="143">
                  <c:v>0.01</c:v>
                </c:pt>
                <c:pt idx="144">
                  <c:v>8.9999999999999993E-3</c:v>
                </c:pt>
                <c:pt idx="145">
                  <c:v>6.0000000000000001E-3</c:v>
                </c:pt>
                <c:pt idx="146">
                  <c:v>8.9999999999999993E-3</c:v>
                </c:pt>
                <c:pt idx="147">
                  <c:v>6.0000000000000001E-3</c:v>
                </c:pt>
                <c:pt idx="148">
                  <c:v>3.0000000000000001E-3</c:v>
                </c:pt>
                <c:pt idx="149">
                  <c:v>4.0000000000000001E-3</c:v>
                </c:pt>
                <c:pt idx="150">
                  <c:v>4.0000000000000001E-3</c:v>
                </c:pt>
                <c:pt idx="151">
                  <c:v>7.0000000000000001E-3</c:v>
                </c:pt>
                <c:pt idx="152">
                  <c:v>5.0000000000000001E-3</c:v>
                </c:pt>
                <c:pt idx="153">
                  <c:v>2E-3</c:v>
                </c:pt>
                <c:pt idx="154">
                  <c:v>1E-3</c:v>
                </c:pt>
                <c:pt idx="155">
                  <c:v>4.0000000000000001E-3</c:v>
                </c:pt>
                <c:pt idx="156">
                  <c:v>1E-3</c:v>
                </c:pt>
                <c:pt idx="157">
                  <c:v>4.0000000000000001E-3</c:v>
                </c:pt>
                <c:pt idx="158">
                  <c:v>-1E-3</c:v>
                </c:pt>
                <c:pt idx="159">
                  <c:v>4.0000000000000001E-3</c:v>
                </c:pt>
                <c:pt idx="160">
                  <c:v>-1E-3</c:v>
                </c:pt>
                <c:pt idx="161">
                  <c:v>1E-3</c:v>
                </c:pt>
                <c:pt idx="162">
                  <c:v>3.0000000000000001E-3</c:v>
                </c:pt>
                <c:pt idx="163">
                  <c:v>1E-3</c:v>
                </c:pt>
                <c:pt idx="164">
                  <c:v>1E-3</c:v>
                </c:pt>
                <c:pt idx="165">
                  <c:v>-2E-3</c:v>
                </c:pt>
                <c:pt idx="166">
                  <c:v>4.0000000000000001E-3</c:v>
                </c:pt>
                <c:pt idx="167">
                  <c:v>-2E-3</c:v>
                </c:pt>
                <c:pt idx="168">
                  <c:v>-2E-3</c:v>
                </c:pt>
                <c:pt idx="169">
                  <c:v>-1E-3</c:v>
                </c:pt>
                <c:pt idx="170">
                  <c:v>2E-3</c:v>
                </c:pt>
                <c:pt idx="171">
                  <c:v>1E-3</c:v>
                </c:pt>
                <c:pt idx="172">
                  <c:v>1E-3</c:v>
                </c:pt>
                <c:pt idx="173">
                  <c:v>-1E-3</c:v>
                </c:pt>
                <c:pt idx="174">
                  <c:v>-2E-3</c:v>
                </c:pt>
                <c:pt idx="175">
                  <c:v>0</c:v>
                </c:pt>
                <c:pt idx="176">
                  <c:v>-2E-3</c:v>
                </c:pt>
                <c:pt idx="177">
                  <c:v>5.0000000000000001E-3</c:v>
                </c:pt>
                <c:pt idx="178">
                  <c:v>3.0000000000000001E-3</c:v>
                </c:pt>
                <c:pt idx="179">
                  <c:v>0</c:v>
                </c:pt>
                <c:pt idx="180">
                  <c:v>2E-3</c:v>
                </c:pt>
                <c:pt idx="181">
                  <c:v>-1E-3</c:v>
                </c:pt>
                <c:pt idx="182">
                  <c:v>3.0000000000000001E-3</c:v>
                </c:pt>
                <c:pt idx="183">
                  <c:v>-1E-3</c:v>
                </c:pt>
                <c:pt idx="184">
                  <c:v>-3.0000000000000001E-3</c:v>
                </c:pt>
                <c:pt idx="185">
                  <c:v>-1E-3</c:v>
                </c:pt>
                <c:pt idx="186">
                  <c:v>1E-3</c:v>
                </c:pt>
                <c:pt idx="187">
                  <c:v>-4.0000000000000001E-3</c:v>
                </c:pt>
                <c:pt idx="188">
                  <c:v>-3.0000000000000001E-3</c:v>
                </c:pt>
                <c:pt idx="189">
                  <c:v>5.0000000000000001E-3</c:v>
                </c:pt>
                <c:pt idx="190">
                  <c:v>-3.0000000000000001E-3</c:v>
                </c:pt>
                <c:pt idx="191">
                  <c:v>-1E-3</c:v>
                </c:pt>
                <c:pt idx="192">
                  <c:v>-3.0000000000000001E-3</c:v>
                </c:pt>
                <c:pt idx="193">
                  <c:v>0</c:v>
                </c:pt>
                <c:pt idx="194">
                  <c:v>0</c:v>
                </c:pt>
                <c:pt idx="195">
                  <c:v>-4.0000000000000001E-3</c:v>
                </c:pt>
                <c:pt idx="196">
                  <c:v>5.0000000000000001E-3</c:v>
                </c:pt>
                <c:pt idx="197">
                  <c:v>-2E-3</c:v>
                </c:pt>
                <c:pt idx="198">
                  <c:v>2E-3</c:v>
                </c:pt>
                <c:pt idx="199">
                  <c:v>2E-3</c:v>
                </c:pt>
                <c:pt idx="200">
                  <c:v>-2E-3</c:v>
                </c:pt>
              </c:numCache>
            </c:numRef>
          </c:yVal>
          <c:smooth val="1"/>
          <c:extLst>
            <c:ext xmlns:c16="http://schemas.microsoft.com/office/drawing/2014/chart" uri="{C3380CC4-5D6E-409C-BE32-E72D297353CC}">
              <c16:uniqueId val="{00000002-6E1B-4D28-B0B3-664647D223D0}"/>
            </c:ext>
          </c:extLst>
        </c:ser>
        <c:ser>
          <c:idx val="2"/>
          <c:order val="3"/>
          <c:tx>
            <c:v>RMA-2M-500-4</c:v>
          </c:tx>
          <c:spPr>
            <a:ln w="19050" cap="rnd">
              <a:solidFill>
                <a:srgbClr val="FF0000"/>
              </a:solidFill>
              <a:round/>
            </a:ln>
            <a:effectLst/>
          </c:spPr>
          <c:marker>
            <c:symbol val="none"/>
          </c:marker>
          <c:xVal>
            <c:numRef>
              <c:f>'[Graphique dans Microsoft Word]Feuil5'!$J$2:$J$202</c:f>
              <c:numCache>
                <c:formatCode>General</c:formatCode>
                <c:ptCount val="201"/>
                <c:pt idx="0">
                  <c:v>400</c:v>
                </c:pt>
                <c:pt idx="1">
                  <c:v>402</c:v>
                </c:pt>
                <c:pt idx="2">
                  <c:v>404</c:v>
                </c:pt>
                <c:pt idx="3">
                  <c:v>406</c:v>
                </c:pt>
                <c:pt idx="4">
                  <c:v>408</c:v>
                </c:pt>
                <c:pt idx="5">
                  <c:v>410</c:v>
                </c:pt>
                <c:pt idx="6">
                  <c:v>412</c:v>
                </c:pt>
                <c:pt idx="7">
                  <c:v>414</c:v>
                </c:pt>
                <c:pt idx="8">
                  <c:v>416</c:v>
                </c:pt>
                <c:pt idx="9">
                  <c:v>418</c:v>
                </c:pt>
                <c:pt idx="10">
                  <c:v>420</c:v>
                </c:pt>
                <c:pt idx="11">
                  <c:v>422</c:v>
                </c:pt>
                <c:pt idx="12">
                  <c:v>424</c:v>
                </c:pt>
                <c:pt idx="13">
                  <c:v>426</c:v>
                </c:pt>
                <c:pt idx="14">
                  <c:v>428</c:v>
                </c:pt>
                <c:pt idx="15">
                  <c:v>430</c:v>
                </c:pt>
                <c:pt idx="16">
                  <c:v>432</c:v>
                </c:pt>
                <c:pt idx="17">
                  <c:v>434</c:v>
                </c:pt>
                <c:pt idx="18">
                  <c:v>436</c:v>
                </c:pt>
                <c:pt idx="19">
                  <c:v>438</c:v>
                </c:pt>
                <c:pt idx="20">
                  <c:v>440</c:v>
                </c:pt>
                <c:pt idx="21">
                  <c:v>442</c:v>
                </c:pt>
                <c:pt idx="22">
                  <c:v>444</c:v>
                </c:pt>
                <c:pt idx="23">
                  <c:v>446</c:v>
                </c:pt>
                <c:pt idx="24">
                  <c:v>448</c:v>
                </c:pt>
                <c:pt idx="25">
                  <c:v>450</c:v>
                </c:pt>
                <c:pt idx="26">
                  <c:v>452</c:v>
                </c:pt>
                <c:pt idx="27">
                  <c:v>454</c:v>
                </c:pt>
                <c:pt idx="28">
                  <c:v>456</c:v>
                </c:pt>
                <c:pt idx="29">
                  <c:v>458</c:v>
                </c:pt>
                <c:pt idx="30">
                  <c:v>460</c:v>
                </c:pt>
                <c:pt idx="31">
                  <c:v>462</c:v>
                </c:pt>
                <c:pt idx="32">
                  <c:v>464</c:v>
                </c:pt>
                <c:pt idx="33">
                  <c:v>466</c:v>
                </c:pt>
                <c:pt idx="34">
                  <c:v>468</c:v>
                </c:pt>
                <c:pt idx="35">
                  <c:v>470</c:v>
                </c:pt>
                <c:pt idx="36">
                  <c:v>472</c:v>
                </c:pt>
                <c:pt idx="37">
                  <c:v>474</c:v>
                </c:pt>
                <c:pt idx="38">
                  <c:v>476</c:v>
                </c:pt>
                <c:pt idx="39">
                  <c:v>478</c:v>
                </c:pt>
                <c:pt idx="40">
                  <c:v>480</c:v>
                </c:pt>
                <c:pt idx="41">
                  <c:v>482</c:v>
                </c:pt>
                <c:pt idx="42">
                  <c:v>484</c:v>
                </c:pt>
                <c:pt idx="43">
                  <c:v>486</c:v>
                </c:pt>
                <c:pt idx="44">
                  <c:v>488</c:v>
                </c:pt>
                <c:pt idx="45">
                  <c:v>490</c:v>
                </c:pt>
                <c:pt idx="46">
                  <c:v>492</c:v>
                </c:pt>
                <c:pt idx="47">
                  <c:v>494</c:v>
                </c:pt>
                <c:pt idx="48">
                  <c:v>496</c:v>
                </c:pt>
                <c:pt idx="49">
                  <c:v>498</c:v>
                </c:pt>
                <c:pt idx="50">
                  <c:v>500</c:v>
                </c:pt>
                <c:pt idx="51">
                  <c:v>502</c:v>
                </c:pt>
                <c:pt idx="52">
                  <c:v>504</c:v>
                </c:pt>
                <c:pt idx="53">
                  <c:v>506</c:v>
                </c:pt>
                <c:pt idx="54">
                  <c:v>508</c:v>
                </c:pt>
                <c:pt idx="55">
                  <c:v>510</c:v>
                </c:pt>
                <c:pt idx="56">
                  <c:v>512</c:v>
                </c:pt>
                <c:pt idx="57">
                  <c:v>514</c:v>
                </c:pt>
                <c:pt idx="58">
                  <c:v>516</c:v>
                </c:pt>
                <c:pt idx="59">
                  <c:v>518</c:v>
                </c:pt>
                <c:pt idx="60">
                  <c:v>520</c:v>
                </c:pt>
                <c:pt idx="61">
                  <c:v>522</c:v>
                </c:pt>
                <c:pt idx="62">
                  <c:v>524</c:v>
                </c:pt>
                <c:pt idx="63">
                  <c:v>526</c:v>
                </c:pt>
                <c:pt idx="64">
                  <c:v>528</c:v>
                </c:pt>
                <c:pt idx="65">
                  <c:v>530</c:v>
                </c:pt>
                <c:pt idx="66">
                  <c:v>532</c:v>
                </c:pt>
                <c:pt idx="67">
                  <c:v>534</c:v>
                </c:pt>
                <c:pt idx="68">
                  <c:v>536</c:v>
                </c:pt>
                <c:pt idx="69">
                  <c:v>538</c:v>
                </c:pt>
                <c:pt idx="70">
                  <c:v>540</c:v>
                </c:pt>
                <c:pt idx="71">
                  <c:v>542</c:v>
                </c:pt>
                <c:pt idx="72">
                  <c:v>544</c:v>
                </c:pt>
                <c:pt idx="73">
                  <c:v>546</c:v>
                </c:pt>
                <c:pt idx="74">
                  <c:v>548</c:v>
                </c:pt>
                <c:pt idx="75">
                  <c:v>550</c:v>
                </c:pt>
                <c:pt idx="76">
                  <c:v>552</c:v>
                </c:pt>
                <c:pt idx="77">
                  <c:v>554</c:v>
                </c:pt>
                <c:pt idx="78">
                  <c:v>556</c:v>
                </c:pt>
                <c:pt idx="79">
                  <c:v>558</c:v>
                </c:pt>
                <c:pt idx="80">
                  <c:v>560</c:v>
                </c:pt>
                <c:pt idx="81">
                  <c:v>562</c:v>
                </c:pt>
                <c:pt idx="82">
                  <c:v>564</c:v>
                </c:pt>
                <c:pt idx="83">
                  <c:v>566</c:v>
                </c:pt>
                <c:pt idx="84">
                  <c:v>568</c:v>
                </c:pt>
                <c:pt idx="85">
                  <c:v>570</c:v>
                </c:pt>
                <c:pt idx="86">
                  <c:v>572</c:v>
                </c:pt>
                <c:pt idx="87">
                  <c:v>574</c:v>
                </c:pt>
                <c:pt idx="88">
                  <c:v>576</c:v>
                </c:pt>
                <c:pt idx="89">
                  <c:v>578</c:v>
                </c:pt>
                <c:pt idx="90">
                  <c:v>580</c:v>
                </c:pt>
                <c:pt idx="91">
                  <c:v>582</c:v>
                </c:pt>
                <c:pt idx="92">
                  <c:v>584</c:v>
                </c:pt>
                <c:pt idx="93">
                  <c:v>586</c:v>
                </c:pt>
                <c:pt idx="94">
                  <c:v>588</c:v>
                </c:pt>
                <c:pt idx="95">
                  <c:v>590</c:v>
                </c:pt>
                <c:pt idx="96">
                  <c:v>592</c:v>
                </c:pt>
                <c:pt idx="97">
                  <c:v>594</c:v>
                </c:pt>
                <c:pt idx="98">
                  <c:v>596</c:v>
                </c:pt>
                <c:pt idx="99">
                  <c:v>598</c:v>
                </c:pt>
                <c:pt idx="100">
                  <c:v>600</c:v>
                </c:pt>
                <c:pt idx="101">
                  <c:v>602</c:v>
                </c:pt>
                <c:pt idx="102">
                  <c:v>604</c:v>
                </c:pt>
                <c:pt idx="103">
                  <c:v>606</c:v>
                </c:pt>
                <c:pt idx="104">
                  <c:v>608</c:v>
                </c:pt>
                <c:pt idx="105">
                  <c:v>610</c:v>
                </c:pt>
                <c:pt idx="106">
                  <c:v>612</c:v>
                </c:pt>
                <c:pt idx="107">
                  <c:v>614</c:v>
                </c:pt>
                <c:pt idx="108">
                  <c:v>616</c:v>
                </c:pt>
                <c:pt idx="109">
                  <c:v>618</c:v>
                </c:pt>
                <c:pt idx="110">
                  <c:v>620</c:v>
                </c:pt>
                <c:pt idx="111">
                  <c:v>622</c:v>
                </c:pt>
                <c:pt idx="112">
                  <c:v>624</c:v>
                </c:pt>
                <c:pt idx="113">
                  <c:v>626</c:v>
                </c:pt>
                <c:pt idx="114">
                  <c:v>628</c:v>
                </c:pt>
                <c:pt idx="115">
                  <c:v>630</c:v>
                </c:pt>
                <c:pt idx="116">
                  <c:v>632</c:v>
                </c:pt>
                <c:pt idx="117">
                  <c:v>634</c:v>
                </c:pt>
                <c:pt idx="118">
                  <c:v>636</c:v>
                </c:pt>
                <c:pt idx="119">
                  <c:v>638</c:v>
                </c:pt>
                <c:pt idx="120">
                  <c:v>640</c:v>
                </c:pt>
                <c:pt idx="121">
                  <c:v>642</c:v>
                </c:pt>
                <c:pt idx="122">
                  <c:v>644</c:v>
                </c:pt>
                <c:pt idx="123">
                  <c:v>646</c:v>
                </c:pt>
                <c:pt idx="124">
                  <c:v>648</c:v>
                </c:pt>
                <c:pt idx="125">
                  <c:v>650</c:v>
                </c:pt>
                <c:pt idx="126">
                  <c:v>652</c:v>
                </c:pt>
                <c:pt idx="127">
                  <c:v>654</c:v>
                </c:pt>
                <c:pt idx="128">
                  <c:v>656</c:v>
                </c:pt>
                <c:pt idx="129">
                  <c:v>658</c:v>
                </c:pt>
                <c:pt idx="130">
                  <c:v>660</c:v>
                </c:pt>
                <c:pt idx="131">
                  <c:v>662</c:v>
                </c:pt>
                <c:pt idx="132">
                  <c:v>664</c:v>
                </c:pt>
                <c:pt idx="133">
                  <c:v>666</c:v>
                </c:pt>
                <c:pt idx="134">
                  <c:v>668</c:v>
                </c:pt>
                <c:pt idx="135">
                  <c:v>670</c:v>
                </c:pt>
                <c:pt idx="136">
                  <c:v>672</c:v>
                </c:pt>
                <c:pt idx="137">
                  <c:v>674</c:v>
                </c:pt>
                <c:pt idx="138">
                  <c:v>676</c:v>
                </c:pt>
                <c:pt idx="139">
                  <c:v>678</c:v>
                </c:pt>
                <c:pt idx="140">
                  <c:v>680</c:v>
                </c:pt>
                <c:pt idx="141">
                  <c:v>682</c:v>
                </c:pt>
                <c:pt idx="142">
                  <c:v>684</c:v>
                </c:pt>
                <c:pt idx="143">
                  <c:v>686</c:v>
                </c:pt>
                <c:pt idx="144">
                  <c:v>688</c:v>
                </c:pt>
                <c:pt idx="145">
                  <c:v>690</c:v>
                </c:pt>
                <c:pt idx="146">
                  <c:v>692</c:v>
                </c:pt>
                <c:pt idx="147">
                  <c:v>694</c:v>
                </c:pt>
                <c:pt idx="148">
                  <c:v>696</c:v>
                </c:pt>
                <c:pt idx="149">
                  <c:v>698</c:v>
                </c:pt>
                <c:pt idx="150">
                  <c:v>700</c:v>
                </c:pt>
                <c:pt idx="151">
                  <c:v>702</c:v>
                </c:pt>
                <c:pt idx="152">
                  <c:v>704</c:v>
                </c:pt>
                <c:pt idx="153">
                  <c:v>706</c:v>
                </c:pt>
                <c:pt idx="154">
                  <c:v>708</c:v>
                </c:pt>
                <c:pt idx="155">
                  <c:v>710</c:v>
                </c:pt>
                <c:pt idx="156">
                  <c:v>712</c:v>
                </c:pt>
                <c:pt idx="157">
                  <c:v>714</c:v>
                </c:pt>
                <c:pt idx="158">
                  <c:v>716</c:v>
                </c:pt>
                <c:pt idx="159">
                  <c:v>718</c:v>
                </c:pt>
                <c:pt idx="160">
                  <c:v>720</c:v>
                </c:pt>
                <c:pt idx="161">
                  <c:v>722</c:v>
                </c:pt>
                <c:pt idx="162">
                  <c:v>724</c:v>
                </c:pt>
                <c:pt idx="163">
                  <c:v>726</c:v>
                </c:pt>
                <c:pt idx="164">
                  <c:v>728</c:v>
                </c:pt>
                <c:pt idx="165">
                  <c:v>730</c:v>
                </c:pt>
                <c:pt idx="166">
                  <c:v>732</c:v>
                </c:pt>
                <c:pt idx="167">
                  <c:v>734</c:v>
                </c:pt>
                <c:pt idx="168">
                  <c:v>736</c:v>
                </c:pt>
                <c:pt idx="169">
                  <c:v>738</c:v>
                </c:pt>
                <c:pt idx="170">
                  <c:v>740</c:v>
                </c:pt>
                <c:pt idx="171">
                  <c:v>742</c:v>
                </c:pt>
                <c:pt idx="172">
                  <c:v>744</c:v>
                </c:pt>
                <c:pt idx="173">
                  <c:v>746</c:v>
                </c:pt>
                <c:pt idx="174">
                  <c:v>748</c:v>
                </c:pt>
                <c:pt idx="175">
                  <c:v>750</c:v>
                </c:pt>
                <c:pt idx="176">
                  <c:v>752</c:v>
                </c:pt>
                <c:pt idx="177">
                  <c:v>754</c:v>
                </c:pt>
                <c:pt idx="178">
                  <c:v>756</c:v>
                </c:pt>
                <c:pt idx="179">
                  <c:v>758</c:v>
                </c:pt>
                <c:pt idx="180">
                  <c:v>760</c:v>
                </c:pt>
                <c:pt idx="181">
                  <c:v>762</c:v>
                </c:pt>
                <c:pt idx="182">
                  <c:v>764</c:v>
                </c:pt>
                <c:pt idx="183">
                  <c:v>766</c:v>
                </c:pt>
                <c:pt idx="184">
                  <c:v>768</c:v>
                </c:pt>
                <c:pt idx="185">
                  <c:v>770</c:v>
                </c:pt>
                <c:pt idx="186">
                  <c:v>772</c:v>
                </c:pt>
                <c:pt idx="187">
                  <c:v>774</c:v>
                </c:pt>
                <c:pt idx="188">
                  <c:v>776</c:v>
                </c:pt>
                <c:pt idx="189">
                  <c:v>778</c:v>
                </c:pt>
                <c:pt idx="190">
                  <c:v>780</c:v>
                </c:pt>
                <c:pt idx="191">
                  <c:v>782</c:v>
                </c:pt>
                <c:pt idx="192">
                  <c:v>784</c:v>
                </c:pt>
                <c:pt idx="193">
                  <c:v>786</c:v>
                </c:pt>
                <c:pt idx="194">
                  <c:v>788</c:v>
                </c:pt>
                <c:pt idx="195">
                  <c:v>790</c:v>
                </c:pt>
                <c:pt idx="196">
                  <c:v>792</c:v>
                </c:pt>
                <c:pt idx="197">
                  <c:v>794</c:v>
                </c:pt>
                <c:pt idx="198">
                  <c:v>796</c:v>
                </c:pt>
                <c:pt idx="199">
                  <c:v>798</c:v>
                </c:pt>
                <c:pt idx="200">
                  <c:v>800</c:v>
                </c:pt>
              </c:numCache>
            </c:numRef>
          </c:xVal>
          <c:yVal>
            <c:numRef>
              <c:f>'[Graphique dans Microsoft Word]Feuil5'!$K$2:$K$202</c:f>
              <c:numCache>
                <c:formatCode>General</c:formatCode>
                <c:ptCount val="201"/>
                <c:pt idx="0">
                  <c:v>1.4E-2</c:v>
                </c:pt>
                <c:pt idx="1">
                  <c:v>1.2E-2</c:v>
                </c:pt>
                <c:pt idx="2">
                  <c:v>1.2E-2</c:v>
                </c:pt>
                <c:pt idx="3">
                  <c:v>0.01</c:v>
                </c:pt>
                <c:pt idx="4">
                  <c:v>1.0999999999999999E-2</c:v>
                </c:pt>
                <c:pt idx="5">
                  <c:v>1.4999999999999999E-2</c:v>
                </c:pt>
                <c:pt idx="6">
                  <c:v>1.6E-2</c:v>
                </c:pt>
                <c:pt idx="7">
                  <c:v>1.0999999999999999E-2</c:v>
                </c:pt>
                <c:pt idx="8">
                  <c:v>1.6E-2</c:v>
                </c:pt>
                <c:pt idx="9">
                  <c:v>1.0999999999999999E-2</c:v>
                </c:pt>
                <c:pt idx="10">
                  <c:v>1.2E-2</c:v>
                </c:pt>
                <c:pt idx="11">
                  <c:v>1.4E-2</c:v>
                </c:pt>
                <c:pt idx="12">
                  <c:v>1.2E-2</c:v>
                </c:pt>
                <c:pt idx="13">
                  <c:v>0.01</c:v>
                </c:pt>
                <c:pt idx="14">
                  <c:v>1.2999999999999999E-2</c:v>
                </c:pt>
                <c:pt idx="15">
                  <c:v>1.2E-2</c:v>
                </c:pt>
                <c:pt idx="16">
                  <c:v>1.2E-2</c:v>
                </c:pt>
                <c:pt idx="17">
                  <c:v>1.2E-2</c:v>
                </c:pt>
                <c:pt idx="18">
                  <c:v>1.2E-2</c:v>
                </c:pt>
                <c:pt idx="19">
                  <c:v>1.0999999999999999E-2</c:v>
                </c:pt>
                <c:pt idx="20">
                  <c:v>8.9999999999999993E-3</c:v>
                </c:pt>
                <c:pt idx="21">
                  <c:v>1.4999999999999999E-2</c:v>
                </c:pt>
                <c:pt idx="22">
                  <c:v>1.2E-2</c:v>
                </c:pt>
                <c:pt idx="23">
                  <c:v>1.0999999999999999E-2</c:v>
                </c:pt>
                <c:pt idx="24">
                  <c:v>1.2999999999999999E-2</c:v>
                </c:pt>
                <c:pt idx="25">
                  <c:v>8.9999999999999993E-3</c:v>
                </c:pt>
                <c:pt idx="26">
                  <c:v>8.0000000000000002E-3</c:v>
                </c:pt>
                <c:pt idx="27">
                  <c:v>8.9999999999999993E-3</c:v>
                </c:pt>
                <c:pt idx="28">
                  <c:v>1.2999999999999999E-2</c:v>
                </c:pt>
                <c:pt idx="29">
                  <c:v>1.2999999999999999E-2</c:v>
                </c:pt>
                <c:pt idx="30">
                  <c:v>1.0999999999999999E-2</c:v>
                </c:pt>
                <c:pt idx="31">
                  <c:v>1.0999999999999999E-2</c:v>
                </c:pt>
                <c:pt idx="32">
                  <c:v>8.0000000000000002E-3</c:v>
                </c:pt>
                <c:pt idx="33">
                  <c:v>1.4E-2</c:v>
                </c:pt>
                <c:pt idx="34">
                  <c:v>1.2999999999999999E-2</c:v>
                </c:pt>
                <c:pt idx="35">
                  <c:v>1.0999999999999999E-2</c:v>
                </c:pt>
                <c:pt idx="36">
                  <c:v>6.0000000000000001E-3</c:v>
                </c:pt>
                <c:pt idx="37">
                  <c:v>1.2E-2</c:v>
                </c:pt>
                <c:pt idx="38">
                  <c:v>0.01</c:v>
                </c:pt>
                <c:pt idx="39">
                  <c:v>0.01</c:v>
                </c:pt>
                <c:pt idx="40">
                  <c:v>1.2999999999999999E-2</c:v>
                </c:pt>
                <c:pt idx="41">
                  <c:v>8.0000000000000002E-3</c:v>
                </c:pt>
                <c:pt idx="42">
                  <c:v>6.0000000000000001E-3</c:v>
                </c:pt>
                <c:pt idx="43">
                  <c:v>8.0000000000000002E-3</c:v>
                </c:pt>
                <c:pt idx="44">
                  <c:v>7.0000000000000001E-3</c:v>
                </c:pt>
                <c:pt idx="45">
                  <c:v>8.0000000000000002E-3</c:v>
                </c:pt>
                <c:pt idx="46">
                  <c:v>8.9999999999999993E-3</c:v>
                </c:pt>
                <c:pt idx="47">
                  <c:v>8.0000000000000002E-3</c:v>
                </c:pt>
                <c:pt idx="48">
                  <c:v>7.0000000000000001E-3</c:v>
                </c:pt>
                <c:pt idx="49">
                  <c:v>1.0999999999999999E-2</c:v>
                </c:pt>
                <c:pt idx="50">
                  <c:v>6.0000000000000001E-3</c:v>
                </c:pt>
                <c:pt idx="51">
                  <c:v>8.9999999999999993E-3</c:v>
                </c:pt>
                <c:pt idx="52">
                  <c:v>7.0000000000000001E-3</c:v>
                </c:pt>
                <c:pt idx="53">
                  <c:v>8.9999999999999993E-3</c:v>
                </c:pt>
                <c:pt idx="54">
                  <c:v>8.0000000000000002E-3</c:v>
                </c:pt>
                <c:pt idx="55">
                  <c:v>7.0000000000000001E-3</c:v>
                </c:pt>
                <c:pt idx="56">
                  <c:v>1.0999999999999999E-2</c:v>
                </c:pt>
                <c:pt idx="57">
                  <c:v>0.01</c:v>
                </c:pt>
                <c:pt idx="58">
                  <c:v>0.01</c:v>
                </c:pt>
                <c:pt idx="59">
                  <c:v>1.2999999999999999E-2</c:v>
                </c:pt>
                <c:pt idx="60">
                  <c:v>1.0999999999999999E-2</c:v>
                </c:pt>
                <c:pt idx="61">
                  <c:v>0.01</c:v>
                </c:pt>
                <c:pt idx="62">
                  <c:v>8.9999999999999993E-3</c:v>
                </c:pt>
                <c:pt idx="63">
                  <c:v>8.9999999999999993E-3</c:v>
                </c:pt>
                <c:pt idx="64">
                  <c:v>0.01</c:v>
                </c:pt>
                <c:pt idx="65">
                  <c:v>8.0000000000000002E-3</c:v>
                </c:pt>
                <c:pt idx="66">
                  <c:v>6.0000000000000001E-3</c:v>
                </c:pt>
                <c:pt idx="67">
                  <c:v>8.0000000000000002E-3</c:v>
                </c:pt>
                <c:pt idx="68">
                  <c:v>7.0000000000000001E-3</c:v>
                </c:pt>
                <c:pt idx="69">
                  <c:v>8.9999999999999993E-3</c:v>
                </c:pt>
                <c:pt idx="70">
                  <c:v>1.9E-2</c:v>
                </c:pt>
                <c:pt idx="71">
                  <c:v>1.9E-2</c:v>
                </c:pt>
                <c:pt idx="72">
                  <c:v>1.9E-2</c:v>
                </c:pt>
                <c:pt idx="73">
                  <c:v>1.2999999999999999E-2</c:v>
                </c:pt>
                <c:pt idx="74">
                  <c:v>1.2999999999999999E-2</c:v>
                </c:pt>
                <c:pt idx="75">
                  <c:v>1.2E-2</c:v>
                </c:pt>
                <c:pt idx="76">
                  <c:v>8.0000000000000002E-3</c:v>
                </c:pt>
                <c:pt idx="77">
                  <c:v>7.0000000000000001E-3</c:v>
                </c:pt>
                <c:pt idx="78">
                  <c:v>0.01</c:v>
                </c:pt>
                <c:pt idx="79">
                  <c:v>8.0000000000000002E-3</c:v>
                </c:pt>
                <c:pt idx="80">
                  <c:v>6.0000000000000001E-3</c:v>
                </c:pt>
                <c:pt idx="81">
                  <c:v>5.0000000000000001E-3</c:v>
                </c:pt>
                <c:pt idx="82">
                  <c:v>6.0000000000000001E-3</c:v>
                </c:pt>
                <c:pt idx="83">
                  <c:v>7.0000000000000001E-3</c:v>
                </c:pt>
                <c:pt idx="84">
                  <c:v>8.9999999999999993E-3</c:v>
                </c:pt>
                <c:pt idx="85">
                  <c:v>8.0000000000000002E-3</c:v>
                </c:pt>
                <c:pt idx="86">
                  <c:v>8.0000000000000002E-3</c:v>
                </c:pt>
                <c:pt idx="87">
                  <c:v>0.01</c:v>
                </c:pt>
                <c:pt idx="88">
                  <c:v>6.0000000000000001E-3</c:v>
                </c:pt>
                <c:pt idx="89">
                  <c:v>8.0000000000000002E-3</c:v>
                </c:pt>
                <c:pt idx="90">
                  <c:v>7.0000000000000001E-3</c:v>
                </c:pt>
                <c:pt idx="91">
                  <c:v>7.0000000000000001E-3</c:v>
                </c:pt>
                <c:pt idx="92">
                  <c:v>8.9999999999999993E-3</c:v>
                </c:pt>
                <c:pt idx="93">
                  <c:v>0.01</c:v>
                </c:pt>
                <c:pt idx="94">
                  <c:v>1.2999999999999999E-2</c:v>
                </c:pt>
                <c:pt idx="95">
                  <c:v>1.0999999999999999E-2</c:v>
                </c:pt>
                <c:pt idx="96">
                  <c:v>0.01</c:v>
                </c:pt>
                <c:pt idx="97">
                  <c:v>7.0000000000000001E-3</c:v>
                </c:pt>
                <c:pt idx="98">
                  <c:v>1.0999999999999999E-2</c:v>
                </c:pt>
                <c:pt idx="99">
                  <c:v>1.4999999999999999E-2</c:v>
                </c:pt>
                <c:pt idx="100">
                  <c:v>0.01</c:v>
                </c:pt>
                <c:pt idx="101">
                  <c:v>8.9999999999999993E-3</c:v>
                </c:pt>
                <c:pt idx="102">
                  <c:v>0.01</c:v>
                </c:pt>
                <c:pt idx="103">
                  <c:v>1.4999999999999999E-2</c:v>
                </c:pt>
                <c:pt idx="104">
                  <c:v>1.4999999999999999E-2</c:v>
                </c:pt>
                <c:pt idx="105">
                  <c:v>1.0999999999999999E-2</c:v>
                </c:pt>
                <c:pt idx="106">
                  <c:v>1.4E-2</c:v>
                </c:pt>
                <c:pt idx="107">
                  <c:v>1.2999999999999999E-2</c:v>
                </c:pt>
                <c:pt idx="108">
                  <c:v>8.9999999999999993E-3</c:v>
                </c:pt>
                <c:pt idx="109">
                  <c:v>1.4E-2</c:v>
                </c:pt>
                <c:pt idx="110">
                  <c:v>1.0999999999999999E-2</c:v>
                </c:pt>
                <c:pt idx="111">
                  <c:v>1.2E-2</c:v>
                </c:pt>
                <c:pt idx="112">
                  <c:v>1.7000000000000001E-2</c:v>
                </c:pt>
                <c:pt idx="113">
                  <c:v>1.4E-2</c:v>
                </c:pt>
                <c:pt idx="114">
                  <c:v>1.7999999999999999E-2</c:v>
                </c:pt>
                <c:pt idx="115">
                  <c:v>1.2999999999999999E-2</c:v>
                </c:pt>
                <c:pt idx="116">
                  <c:v>1.2999999999999999E-2</c:v>
                </c:pt>
                <c:pt idx="117">
                  <c:v>1.6E-2</c:v>
                </c:pt>
                <c:pt idx="118">
                  <c:v>1.4999999999999999E-2</c:v>
                </c:pt>
                <c:pt idx="119">
                  <c:v>1.7000000000000001E-2</c:v>
                </c:pt>
                <c:pt idx="120">
                  <c:v>1.6E-2</c:v>
                </c:pt>
                <c:pt idx="121">
                  <c:v>1.6E-2</c:v>
                </c:pt>
                <c:pt idx="122">
                  <c:v>1.6E-2</c:v>
                </c:pt>
                <c:pt idx="123">
                  <c:v>1.9E-2</c:v>
                </c:pt>
                <c:pt idx="124">
                  <c:v>1.7999999999999999E-2</c:v>
                </c:pt>
                <c:pt idx="125">
                  <c:v>1.2999999999999999E-2</c:v>
                </c:pt>
                <c:pt idx="126">
                  <c:v>1.7999999999999999E-2</c:v>
                </c:pt>
                <c:pt idx="127">
                  <c:v>1.7000000000000001E-2</c:v>
                </c:pt>
                <c:pt idx="128">
                  <c:v>2.1000000000000001E-2</c:v>
                </c:pt>
                <c:pt idx="129">
                  <c:v>1.9E-2</c:v>
                </c:pt>
                <c:pt idx="130">
                  <c:v>1.9E-2</c:v>
                </c:pt>
                <c:pt idx="131">
                  <c:v>1.7000000000000001E-2</c:v>
                </c:pt>
                <c:pt idx="132">
                  <c:v>2.1000000000000001E-2</c:v>
                </c:pt>
                <c:pt idx="133">
                  <c:v>1.7999999999999999E-2</c:v>
                </c:pt>
                <c:pt idx="134">
                  <c:v>1.4999999999999999E-2</c:v>
                </c:pt>
                <c:pt idx="135">
                  <c:v>1.7000000000000001E-2</c:v>
                </c:pt>
                <c:pt idx="136">
                  <c:v>1.9E-2</c:v>
                </c:pt>
                <c:pt idx="137">
                  <c:v>1.7000000000000001E-2</c:v>
                </c:pt>
                <c:pt idx="138">
                  <c:v>1.4E-2</c:v>
                </c:pt>
                <c:pt idx="139">
                  <c:v>1.0999999999999999E-2</c:v>
                </c:pt>
                <c:pt idx="140">
                  <c:v>1.4999999999999999E-2</c:v>
                </c:pt>
                <c:pt idx="141">
                  <c:v>0.01</c:v>
                </c:pt>
                <c:pt idx="142">
                  <c:v>8.0000000000000002E-3</c:v>
                </c:pt>
                <c:pt idx="143">
                  <c:v>8.0000000000000002E-3</c:v>
                </c:pt>
                <c:pt idx="144">
                  <c:v>7.0000000000000001E-3</c:v>
                </c:pt>
                <c:pt idx="145">
                  <c:v>6.0000000000000001E-3</c:v>
                </c:pt>
                <c:pt idx="146">
                  <c:v>6.0000000000000001E-3</c:v>
                </c:pt>
                <c:pt idx="147">
                  <c:v>3.0000000000000001E-3</c:v>
                </c:pt>
                <c:pt idx="148">
                  <c:v>5.0000000000000001E-3</c:v>
                </c:pt>
                <c:pt idx="149">
                  <c:v>7.0000000000000001E-3</c:v>
                </c:pt>
                <c:pt idx="150">
                  <c:v>6.0000000000000001E-3</c:v>
                </c:pt>
                <c:pt idx="151">
                  <c:v>5.0000000000000001E-3</c:v>
                </c:pt>
                <c:pt idx="152">
                  <c:v>7.0000000000000001E-3</c:v>
                </c:pt>
                <c:pt idx="153">
                  <c:v>4.0000000000000001E-3</c:v>
                </c:pt>
                <c:pt idx="154">
                  <c:v>4.0000000000000001E-3</c:v>
                </c:pt>
                <c:pt idx="155">
                  <c:v>5.0000000000000001E-3</c:v>
                </c:pt>
                <c:pt idx="156">
                  <c:v>7.0000000000000001E-3</c:v>
                </c:pt>
                <c:pt idx="157">
                  <c:v>4.0000000000000001E-3</c:v>
                </c:pt>
                <c:pt idx="158">
                  <c:v>2E-3</c:v>
                </c:pt>
                <c:pt idx="159">
                  <c:v>4.0000000000000001E-3</c:v>
                </c:pt>
                <c:pt idx="160">
                  <c:v>1E-3</c:v>
                </c:pt>
                <c:pt idx="161">
                  <c:v>1E-3</c:v>
                </c:pt>
                <c:pt idx="162">
                  <c:v>5.0000000000000001E-3</c:v>
                </c:pt>
                <c:pt idx="163">
                  <c:v>1E-3</c:v>
                </c:pt>
                <c:pt idx="164">
                  <c:v>1E-3</c:v>
                </c:pt>
                <c:pt idx="165">
                  <c:v>1E-3</c:v>
                </c:pt>
                <c:pt idx="166">
                  <c:v>2E-3</c:v>
                </c:pt>
                <c:pt idx="167">
                  <c:v>7.0000000000000001E-3</c:v>
                </c:pt>
                <c:pt idx="168">
                  <c:v>3.0000000000000001E-3</c:v>
                </c:pt>
                <c:pt idx="169">
                  <c:v>4.0000000000000001E-3</c:v>
                </c:pt>
                <c:pt idx="170">
                  <c:v>3.0000000000000001E-3</c:v>
                </c:pt>
                <c:pt idx="171">
                  <c:v>5.0000000000000001E-3</c:v>
                </c:pt>
                <c:pt idx="172">
                  <c:v>4.0000000000000001E-3</c:v>
                </c:pt>
                <c:pt idx="173">
                  <c:v>0</c:v>
                </c:pt>
                <c:pt idx="174">
                  <c:v>4.0000000000000001E-3</c:v>
                </c:pt>
                <c:pt idx="175">
                  <c:v>2E-3</c:v>
                </c:pt>
                <c:pt idx="176">
                  <c:v>3.0000000000000001E-3</c:v>
                </c:pt>
                <c:pt idx="177">
                  <c:v>5.0000000000000001E-3</c:v>
                </c:pt>
                <c:pt idx="178">
                  <c:v>3.0000000000000001E-3</c:v>
                </c:pt>
                <c:pt idx="179">
                  <c:v>5.0000000000000001E-3</c:v>
                </c:pt>
                <c:pt idx="180">
                  <c:v>2E-3</c:v>
                </c:pt>
                <c:pt idx="181">
                  <c:v>4.0000000000000001E-3</c:v>
                </c:pt>
                <c:pt idx="182">
                  <c:v>1E-3</c:v>
                </c:pt>
                <c:pt idx="183">
                  <c:v>0</c:v>
                </c:pt>
                <c:pt idx="184">
                  <c:v>-2E-3</c:v>
                </c:pt>
                <c:pt idx="185">
                  <c:v>2E-3</c:v>
                </c:pt>
                <c:pt idx="186">
                  <c:v>4.0000000000000001E-3</c:v>
                </c:pt>
                <c:pt idx="187">
                  <c:v>1E-3</c:v>
                </c:pt>
                <c:pt idx="188">
                  <c:v>1E-3</c:v>
                </c:pt>
                <c:pt idx="189">
                  <c:v>3.0000000000000001E-3</c:v>
                </c:pt>
                <c:pt idx="190">
                  <c:v>2E-3</c:v>
                </c:pt>
                <c:pt idx="191">
                  <c:v>-1E-3</c:v>
                </c:pt>
                <c:pt idx="192">
                  <c:v>-2E-3</c:v>
                </c:pt>
                <c:pt idx="193">
                  <c:v>1E-3</c:v>
                </c:pt>
                <c:pt idx="194">
                  <c:v>1E-3</c:v>
                </c:pt>
                <c:pt idx="195">
                  <c:v>1E-3</c:v>
                </c:pt>
                <c:pt idx="196">
                  <c:v>5.0000000000000001E-3</c:v>
                </c:pt>
                <c:pt idx="197">
                  <c:v>0</c:v>
                </c:pt>
                <c:pt idx="198">
                  <c:v>3.0000000000000001E-3</c:v>
                </c:pt>
                <c:pt idx="199">
                  <c:v>6.0000000000000001E-3</c:v>
                </c:pt>
                <c:pt idx="200">
                  <c:v>0</c:v>
                </c:pt>
              </c:numCache>
            </c:numRef>
          </c:yVal>
          <c:smooth val="1"/>
          <c:extLst>
            <c:ext xmlns:c16="http://schemas.microsoft.com/office/drawing/2014/chart" uri="{C3380CC4-5D6E-409C-BE32-E72D297353CC}">
              <c16:uniqueId val="{00000003-6E1B-4D28-B0B3-664647D223D0}"/>
            </c:ext>
          </c:extLst>
        </c:ser>
        <c:dLbls>
          <c:showLegendKey val="0"/>
          <c:showVal val="0"/>
          <c:showCatName val="0"/>
          <c:showSerName val="0"/>
          <c:showPercent val="0"/>
          <c:showBubbleSize val="0"/>
        </c:dLbls>
        <c:axId val="610475792"/>
        <c:axId val="610472912"/>
      </c:scatterChart>
      <c:valAx>
        <c:axId val="610475792"/>
        <c:scaling>
          <c:orientation val="minMax"/>
          <c:min val="300"/>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l-GR" sz="1100" b="1">
                    <a:latin typeface="Times New Roman" panose="02020603050405020304" pitchFamily="18" charset="0"/>
                    <a:cs typeface="Times New Roman" panose="02020603050405020304" pitchFamily="18" charset="0"/>
                  </a:rPr>
                  <a:t>λ</a:t>
                </a:r>
                <a:r>
                  <a:rPr lang="fr-FR" sz="1100" b="1">
                    <a:latin typeface="Times New Roman" panose="02020603050405020304" pitchFamily="18" charset="0"/>
                    <a:cs typeface="Times New Roman" panose="02020603050405020304" pitchFamily="18" charset="0"/>
                  </a:rPr>
                  <a:t>/nm</a:t>
                </a:r>
              </a:p>
            </c:rich>
          </c:tx>
          <c:layout>
            <c:manualLayout>
              <c:xMode val="edge"/>
              <c:yMode val="edge"/>
              <c:x val="0.49215566822271556"/>
              <c:y val="0.89034512887723893"/>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10472912"/>
        <c:crosses val="autoZero"/>
        <c:crossBetween val="midCat"/>
      </c:valAx>
      <c:valAx>
        <c:axId val="610472912"/>
        <c:scaling>
          <c:orientation val="minMax"/>
          <c:min val="0"/>
        </c:scaling>
        <c:delete val="0"/>
        <c:axPos val="l"/>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fr-FR" sz="1100" b="1">
                    <a:latin typeface="Times New Roman" panose="02020603050405020304" pitchFamily="18" charset="0"/>
                    <a:cs typeface="Times New Roman" panose="02020603050405020304" pitchFamily="18" charset="0"/>
                  </a:rPr>
                  <a:t>Absorbance</a:t>
                </a:r>
              </a:p>
            </c:rich>
          </c:tx>
          <c:layout>
            <c:manualLayout>
              <c:xMode val="edge"/>
              <c:yMode val="edge"/>
              <c:x val="1.1599582415033059E-2"/>
              <c:y val="0.29272590926134229"/>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10475792"/>
        <c:crosses val="autoZero"/>
        <c:crossBetween val="midCat"/>
      </c:valAx>
      <c:spPr>
        <a:noFill/>
        <a:ln>
          <a:solidFill>
            <a:schemeClr val="tx1"/>
          </a:solidFill>
        </a:ln>
        <a:effectLst/>
      </c:spPr>
    </c:plotArea>
    <c:legend>
      <c:legendPos val="t"/>
      <c:layout>
        <c:manualLayout>
          <c:xMode val="edge"/>
          <c:yMode val="edge"/>
          <c:x val="0.2054344500290903"/>
          <c:y val="8.737439930100481E-2"/>
          <c:w val="0.30146145604899954"/>
          <c:h val="0.36244723996656381"/>
        </c:manualLayout>
      </c:layout>
      <c:overlay val="1"/>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1000">
                <a:latin typeface="Arial" panose="020B0604020202020204" pitchFamily="34" charset="0"/>
                <a:cs typeface="Arial" panose="020B0604020202020204" pitchFamily="34" charset="0"/>
              </a:rPr>
              <a:t>RMA-2M-500</a:t>
            </a:r>
          </a:p>
        </c:rich>
      </c:tx>
      <c:layout>
        <c:manualLayout>
          <c:xMode val="edge"/>
          <c:yMode val="edge"/>
          <c:x val="0.59045475011256188"/>
          <c:y val="0.49286173228346458"/>
        </c:manualLayout>
      </c:layout>
      <c:overlay val="1"/>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1503472579209904"/>
          <c:y val="5.8666666666666666E-2"/>
          <c:w val="0.72517238812055296"/>
          <c:h val="0.74302236220472428"/>
        </c:manualLayout>
      </c:layout>
      <c:scatterChart>
        <c:scatterStyle val="lineMarker"/>
        <c:varyColors val="0"/>
        <c:ser>
          <c:idx val="0"/>
          <c:order val="0"/>
          <c:spPr>
            <a:ln w="25400" cap="rnd">
              <a:no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1"/>
            <c:dispEq val="1"/>
            <c:trendlineLbl>
              <c:layout>
                <c:manualLayout>
                  <c:x val="-1.69845354183462E-2"/>
                  <c:y val="-1.5491164390526424E-2"/>
                </c:manualLayout>
              </c:layout>
              <c:tx>
                <c:rich>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000" baseline="0">
                        <a:latin typeface="Arial" panose="020B0604020202020204" pitchFamily="34" charset="0"/>
                        <a:cs typeface="Arial" panose="020B0604020202020204" pitchFamily="34" charset="0"/>
                      </a:rPr>
                      <a:t>y = 0,0685x + 0,0008</a:t>
                    </a:r>
                    <a:br>
                      <a:rPr lang="en-US" sz="1000" baseline="0">
                        <a:latin typeface="Arial" panose="020B0604020202020204" pitchFamily="34" charset="0"/>
                        <a:cs typeface="Arial" panose="020B0604020202020204" pitchFamily="34" charset="0"/>
                      </a:rPr>
                    </a:br>
                    <a:r>
                      <a:rPr lang="en-US" sz="1000" baseline="0">
                        <a:latin typeface="Arial" panose="020B0604020202020204" pitchFamily="34" charset="0"/>
                        <a:cs typeface="Arial" panose="020B0604020202020204" pitchFamily="34" charset="0"/>
                      </a:rPr>
                      <a:t>R² = 0,9038</a:t>
                    </a:r>
                    <a:endParaRPr lang="en-US" sz="1000">
                      <a:latin typeface="Arial" panose="020B0604020202020204" pitchFamily="34" charset="0"/>
                      <a:cs typeface="Arial" panose="020B0604020202020204" pitchFamily="34" charset="0"/>
                    </a:endParaRPr>
                  </a:p>
                </c:rich>
              </c:tx>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rendlineLbl>
          </c:trendline>
          <c:xVal>
            <c:numRef>
              <c:f>'rmA-500°C'!$L$6:$L$9</c:f>
              <c:numCache>
                <c:formatCode>General</c:formatCode>
                <c:ptCount val="4"/>
                <c:pt idx="0">
                  <c:v>4.5703839122486288E-2</c:v>
                </c:pt>
                <c:pt idx="1">
                  <c:v>0.24962556165751371</c:v>
                </c:pt>
                <c:pt idx="2">
                  <c:v>0.31615554852987671</c:v>
                </c:pt>
                <c:pt idx="3">
                  <c:v>0.79113924050632911</c:v>
                </c:pt>
              </c:numCache>
            </c:numRef>
          </c:xVal>
          <c:yVal>
            <c:numRef>
              <c:f>'rmA-500°C'!$N$6:$N$9</c:f>
              <c:numCache>
                <c:formatCode>General</c:formatCode>
                <c:ptCount val="4"/>
                <c:pt idx="0">
                  <c:v>1.2023855328972681E-2</c:v>
                </c:pt>
                <c:pt idx="1">
                  <c:v>1.1325746593215426E-2</c:v>
                </c:pt>
                <c:pt idx="2">
                  <c:v>1.7285726138783639E-2</c:v>
                </c:pt>
                <c:pt idx="3">
                  <c:v>5.8707495773060302E-2</c:v>
                </c:pt>
              </c:numCache>
            </c:numRef>
          </c:yVal>
          <c:smooth val="0"/>
          <c:extLst>
            <c:ext xmlns:c16="http://schemas.microsoft.com/office/drawing/2014/chart" uri="{C3380CC4-5D6E-409C-BE32-E72D297353CC}">
              <c16:uniqueId val="{00000002-8862-43B7-AF9C-1C691ED2EAFA}"/>
            </c:ext>
          </c:extLst>
        </c:ser>
        <c:dLbls>
          <c:showLegendKey val="0"/>
          <c:showVal val="0"/>
          <c:showCatName val="0"/>
          <c:showSerName val="0"/>
          <c:showPercent val="0"/>
          <c:showBubbleSize val="0"/>
        </c:dLbls>
        <c:axId val="1511750640"/>
        <c:axId val="1511751600"/>
      </c:scatterChart>
      <c:valAx>
        <c:axId val="151175064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latin typeface="Arial" panose="020B0604020202020204" pitchFamily="34" charset="0"/>
                    <a:cs typeface="Arial" panose="020B0604020202020204" pitchFamily="34" charset="0"/>
                  </a:rPr>
                  <a:t>1/C</a:t>
                </a:r>
                <a:r>
                  <a:rPr lang="en-US" baseline="-25000">
                    <a:latin typeface="Arial" panose="020B0604020202020204" pitchFamily="34" charset="0"/>
                    <a:cs typeface="Arial" panose="020B0604020202020204" pitchFamily="34" charset="0"/>
                  </a:rPr>
                  <a:t>e</a:t>
                </a:r>
                <a:endParaRPr lang="en-US">
                  <a:latin typeface="Arial" panose="020B0604020202020204" pitchFamily="34" charset="0"/>
                  <a:cs typeface="Arial" panose="020B0604020202020204" pitchFamily="34" charset="0"/>
                </a:endParaRPr>
              </a:p>
            </c:rich>
          </c:tx>
          <c:layout>
            <c:manualLayout>
              <c:xMode val="edge"/>
              <c:yMode val="edge"/>
              <c:x val="0.52772213693909609"/>
              <c:y val="0.8966845144356955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w="19050">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1511751600"/>
        <c:crosses val="autoZero"/>
        <c:crossBetween val="midCat"/>
        <c:majorUnit val="0.25"/>
      </c:valAx>
      <c:valAx>
        <c:axId val="151175160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latin typeface="Arial" panose="020B0604020202020204" pitchFamily="34" charset="0"/>
                    <a:cs typeface="Arial" panose="020B0604020202020204" pitchFamily="34" charset="0"/>
                  </a:rPr>
                  <a:t>1/Q</a:t>
                </a:r>
                <a:r>
                  <a:rPr lang="en-US" baseline="-25000">
                    <a:latin typeface="Arial" panose="020B0604020202020204" pitchFamily="34" charset="0"/>
                    <a:cs typeface="Arial" panose="020B0604020202020204" pitchFamily="34" charset="0"/>
                  </a:rPr>
                  <a:t>e</a:t>
                </a:r>
                <a:endParaRPr lang="en-US">
                  <a:latin typeface="Arial" panose="020B0604020202020204" pitchFamily="34" charset="0"/>
                  <a:cs typeface="Arial" panose="020B0604020202020204" pitchFamily="34" charset="0"/>
                </a:endParaRPr>
              </a:p>
            </c:rich>
          </c:tx>
          <c:layout>
            <c:manualLayout>
              <c:xMode val="edge"/>
              <c:yMode val="edge"/>
              <c:x val="2.4801199714961343E-2"/>
              <c:y val="0.36973774278215216"/>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w="19050">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1511750640"/>
        <c:crosses val="autoZero"/>
        <c:crossBetween val="midCat"/>
      </c:valAx>
      <c:spPr>
        <a:noFill/>
        <a:ln w="19050">
          <a:solidFill>
            <a:sysClr val="windowText" lastClr="000000"/>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fr-FR" sz="1000">
                <a:latin typeface="Arial" panose="020B0604020202020204" pitchFamily="34" charset="0"/>
                <a:cs typeface="Arial" panose="020B0604020202020204" pitchFamily="34" charset="0"/>
              </a:rPr>
              <a:t>RMA-2M-400</a:t>
            </a:r>
          </a:p>
        </c:rich>
      </c:tx>
      <c:layout>
        <c:manualLayout>
          <c:xMode val="edge"/>
          <c:yMode val="edge"/>
          <c:x val="0.49113585746102451"/>
          <c:y val="0.5096203848153926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6648054293881417"/>
          <c:y val="8.9405497479741691E-2"/>
          <c:w val="0.75475544955544249"/>
          <c:h val="0.75227355550914954"/>
        </c:manualLayout>
      </c:layout>
      <c:scatterChart>
        <c:scatterStyle val="lineMarker"/>
        <c:varyColors val="0"/>
        <c:ser>
          <c:idx val="0"/>
          <c:order val="0"/>
          <c:spPr>
            <a:ln w="25400" cap="rnd">
              <a:no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trendline>
            <c:spPr>
              <a:ln w="9525" cap="rnd">
                <a:solidFill>
                  <a:schemeClr val="accent1"/>
                </a:solidFill>
              </a:ln>
              <a:effectLst/>
            </c:spPr>
            <c:trendlineType val="linear"/>
            <c:dispRSqr val="1"/>
            <c:dispEq val="1"/>
            <c:trendlineLbl>
              <c:layout>
                <c:manualLayout>
                  <c:x val="-6.1438366974729493E-2"/>
                  <c:y val="-1.99556958656299E-2"/>
                </c:manualLayout>
              </c:layout>
              <c:tx>
                <c:rich>
                  <a:bodyPr rot="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000" b="1" baseline="0">
                        <a:latin typeface="Arial" panose="020B0604020202020204" pitchFamily="34" charset="0"/>
                        <a:cs typeface="Arial" panose="020B0604020202020204" pitchFamily="34" charset="0"/>
                      </a:rPr>
                      <a:t>y = 0,5864x + 0,0161</a:t>
                    </a:r>
                    <a:br>
                      <a:rPr lang="en-US" sz="1000" b="1" baseline="0">
                        <a:latin typeface="Arial" panose="020B0604020202020204" pitchFamily="34" charset="0"/>
                        <a:cs typeface="Arial" panose="020B0604020202020204" pitchFamily="34" charset="0"/>
                      </a:rPr>
                    </a:br>
                    <a:r>
                      <a:rPr lang="en-US" sz="1000" b="1" baseline="0">
                        <a:latin typeface="Arial" panose="020B0604020202020204" pitchFamily="34" charset="0"/>
                        <a:cs typeface="Arial" panose="020B0604020202020204" pitchFamily="34" charset="0"/>
                      </a:rPr>
                      <a:t>R² = 0,9634</a:t>
                    </a:r>
                    <a:endParaRPr lang="en-US" sz="1000" b="1">
                      <a:latin typeface="Arial" panose="020B0604020202020204" pitchFamily="34" charset="0"/>
                      <a:cs typeface="Arial" panose="020B0604020202020204" pitchFamily="34" charset="0"/>
                    </a:endParaRPr>
                  </a:p>
                </c:rich>
              </c:tx>
              <c:numFmt formatCode="General" sourceLinked="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rendlineLbl>
          </c:trendline>
          <c:xVal>
            <c:numRef>
              <c:f>'RMA-2M-400'!$AK$16:$AK$19</c:f>
              <c:numCache>
                <c:formatCode>General</c:formatCode>
                <c:ptCount val="4"/>
                <c:pt idx="0">
                  <c:v>5.4824561403508776E-2</c:v>
                </c:pt>
                <c:pt idx="1">
                  <c:v>0.17346053772766695</c:v>
                </c:pt>
                <c:pt idx="2">
                  <c:v>0.15386982612709649</c:v>
                </c:pt>
                <c:pt idx="3">
                  <c:v>4.0899795501022497E-2</c:v>
                </c:pt>
              </c:numCache>
            </c:numRef>
          </c:xVal>
          <c:yVal>
            <c:numRef>
              <c:f>'RMA-2M-400'!$AM$16:$AM$19</c:f>
              <c:numCache>
                <c:formatCode>General</c:formatCode>
                <c:ptCount val="4"/>
                <c:pt idx="0">
                  <c:v>5.4728546409807351E-2</c:v>
                </c:pt>
                <c:pt idx="1">
                  <c:v>0.12437810945273634</c:v>
                </c:pt>
                <c:pt idx="2">
                  <c:v>9.7778473091364226E-2</c:v>
                </c:pt>
                <c:pt idx="3">
                  <c:v>3.5491198182850646E-2</c:v>
                </c:pt>
              </c:numCache>
            </c:numRef>
          </c:yVal>
          <c:smooth val="0"/>
          <c:extLst>
            <c:ext xmlns:c16="http://schemas.microsoft.com/office/drawing/2014/chart" uri="{C3380CC4-5D6E-409C-BE32-E72D297353CC}">
              <c16:uniqueId val="{00000001-4916-4909-8640-011B9F4AEB0D}"/>
            </c:ext>
          </c:extLst>
        </c:ser>
        <c:dLbls>
          <c:showLegendKey val="0"/>
          <c:showVal val="0"/>
          <c:showCatName val="0"/>
          <c:showSerName val="0"/>
          <c:showPercent val="0"/>
          <c:showBubbleSize val="0"/>
        </c:dLbls>
        <c:axId val="162972976"/>
        <c:axId val="162973456"/>
      </c:scatterChart>
      <c:valAx>
        <c:axId val="16297297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fr-FR">
                    <a:latin typeface="Arial" panose="020B0604020202020204" pitchFamily="34" charset="0"/>
                    <a:cs typeface="Arial" panose="020B0604020202020204" pitchFamily="34" charset="0"/>
                  </a:rPr>
                  <a:t>1/Ce</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162973456"/>
        <c:crosses val="autoZero"/>
        <c:crossBetween val="midCat"/>
      </c:valAx>
      <c:valAx>
        <c:axId val="16297345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fr-FR">
                    <a:latin typeface="Arial" panose="020B0604020202020204" pitchFamily="34" charset="0"/>
                    <a:cs typeface="Arial" panose="020B0604020202020204" pitchFamily="34" charset="0"/>
                  </a:rPr>
                  <a:t>1/Qe</a:t>
                </a:r>
              </a:p>
            </c:rich>
          </c:tx>
          <c:layout>
            <c:manualLayout>
              <c:xMode val="edge"/>
              <c:yMode val="edge"/>
              <c:x val="3.9801483611875913E-3"/>
              <c:y val="0.4438316115321778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19050">
            <a:solidFill>
              <a:schemeClr val="tx1"/>
            </a:solidFill>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162972976"/>
        <c:crosses val="autoZero"/>
        <c:crossBetween val="midCat"/>
      </c:valAx>
      <c:spPr>
        <a:noFill/>
        <a:ln w="19050">
          <a:solidFill>
            <a:sysClr val="windowText" lastClr="000000"/>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fr-FR" sz="1000">
                <a:latin typeface="Arial" panose="020B0604020202020204" pitchFamily="34" charset="0"/>
                <a:cs typeface="Arial" panose="020B0604020202020204" pitchFamily="34" charset="0"/>
              </a:rPr>
              <a:t>RMA-2M-600</a:t>
            </a:r>
          </a:p>
        </c:rich>
      </c:tx>
      <c:layout>
        <c:manualLayout>
          <c:xMode val="edge"/>
          <c:yMode val="edge"/>
          <c:x val="0.62738014149615384"/>
          <c:y val="0.3780521366867976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4099781277340329"/>
          <c:y val="8.0948476304941189E-2"/>
          <c:w val="0.78622173644725002"/>
          <c:h val="0.76230132431734188"/>
        </c:manualLayout>
      </c:layout>
      <c:scatterChart>
        <c:scatterStyle val="lineMarker"/>
        <c:varyColors val="0"/>
        <c:ser>
          <c:idx val="0"/>
          <c:order val="0"/>
          <c:spPr>
            <a:ln w="25400" cap="rnd">
              <a:no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trendline>
            <c:spPr>
              <a:ln w="9525" cap="rnd">
                <a:solidFill>
                  <a:schemeClr val="accent1"/>
                </a:solidFill>
              </a:ln>
              <a:effectLst/>
            </c:spPr>
            <c:trendlineType val="linear"/>
            <c:dispRSqr val="1"/>
            <c:dispEq val="1"/>
            <c:trendlineLbl>
              <c:layout>
                <c:manualLayout>
                  <c:x val="-0.16868357460983099"/>
                  <c:y val="4.6435351073269909E-3"/>
                </c:manualLayout>
              </c:layout>
              <c:tx>
                <c:rich>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r>
                      <a:rPr lang="en-US" sz="1000" b="1" baseline="0">
                        <a:latin typeface="Arial" panose="020B0604020202020204" pitchFamily="34" charset="0"/>
                        <a:cs typeface="Arial" panose="020B0604020202020204" pitchFamily="34" charset="0"/>
                      </a:rPr>
                      <a:t>y = 0,0712x + 0,0029</a:t>
                    </a:r>
                    <a:br>
                      <a:rPr lang="en-US" sz="1000" b="1" baseline="0">
                        <a:latin typeface="Arial" panose="020B0604020202020204" pitchFamily="34" charset="0"/>
                        <a:cs typeface="Arial" panose="020B0604020202020204" pitchFamily="34" charset="0"/>
                      </a:rPr>
                    </a:br>
                    <a:r>
                      <a:rPr lang="en-US" sz="1000" b="1" baseline="0">
                        <a:latin typeface="Arial" panose="020B0604020202020204" pitchFamily="34" charset="0"/>
                        <a:cs typeface="Arial" panose="020B0604020202020204" pitchFamily="34" charset="0"/>
                      </a:rPr>
                      <a:t>R² = 0,8725</a:t>
                    </a:r>
                    <a:endParaRPr lang="en-US" sz="1000" b="1">
                      <a:latin typeface="Arial" panose="020B0604020202020204" pitchFamily="34" charset="0"/>
                      <a:cs typeface="Arial" panose="020B0604020202020204" pitchFamily="34" charset="0"/>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trendlineLbl>
          </c:trendline>
          <c:xVal>
            <c:numRef>
              <c:f>'RMA600-2M'!$Q$22:$Q$25</c:f>
              <c:numCache>
                <c:formatCode>General</c:formatCode>
                <c:ptCount val="4"/>
                <c:pt idx="0">
                  <c:v>0.40469445568595708</c:v>
                </c:pt>
                <c:pt idx="1">
                  <c:v>0.81103000811030002</c:v>
                </c:pt>
                <c:pt idx="2">
                  <c:v>0.38138825324180015</c:v>
                </c:pt>
                <c:pt idx="3">
                  <c:v>8.7336244541484725E-2</c:v>
                </c:pt>
              </c:numCache>
            </c:numRef>
          </c:xVal>
          <c:yVal>
            <c:numRef>
              <c:f>'RMA600-2M'!$S$22:$S$25</c:f>
              <c:numCache>
                <c:formatCode>General</c:formatCode>
                <c:ptCount val="4"/>
                <c:pt idx="0">
                  <c:v>4.1202452369965066E-2</c:v>
                </c:pt>
                <c:pt idx="1">
                  <c:v>6.0756294352094883E-2</c:v>
                </c:pt>
                <c:pt idx="2">
                  <c:v>1.9770347641792932E-2</c:v>
                </c:pt>
                <c:pt idx="3">
                  <c:v>1.0001400196027443E-2</c:v>
                </c:pt>
              </c:numCache>
            </c:numRef>
          </c:yVal>
          <c:smooth val="0"/>
          <c:extLst>
            <c:ext xmlns:c16="http://schemas.microsoft.com/office/drawing/2014/chart" uri="{C3380CC4-5D6E-409C-BE32-E72D297353CC}">
              <c16:uniqueId val="{00000001-DDD6-43EC-A8EE-84EC3E5C401E}"/>
            </c:ext>
          </c:extLst>
        </c:ser>
        <c:dLbls>
          <c:showLegendKey val="0"/>
          <c:showVal val="0"/>
          <c:showCatName val="0"/>
          <c:showSerName val="0"/>
          <c:showPercent val="0"/>
          <c:showBubbleSize val="0"/>
        </c:dLbls>
        <c:axId val="704171583"/>
        <c:axId val="704157183"/>
      </c:scatterChart>
      <c:valAx>
        <c:axId val="704171583"/>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900" b="1" i="0" u="none" strike="noStrike" kern="1200" baseline="0">
                    <a:solidFill>
                      <a:srgbClr val="44546A"/>
                    </a:solidFill>
                    <a:latin typeface="Arial" panose="020B0604020202020204" pitchFamily="34" charset="0"/>
                    <a:cs typeface="Arial" panose="020B0604020202020204" pitchFamily="34" charset="0"/>
                  </a:rPr>
                  <a:t>1/Ce</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in"/>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704157183"/>
        <c:crosses val="autoZero"/>
        <c:crossBetween val="midCat"/>
      </c:valAx>
      <c:valAx>
        <c:axId val="704157183"/>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900" b="1" i="0" u="none" strike="noStrike" kern="1200" baseline="0">
                    <a:solidFill>
                      <a:srgbClr val="44546A"/>
                    </a:solidFill>
                    <a:latin typeface="Arial" panose="020B0604020202020204" pitchFamily="34" charset="0"/>
                    <a:cs typeface="Arial" panose="020B0604020202020204" pitchFamily="34" charset="0"/>
                  </a:rPr>
                  <a:t>1/Qe</a:t>
                </a:r>
              </a:p>
            </c:rich>
          </c:tx>
          <c:layout>
            <c:manualLayout>
              <c:xMode val="edge"/>
              <c:yMode val="edge"/>
              <c:x val="1.3464017480906674E-2"/>
              <c:y val="0.35271488819508534"/>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in"/>
        <c:minorTickMark val="none"/>
        <c:tickLblPos val="nextTo"/>
        <c:spPr>
          <a:noFill/>
          <a:ln w="19050">
            <a:solidFill>
              <a:schemeClr val="tx1"/>
            </a:solidFill>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704171583"/>
        <c:crosses val="autoZero"/>
        <c:crossBetween val="midCat"/>
      </c:valAx>
      <c:spPr>
        <a:noFill/>
        <a:ln w="19050">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1000">
                <a:latin typeface="Arial" panose="020B0604020202020204" pitchFamily="34" charset="0"/>
                <a:cs typeface="Arial" panose="020B0604020202020204" pitchFamily="34" charset="0"/>
              </a:rPr>
              <a:t>RMA-2M-500</a:t>
            </a:r>
          </a:p>
        </c:rich>
      </c:tx>
      <c:layout>
        <c:manualLayout>
          <c:xMode val="edge"/>
          <c:yMode val="edge"/>
          <c:x val="0.6367624703621908"/>
          <c:y val="0.50673877498570974"/>
        </c:manualLayout>
      </c:layout>
      <c:overlay val="1"/>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6328595319171749"/>
          <c:y val="0.10799808577670053"/>
          <c:w val="0.78636565663203806"/>
          <c:h val="0.73036791194572837"/>
        </c:manualLayout>
      </c:layout>
      <c:scatterChart>
        <c:scatterStyle val="lineMarker"/>
        <c:varyColors val="0"/>
        <c:ser>
          <c:idx val="0"/>
          <c:order val="0"/>
          <c:spPr>
            <a:ln w="25400" cap="rnd">
              <a:no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1"/>
            <c:dispEq val="1"/>
            <c:trendlineLbl>
              <c:layout>
                <c:manualLayout>
                  <c:x val="0.1032116922129737"/>
                  <c:y val="0.15649262891097532"/>
                </c:manualLayout>
              </c:layout>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1000" baseline="0">
                        <a:latin typeface="Arial" panose="020B0604020202020204" pitchFamily="34" charset="0"/>
                        <a:cs typeface="Arial" panose="020B0604020202020204" pitchFamily="34" charset="0"/>
                      </a:rPr>
                      <a:t>y = 0,4853x + 3,2377</a:t>
                    </a:r>
                    <a:br>
                      <a:rPr lang="en-US" sz="1000" baseline="0">
                        <a:latin typeface="Arial" panose="020B0604020202020204" pitchFamily="34" charset="0"/>
                        <a:cs typeface="Arial" panose="020B0604020202020204" pitchFamily="34" charset="0"/>
                      </a:rPr>
                    </a:br>
                    <a:r>
                      <a:rPr lang="en-US" sz="1000" baseline="0">
                        <a:latin typeface="Arial" panose="020B0604020202020204" pitchFamily="34" charset="0"/>
                        <a:cs typeface="Arial" panose="020B0604020202020204" pitchFamily="34" charset="0"/>
                      </a:rPr>
                      <a:t>R² = 0,5689</a:t>
                    </a:r>
                    <a:endParaRPr lang="en-US" sz="1000">
                      <a:latin typeface="Arial" panose="020B0604020202020204" pitchFamily="34" charset="0"/>
                      <a:cs typeface="Arial" panose="020B0604020202020204" pitchFamily="34" charset="0"/>
                    </a:endParaRPr>
                  </a:p>
                </c:rich>
              </c:tx>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rendlineLbl>
          </c:trendline>
          <c:xVal>
            <c:numRef>
              <c:f>'rmA-500°C'!$M$6:$M$9</c:f>
              <c:numCache>
                <c:formatCode>General</c:formatCode>
                <c:ptCount val="4"/>
                <c:pt idx="0">
                  <c:v>3.0855729775537806</c:v>
                </c:pt>
                <c:pt idx="1">
                  <c:v>1.3877932372436266</c:v>
                </c:pt>
                <c:pt idx="2">
                  <c:v>1.1515209443235117</c:v>
                </c:pt>
                <c:pt idx="3">
                  <c:v>0.23428129572466569</c:v>
                </c:pt>
              </c:numCache>
            </c:numRef>
          </c:xVal>
          <c:yVal>
            <c:numRef>
              <c:f>'rmA-500°C'!$O$6:$O$9</c:f>
              <c:numCache>
                <c:formatCode>General</c:formatCode>
                <c:ptCount val="4"/>
                <c:pt idx="0">
                  <c:v>4.4208626584590798</c:v>
                </c:pt>
                <c:pt idx="1">
                  <c:v>4.4806766854402209</c:v>
                </c:pt>
                <c:pt idx="2">
                  <c:v>4.0578741967261882</c:v>
                </c:pt>
                <c:pt idx="3">
                  <c:v>2.8351878639963011</c:v>
                </c:pt>
              </c:numCache>
            </c:numRef>
          </c:yVal>
          <c:smooth val="0"/>
          <c:extLst>
            <c:ext xmlns:c16="http://schemas.microsoft.com/office/drawing/2014/chart" uri="{C3380CC4-5D6E-409C-BE32-E72D297353CC}">
              <c16:uniqueId val="{00000002-9528-4FEC-9A45-42DC26E53A0A}"/>
            </c:ext>
          </c:extLst>
        </c:ser>
        <c:dLbls>
          <c:showLegendKey val="0"/>
          <c:showVal val="0"/>
          <c:showCatName val="0"/>
          <c:showSerName val="0"/>
          <c:showPercent val="0"/>
          <c:showBubbleSize val="0"/>
        </c:dLbls>
        <c:axId val="377582304"/>
        <c:axId val="377581824"/>
      </c:scatterChart>
      <c:valAx>
        <c:axId val="37758230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900">
                    <a:latin typeface="Arial" panose="020B0604020202020204" pitchFamily="34" charset="0"/>
                    <a:cs typeface="Arial" panose="020B0604020202020204" pitchFamily="34" charset="0"/>
                  </a:rPr>
                  <a:t>lnC</a:t>
                </a:r>
                <a:r>
                  <a:rPr lang="en-US" sz="900" baseline="-25000">
                    <a:latin typeface="Arial" panose="020B0604020202020204" pitchFamily="34" charset="0"/>
                    <a:cs typeface="Arial" panose="020B0604020202020204" pitchFamily="34" charset="0"/>
                  </a:rPr>
                  <a:t>e</a:t>
                </a:r>
              </a:p>
            </c:rich>
          </c:tx>
          <c:layout>
            <c:manualLayout>
              <c:xMode val="edge"/>
              <c:yMode val="edge"/>
              <c:x val="0.43829218982762291"/>
              <c:y val="0.8897849462365591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cross"/>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377581824"/>
        <c:crosses val="autoZero"/>
        <c:crossBetween val="midCat"/>
      </c:valAx>
      <c:valAx>
        <c:axId val="377581824"/>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900">
                    <a:latin typeface="Arial" panose="020B0604020202020204" pitchFamily="34" charset="0"/>
                    <a:cs typeface="Arial" panose="020B0604020202020204" pitchFamily="34" charset="0"/>
                  </a:rPr>
                  <a:t>lnQ</a:t>
                </a:r>
                <a:r>
                  <a:rPr lang="en-US" sz="900" baseline="-25000">
                    <a:latin typeface="Arial" panose="020B0604020202020204" pitchFamily="34" charset="0"/>
                    <a:cs typeface="Arial" panose="020B0604020202020204" pitchFamily="34" charset="0"/>
                  </a:rPr>
                  <a:t>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cross"/>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377582304"/>
        <c:crosses val="autoZero"/>
        <c:crossBetween val="midCat"/>
      </c:valAx>
      <c:spPr>
        <a:noFill/>
        <a:ln w="19050">
          <a:solidFill>
            <a:sysClr val="windowText" lastClr="000000"/>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fr-FR" sz="1000">
                <a:latin typeface="Arial" panose="020B0604020202020204" pitchFamily="34" charset="0"/>
                <a:cs typeface="Arial" panose="020B0604020202020204" pitchFamily="34" charset="0"/>
              </a:rPr>
              <a:t>RMA-2M-400</a:t>
            </a:r>
          </a:p>
        </c:rich>
      </c:tx>
      <c:layout>
        <c:manualLayout>
          <c:xMode val="edge"/>
          <c:yMode val="edge"/>
          <c:x val="0.59972813774354339"/>
          <c:y val="0.4300474727729684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377755277170381"/>
          <c:y val="4.1022280760004137E-2"/>
          <c:w val="0.82446797433494545"/>
          <c:h val="0.81201596375795504"/>
        </c:manualLayout>
      </c:layout>
      <c:scatterChart>
        <c:scatterStyle val="lineMarker"/>
        <c:varyColors val="0"/>
        <c:ser>
          <c:idx val="0"/>
          <c:order val="0"/>
          <c:spPr>
            <a:ln w="25400" cap="rnd">
              <a:no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trendline>
            <c:spPr>
              <a:ln w="9525" cap="rnd">
                <a:solidFill>
                  <a:schemeClr val="accent1"/>
                </a:solidFill>
              </a:ln>
              <a:effectLst/>
            </c:spPr>
            <c:trendlineType val="linear"/>
            <c:dispRSqr val="1"/>
            <c:dispEq val="1"/>
            <c:trendlineLbl>
              <c:layout>
                <c:manualLayout>
                  <c:x val="-0.14111507265422191"/>
                  <c:y val="-1.1879663858954119E-3"/>
                </c:manualLayout>
              </c:layout>
              <c:tx>
                <c:rich>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000" baseline="0">
                        <a:latin typeface="Arial" panose="020B0604020202020204" pitchFamily="34" charset="0"/>
                        <a:cs typeface="Arial" panose="020B0604020202020204" pitchFamily="34" charset="0"/>
                      </a:rPr>
                      <a:t>y = 0,7664x + 0,8004</a:t>
                    </a:r>
                    <a:br>
                      <a:rPr lang="en-US" sz="1000" baseline="0">
                        <a:latin typeface="Arial" panose="020B0604020202020204" pitchFamily="34" charset="0"/>
                        <a:cs typeface="Arial" panose="020B0604020202020204" pitchFamily="34" charset="0"/>
                      </a:rPr>
                    </a:br>
                    <a:r>
                      <a:rPr lang="en-US" sz="1000" baseline="0">
                        <a:latin typeface="Arial" panose="020B0604020202020204" pitchFamily="34" charset="0"/>
                        <a:cs typeface="Arial" panose="020B0604020202020204" pitchFamily="34" charset="0"/>
                      </a:rPr>
                      <a:t>R² = 0,9649</a:t>
                    </a:r>
                    <a:endParaRPr lang="en-US" sz="1000">
                      <a:latin typeface="Arial" panose="020B0604020202020204" pitchFamily="34" charset="0"/>
                      <a:cs typeface="Arial" panose="020B0604020202020204" pitchFamily="34" charset="0"/>
                    </a:endParaRPr>
                  </a:p>
                </c:rich>
              </c:tx>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rendlineLbl>
          </c:trendline>
          <c:xVal>
            <c:numRef>
              <c:f>'RMA-2M-400'!$AL$16:$AL$19</c:f>
              <c:numCache>
                <c:formatCode>General</c:formatCode>
                <c:ptCount val="4"/>
                <c:pt idx="0">
                  <c:v>2.9036169846461855</c:v>
                </c:pt>
                <c:pt idx="1">
                  <c:v>1.7518051537210222</c:v>
                </c:pt>
                <c:pt idx="2">
                  <c:v>1.8716483189122117</c:v>
                </c:pt>
                <c:pt idx="3">
                  <c:v>3.196630215920881</c:v>
                </c:pt>
              </c:numCache>
            </c:numRef>
          </c:xVal>
          <c:yVal>
            <c:numRef>
              <c:f>'RMA-2M-400'!$AN$16:$AN$19</c:f>
              <c:numCache>
                <c:formatCode>General</c:formatCode>
                <c:ptCount val="4"/>
                <c:pt idx="0">
                  <c:v>2.9053698334735998</c:v>
                </c:pt>
                <c:pt idx="1">
                  <c:v>2.0844290831908747</c:v>
                </c:pt>
                <c:pt idx="2">
                  <c:v>2.3250508377097088</c:v>
                </c:pt>
                <c:pt idx="3">
                  <c:v>3.3384705517538507</c:v>
                </c:pt>
              </c:numCache>
            </c:numRef>
          </c:yVal>
          <c:smooth val="0"/>
          <c:extLst>
            <c:ext xmlns:c16="http://schemas.microsoft.com/office/drawing/2014/chart" uri="{C3380CC4-5D6E-409C-BE32-E72D297353CC}">
              <c16:uniqueId val="{00000001-ACED-40A7-A083-7D573A42B355}"/>
            </c:ext>
          </c:extLst>
        </c:ser>
        <c:dLbls>
          <c:showLegendKey val="0"/>
          <c:showVal val="0"/>
          <c:showCatName val="0"/>
          <c:showSerName val="0"/>
          <c:showPercent val="0"/>
          <c:showBubbleSize val="0"/>
        </c:dLbls>
        <c:axId val="1544514384"/>
        <c:axId val="1544511504"/>
      </c:scatterChart>
      <c:valAx>
        <c:axId val="154451438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fr-FR">
                    <a:latin typeface="Arial" panose="020B0604020202020204" pitchFamily="34" charset="0"/>
                    <a:cs typeface="Arial" panose="020B0604020202020204" pitchFamily="34" charset="0"/>
                  </a:rPr>
                  <a:t>ln(Ce)</a:t>
                </a:r>
              </a:p>
            </c:rich>
          </c:tx>
          <c:layout>
            <c:manualLayout>
              <c:xMode val="edge"/>
              <c:yMode val="edge"/>
              <c:x val="0.40867326604694248"/>
              <c:y val="0.9106784597130838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1544511504"/>
        <c:crosses val="autoZero"/>
        <c:crossBetween val="midCat"/>
      </c:valAx>
      <c:valAx>
        <c:axId val="1544511504"/>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fr-FR">
                    <a:latin typeface="Arial" panose="020B0604020202020204" pitchFamily="34" charset="0"/>
                    <a:cs typeface="Arial" panose="020B0604020202020204" pitchFamily="34" charset="0"/>
                  </a:rPr>
                  <a:t>ln(Qe)</a:t>
                </a:r>
              </a:p>
            </c:rich>
          </c:tx>
          <c:layout>
            <c:manualLayout>
              <c:xMode val="edge"/>
              <c:yMode val="edge"/>
              <c:x val="0"/>
              <c:y val="0.35007465033081414"/>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19050">
            <a:solidFill>
              <a:schemeClr val="tx1"/>
            </a:solidFill>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1544514384"/>
        <c:crosses val="autoZero"/>
        <c:crossBetween val="midCat"/>
      </c:valAx>
      <c:spPr>
        <a:noFill/>
        <a:ln w="19050">
          <a:solidFill>
            <a:sysClr val="windowText" lastClr="000000"/>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fr-FR" sz="1000">
                <a:latin typeface="Arial" panose="020B0604020202020204" pitchFamily="34" charset="0"/>
                <a:cs typeface="Arial" panose="020B0604020202020204" pitchFamily="34" charset="0"/>
              </a:rPr>
              <a:t>RMA-2M-600</a:t>
            </a:r>
          </a:p>
        </c:rich>
      </c:tx>
      <c:layout>
        <c:manualLayout>
          <c:xMode val="edge"/>
          <c:yMode val="edge"/>
          <c:x val="0.61984498659955944"/>
          <c:y val="0.45239112175603019"/>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5732747351753856"/>
          <c:y val="7.5000192424627285E-2"/>
          <c:w val="0.79744862047190468"/>
          <c:h val="0.71393770060267392"/>
        </c:manualLayout>
      </c:layout>
      <c:scatterChart>
        <c:scatterStyle val="lineMarker"/>
        <c:varyColors val="0"/>
        <c:ser>
          <c:idx val="0"/>
          <c:order val="0"/>
          <c:spPr>
            <a:ln w="25400" cap="rnd">
              <a:no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1"/>
            <c:dispEq val="1"/>
            <c:trendlineLbl>
              <c:layout>
                <c:manualLayout>
                  <c:x val="0.14390879924276451"/>
                  <c:y val="0.14301158111789361"/>
                </c:manualLayout>
              </c:layout>
              <c:tx>
                <c:rich>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000" baseline="0">
                        <a:latin typeface="Arial" panose="020B0604020202020204" pitchFamily="34" charset="0"/>
                        <a:cs typeface="Arial" panose="020B0604020202020204" pitchFamily="34" charset="0"/>
                      </a:rPr>
                      <a:t>y = 0,7924x + 2,7351</a:t>
                    </a:r>
                    <a:br>
                      <a:rPr lang="en-US" sz="1000" baseline="0">
                        <a:latin typeface="Arial" panose="020B0604020202020204" pitchFamily="34" charset="0"/>
                        <a:cs typeface="Arial" panose="020B0604020202020204" pitchFamily="34" charset="0"/>
                      </a:rPr>
                    </a:br>
                    <a:r>
                      <a:rPr lang="en-US" sz="1000" baseline="0">
                        <a:latin typeface="Arial" panose="020B0604020202020204" pitchFamily="34" charset="0"/>
                        <a:cs typeface="Arial" panose="020B0604020202020204" pitchFamily="34" charset="0"/>
                      </a:rPr>
                      <a:t>R² = 0,8628</a:t>
                    </a:r>
                    <a:endParaRPr lang="en-US" sz="1000">
                      <a:latin typeface="Arial" panose="020B0604020202020204" pitchFamily="34" charset="0"/>
                      <a:cs typeface="Arial" panose="020B0604020202020204" pitchFamily="34" charset="0"/>
                    </a:endParaRPr>
                  </a:p>
                </c:rich>
              </c:tx>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rendlineLbl>
          </c:trendline>
          <c:xVal>
            <c:numRef>
              <c:f>'RMA600-2M'!$R$22:$R$25</c:f>
              <c:numCache>
                <c:formatCode>General</c:formatCode>
                <c:ptCount val="4"/>
                <c:pt idx="0">
                  <c:v>0.90462292700647307</c:v>
                </c:pt>
                <c:pt idx="1">
                  <c:v>0.20945022418220732</c:v>
                </c:pt>
                <c:pt idx="2">
                  <c:v>0.96393738534150808</c:v>
                </c:pt>
                <c:pt idx="3">
                  <c:v>2.4379897300002487</c:v>
                </c:pt>
              </c:numCache>
            </c:numRef>
          </c:xVal>
          <c:yVal>
            <c:numRef>
              <c:f>'RMA600-2M'!$T$22:$T$25</c:f>
              <c:numCache>
                <c:formatCode>General</c:formatCode>
                <c:ptCount val="4"/>
                <c:pt idx="0">
                  <c:v>3.1892575008552706</c:v>
                </c:pt>
                <c:pt idx="1">
                  <c:v>2.8008845913946283</c:v>
                </c:pt>
                <c:pt idx="2">
                  <c:v>3.923572057645011</c:v>
                </c:pt>
                <c:pt idx="3">
                  <c:v>4.605030176187177</c:v>
                </c:pt>
              </c:numCache>
            </c:numRef>
          </c:yVal>
          <c:smooth val="0"/>
          <c:extLst>
            <c:ext xmlns:c16="http://schemas.microsoft.com/office/drawing/2014/chart" uri="{C3380CC4-5D6E-409C-BE32-E72D297353CC}">
              <c16:uniqueId val="{00000002-BA2A-4743-838D-CB14FCC297D7}"/>
            </c:ext>
          </c:extLst>
        </c:ser>
        <c:dLbls>
          <c:showLegendKey val="0"/>
          <c:showVal val="0"/>
          <c:showCatName val="0"/>
          <c:showSerName val="0"/>
          <c:showPercent val="0"/>
          <c:showBubbleSize val="0"/>
        </c:dLbls>
        <c:axId val="704182623"/>
        <c:axId val="704182143"/>
      </c:scatterChart>
      <c:valAx>
        <c:axId val="704182623"/>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900" b="1" i="0" u="none" strike="noStrike" kern="1200" baseline="0">
                    <a:solidFill>
                      <a:srgbClr val="44546A"/>
                    </a:solidFill>
                    <a:latin typeface="Arial" panose="020B0604020202020204" pitchFamily="34" charset="0"/>
                    <a:cs typeface="Arial" panose="020B0604020202020204" pitchFamily="34" charset="0"/>
                  </a:rPr>
                  <a:t>lnCe</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in"/>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04182143"/>
        <c:crosses val="autoZero"/>
        <c:crossBetween val="midCat"/>
      </c:valAx>
      <c:valAx>
        <c:axId val="704182143"/>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900" b="1" i="0" u="none" strike="noStrike" kern="1200" baseline="0">
                    <a:solidFill>
                      <a:srgbClr val="44546A"/>
                    </a:solidFill>
                    <a:latin typeface="Arial" panose="020B0604020202020204" pitchFamily="34" charset="0"/>
                    <a:cs typeface="Arial" panose="020B0604020202020204" pitchFamily="34" charset="0"/>
                  </a:rPr>
                  <a:t>lnQe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in"/>
        <c:minorTickMark val="none"/>
        <c:tickLblPos val="nextTo"/>
        <c:spPr>
          <a:noFill/>
          <a:ln w="19050">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04182623"/>
        <c:crosses val="autoZero"/>
        <c:crossBetween val="midCat"/>
      </c:valAx>
      <c:spPr>
        <a:noFill/>
        <a:ln w="19050">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76874453193351"/>
          <c:y val="0.10458296879556722"/>
          <c:w val="0.79720844269466329"/>
          <c:h val="0.71077974628171492"/>
        </c:manualLayout>
      </c:layout>
      <c:bar3DChart>
        <c:barDir val="col"/>
        <c:grouping val="standard"/>
        <c:varyColors val="0"/>
        <c:ser>
          <c:idx val="0"/>
          <c:order val="0"/>
          <c:tx>
            <c:v>R%</c:v>
          </c:tx>
          <c:spPr>
            <a:solidFill>
              <a:schemeClr val="accent1"/>
            </a:solidFill>
            <a:ln>
              <a:noFill/>
            </a:ln>
            <a:effectLst/>
            <a:sp3d/>
          </c:spPr>
          <c:invertIfNegative val="0"/>
          <c:dPt>
            <c:idx val="1"/>
            <c:invertIfNegative val="0"/>
            <c:bubble3D val="0"/>
            <c:spPr>
              <a:solidFill>
                <a:schemeClr val="accent6"/>
              </a:solidFill>
              <a:ln>
                <a:noFill/>
              </a:ln>
              <a:effectLst/>
              <a:sp3d/>
            </c:spPr>
            <c:extLst>
              <c:ext xmlns:c16="http://schemas.microsoft.com/office/drawing/2014/chart" uri="{C3380CC4-5D6E-409C-BE32-E72D297353CC}">
                <c16:uniqueId val="{00000001-8D6F-4CDF-8305-8A42D93B39A1}"/>
              </c:ext>
            </c:extLst>
          </c:dPt>
          <c:dPt>
            <c:idx val="2"/>
            <c:invertIfNegative val="0"/>
            <c:bubble3D val="0"/>
            <c:spPr>
              <a:solidFill>
                <a:schemeClr val="accent2"/>
              </a:solidFill>
              <a:ln>
                <a:noFill/>
              </a:ln>
              <a:effectLst/>
              <a:sp3d/>
            </c:spPr>
            <c:extLst>
              <c:ext xmlns:c16="http://schemas.microsoft.com/office/drawing/2014/chart" uri="{C3380CC4-5D6E-409C-BE32-E72D297353CC}">
                <c16:uniqueId val="{00000003-8D6F-4CDF-8305-8A42D93B39A1}"/>
              </c:ext>
            </c:extLst>
          </c:dPt>
          <c:cat>
            <c:strRef>
              <c:f>('Rendement ensemble'!$B$11,'Rendement ensemble'!$B$14,'Rendement ensemble'!$B$17)</c:f>
              <c:strCache>
                <c:ptCount val="3"/>
                <c:pt idx="0">
                  <c:v>[RMA-2M-400]</c:v>
                </c:pt>
                <c:pt idx="1">
                  <c:v>[RMA-2M-500]</c:v>
                </c:pt>
                <c:pt idx="2">
                  <c:v>[RMA-2M-600]</c:v>
                </c:pt>
              </c:strCache>
            </c:strRef>
          </c:cat>
          <c:val>
            <c:numRef>
              <c:f>('Rendement ensemble'!$C$11,'Rendement ensemble'!$C$14,'Rendement ensemble'!$C$17)</c:f>
              <c:numCache>
                <c:formatCode>General</c:formatCode>
                <c:ptCount val="3"/>
                <c:pt idx="0">
                  <c:v>41.86</c:v>
                </c:pt>
                <c:pt idx="1">
                  <c:v>98.62</c:v>
                </c:pt>
                <c:pt idx="2">
                  <c:v>97.1</c:v>
                </c:pt>
              </c:numCache>
            </c:numRef>
          </c:val>
          <c:extLst>
            <c:ext xmlns:c16="http://schemas.microsoft.com/office/drawing/2014/chart" uri="{C3380CC4-5D6E-409C-BE32-E72D297353CC}">
              <c16:uniqueId val="{00000004-8D6F-4CDF-8305-8A42D93B39A1}"/>
            </c:ext>
          </c:extLst>
        </c:ser>
        <c:dLbls>
          <c:showLegendKey val="0"/>
          <c:showVal val="0"/>
          <c:showCatName val="0"/>
          <c:showSerName val="0"/>
          <c:showPercent val="0"/>
          <c:showBubbleSize val="0"/>
        </c:dLbls>
        <c:gapWidth val="150"/>
        <c:shape val="box"/>
        <c:axId val="640131264"/>
        <c:axId val="640147104"/>
        <c:axId val="549189840"/>
      </c:bar3DChart>
      <c:catAx>
        <c:axId val="640131264"/>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147104"/>
        <c:crosses val="autoZero"/>
        <c:auto val="1"/>
        <c:lblAlgn val="ctr"/>
        <c:lblOffset val="100"/>
        <c:noMultiLvlLbl val="0"/>
      </c:catAx>
      <c:valAx>
        <c:axId val="640147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0131264"/>
        <c:crosses val="autoZero"/>
        <c:crossBetween val="between"/>
      </c:valAx>
      <c:serAx>
        <c:axId val="549189840"/>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0147104"/>
        <c:crosses val="autoZero"/>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587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69637416574557"/>
          <c:y val="6.589423648247178E-2"/>
          <c:w val="0.80804967827522212"/>
          <c:h val="0.7507530141619998"/>
        </c:manualLayout>
      </c:layout>
      <c:scatterChart>
        <c:scatterStyle val="smoothMarker"/>
        <c:varyColors val="0"/>
        <c:ser>
          <c:idx val="3"/>
          <c:order val="0"/>
          <c:tx>
            <c:v>BM</c:v>
          </c:tx>
          <c:spPr>
            <a:ln w="19050" cap="rnd">
              <a:solidFill>
                <a:srgbClr val="FF0000"/>
              </a:solidFill>
              <a:round/>
            </a:ln>
            <a:effectLst/>
          </c:spPr>
          <c:marker>
            <c:symbol val="none"/>
          </c:marker>
          <c:xVal>
            <c:numRef>
              <c:f>'[Graphique dans Microsoft Word]RMA-2M-500'!$O$43:$O$304</c:f>
              <c:numCache>
                <c:formatCode>General</c:formatCode>
                <c:ptCount val="262"/>
                <c:pt idx="0">
                  <c:v>278</c:v>
                </c:pt>
                <c:pt idx="1">
                  <c:v>280</c:v>
                </c:pt>
                <c:pt idx="2">
                  <c:v>282</c:v>
                </c:pt>
                <c:pt idx="3">
                  <c:v>284</c:v>
                </c:pt>
                <c:pt idx="4">
                  <c:v>286</c:v>
                </c:pt>
                <c:pt idx="5">
                  <c:v>288</c:v>
                </c:pt>
                <c:pt idx="6">
                  <c:v>290</c:v>
                </c:pt>
                <c:pt idx="7">
                  <c:v>292</c:v>
                </c:pt>
                <c:pt idx="8">
                  <c:v>294</c:v>
                </c:pt>
                <c:pt idx="9">
                  <c:v>296</c:v>
                </c:pt>
                <c:pt idx="10">
                  <c:v>298</c:v>
                </c:pt>
                <c:pt idx="11">
                  <c:v>300</c:v>
                </c:pt>
                <c:pt idx="12">
                  <c:v>302</c:v>
                </c:pt>
                <c:pt idx="13">
                  <c:v>304</c:v>
                </c:pt>
                <c:pt idx="14">
                  <c:v>306</c:v>
                </c:pt>
                <c:pt idx="15">
                  <c:v>308</c:v>
                </c:pt>
                <c:pt idx="16">
                  <c:v>310</c:v>
                </c:pt>
                <c:pt idx="17">
                  <c:v>312</c:v>
                </c:pt>
                <c:pt idx="18">
                  <c:v>314</c:v>
                </c:pt>
                <c:pt idx="19">
                  <c:v>316</c:v>
                </c:pt>
                <c:pt idx="20">
                  <c:v>318</c:v>
                </c:pt>
                <c:pt idx="21">
                  <c:v>320</c:v>
                </c:pt>
                <c:pt idx="22">
                  <c:v>322</c:v>
                </c:pt>
                <c:pt idx="23">
                  <c:v>324</c:v>
                </c:pt>
                <c:pt idx="24">
                  <c:v>326</c:v>
                </c:pt>
                <c:pt idx="25">
                  <c:v>328</c:v>
                </c:pt>
                <c:pt idx="26">
                  <c:v>330</c:v>
                </c:pt>
                <c:pt idx="27">
                  <c:v>332</c:v>
                </c:pt>
                <c:pt idx="28">
                  <c:v>334</c:v>
                </c:pt>
                <c:pt idx="29">
                  <c:v>336</c:v>
                </c:pt>
                <c:pt idx="30">
                  <c:v>338</c:v>
                </c:pt>
                <c:pt idx="31">
                  <c:v>340</c:v>
                </c:pt>
                <c:pt idx="32">
                  <c:v>342</c:v>
                </c:pt>
                <c:pt idx="33">
                  <c:v>344</c:v>
                </c:pt>
                <c:pt idx="34">
                  <c:v>346</c:v>
                </c:pt>
                <c:pt idx="35">
                  <c:v>348</c:v>
                </c:pt>
                <c:pt idx="36">
                  <c:v>350</c:v>
                </c:pt>
                <c:pt idx="37">
                  <c:v>352</c:v>
                </c:pt>
                <c:pt idx="38">
                  <c:v>354</c:v>
                </c:pt>
                <c:pt idx="39">
                  <c:v>356</c:v>
                </c:pt>
                <c:pt idx="40">
                  <c:v>358</c:v>
                </c:pt>
                <c:pt idx="41">
                  <c:v>360</c:v>
                </c:pt>
                <c:pt idx="42">
                  <c:v>362</c:v>
                </c:pt>
                <c:pt idx="43">
                  <c:v>364</c:v>
                </c:pt>
                <c:pt idx="44">
                  <c:v>366</c:v>
                </c:pt>
                <c:pt idx="45">
                  <c:v>368</c:v>
                </c:pt>
                <c:pt idx="46">
                  <c:v>370</c:v>
                </c:pt>
                <c:pt idx="47">
                  <c:v>372</c:v>
                </c:pt>
                <c:pt idx="48">
                  <c:v>374</c:v>
                </c:pt>
                <c:pt idx="49">
                  <c:v>376</c:v>
                </c:pt>
                <c:pt idx="50">
                  <c:v>378</c:v>
                </c:pt>
                <c:pt idx="51">
                  <c:v>380</c:v>
                </c:pt>
                <c:pt idx="52">
                  <c:v>382</c:v>
                </c:pt>
                <c:pt idx="53">
                  <c:v>384</c:v>
                </c:pt>
                <c:pt idx="54">
                  <c:v>386</c:v>
                </c:pt>
                <c:pt idx="55">
                  <c:v>388</c:v>
                </c:pt>
                <c:pt idx="56">
                  <c:v>390</c:v>
                </c:pt>
                <c:pt idx="57">
                  <c:v>392</c:v>
                </c:pt>
                <c:pt idx="58">
                  <c:v>394</c:v>
                </c:pt>
                <c:pt idx="59">
                  <c:v>396</c:v>
                </c:pt>
                <c:pt idx="60">
                  <c:v>398</c:v>
                </c:pt>
                <c:pt idx="61">
                  <c:v>400</c:v>
                </c:pt>
                <c:pt idx="62">
                  <c:v>402</c:v>
                </c:pt>
                <c:pt idx="63">
                  <c:v>404</c:v>
                </c:pt>
                <c:pt idx="64">
                  <c:v>406</c:v>
                </c:pt>
                <c:pt idx="65">
                  <c:v>408</c:v>
                </c:pt>
                <c:pt idx="66">
                  <c:v>410</c:v>
                </c:pt>
                <c:pt idx="67">
                  <c:v>412</c:v>
                </c:pt>
                <c:pt idx="68">
                  <c:v>414</c:v>
                </c:pt>
                <c:pt idx="69">
                  <c:v>416</c:v>
                </c:pt>
                <c:pt idx="70">
                  <c:v>418</c:v>
                </c:pt>
                <c:pt idx="71">
                  <c:v>420</c:v>
                </c:pt>
                <c:pt idx="72">
                  <c:v>422</c:v>
                </c:pt>
                <c:pt idx="73">
                  <c:v>424</c:v>
                </c:pt>
                <c:pt idx="74">
                  <c:v>426</c:v>
                </c:pt>
                <c:pt idx="75">
                  <c:v>428</c:v>
                </c:pt>
                <c:pt idx="76">
                  <c:v>430</c:v>
                </c:pt>
                <c:pt idx="77">
                  <c:v>432</c:v>
                </c:pt>
                <c:pt idx="78">
                  <c:v>434</c:v>
                </c:pt>
                <c:pt idx="79">
                  <c:v>436</c:v>
                </c:pt>
                <c:pt idx="80">
                  <c:v>438</c:v>
                </c:pt>
                <c:pt idx="81">
                  <c:v>440</c:v>
                </c:pt>
                <c:pt idx="82">
                  <c:v>442</c:v>
                </c:pt>
                <c:pt idx="83">
                  <c:v>444</c:v>
                </c:pt>
                <c:pt idx="84">
                  <c:v>446</c:v>
                </c:pt>
                <c:pt idx="85">
                  <c:v>448</c:v>
                </c:pt>
                <c:pt idx="86">
                  <c:v>450</c:v>
                </c:pt>
                <c:pt idx="87">
                  <c:v>452</c:v>
                </c:pt>
                <c:pt idx="88">
                  <c:v>454</c:v>
                </c:pt>
                <c:pt idx="89">
                  <c:v>456</c:v>
                </c:pt>
                <c:pt idx="90">
                  <c:v>458</c:v>
                </c:pt>
                <c:pt idx="91">
                  <c:v>460</c:v>
                </c:pt>
                <c:pt idx="92">
                  <c:v>462</c:v>
                </c:pt>
                <c:pt idx="93">
                  <c:v>464</c:v>
                </c:pt>
                <c:pt idx="94">
                  <c:v>466</c:v>
                </c:pt>
                <c:pt idx="95">
                  <c:v>468</c:v>
                </c:pt>
                <c:pt idx="96">
                  <c:v>470</c:v>
                </c:pt>
                <c:pt idx="97">
                  <c:v>472</c:v>
                </c:pt>
                <c:pt idx="98">
                  <c:v>474</c:v>
                </c:pt>
                <c:pt idx="99">
                  <c:v>476</c:v>
                </c:pt>
                <c:pt idx="100">
                  <c:v>478</c:v>
                </c:pt>
                <c:pt idx="101">
                  <c:v>480</c:v>
                </c:pt>
                <c:pt idx="102">
                  <c:v>482</c:v>
                </c:pt>
                <c:pt idx="103">
                  <c:v>484</c:v>
                </c:pt>
                <c:pt idx="104">
                  <c:v>486</c:v>
                </c:pt>
                <c:pt idx="105">
                  <c:v>488</c:v>
                </c:pt>
                <c:pt idx="106">
                  <c:v>490</c:v>
                </c:pt>
                <c:pt idx="107">
                  <c:v>492</c:v>
                </c:pt>
                <c:pt idx="108">
                  <c:v>494</c:v>
                </c:pt>
                <c:pt idx="109">
                  <c:v>496</c:v>
                </c:pt>
                <c:pt idx="110">
                  <c:v>498</c:v>
                </c:pt>
                <c:pt idx="111">
                  <c:v>500</c:v>
                </c:pt>
                <c:pt idx="112">
                  <c:v>502</c:v>
                </c:pt>
                <c:pt idx="113">
                  <c:v>504</c:v>
                </c:pt>
                <c:pt idx="114">
                  <c:v>506</c:v>
                </c:pt>
                <c:pt idx="115">
                  <c:v>508</c:v>
                </c:pt>
                <c:pt idx="116">
                  <c:v>510</c:v>
                </c:pt>
                <c:pt idx="117">
                  <c:v>512</c:v>
                </c:pt>
                <c:pt idx="118">
                  <c:v>514</c:v>
                </c:pt>
                <c:pt idx="119">
                  <c:v>516</c:v>
                </c:pt>
                <c:pt idx="120">
                  <c:v>518</c:v>
                </c:pt>
                <c:pt idx="121">
                  <c:v>520</c:v>
                </c:pt>
                <c:pt idx="122">
                  <c:v>522</c:v>
                </c:pt>
                <c:pt idx="123">
                  <c:v>524</c:v>
                </c:pt>
                <c:pt idx="124">
                  <c:v>526</c:v>
                </c:pt>
                <c:pt idx="125">
                  <c:v>528</c:v>
                </c:pt>
                <c:pt idx="126">
                  <c:v>530</c:v>
                </c:pt>
                <c:pt idx="127">
                  <c:v>532</c:v>
                </c:pt>
                <c:pt idx="128">
                  <c:v>534</c:v>
                </c:pt>
                <c:pt idx="129">
                  <c:v>536</c:v>
                </c:pt>
                <c:pt idx="130">
                  <c:v>538</c:v>
                </c:pt>
                <c:pt idx="131">
                  <c:v>540</c:v>
                </c:pt>
                <c:pt idx="132">
                  <c:v>542</c:v>
                </c:pt>
                <c:pt idx="133">
                  <c:v>544</c:v>
                </c:pt>
                <c:pt idx="134">
                  <c:v>546</c:v>
                </c:pt>
                <c:pt idx="135">
                  <c:v>548</c:v>
                </c:pt>
                <c:pt idx="136">
                  <c:v>550</c:v>
                </c:pt>
                <c:pt idx="137">
                  <c:v>552</c:v>
                </c:pt>
                <c:pt idx="138">
                  <c:v>554</c:v>
                </c:pt>
                <c:pt idx="139">
                  <c:v>556</c:v>
                </c:pt>
                <c:pt idx="140">
                  <c:v>558</c:v>
                </c:pt>
                <c:pt idx="141">
                  <c:v>560</c:v>
                </c:pt>
                <c:pt idx="142">
                  <c:v>562</c:v>
                </c:pt>
                <c:pt idx="143">
                  <c:v>564</c:v>
                </c:pt>
                <c:pt idx="144">
                  <c:v>566</c:v>
                </c:pt>
                <c:pt idx="145">
                  <c:v>568</c:v>
                </c:pt>
                <c:pt idx="146">
                  <c:v>570</c:v>
                </c:pt>
                <c:pt idx="147">
                  <c:v>572</c:v>
                </c:pt>
                <c:pt idx="148">
                  <c:v>574</c:v>
                </c:pt>
                <c:pt idx="149">
                  <c:v>576</c:v>
                </c:pt>
                <c:pt idx="150">
                  <c:v>578</c:v>
                </c:pt>
                <c:pt idx="151">
                  <c:v>580</c:v>
                </c:pt>
                <c:pt idx="152">
                  <c:v>582</c:v>
                </c:pt>
                <c:pt idx="153">
                  <c:v>584</c:v>
                </c:pt>
                <c:pt idx="154">
                  <c:v>586</c:v>
                </c:pt>
                <c:pt idx="155">
                  <c:v>588</c:v>
                </c:pt>
                <c:pt idx="156">
                  <c:v>590</c:v>
                </c:pt>
                <c:pt idx="157">
                  <c:v>592</c:v>
                </c:pt>
                <c:pt idx="158">
                  <c:v>594</c:v>
                </c:pt>
                <c:pt idx="159">
                  <c:v>596</c:v>
                </c:pt>
                <c:pt idx="160">
                  <c:v>598</c:v>
                </c:pt>
                <c:pt idx="161">
                  <c:v>600</c:v>
                </c:pt>
                <c:pt idx="162">
                  <c:v>602</c:v>
                </c:pt>
                <c:pt idx="163">
                  <c:v>604</c:v>
                </c:pt>
                <c:pt idx="164">
                  <c:v>606</c:v>
                </c:pt>
                <c:pt idx="165">
                  <c:v>608</c:v>
                </c:pt>
                <c:pt idx="166">
                  <c:v>610</c:v>
                </c:pt>
                <c:pt idx="167">
                  <c:v>612</c:v>
                </c:pt>
                <c:pt idx="168">
                  <c:v>614</c:v>
                </c:pt>
                <c:pt idx="169">
                  <c:v>616</c:v>
                </c:pt>
                <c:pt idx="170">
                  <c:v>618</c:v>
                </c:pt>
                <c:pt idx="171">
                  <c:v>620</c:v>
                </c:pt>
                <c:pt idx="172">
                  <c:v>622</c:v>
                </c:pt>
                <c:pt idx="173">
                  <c:v>624</c:v>
                </c:pt>
                <c:pt idx="174">
                  <c:v>626</c:v>
                </c:pt>
                <c:pt idx="175">
                  <c:v>628</c:v>
                </c:pt>
                <c:pt idx="176">
                  <c:v>630</c:v>
                </c:pt>
                <c:pt idx="177">
                  <c:v>632</c:v>
                </c:pt>
                <c:pt idx="178">
                  <c:v>634</c:v>
                </c:pt>
                <c:pt idx="179">
                  <c:v>636</c:v>
                </c:pt>
                <c:pt idx="180">
                  <c:v>638</c:v>
                </c:pt>
                <c:pt idx="181">
                  <c:v>640</c:v>
                </c:pt>
                <c:pt idx="182">
                  <c:v>642</c:v>
                </c:pt>
                <c:pt idx="183">
                  <c:v>644</c:v>
                </c:pt>
                <c:pt idx="184">
                  <c:v>646</c:v>
                </c:pt>
                <c:pt idx="185">
                  <c:v>648</c:v>
                </c:pt>
                <c:pt idx="186">
                  <c:v>650</c:v>
                </c:pt>
                <c:pt idx="187">
                  <c:v>652</c:v>
                </c:pt>
                <c:pt idx="188">
                  <c:v>654</c:v>
                </c:pt>
                <c:pt idx="189">
                  <c:v>656</c:v>
                </c:pt>
                <c:pt idx="190">
                  <c:v>658</c:v>
                </c:pt>
                <c:pt idx="191">
                  <c:v>660</c:v>
                </c:pt>
                <c:pt idx="192">
                  <c:v>662</c:v>
                </c:pt>
                <c:pt idx="193">
                  <c:v>664</c:v>
                </c:pt>
                <c:pt idx="194">
                  <c:v>666</c:v>
                </c:pt>
                <c:pt idx="195">
                  <c:v>668</c:v>
                </c:pt>
                <c:pt idx="196">
                  <c:v>670</c:v>
                </c:pt>
                <c:pt idx="197">
                  <c:v>672</c:v>
                </c:pt>
                <c:pt idx="198">
                  <c:v>674</c:v>
                </c:pt>
                <c:pt idx="199">
                  <c:v>676</c:v>
                </c:pt>
                <c:pt idx="200">
                  <c:v>678</c:v>
                </c:pt>
                <c:pt idx="201">
                  <c:v>680</c:v>
                </c:pt>
                <c:pt idx="202">
                  <c:v>682</c:v>
                </c:pt>
                <c:pt idx="203">
                  <c:v>684</c:v>
                </c:pt>
                <c:pt idx="204">
                  <c:v>686</c:v>
                </c:pt>
                <c:pt idx="205">
                  <c:v>688</c:v>
                </c:pt>
                <c:pt idx="206">
                  <c:v>690</c:v>
                </c:pt>
                <c:pt idx="207">
                  <c:v>692</c:v>
                </c:pt>
                <c:pt idx="208">
                  <c:v>694</c:v>
                </c:pt>
                <c:pt idx="209">
                  <c:v>696</c:v>
                </c:pt>
                <c:pt idx="210">
                  <c:v>698</c:v>
                </c:pt>
                <c:pt idx="211">
                  <c:v>700</c:v>
                </c:pt>
                <c:pt idx="212">
                  <c:v>702</c:v>
                </c:pt>
                <c:pt idx="213">
                  <c:v>704</c:v>
                </c:pt>
                <c:pt idx="214">
                  <c:v>706</c:v>
                </c:pt>
                <c:pt idx="215">
                  <c:v>708</c:v>
                </c:pt>
                <c:pt idx="216">
                  <c:v>710</c:v>
                </c:pt>
                <c:pt idx="217">
                  <c:v>712</c:v>
                </c:pt>
                <c:pt idx="218">
                  <c:v>714</c:v>
                </c:pt>
                <c:pt idx="219">
                  <c:v>716</c:v>
                </c:pt>
                <c:pt idx="220">
                  <c:v>718</c:v>
                </c:pt>
                <c:pt idx="221">
                  <c:v>720</c:v>
                </c:pt>
                <c:pt idx="222">
                  <c:v>722</c:v>
                </c:pt>
                <c:pt idx="223">
                  <c:v>724</c:v>
                </c:pt>
                <c:pt idx="224">
                  <c:v>726</c:v>
                </c:pt>
                <c:pt idx="225">
                  <c:v>728</c:v>
                </c:pt>
                <c:pt idx="226">
                  <c:v>730</c:v>
                </c:pt>
                <c:pt idx="227">
                  <c:v>732</c:v>
                </c:pt>
                <c:pt idx="228">
                  <c:v>734</c:v>
                </c:pt>
                <c:pt idx="229">
                  <c:v>736</c:v>
                </c:pt>
                <c:pt idx="230">
                  <c:v>738</c:v>
                </c:pt>
                <c:pt idx="231">
                  <c:v>740</c:v>
                </c:pt>
                <c:pt idx="232">
                  <c:v>742</c:v>
                </c:pt>
                <c:pt idx="233">
                  <c:v>744</c:v>
                </c:pt>
                <c:pt idx="234">
                  <c:v>746</c:v>
                </c:pt>
                <c:pt idx="235">
                  <c:v>748</c:v>
                </c:pt>
                <c:pt idx="236">
                  <c:v>750</c:v>
                </c:pt>
                <c:pt idx="237">
                  <c:v>752</c:v>
                </c:pt>
                <c:pt idx="238">
                  <c:v>754</c:v>
                </c:pt>
                <c:pt idx="239">
                  <c:v>756</c:v>
                </c:pt>
                <c:pt idx="240">
                  <c:v>758</c:v>
                </c:pt>
                <c:pt idx="241">
                  <c:v>760</c:v>
                </c:pt>
                <c:pt idx="242">
                  <c:v>762</c:v>
                </c:pt>
                <c:pt idx="243">
                  <c:v>764</c:v>
                </c:pt>
                <c:pt idx="244">
                  <c:v>766</c:v>
                </c:pt>
                <c:pt idx="245">
                  <c:v>768</c:v>
                </c:pt>
                <c:pt idx="246">
                  <c:v>770</c:v>
                </c:pt>
                <c:pt idx="247">
                  <c:v>772</c:v>
                </c:pt>
                <c:pt idx="248">
                  <c:v>774</c:v>
                </c:pt>
                <c:pt idx="249">
                  <c:v>776</c:v>
                </c:pt>
                <c:pt idx="250">
                  <c:v>778</c:v>
                </c:pt>
                <c:pt idx="251">
                  <c:v>780</c:v>
                </c:pt>
                <c:pt idx="252">
                  <c:v>782</c:v>
                </c:pt>
                <c:pt idx="253">
                  <c:v>784</c:v>
                </c:pt>
                <c:pt idx="254">
                  <c:v>786</c:v>
                </c:pt>
                <c:pt idx="255">
                  <c:v>788</c:v>
                </c:pt>
                <c:pt idx="256">
                  <c:v>790</c:v>
                </c:pt>
                <c:pt idx="257">
                  <c:v>792</c:v>
                </c:pt>
                <c:pt idx="258">
                  <c:v>794</c:v>
                </c:pt>
                <c:pt idx="259">
                  <c:v>796</c:v>
                </c:pt>
                <c:pt idx="260">
                  <c:v>798</c:v>
                </c:pt>
                <c:pt idx="261">
                  <c:v>800</c:v>
                </c:pt>
              </c:numCache>
            </c:numRef>
          </c:xVal>
          <c:yVal>
            <c:numRef>
              <c:f>'[Graphique dans Microsoft Word]RMA-2M-500'!$P$43:$P$304</c:f>
              <c:numCache>
                <c:formatCode>General</c:formatCode>
                <c:ptCount val="262"/>
                <c:pt idx="0">
                  <c:v>0.13700000000000001</c:v>
                </c:pt>
                <c:pt idx="1">
                  <c:v>0.30299999999999999</c:v>
                </c:pt>
                <c:pt idx="2">
                  <c:v>0.443</c:v>
                </c:pt>
                <c:pt idx="3">
                  <c:v>0.56699999999999995</c:v>
                </c:pt>
                <c:pt idx="4">
                  <c:v>0.67300000000000004</c:v>
                </c:pt>
                <c:pt idx="5">
                  <c:v>0.77100000000000002</c:v>
                </c:pt>
                <c:pt idx="6">
                  <c:v>0.83599999999999997</c:v>
                </c:pt>
                <c:pt idx="7">
                  <c:v>0.84799999999999998</c:v>
                </c:pt>
                <c:pt idx="8">
                  <c:v>0.81899999999999995</c:v>
                </c:pt>
                <c:pt idx="9">
                  <c:v>0.754</c:v>
                </c:pt>
                <c:pt idx="10">
                  <c:v>0.68799999999999994</c:v>
                </c:pt>
                <c:pt idx="11">
                  <c:v>0.61199999999999999</c:v>
                </c:pt>
                <c:pt idx="12">
                  <c:v>0.51200000000000001</c:v>
                </c:pt>
                <c:pt idx="13">
                  <c:v>0.43099999999999999</c:v>
                </c:pt>
                <c:pt idx="14">
                  <c:v>0.35399999999999998</c:v>
                </c:pt>
                <c:pt idx="15">
                  <c:v>0.317</c:v>
                </c:pt>
                <c:pt idx="16">
                  <c:v>0.28000000000000003</c:v>
                </c:pt>
                <c:pt idx="17">
                  <c:v>0.25</c:v>
                </c:pt>
                <c:pt idx="18">
                  <c:v>0.23699999999999999</c:v>
                </c:pt>
                <c:pt idx="19">
                  <c:v>0.22600000000000001</c:v>
                </c:pt>
                <c:pt idx="20">
                  <c:v>0.221</c:v>
                </c:pt>
                <c:pt idx="21">
                  <c:v>0.219</c:v>
                </c:pt>
                <c:pt idx="22">
                  <c:v>0.20899999999999999</c:v>
                </c:pt>
                <c:pt idx="23">
                  <c:v>0.20499999999999999</c:v>
                </c:pt>
                <c:pt idx="24">
                  <c:v>0.19800000000000001</c:v>
                </c:pt>
                <c:pt idx="25">
                  <c:v>0.186</c:v>
                </c:pt>
                <c:pt idx="26">
                  <c:v>0.17100000000000001</c:v>
                </c:pt>
                <c:pt idx="27">
                  <c:v>0.156</c:v>
                </c:pt>
                <c:pt idx="28">
                  <c:v>0.13500000000000001</c:v>
                </c:pt>
                <c:pt idx="29">
                  <c:v>0.121</c:v>
                </c:pt>
                <c:pt idx="30">
                  <c:v>0.1</c:v>
                </c:pt>
                <c:pt idx="31">
                  <c:v>9.1999999999999998E-2</c:v>
                </c:pt>
                <c:pt idx="32">
                  <c:v>7.5999999999999998E-2</c:v>
                </c:pt>
                <c:pt idx="33">
                  <c:v>7.0999999999999994E-2</c:v>
                </c:pt>
                <c:pt idx="34">
                  <c:v>6.5000000000000002E-2</c:v>
                </c:pt>
                <c:pt idx="35">
                  <c:v>5.8999999999999997E-2</c:v>
                </c:pt>
                <c:pt idx="36">
                  <c:v>4.9000000000000002E-2</c:v>
                </c:pt>
                <c:pt idx="37">
                  <c:v>4.9000000000000002E-2</c:v>
                </c:pt>
                <c:pt idx="38">
                  <c:v>4.3999999999999997E-2</c:v>
                </c:pt>
                <c:pt idx="39">
                  <c:v>4.3999999999999997E-2</c:v>
                </c:pt>
                <c:pt idx="40">
                  <c:v>0.04</c:v>
                </c:pt>
                <c:pt idx="41">
                  <c:v>3.5999999999999997E-2</c:v>
                </c:pt>
                <c:pt idx="42">
                  <c:v>3.4000000000000002E-2</c:v>
                </c:pt>
                <c:pt idx="43">
                  <c:v>3.5999999999999997E-2</c:v>
                </c:pt>
                <c:pt idx="44">
                  <c:v>3.4000000000000002E-2</c:v>
                </c:pt>
                <c:pt idx="45">
                  <c:v>3.3000000000000002E-2</c:v>
                </c:pt>
                <c:pt idx="46">
                  <c:v>3.4000000000000002E-2</c:v>
                </c:pt>
                <c:pt idx="47">
                  <c:v>2.9000000000000001E-2</c:v>
                </c:pt>
                <c:pt idx="48">
                  <c:v>3.2000000000000001E-2</c:v>
                </c:pt>
                <c:pt idx="49">
                  <c:v>2.9000000000000001E-2</c:v>
                </c:pt>
                <c:pt idx="50">
                  <c:v>3.3000000000000002E-2</c:v>
                </c:pt>
                <c:pt idx="51">
                  <c:v>2.8000000000000001E-2</c:v>
                </c:pt>
                <c:pt idx="52">
                  <c:v>3.3000000000000002E-2</c:v>
                </c:pt>
                <c:pt idx="53">
                  <c:v>3.1E-2</c:v>
                </c:pt>
                <c:pt idx="54">
                  <c:v>2.9000000000000001E-2</c:v>
                </c:pt>
                <c:pt idx="55">
                  <c:v>3.2000000000000001E-2</c:v>
                </c:pt>
                <c:pt idx="56">
                  <c:v>3.4000000000000002E-2</c:v>
                </c:pt>
                <c:pt idx="57">
                  <c:v>3.5000000000000003E-2</c:v>
                </c:pt>
                <c:pt idx="58">
                  <c:v>3.3000000000000002E-2</c:v>
                </c:pt>
                <c:pt idx="59">
                  <c:v>3.1E-2</c:v>
                </c:pt>
                <c:pt idx="60">
                  <c:v>3.4000000000000002E-2</c:v>
                </c:pt>
                <c:pt idx="61">
                  <c:v>2.7E-2</c:v>
                </c:pt>
                <c:pt idx="62">
                  <c:v>2.8000000000000001E-2</c:v>
                </c:pt>
                <c:pt idx="63">
                  <c:v>2.7E-2</c:v>
                </c:pt>
                <c:pt idx="64">
                  <c:v>2.1999999999999999E-2</c:v>
                </c:pt>
                <c:pt idx="65">
                  <c:v>2.1000000000000001E-2</c:v>
                </c:pt>
                <c:pt idx="66">
                  <c:v>2.1999999999999999E-2</c:v>
                </c:pt>
                <c:pt idx="67">
                  <c:v>1.9E-2</c:v>
                </c:pt>
                <c:pt idx="68">
                  <c:v>2.1000000000000001E-2</c:v>
                </c:pt>
                <c:pt idx="69">
                  <c:v>1.7999999999999999E-2</c:v>
                </c:pt>
                <c:pt idx="70">
                  <c:v>1.9E-2</c:v>
                </c:pt>
                <c:pt idx="71">
                  <c:v>2.1999999999999999E-2</c:v>
                </c:pt>
                <c:pt idx="72">
                  <c:v>2.3E-2</c:v>
                </c:pt>
                <c:pt idx="73">
                  <c:v>2.1000000000000001E-2</c:v>
                </c:pt>
                <c:pt idx="74">
                  <c:v>0.02</c:v>
                </c:pt>
                <c:pt idx="75">
                  <c:v>1.6E-2</c:v>
                </c:pt>
                <c:pt idx="76">
                  <c:v>2.3E-2</c:v>
                </c:pt>
                <c:pt idx="77">
                  <c:v>1.9E-2</c:v>
                </c:pt>
                <c:pt idx="78">
                  <c:v>2.3E-2</c:v>
                </c:pt>
                <c:pt idx="79">
                  <c:v>2.5999999999999999E-2</c:v>
                </c:pt>
                <c:pt idx="80">
                  <c:v>2.4E-2</c:v>
                </c:pt>
                <c:pt idx="81">
                  <c:v>2.8000000000000001E-2</c:v>
                </c:pt>
                <c:pt idx="82">
                  <c:v>2.9000000000000001E-2</c:v>
                </c:pt>
                <c:pt idx="83">
                  <c:v>3.1E-2</c:v>
                </c:pt>
                <c:pt idx="84">
                  <c:v>3.1E-2</c:v>
                </c:pt>
                <c:pt idx="85">
                  <c:v>3.5000000000000003E-2</c:v>
                </c:pt>
                <c:pt idx="86">
                  <c:v>3.5000000000000003E-2</c:v>
                </c:pt>
                <c:pt idx="87">
                  <c:v>3.7999999999999999E-2</c:v>
                </c:pt>
                <c:pt idx="88">
                  <c:v>3.5999999999999997E-2</c:v>
                </c:pt>
                <c:pt idx="89">
                  <c:v>3.5999999999999997E-2</c:v>
                </c:pt>
                <c:pt idx="90">
                  <c:v>3.9E-2</c:v>
                </c:pt>
                <c:pt idx="91">
                  <c:v>4.2999999999999997E-2</c:v>
                </c:pt>
                <c:pt idx="92">
                  <c:v>4.4999999999999998E-2</c:v>
                </c:pt>
                <c:pt idx="93">
                  <c:v>4.7E-2</c:v>
                </c:pt>
                <c:pt idx="94">
                  <c:v>4.8000000000000001E-2</c:v>
                </c:pt>
                <c:pt idx="95">
                  <c:v>0.05</c:v>
                </c:pt>
                <c:pt idx="96">
                  <c:v>5.6000000000000001E-2</c:v>
                </c:pt>
                <c:pt idx="97">
                  <c:v>5.6000000000000001E-2</c:v>
                </c:pt>
                <c:pt idx="98">
                  <c:v>5.3999999999999999E-2</c:v>
                </c:pt>
                <c:pt idx="99">
                  <c:v>5.5E-2</c:v>
                </c:pt>
                <c:pt idx="100">
                  <c:v>6.3E-2</c:v>
                </c:pt>
                <c:pt idx="101">
                  <c:v>6.5000000000000002E-2</c:v>
                </c:pt>
                <c:pt idx="102">
                  <c:v>6.2E-2</c:v>
                </c:pt>
                <c:pt idx="103">
                  <c:v>6.8000000000000005E-2</c:v>
                </c:pt>
                <c:pt idx="104">
                  <c:v>7.1999999999999995E-2</c:v>
                </c:pt>
                <c:pt idx="105">
                  <c:v>7.1999999999999995E-2</c:v>
                </c:pt>
                <c:pt idx="106">
                  <c:v>7.0000000000000007E-2</c:v>
                </c:pt>
                <c:pt idx="107">
                  <c:v>7.6999999999999999E-2</c:v>
                </c:pt>
                <c:pt idx="108">
                  <c:v>7.4999999999999997E-2</c:v>
                </c:pt>
                <c:pt idx="109">
                  <c:v>7.3999999999999996E-2</c:v>
                </c:pt>
                <c:pt idx="110">
                  <c:v>0.08</c:v>
                </c:pt>
                <c:pt idx="111">
                  <c:v>7.4999999999999997E-2</c:v>
                </c:pt>
                <c:pt idx="112">
                  <c:v>7.6999999999999999E-2</c:v>
                </c:pt>
                <c:pt idx="113">
                  <c:v>7.8E-2</c:v>
                </c:pt>
                <c:pt idx="114">
                  <c:v>7.8E-2</c:v>
                </c:pt>
                <c:pt idx="115">
                  <c:v>8.2000000000000003E-2</c:v>
                </c:pt>
                <c:pt idx="116">
                  <c:v>8.5999999999999993E-2</c:v>
                </c:pt>
                <c:pt idx="117">
                  <c:v>8.4000000000000005E-2</c:v>
                </c:pt>
                <c:pt idx="118">
                  <c:v>8.4000000000000005E-2</c:v>
                </c:pt>
                <c:pt idx="119">
                  <c:v>8.7999999999999995E-2</c:v>
                </c:pt>
                <c:pt idx="120">
                  <c:v>8.6999999999999994E-2</c:v>
                </c:pt>
                <c:pt idx="121">
                  <c:v>9.4E-2</c:v>
                </c:pt>
                <c:pt idx="122">
                  <c:v>9.1999999999999998E-2</c:v>
                </c:pt>
                <c:pt idx="123">
                  <c:v>0.10100000000000001</c:v>
                </c:pt>
                <c:pt idx="124">
                  <c:v>0.107</c:v>
                </c:pt>
                <c:pt idx="125">
                  <c:v>0.104</c:v>
                </c:pt>
                <c:pt idx="126">
                  <c:v>0.113</c:v>
                </c:pt>
                <c:pt idx="127">
                  <c:v>0.12</c:v>
                </c:pt>
                <c:pt idx="128">
                  <c:v>0.125</c:v>
                </c:pt>
                <c:pt idx="129">
                  <c:v>0.129</c:v>
                </c:pt>
                <c:pt idx="130">
                  <c:v>0.14299999999999999</c:v>
                </c:pt>
                <c:pt idx="131">
                  <c:v>0.152</c:v>
                </c:pt>
                <c:pt idx="132">
                  <c:v>0.157</c:v>
                </c:pt>
                <c:pt idx="133">
                  <c:v>0.16900000000000001</c:v>
                </c:pt>
                <c:pt idx="134">
                  <c:v>0.18099999999999999</c:v>
                </c:pt>
                <c:pt idx="135">
                  <c:v>0.189</c:v>
                </c:pt>
                <c:pt idx="136">
                  <c:v>0.20100000000000001</c:v>
                </c:pt>
                <c:pt idx="137">
                  <c:v>0.215</c:v>
                </c:pt>
                <c:pt idx="138">
                  <c:v>0.22600000000000001</c:v>
                </c:pt>
                <c:pt idx="139">
                  <c:v>0.24099999999999999</c:v>
                </c:pt>
                <c:pt idx="140">
                  <c:v>0.255</c:v>
                </c:pt>
                <c:pt idx="141">
                  <c:v>0.27100000000000002</c:v>
                </c:pt>
                <c:pt idx="142">
                  <c:v>0.28699999999999998</c:v>
                </c:pt>
                <c:pt idx="143">
                  <c:v>0.30299999999999999</c:v>
                </c:pt>
                <c:pt idx="144">
                  <c:v>0.318</c:v>
                </c:pt>
                <c:pt idx="145">
                  <c:v>0.33700000000000002</c:v>
                </c:pt>
                <c:pt idx="146">
                  <c:v>0.35699999999999998</c:v>
                </c:pt>
                <c:pt idx="147">
                  <c:v>0.38</c:v>
                </c:pt>
                <c:pt idx="148">
                  <c:v>0.39600000000000002</c:v>
                </c:pt>
                <c:pt idx="149">
                  <c:v>0.42399999999999999</c:v>
                </c:pt>
                <c:pt idx="150">
                  <c:v>0.443</c:v>
                </c:pt>
                <c:pt idx="151">
                  <c:v>0.47399999999999998</c:v>
                </c:pt>
                <c:pt idx="152">
                  <c:v>0.502</c:v>
                </c:pt>
                <c:pt idx="153">
                  <c:v>0.53800000000000003</c:v>
                </c:pt>
                <c:pt idx="154">
                  <c:v>0.57499999999999996</c:v>
                </c:pt>
                <c:pt idx="155">
                  <c:v>0.60699999999999998</c:v>
                </c:pt>
                <c:pt idx="156">
                  <c:v>0.64800000000000002</c:v>
                </c:pt>
                <c:pt idx="157">
                  <c:v>0.67900000000000005</c:v>
                </c:pt>
                <c:pt idx="158">
                  <c:v>0.72199999999999998</c:v>
                </c:pt>
                <c:pt idx="159">
                  <c:v>0.76500000000000001</c:v>
                </c:pt>
                <c:pt idx="160">
                  <c:v>0.80300000000000005</c:v>
                </c:pt>
                <c:pt idx="161">
                  <c:v>0.83399999999999996</c:v>
                </c:pt>
                <c:pt idx="162">
                  <c:v>0.871</c:v>
                </c:pt>
                <c:pt idx="163">
                  <c:v>0.90200000000000002</c:v>
                </c:pt>
                <c:pt idx="164">
                  <c:v>0.92500000000000004</c:v>
                </c:pt>
                <c:pt idx="165">
                  <c:v>0.94799999999999995</c:v>
                </c:pt>
                <c:pt idx="166">
                  <c:v>0.96399999999999997</c:v>
                </c:pt>
                <c:pt idx="167">
                  <c:v>0.97099999999999997</c:v>
                </c:pt>
                <c:pt idx="168">
                  <c:v>0.97799999999999998</c:v>
                </c:pt>
                <c:pt idx="169">
                  <c:v>0.98399999999999999</c:v>
                </c:pt>
                <c:pt idx="170">
                  <c:v>0.98499999999999999</c:v>
                </c:pt>
                <c:pt idx="171">
                  <c:v>0.98699999999999999</c:v>
                </c:pt>
                <c:pt idx="172">
                  <c:v>0.98599999999999999</c:v>
                </c:pt>
                <c:pt idx="173">
                  <c:v>0.99399999999999999</c:v>
                </c:pt>
                <c:pt idx="174">
                  <c:v>0.999</c:v>
                </c:pt>
                <c:pt idx="175">
                  <c:v>1.014</c:v>
                </c:pt>
                <c:pt idx="176">
                  <c:v>1.034</c:v>
                </c:pt>
                <c:pt idx="177">
                  <c:v>1.0569999999999999</c:v>
                </c:pt>
                <c:pt idx="178">
                  <c:v>1.0860000000000001</c:v>
                </c:pt>
                <c:pt idx="179">
                  <c:v>1.111</c:v>
                </c:pt>
                <c:pt idx="180">
                  <c:v>1.1499999999999999</c:v>
                </c:pt>
                <c:pt idx="181">
                  <c:v>1.1859999999999999</c:v>
                </c:pt>
                <c:pt idx="182">
                  <c:v>1.2290000000000001</c:v>
                </c:pt>
                <c:pt idx="183">
                  <c:v>1.274</c:v>
                </c:pt>
                <c:pt idx="184">
                  <c:v>1.3169999999999999</c:v>
                </c:pt>
                <c:pt idx="185">
                  <c:v>1.363</c:v>
                </c:pt>
                <c:pt idx="186">
                  <c:v>1.401</c:v>
                </c:pt>
                <c:pt idx="187">
                  <c:v>1.4350000000000001</c:v>
                </c:pt>
                <c:pt idx="188">
                  <c:v>1.4630000000000001</c:v>
                </c:pt>
                <c:pt idx="189">
                  <c:v>1.488</c:v>
                </c:pt>
                <c:pt idx="190">
                  <c:v>1.5029999999999999</c:v>
                </c:pt>
                <c:pt idx="191">
                  <c:v>1.5089999999999999</c:v>
                </c:pt>
                <c:pt idx="192">
                  <c:v>1.5069999999999999</c:v>
                </c:pt>
                <c:pt idx="193">
                  <c:v>1.496</c:v>
                </c:pt>
                <c:pt idx="194">
                  <c:v>1.4690000000000001</c:v>
                </c:pt>
                <c:pt idx="195">
                  <c:v>1.425</c:v>
                </c:pt>
                <c:pt idx="196">
                  <c:v>1.365</c:v>
                </c:pt>
                <c:pt idx="197">
                  <c:v>1.2769999999999999</c:v>
                </c:pt>
                <c:pt idx="198">
                  <c:v>1.173</c:v>
                </c:pt>
                <c:pt idx="199">
                  <c:v>1.0569999999999999</c:v>
                </c:pt>
                <c:pt idx="200">
                  <c:v>0.92900000000000005</c:v>
                </c:pt>
                <c:pt idx="201">
                  <c:v>0.81200000000000006</c:v>
                </c:pt>
                <c:pt idx="202">
                  <c:v>0.7</c:v>
                </c:pt>
                <c:pt idx="203">
                  <c:v>0.60199999999999998</c:v>
                </c:pt>
                <c:pt idx="204">
                  <c:v>0.48799999999999999</c:v>
                </c:pt>
                <c:pt idx="205">
                  <c:v>0.40300000000000002</c:v>
                </c:pt>
                <c:pt idx="206">
                  <c:v>0.33800000000000002</c:v>
                </c:pt>
                <c:pt idx="207">
                  <c:v>0.27800000000000002</c:v>
                </c:pt>
                <c:pt idx="208">
                  <c:v>0.22900000000000001</c:v>
                </c:pt>
                <c:pt idx="209">
                  <c:v>0.191</c:v>
                </c:pt>
                <c:pt idx="210">
                  <c:v>0.154</c:v>
                </c:pt>
                <c:pt idx="211">
                  <c:v>0.13200000000000001</c:v>
                </c:pt>
                <c:pt idx="212">
                  <c:v>0.115</c:v>
                </c:pt>
                <c:pt idx="213">
                  <c:v>9.1999999999999998E-2</c:v>
                </c:pt>
                <c:pt idx="214">
                  <c:v>8.1000000000000003E-2</c:v>
                </c:pt>
                <c:pt idx="215">
                  <c:v>6.9000000000000006E-2</c:v>
                </c:pt>
                <c:pt idx="216">
                  <c:v>5.3999999999999999E-2</c:v>
                </c:pt>
                <c:pt idx="217">
                  <c:v>4.9000000000000002E-2</c:v>
                </c:pt>
                <c:pt idx="218">
                  <c:v>4.5999999999999999E-2</c:v>
                </c:pt>
                <c:pt idx="219">
                  <c:v>3.5999999999999997E-2</c:v>
                </c:pt>
                <c:pt idx="220">
                  <c:v>3.3000000000000002E-2</c:v>
                </c:pt>
                <c:pt idx="221">
                  <c:v>2.8000000000000001E-2</c:v>
                </c:pt>
                <c:pt idx="222">
                  <c:v>2.5999999999999999E-2</c:v>
                </c:pt>
                <c:pt idx="223">
                  <c:v>2.1999999999999999E-2</c:v>
                </c:pt>
                <c:pt idx="224">
                  <c:v>0.02</c:v>
                </c:pt>
                <c:pt idx="225">
                  <c:v>1.6E-2</c:v>
                </c:pt>
                <c:pt idx="226">
                  <c:v>1.6E-2</c:v>
                </c:pt>
                <c:pt idx="227">
                  <c:v>1.6E-2</c:v>
                </c:pt>
                <c:pt idx="228">
                  <c:v>1.6E-2</c:v>
                </c:pt>
                <c:pt idx="229">
                  <c:v>0.01</c:v>
                </c:pt>
                <c:pt idx="230">
                  <c:v>1.2E-2</c:v>
                </c:pt>
                <c:pt idx="231">
                  <c:v>0.01</c:v>
                </c:pt>
                <c:pt idx="232">
                  <c:v>8.9999999999999993E-3</c:v>
                </c:pt>
                <c:pt idx="233">
                  <c:v>7.0000000000000001E-3</c:v>
                </c:pt>
                <c:pt idx="234">
                  <c:v>6.0000000000000001E-3</c:v>
                </c:pt>
                <c:pt idx="235">
                  <c:v>7.0000000000000001E-3</c:v>
                </c:pt>
                <c:pt idx="236">
                  <c:v>4.0000000000000001E-3</c:v>
                </c:pt>
                <c:pt idx="237">
                  <c:v>7.0000000000000001E-3</c:v>
                </c:pt>
                <c:pt idx="238">
                  <c:v>6.0000000000000001E-3</c:v>
                </c:pt>
                <c:pt idx="239">
                  <c:v>7.0000000000000001E-3</c:v>
                </c:pt>
                <c:pt idx="240">
                  <c:v>3.0000000000000001E-3</c:v>
                </c:pt>
                <c:pt idx="241">
                  <c:v>3.0000000000000001E-3</c:v>
                </c:pt>
                <c:pt idx="242">
                  <c:v>1E-3</c:v>
                </c:pt>
                <c:pt idx="243">
                  <c:v>5.0000000000000001E-3</c:v>
                </c:pt>
                <c:pt idx="244">
                  <c:v>3.0000000000000001E-3</c:v>
                </c:pt>
                <c:pt idx="245">
                  <c:v>2E-3</c:v>
                </c:pt>
                <c:pt idx="246">
                  <c:v>2E-3</c:v>
                </c:pt>
                <c:pt idx="247">
                  <c:v>3.0000000000000001E-3</c:v>
                </c:pt>
                <c:pt idx="248">
                  <c:v>0</c:v>
                </c:pt>
                <c:pt idx="249">
                  <c:v>5.0000000000000001E-3</c:v>
                </c:pt>
                <c:pt idx="250">
                  <c:v>2E-3</c:v>
                </c:pt>
                <c:pt idx="251">
                  <c:v>3.0000000000000001E-3</c:v>
                </c:pt>
                <c:pt idx="252">
                  <c:v>0</c:v>
                </c:pt>
                <c:pt idx="253">
                  <c:v>3.0000000000000001E-3</c:v>
                </c:pt>
                <c:pt idx="254">
                  <c:v>2E-3</c:v>
                </c:pt>
                <c:pt idx="255">
                  <c:v>1E-3</c:v>
                </c:pt>
                <c:pt idx="256">
                  <c:v>3.0000000000000001E-3</c:v>
                </c:pt>
                <c:pt idx="257">
                  <c:v>1E-3</c:v>
                </c:pt>
                <c:pt idx="258">
                  <c:v>0</c:v>
                </c:pt>
                <c:pt idx="259">
                  <c:v>2E-3</c:v>
                </c:pt>
                <c:pt idx="260">
                  <c:v>0</c:v>
                </c:pt>
                <c:pt idx="261">
                  <c:v>0</c:v>
                </c:pt>
              </c:numCache>
            </c:numRef>
          </c:yVal>
          <c:smooth val="1"/>
          <c:extLst>
            <c:ext xmlns:c16="http://schemas.microsoft.com/office/drawing/2014/chart" uri="{C3380CC4-5D6E-409C-BE32-E72D297353CC}">
              <c16:uniqueId val="{00000000-7AD8-4E6E-B711-E22954CD800A}"/>
            </c:ext>
          </c:extLst>
        </c:ser>
        <c:ser>
          <c:idx val="2"/>
          <c:order val="1"/>
          <c:tx>
            <c:v>RMA-2M-400</c:v>
          </c:tx>
          <c:spPr>
            <a:ln w="19050" cap="rnd">
              <a:solidFill>
                <a:srgbClr val="FFC000"/>
              </a:solidFill>
              <a:round/>
            </a:ln>
            <a:effectLst/>
          </c:spPr>
          <c:marker>
            <c:symbol val="none"/>
          </c:marker>
          <c:xVal>
            <c:numRef>
              <c:f>'[Graphique dans Microsoft Word]RMA-2M-500'!$L$43:$L$303</c:f>
              <c:numCache>
                <c:formatCode>General</c:formatCode>
                <c:ptCount val="261"/>
                <c:pt idx="0">
                  <c:v>280</c:v>
                </c:pt>
                <c:pt idx="1">
                  <c:v>282</c:v>
                </c:pt>
                <c:pt idx="2">
                  <c:v>284</c:v>
                </c:pt>
                <c:pt idx="3">
                  <c:v>286</c:v>
                </c:pt>
                <c:pt idx="4">
                  <c:v>288</c:v>
                </c:pt>
                <c:pt idx="5">
                  <c:v>290</c:v>
                </c:pt>
                <c:pt idx="6">
                  <c:v>292</c:v>
                </c:pt>
                <c:pt idx="7">
                  <c:v>294</c:v>
                </c:pt>
                <c:pt idx="8">
                  <c:v>296</c:v>
                </c:pt>
                <c:pt idx="9">
                  <c:v>298</c:v>
                </c:pt>
                <c:pt idx="10">
                  <c:v>300</c:v>
                </c:pt>
                <c:pt idx="11">
                  <c:v>302</c:v>
                </c:pt>
                <c:pt idx="12">
                  <c:v>304</c:v>
                </c:pt>
                <c:pt idx="13">
                  <c:v>306</c:v>
                </c:pt>
                <c:pt idx="14">
                  <c:v>308</c:v>
                </c:pt>
                <c:pt idx="15">
                  <c:v>310</c:v>
                </c:pt>
                <c:pt idx="16">
                  <c:v>312</c:v>
                </c:pt>
                <c:pt idx="17">
                  <c:v>314</c:v>
                </c:pt>
                <c:pt idx="18">
                  <c:v>316</c:v>
                </c:pt>
                <c:pt idx="19">
                  <c:v>318</c:v>
                </c:pt>
                <c:pt idx="20">
                  <c:v>320</c:v>
                </c:pt>
                <c:pt idx="21">
                  <c:v>322</c:v>
                </c:pt>
                <c:pt idx="22">
                  <c:v>324</c:v>
                </c:pt>
                <c:pt idx="23">
                  <c:v>326</c:v>
                </c:pt>
                <c:pt idx="24">
                  <c:v>328</c:v>
                </c:pt>
                <c:pt idx="25">
                  <c:v>330</c:v>
                </c:pt>
                <c:pt idx="26">
                  <c:v>332</c:v>
                </c:pt>
                <c:pt idx="27">
                  <c:v>334</c:v>
                </c:pt>
                <c:pt idx="28">
                  <c:v>336</c:v>
                </c:pt>
                <c:pt idx="29">
                  <c:v>338</c:v>
                </c:pt>
                <c:pt idx="30">
                  <c:v>340</c:v>
                </c:pt>
                <c:pt idx="31">
                  <c:v>342</c:v>
                </c:pt>
                <c:pt idx="32">
                  <c:v>344</c:v>
                </c:pt>
                <c:pt idx="33">
                  <c:v>346</c:v>
                </c:pt>
                <c:pt idx="34">
                  <c:v>348</c:v>
                </c:pt>
                <c:pt idx="35">
                  <c:v>350</c:v>
                </c:pt>
                <c:pt idx="36">
                  <c:v>352</c:v>
                </c:pt>
                <c:pt idx="37">
                  <c:v>354</c:v>
                </c:pt>
                <c:pt idx="38">
                  <c:v>356</c:v>
                </c:pt>
                <c:pt idx="39">
                  <c:v>358</c:v>
                </c:pt>
                <c:pt idx="40">
                  <c:v>360</c:v>
                </c:pt>
                <c:pt idx="41">
                  <c:v>362</c:v>
                </c:pt>
                <c:pt idx="42">
                  <c:v>364</c:v>
                </c:pt>
                <c:pt idx="43">
                  <c:v>366</c:v>
                </c:pt>
                <c:pt idx="44">
                  <c:v>368</c:v>
                </c:pt>
                <c:pt idx="45">
                  <c:v>370</c:v>
                </c:pt>
                <c:pt idx="46">
                  <c:v>372</c:v>
                </c:pt>
                <c:pt idx="47">
                  <c:v>374</c:v>
                </c:pt>
                <c:pt idx="48">
                  <c:v>376</c:v>
                </c:pt>
                <c:pt idx="49">
                  <c:v>378</c:v>
                </c:pt>
                <c:pt idx="50">
                  <c:v>380</c:v>
                </c:pt>
                <c:pt idx="51">
                  <c:v>382</c:v>
                </c:pt>
                <c:pt idx="52">
                  <c:v>384</c:v>
                </c:pt>
                <c:pt idx="53">
                  <c:v>386</c:v>
                </c:pt>
                <c:pt idx="54">
                  <c:v>388</c:v>
                </c:pt>
                <c:pt idx="55">
                  <c:v>390</c:v>
                </c:pt>
                <c:pt idx="56">
                  <c:v>392</c:v>
                </c:pt>
                <c:pt idx="57">
                  <c:v>394</c:v>
                </c:pt>
                <c:pt idx="58">
                  <c:v>396</c:v>
                </c:pt>
                <c:pt idx="59">
                  <c:v>398</c:v>
                </c:pt>
                <c:pt idx="60">
                  <c:v>400</c:v>
                </c:pt>
                <c:pt idx="61">
                  <c:v>402</c:v>
                </c:pt>
                <c:pt idx="62">
                  <c:v>404</c:v>
                </c:pt>
                <c:pt idx="63">
                  <c:v>406</c:v>
                </c:pt>
                <c:pt idx="64">
                  <c:v>408</c:v>
                </c:pt>
                <c:pt idx="65">
                  <c:v>410</c:v>
                </c:pt>
                <c:pt idx="66">
                  <c:v>412</c:v>
                </c:pt>
                <c:pt idx="67">
                  <c:v>414</c:v>
                </c:pt>
                <c:pt idx="68">
                  <c:v>416</c:v>
                </c:pt>
                <c:pt idx="69">
                  <c:v>418</c:v>
                </c:pt>
                <c:pt idx="70">
                  <c:v>420</c:v>
                </c:pt>
                <c:pt idx="71">
                  <c:v>422</c:v>
                </c:pt>
                <c:pt idx="72">
                  <c:v>424</c:v>
                </c:pt>
                <c:pt idx="73">
                  <c:v>426</c:v>
                </c:pt>
                <c:pt idx="74">
                  <c:v>428</c:v>
                </c:pt>
                <c:pt idx="75">
                  <c:v>430</c:v>
                </c:pt>
                <c:pt idx="76">
                  <c:v>432</c:v>
                </c:pt>
                <c:pt idx="77">
                  <c:v>434</c:v>
                </c:pt>
                <c:pt idx="78">
                  <c:v>436</c:v>
                </c:pt>
                <c:pt idx="79">
                  <c:v>438</c:v>
                </c:pt>
                <c:pt idx="80">
                  <c:v>440</c:v>
                </c:pt>
                <c:pt idx="81">
                  <c:v>442</c:v>
                </c:pt>
                <c:pt idx="82">
                  <c:v>444</c:v>
                </c:pt>
                <c:pt idx="83">
                  <c:v>446</c:v>
                </c:pt>
                <c:pt idx="84">
                  <c:v>448</c:v>
                </c:pt>
                <c:pt idx="85">
                  <c:v>450</c:v>
                </c:pt>
                <c:pt idx="86">
                  <c:v>452</c:v>
                </c:pt>
                <c:pt idx="87">
                  <c:v>454</c:v>
                </c:pt>
                <c:pt idx="88">
                  <c:v>456</c:v>
                </c:pt>
                <c:pt idx="89">
                  <c:v>458</c:v>
                </c:pt>
                <c:pt idx="90">
                  <c:v>460</c:v>
                </c:pt>
                <c:pt idx="91">
                  <c:v>462</c:v>
                </c:pt>
                <c:pt idx="92">
                  <c:v>464</c:v>
                </c:pt>
                <c:pt idx="93">
                  <c:v>466</c:v>
                </c:pt>
                <c:pt idx="94">
                  <c:v>468</c:v>
                </c:pt>
                <c:pt idx="95">
                  <c:v>470</c:v>
                </c:pt>
                <c:pt idx="96">
                  <c:v>472</c:v>
                </c:pt>
                <c:pt idx="97">
                  <c:v>474</c:v>
                </c:pt>
                <c:pt idx="98">
                  <c:v>476</c:v>
                </c:pt>
                <c:pt idx="99">
                  <c:v>478</c:v>
                </c:pt>
                <c:pt idx="100">
                  <c:v>480</c:v>
                </c:pt>
                <c:pt idx="101">
                  <c:v>482</c:v>
                </c:pt>
                <c:pt idx="102">
                  <c:v>484</c:v>
                </c:pt>
                <c:pt idx="103">
                  <c:v>486</c:v>
                </c:pt>
                <c:pt idx="104">
                  <c:v>488</c:v>
                </c:pt>
                <c:pt idx="105">
                  <c:v>490</c:v>
                </c:pt>
                <c:pt idx="106">
                  <c:v>492</c:v>
                </c:pt>
                <c:pt idx="107">
                  <c:v>494</c:v>
                </c:pt>
                <c:pt idx="108">
                  <c:v>496</c:v>
                </c:pt>
                <c:pt idx="109">
                  <c:v>498</c:v>
                </c:pt>
                <c:pt idx="110">
                  <c:v>500</c:v>
                </c:pt>
                <c:pt idx="111">
                  <c:v>502</c:v>
                </c:pt>
                <c:pt idx="112">
                  <c:v>504</c:v>
                </c:pt>
                <c:pt idx="113">
                  <c:v>506</c:v>
                </c:pt>
                <c:pt idx="114">
                  <c:v>508</c:v>
                </c:pt>
                <c:pt idx="115">
                  <c:v>510</c:v>
                </c:pt>
                <c:pt idx="116">
                  <c:v>512</c:v>
                </c:pt>
                <c:pt idx="117">
                  <c:v>514</c:v>
                </c:pt>
                <c:pt idx="118">
                  <c:v>516</c:v>
                </c:pt>
                <c:pt idx="119">
                  <c:v>518</c:v>
                </c:pt>
                <c:pt idx="120">
                  <c:v>520</c:v>
                </c:pt>
                <c:pt idx="121">
                  <c:v>522</c:v>
                </c:pt>
                <c:pt idx="122">
                  <c:v>524</c:v>
                </c:pt>
                <c:pt idx="123">
                  <c:v>526</c:v>
                </c:pt>
                <c:pt idx="124">
                  <c:v>528</c:v>
                </c:pt>
                <c:pt idx="125">
                  <c:v>530</c:v>
                </c:pt>
                <c:pt idx="126">
                  <c:v>532</c:v>
                </c:pt>
                <c:pt idx="127">
                  <c:v>534</c:v>
                </c:pt>
                <c:pt idx="128">
                  <c:v>536</c:v>
                </c:pt>
                <c:pt idx="129">
                  <c:v>538</c:v>
                </c:pt>
                <c:pt idx="130">
                  <c:v>540</c:v>
                </c:pt>
                <c:pt idx="131">
                  <c:v>542</c:v>
                </c:pt>
                <c:pt idx="132">
                  <c:v>544</c:v>
                </c:pt>
                <c:pt idx="133">
                  <c:v>546</c:v>
                </c:pt>
                <c:pt idx="134">
                  <c:v>548</c:v>
                </c:pt>
                <c:pt idx="135">
                  <c:v>550</c:v>
                </c:pt>
                <c:pt idx="136">
                  <c:v>552</c:v>
                </c:pt>
                <c:pt idx="137">
                  <c:v>554</c:v>
                </c:pt>
                <c:pt idx="138">
                  <c:v>556</c:v>
                </c:pt>
                <c:pt idx="139">
                  <c:v>558</c:v>
                </c:pt>
                <c:pt idx="140">
                  <c:v>560</c:v>
                </c:pt>
                <c:pt idx="141">
                  <c:v>562</c:v>
                </c:pt>
                <c:pt idx="142">
                  <c:v>564</c:v>
                </c:pt>
                <c:pt idx="143">
                  <c:v>566</c:v>
                </c:pt>
                <c:pt idx="144">
                  <c:v>568</c:v>
                </c:pt>
                <c:pt idx="145">
                  <c:v>570</c:v>
                </c:pt>
                <c:pt idx="146">
                  <c:v>572</c:v>
                </c:pt>
                <c:pt idx="147">
                  <c:v>574</c:v>
                </c:pt>
                <c:pt idx="148">
                  <c:v>576</c:v>
                </c:pt>
                <c:pt idx="149">
                  <c:v>578</c:v>
                </c:pt>
                <c:pt idx="150">
                  <c:v>580</c:v>
                </c:pt>
                <c:pt idx="151">
                  <c:v>582</c:v>
                </c:pt>
                <c:pt idx="152">
                  <c:v>584</c:v>
                </c:pt>
                <c:pt idx="153">
                  <c:v>586</c:v>
                </c:pt>
                <c:pt idx="154">
                  <c:v>588</c:v>
                </c:pt>
                <c:pt idx="155">
                  <c:v>590</c:v>
                </c:pt>
                <c:pt idx="156">
                  <c:v>592</c:v>
                </c:pt>
                <c:pt idx="157">
                  <c:v>594</c:v>
                </c:pt>
                <c:pt idx="158">
                  <c:v>596</c:v>
                </c:pt>
                <c:pt idx="159">
                  <c:v>598</c:v>
                </c:pt>
                <c:pt idx="160">
                  <c:v>600</c:v>
                </c:pt>
                <c:pt idx="161">
                  <c:v>602</c:v>
                </c:pt>
                <c:pt idx="162">
                  <c:v>604</c:v>
                </c:pt>
                <c:pt idx="163">
                  <c:v>606</c:v>
                </c:pt>
                <c:pt idx="164">
                  <c:v>608</c:v>
                </c:pt>
                <c:pt idx="165">
                  <c:v>610</c:v>
                </c:pt>
                <c:pt idx="166">
                  <c:v>612</c:v>
                </c:pt>
                <c:pt idx="167">
                  <c:v>614</c:v>
                </c:pt>
                <c:pt idx="168">
                  <c:v>616</c:v>
                </c:pt>
                <c:pt idx="169">
                  <c:v>618</c:v>
                </c:pt>
                <c:pt idx="170">
                  <c:v>620</c:v>
                </c:pt>
                <c:pt idx="171">
                  <c:v>622</c:v>
                </c:pt>
                <c:pt idx="172">
                  <c:v>624</c:v>
                </c:pt>
                <c:pt idx="173">
                  <c:v>626</c:v>
                </c:pt>
                <c:pt idx="174">
                  <c:v>628</c:v>
                </c:pt>
                <c:pt idx="175">
                  <c:v>630</c:v>
                </c:pt>
                <c:pt idx="176">
                  <c:v>632</c:v>
                </c:pt>
                <c:pt idx="177">
                  <c:v>634</c:v>
                </c:pt>
                <c:pt idx="178">
                  <c:v>636</c:v>
                </c:pt>
                <c:pt idx="179">
                  <c:v>638</c:v>
                </c:pt>
                <c:pt idx="180">
                  <c:v>640</c:v>
                </c:pt>
                <c:pt idx="181">
                  <c:v>642</c:v>
                </c:pt>
                <c:pt idx="182">
                  <c:v>644</c:v>
                </c:pt>
                <c:pt idx="183">
                  <c:v>646</c:v>
                </c:pt>
                <c:pt idx="184">
                  <c:v>648</c:v>
                </c:pt>
                <c:pt idx="185">
                  <c:v>650</c:v>
                </c:pt>
                <c:pt idx="186">
                  <c:v>652</c:v>
                </c:pt>
                <c:pt idx="187">
                  <c:v>654</c:v>
                </c:pt>
                <c:pt idx="188">
                  <c:v>656</c:v>
                </c:pt>
                <c:pt idx="189">
                  <c:v>658</c:v>
                </c:pt>
                <c:pt idx="190">
                  <c:v>660</c:v>
                </c:pt>
                <c:pt idx="191">
                  <c:v>662</c:v>
                </c:pt>
                <c:pt idx="192">
                  <c:v>664</c:v>
                </c:pt>
                <c:pt idx="193">
                  <c:v>666</c:v>
                </c:pt>
                <c:pt idx="194">
                  <c:v>668</c:v>
                </c:pt>
                <c:pt idx="195">
                  <c:v>670</c:v>
                </c:pt>
                <c:pt idx="196">
                  <c:v>672</c:v>
                </c:pt>
                <c:pt idx="197">
                  <c:v>674</c:v>
                </c:pt>
                <c:pt idx="198">
                  <c:v>676</c:v>
                </c:pt>
                <c:pt idx="199">
                  <c:v>678</c:v>
                </c:pt>
                <c:pt idx="200">
                  <c:v>680</c:v>
                </c:pt>
                <c:pt idx="201">
                  <c:v>682</c:v>
                </c:pt>
                <c:pt idx="202">
                  <c:v>684</c:v>
                </c:pt>
                <c:pt idx="203">
                  <c:v>686</c:v>
                </c:pt>
                <c:pt idx="204">
                  <c:v>688</c:v>
                </c:pt>
                <c:pt idx="205">
                  <c:v>690</c:v>
                </c:pt>
                <c:pt idx="206">
                  <c:v>692</c:v>
                </c:pt>
                <c:pt idx="207">
                  <c:v>694</c:v>
                </c:pt>
                <c:pt idx="208">
                  <c:v>696</c:v>
                </c:pt>
                <c:pt idx="209">
                  <c:v>698</c:v>
                </c:pt>
                <c:pt idx="210">
                  <c:v>700</c:v>
                </c:pt>
                <c:pt idx="211">
                  <c:v>702</c:v>
                </c:pt>
                <c:pt idx="212">
                  <c:v>704</c:v>
                </c:pt>
                <c:pt idx="213">
                  <c:v>706</c:v>
                </c:pt>
                <c:pt idx="214">
                  <c:v>708</c:v>
                </c:pt>
                <c:pt idx="215">
                  <c:v>710</c:v>
                </c:pt>
                <c:pt idx="216">
                  <c:v>712</c:v>
                </c:pt>
                <c:pt idx="217">
                  <c:v>714</c:v>
                </c:pt>
                <c:pt idx="218">
                  <c:v>716</c:v>
                </c:pt>
                <c:pt idx="219">
                  <c:v>718</c:v>
                </c:pt>
                <c:pt idx="220">
                  <c:v>720</c:v>
                </c:pt>
                <c:pt idx="221">
                  <c:v>722</c:v>
                </c:pt>
                <c:pt idx="222">
                  <c:v>724</c:v>
                </c:pt>
                <c:pt idx="223">
                  <c:v>726</c:v>
                </c:pt>
                <c:pt idx="224">
                  <c:v>728</c:v>
                </c:pt>
                <c:pt idx="225">
                  <c:v>730</c:v>
                </c:pt>
                <c:pt idx="226">
                  <c:v>732</c:v>
                </c:pt>
                <c:pt idx="227">
                  <c:v>734</c:v>
                </c:pt>
                <c:pt idx="228">
                  <c:v>736</c:v>
                </c:pt>
                <c:pt idx="229">
                  <c:v>738</c:v>
                </c:pt>
                <c:pt idx="230">
                  <c:v>740</c:v>
                </c:pt>
                <c:pt idx="231">
                  <c:v>742</c:v>
                </c:pt>
                <c:pt idx="232">
                  <c:v>744</c:v>
                </c:pt>
                <c:pt idx="233">
                  <c:v>746</c:v>
                </c:pt>
                <c:pt idx="234">
                  <c:v>748</c:v>
                </c:pt>
                <c:pt idx="235">
                  <c:v>750</c:v>
                </c:pt>
                <c:pt idx="236">
                  <c:v>752</c:v>
                </c:pt>
                <c:pt idx="237">
                  <c:v>754</c:v>
                </c:pt>
                <c:pt idx="238">
                  <c:v>756</c:v>
                </c:pt>
                <c:pt idx="239">
                  <c:v>758</c:v>
                </c:pt>
                <c:pt idx="240">
                  <c:v>760</c:v>
                </c:pt>
                <c:pt idx="241">
                  <c:v>762</c:v>
                </c:pt>
                <c:pt idx="242">
                  <c:v>764</c:v>
                </c:pt>
                <c:pt idx="243">
                  <c:v>766</c:v>
                </c:pt>
                <c:pt idx="244">
                  <c:v>768</c:v>
                </c:pt>
                <c:pt idx="245">
                  <c:v>770</c:v>
                </c:pt>
                <c:pt idx="246">
                  <c:v>772</c:v>
                </c:pt>
                <c:pt idx="247">
                  <c:v>774</c:v>
                </c:pt>
                <c:pt idx="248">
                  <c:v>776</c:v>
                </c:pt>
                <c:pt idx="249">
                  <c:v>778</c:v>
                </c:pt>
                <c:pt idx="250">
                  <c:v>780</c:v>
                </c:pt>
                <c:pt idx="251">
                  <c:v>782</c:v>
                </c:pt>
                <c:pt idx="252">
                  <c:v>784</c:v>
                </c:pt>
                <c:pt idx="253">
                  <c:v>786</c:v>
                </c:pt>
                <c:pt idx="254">
                  <c:v>788</c:v>
                </c:pt>
                <c:pt idx="255">
                  <c:v>790</c:v>
                </c:pt>
                <c:pt idx="256">
                  <c:v>792</c:v>
                </c:pt>
                <c:pt idx="257">
                  <c:v>794</c:v>
                </c:pt>
                <c:pt idx="258">
                  <c:v>796</c:v>
                </c:pt>
                <c:pt idx="259">
                  <c:v>798</c:v>
                </c:pt>
                <c:pt idx="260">
                  <c:v>800</c:v>
                </c:pt>
              </c:numCache>
            </c:numRef>
          </c:xVal>
          <c:yVal>
            <c:numRef>
              <c:f>'[Graphique dans Microsoft Word]RMA-2M-500'!$M$43:$M$303</c:f>
              <c:numCache>
                <c:formatCode>General</c:formatCode>
                <c:ptCount val="261"/>
                <c:pt idx="0">
                  <c:v>0.1</c:v>
                </c:pt>
                <c:pt idx="1">
                  <c:v>0.218</c:v>
                </c:pt>
                <c:pt idx="2">
                  <c:v>0.32200000000000001</c:v>
                </c:pt>
                <c:pt idx="3">
                  <c:v>0.40899999999999997</c:v>
                </c:pt>
                <c:pt idx="4">
                  <c:v>0.48499999999999999</c:v>
                </c:pt>
                <c:pt idx="5">
                  <c:v>0.54400000000000004</c:v>
                </c:pt>
                <c:pt idx="6">
                  <c:v>0.56200000000000006</c:v>
                </c:pt>
                <c:pt idx="7">
                  <c:v>0.55100000000000005</c:v>
                </c:pt>
                <c:pt idx="8">
                  <c:v>0.51900000000000002</c:v>
                </c:pt>
                <c:pt idx="9">
                  <c:v>0.47299999999999998</c:v>
                </c:pt>
                <c:pt idx="10">
                  <c:v>0.42199999999999999</c:v>
                </c:pt>
                <c:pt idx="11">
                  <c:v>0.36099999999999999</c:v>
                </c:pt>
                <c:pt idx="12">
                  <c:v>0.30599999999999999</c:v>
                </c:pt>
                <c:pt idx="13">
                  <c:v>0.26100000000000001</c:v>
                </c:pt>
                <c:pt idx="14">
                  <c:v>0.22900000000000001</c:v>
                </c:pt>
                <c:pt idx="15">
                  <c:v>0.20100000000000001</c:v>
                </c:pt>
                <c:pt idx="16">
                  <c:v>0.188</c:v>
                </c:pt>
                <c:pt idx="17">
                  <c:v>0.18</c:v>
                </c:pt>
                <c:pt idx="18">
                  <c:v>0.17</c:v>
                </c:pt>
                <c:pt idx="19">
                  <c:v>0.16700000000000001</c:v>
                </c:pt>
                <c:pt idx="20">
                  <c:v>0.16500000000000001</c:v>
                </c:pt>
                <c:pt idx="21">
                  <c:v>0.157</c:v>
                </c:pt>
                <c:pt idx="22">
                  <c:v>0.155</c:v>
                </c:pt>
                <c:pt idx="23">
                  <c:v>0.156</c:v>
                </c:pt>
                <c:pt idx="24">
                  <c:v>0.14399999999999999</c:v>
                </c:pt>
                <c:pt idx="25">
                  <c:v>0.13800000000000001</c:v>
                </c:pt>
                <c:pt idx="26">
                  <c:v>0.124</c:v>
                </c:pt>
                <c:pt idx="27">
                  <c:v>0.114</c:v>
                </c:pt>
                <c:pt idx="28">
                  <c:v>9.6000000000000002E-2</c:v>
                </c:pt>
                <c:pt idx="29">
                  <c:v>9.1999999999999998E-2</c:v>
                </c:pt>
                <c:pt idx="30">
                  <c:v>0.08</c:v>
                </c:pt>
                <c:pt idx="31">
                  <c:v>7.3999999999999996E-2</c:v>
                </c:pt>
                <c:pt idx="32">
                  <c:v>6.5000000000000002E-2</c:v>
                </c:pt>
                <c:pt idx="33">
                  <c:v>6.0999999999999999E-2</c:v>
                </c:pt>
                <c:pt idx="34">
                  <c:v>0.06</c:v>
                </c:pt>
                <c:pt idx="35">
                  <c:v>5.7000000000000002E-2</c:v>
                </c:pt>
                <c:pt idx="36">
                  <c:v>5.6000000000000001E-2</c:v>
                </c:pt>
                <c:pt idx="37">
                  <c:v>5.3999999999999999E-2</c:v>
                </c:pt>
                <c:pt idx="38">
                  <c:v>0.05</c:v>
                </c:pt>
                <c:pt idx="39">
                  <c:v>4.9000000000000002E-2</c:v>
                </c:pt>
                <c:pt idx="40">
                  <c:v>4.5999999999999999E-2</c:v>
                </c:pt>
                <c:pt idx="41">
                  <c:v>4.3999999999999997E-2</c:v>
                </c:pt>
                <c:pt idx="42">
                  <c:v>4.3999999999999997E-2</c:v>
                </c:pt>
                <c:pt idx="43">
                  <c:v>4.4999999999999998E-2</c:v>
                </c:pt>
                <c:pt idx="44">
                  <c:v>4.4999999999999998E-2</c:v>
                </c:pt>
                <c:pt idx="45">
                  <c:v>4.1000000000000002E-2</c:v>
                </c:pt>
                <c:pt idx="46">
                  <c:v>4.3999999999999997E-2</c:v>
                </c:pt>
                <c:pt idx="47">
                  <c:v>4.4999999999999998E-2</c:v>
                </c:pt>
                <c:pt idx="48">
                  <c:v>4.2000000000000003E-2</c:v>
                </c:pt>
                <c:pt idx="49">
                  <c:v>4.1000000000000002E-2</c:v>
                </c:pt>
                <c:pt idx="50">
                  <c:v>4.1000000000000002E-2</c:v>
                </c:pt>
                <c:pt idx="51">
                  <c:v>4.4999999999999998E-2</c:v>
                </c:pt>
                <c:pt idx="52">
                  <c:v>0.04</c:v>
                </c:pt>
                <c:pt idx="53">
                  <c:v>0.04</c:v>
                </c:pt>
                <c:pt idx="54">
                  <c:v>0.04</c:v>
                </c:pt>
                <c:pt idx="55">
                  <c:v>4.2000000000000003E-2</c:v>
                </c:pt>
                <c:pt idx="56">
                  <c:v>4.2999999999999997E-2</c:v>
                </c:pt>
                <c:pt idx="57">
                  <c:v>4.1000000000000002E-2</c:v>
                </c:pt>
                <c:pt idx="58">
                  <c:v>0.04</c:v>
                </c:pt>
                <c:pt idx="59">
                  <c:v>0.04</c:v>
                </c:pt>
                <c:pt idx="60">
                  <c:v>3.7999999999999999E-2</c:v>
                </c:pt>
                <c:pt idx="61">
                  <c:v>3.5999999999999997E-2</c:v>
                </c:pt>
                <c:pt idx="62">
                  <c:v>3.4000000000000002E-2</c:v>
                </c:pt>
                <c:pt idx="63">
                  <c:v>3.7999999999999999E-2</c:v>
                </c:pt>
                <c:pt idx="64">
                  <c:v>3.2000000000000001E-2</c:v>
                </c:pt>
                <c:pt idx="65">
                  <c:v>3.3000000000000002E-2</c:v>
                </c:pt>
                <c:pt idx="66">
                  <c:v>3.3000000000000002E-2</c:v>
                </c:pt>
                <c:pt idx="67">
                  <c:v>0.03</c:v>
                </c:pt>
                <c:pt idx="68">
                  <c:v>3.3000000000000002E-2</c:v>
                </c:pt>
                <c:pt idx="69">
                  <c:v>2.5999999999999999E-2</c:v>
                </c:pt>
                <c:pt idx="70">
                  <c:v>2.9000000000000001E-2</c:v>
                </c:pt>
                <c:pt idx="71">
                  <c:v>2.8000000000000001E-2</c:v>
                </c:pt>
                <c:pt idx="72">
                  <c:v>2.9000000000000001E-2</c:v>
                </c:pt>
                <c:pt idx="73">
                  <c:v>3.2000000000000001E-2</c:v>
                </c:pt>
                <c:pt idx="74">
                  <c:v>3.1E-2</c:v>
                </c:pt>
                <c:pt idx="75">
                  <c:v>2.9000000000000001E-2</c:v>
                </c:pt>
                <c:pt idx="76">
                  <c:v>3.1E-2</c:v>
                </c:pt>
                <c:pt idx="77">
                  <c:v>3.3000000000000002E-2</c:v>
                </c:pt>
                <c:pt idx="78">
                  <c:v>3.3000000000000002E-2</c:v>
                </c:pt>
                <c:pt idx="79">
                  <c:v>3.5000000000000003E-2</c:v>
                </c:pt>
                <c:pt idx="80">
                  <c:v>3.5000000000000003E-2</c:v>
                </c:pt>
                <c:pt idx="81">
                  <c:v>3.6999999999999998E-2</c:v>
                </c:pt>
                <c:pt idx="82">
                  <c:v>3.5000000000000003E-2</c:v>
                </c:pt>
                <c:pt idx="83">
                  <c:v>3.6999999999999998E-2</c:v>
                </c:pt>
                <c:pt idx="84">
                  <c:v>3.7999999999999999E-2</c:v>
                </c:pt>
                <c:pt idx="85">
                  <c:v>4.2999999999999997E-2</c:v>
                </c:pt>
                <c:pt idx="86">
                  <c:v>4.1000000000000002E-2</c:v>
                </c:pt>
                <c:pt idx="87">
                  <c:v>3.9E-2</c:v>
                </c:pt>
                <c:pt idx="88">
                  <c:v>4.2999999999999997E-2</c:v>
                </c:pt>
                <c:pt idx="89">
                  <c:v>4.8000000000000001E-2</c:v>
                </c:pt>
                <c:pt idx="90">
                  <c:v>4.3999999999999997E-2</c:v>
                </c:pt>
                <c:pt idx="91">
                  <c:v>4.5999999999999999E-2</c:v>
                </c:pt>
                <c:pt idx="92">
                  <c:v>4.5999999999999999E-2</c:v>
                </c:pt>
                <c:pt idx="93">
                  <c:v>4.8000000000000001E-2</c:v>
                </c:pt>
                <c:pt idx="94">
                  <c:v>4.8000000000000001E-2</c:v>
                </c:pt>
                <c:pt idx="95">
                  <c:v>4.9000000000000002E-2</c:v>
                </c:pt>
                <c:pt idx="96">
                  <c:v>5.1999999999999998E-2</c:v>
                </c:pt>
                <c:pt idx="97">
                  <c:v>5.3999999999999999E-2</c:v>
                </c:pt>
                <c:pt idx="98">
                  <c:v>5.7000000000000002E-2</c:v>
                </c:pt>
                <c:pt idx="99">
                  <c:v>5.2999999999999999E-2</c:v>
                </c:pt>
                <c:pt idx="100">
                  <c:v>5.5E-2</c:v>
                </c:pt>
                <c:pt idx="101">
                  <c:v>5.3999999999999999E-2</c:v>
                </c:pt>
                <c:pt idx="102">
                  <c:v>6.0999999999999999E-2</c:v>
                </c:pt>
                <c:pt idx="103">
                  <c:v>6.2E-2</c:v>
                </c:pt>
                <c:pt idx="104">
                  <c:v>6.3E-2</c:v>
                </c:pt>
                <c:pt idx="105">
                  <c:v>6.0999999999999999E-2</c:v>
                </c:pt>
                <c:pt idx="106">
                  <c:v>6.5000000000000002E-2</c:v>
                </c:pt>
                <c:pt idx="107">
                  <c:v>6.0999999999999999E-2</c:v>
                </c:pt>
                <c:pt idx="108">
                  <c:v>0.06</c:v>
                </c:pt>
                <c:pt idx="109">
                  <c:v>6.3E-2</c:v>
                </c:pt>
                <c:pt idx="110">
                  <c:v>6.8000000000000005E-2</c:v>
                </c:pt>
                <c:pt idx="111">
                  <c:v>6.9000000000000006E-2</c:v>
                </c:pt>
                <c:pt idx="112">
                  <c:v>6.3E-2</c:v>
                </c:pt>
                <c:pt idx="113">
                  <c:v>6.4000000000000001E-2</c:v>
                </c:pt>
                <c:pt idx="114">
                  <c:v>6.7000000000000004E-2</c:v>
                </c:pt>
                <c:pt idx="115">
                  <c:v>6.6000000000000003E-2</c:v>
                </c:pt>
                <c:pt idx="116">
                  <c:v>7.0000000000000007E-2</c:v>
                </c:pt>
                <c:pt idx="117">
                  <c:v>6.9000000000000006E-2</c:v>
                </c:pt>
                <c:pt idx="118">
                  <c:v>7.0999999999999994E-2</c:v>
                </c:pt>
                <c:pt idx="119">
                  <c:v>6.9000000000000006E-2</c:v>
                </c:pt>
                <c:pt idx="120">
                  <c:v>7.2999999999999995E-2</c:v>
                </c:pt>
                <c:pt idx="121">
                  <c:v>7.4999999999999997E-2</c:v>
                </c:pt>
                <c:pt idx="122">
                  <c:v>7.6999999999999999E-2</c:v>
                </c:pt>
                <c:pt idx="123">
                  <c:v>8.1000000000000003E-2</c:v>
                </c:pt>
                <c:pt idx="124">
                  <c:v>7.9000000000000001E-2</c:v>
                </c:pt>
                <c:pt idx="125">
                  <c:v>8.2000000000000003E-2</c:v>
                </c:pt>
                <c:pt idx="126">
                  <c:v>8.8999999999999996E-2</c:v>
                </c:pt>
                <c:pt idx="127">
                  <c:v>0.09</c:v>
                </c:pt>
                <c:pt idx="128">
                  <c:v>9.4E-2</c:v>
                </c:pt>
                <c:pt idx="129">
                  <c:v>0.1</c:v>
                </c:pt>
                <c:pt idx="130">
                  <c:v>0.109</c:v>
                </c:pt>
                <c:pt idx="131">
                  <c:v>0.11600000000000001</c:v>
                </c:pt>
                <c:pt idx="132">
                  <c:v>0.126</c:v>
                </c:pt>
                <c:pt idx="133">
                  <c:v>0.126</c:v>
                </c:pt>
                <c:pt idx="134">
                  <c:v>0.13100000000000001</c:v>
                </c:pt>
                <c:pt idx="135">
                  <c:v>0.14199999999999999</c:v>
                </c:pt>
                <c:pt idx="136">
                  <c:v>0.15</c:v>
                </c:pt>
                <c:pt idx="137">
                  <c:v>0.156</c:v>
                </c:pt>
                <c:pt idx="138">
                  <c:v>0.16300000000000001</c:v>
                </c:pt>
                <c:pt idx="139">
                  <c:v>0.17199999999999999</c:v>
                </c:pt>
                <c:pt idx="140">
                  <c:v>0.185</c:v>
                </c:pt>
                <c:pt idx="141">
                  <c:v>0.192</c:v>
                </c:pt>
                <c:pt idx="142">
                  <c:v>0.20300000000000001</c:v>
                </c:pt>
                <c:pt idx="143">
                  <c:v>0.21199999999999999</c:v>
                </c:pt>
                <c:pt idx="144">
                  <c:v>0.223</c:v>
                </c:pt>
                <c:pt idx="145">
                  <c:v>0.23300000000000001</c:v>
                </c:pt>
                <c:pt idx="146">
                  <c:v>0.247</c:v>
                </c:pt>
                <c:pt idx="147">
                  <c:v>0.26300000000000001</c:v>
                </c:pt>
                <c:pt idx="148">
                  <c:v>0.27500000000000002</c:v>
                </c:pt>
                <c:pt idx="149">
                  <c:v>0.29099999999999998</c:v>
                </c:pt>
                <c:pt idx="150">
                  <c:v>0.309</c:v>
                </c:pt>
                <c:pt idx="151">
                  <c:v>0.32600000000000001</c:v>
                </c:pt>
                <c:pt idx="152">
                  <c:v>0.34799999999999998</c:v>
                </c:pt>
                <c:pt idx="153">
                  <c:v>0.372</c:v>
                </c:pt>
                <c:pt idx="154">
                  <c:v>0.39100000000000001</c:v>
                </c:pt>
                <c:pt idx="155">
                  <c:v>0.41799999999999998</c:v>
                </c:pt>
                <c:pt idx="156">
                  <c:v>0.442</c:v>
                </c:pt>
                <c:pt idx="157">
                  <c:v>0.47</c:v>
                </c:pt>
                <c:pt idx="158">
                  <c:v>0.498</c:v>
                </c:pt>
                <c:pt idx="159">
                  <c:v>0.52100000000000002</c:v>
                </c:pt>
                <c:pt idx="160">
                  <c:v>0.54500000000000004</c:v>
                </c:pt>
                <c:pt idx="161">
                  <c:v>0.56899999999999995</c:v>
                </c:pt>
                <c:pt idx="162">
                  <c:v>0.58899999999999997</c:v>
                </c:pt>
                <c:pt idx="163">
                  <c:v>0.60699999999999998</c:v>
                </c:pt>
                <c:pt idx="164">
                  <c:v>0.626</c:v>
                </c:pt>
                <c:pt idx="165">
                  <c:v>0.63600000000000001</c:v>
                </c:pt>
                <c:pt idx="166">
                  <c:v>0.64100000000000001</c:v>
                </c:pt>
                <c:pt idx="167">
                  <c:v>0.65</c:v>
                </c:pt>
                <c:pt idx="168">
                  <c:v>0.65600000000000003</c:v>
                </c:pt>
                <c:pt idx="169">
                  <c:v>0.66100000000000003</c:v>
                </c:pt>
                <c:pt idx="170">
                  <c:v>0.66600000000000004</c:v>
                </c:pt>
                <c:pt idx="171">
                  <c:v>0.66700000000000004</c:v>
                </c:pt>
                <c:pt idx="172">
                  <c:v>0.67600000000000005</c:v>
                </c:pt>
                <c:pt idx="173">
                  <c:v>0.68500000000000005</c:v>
                </c:pt>
                <c:pt idx="174">
                  <c:v>0.69399999999999995</c:v>
                </c:pt>
                <c:pt idx="175">
                  <c:v>0.71199999999999997</c:v>
                </c:pt>
                <c:pt idx="176">
                  <c:v>0.72799999999999998</c:v>
                </c:pt>
                <c:pt idx="177">
                  <c:v>0.748</c:v>
                </c:pt>
                <c:pt idx="178">
                  <c:v>0.76800000000000002</c:v>
                </c:pt>
                <c:pt idx="179">
                  <c:v>0.80300000000000005</c:v>
                </c:pt>
                <c:pt idx="180">
                  <c:v>0.82199999999999995</c:v>
                </c:pt>
                <c:pt idx="181">
                  <c:v>0.85499999999999998</c:v>
                </c:pt>
                <c:pt idx="182">
                  <c:v>0.88500000000000001</c:v>
                </c:pt>
                <c:pt idx="183">
                  <c:v>0.91700000000000004</c:v>
                </c:pt>
                <c:pt idx="184">
                  <c:v>0.95299999999999996</c:v>
                </c:pt>
                <c:pt idx="185">
                  <c:v>0.97899999999999998</c:v>
                </c:pt>
                <c:pt idx="186">
                  <c:v>1.006</c:v>
                </c:pt>
                <c:pt idx="187">
                  <c:v>1.0229999999999999</c:v>
                </c:pt>
                <c:pt idx="188">
                  <c:v>1.038</c:v>
                </c:pt>
                <c:pt idx="189">
                  <c:v>1.052</c:v>
                </c:pt>
                <c:pt idx="190">
                  <c:v>1.0620000000000001</c:v>
                </c:pt>
                <c:pt idx="191">
                  <c:v>1.0620000000000001</c:v>
                </c:pt>
                <c:pt idx="192">
                  <c:v>1.054</c:v>
                </c:pt>
                <c:pt idx="193">
                  <c:v>1.0369999999999999</c:v>
                </c:pt>
                <c:pt idx="194">
                  <c:v>1.0049999999999999</c:v>
                </c:pt>
                <c:pt idx="195">
                  <c:v>0.95899999999999996</c:v>
                </c:pt>
                <c:pt idx="196">
                  <c:v>0.9</c:v>
                </c:pt>
                <c:pt idx="197">
                  <c:v>0.82799999999999996</c:v>
                </c:pt>
                <c:pt idx="198">
                  <c:v>0.752</c:v>
                </c:pt>
                <c:pt idx="199">
                  <c:v>0.65700000000000003</c:v>
                </c:pt>
                <c:pt idx="200">
                  <c:v>0.58099999999999996</c:v>
                </c:pt>
                <c:pt idx="201">
                  <c:v>0.501</c:v>
                </c:pt>
                <c:pt idx="202">
                  <c:v>0.42799999999999999</c:v>
                </c:pt>
                <c:pt idx="203">
                  <c:v>0.35299999999999998</c:v>
                </c:pt>
                <c:pt idx="204">
                  <c:v>0.29099999999999998</c:v>
                </c:pt>
                <c:pt idx="205">
                  <c:v>0.246</c:v>
                </c:pt>
                <c:pt idx="206">
                  <c:v>0.20300000000000001</c:v>
                </c:pt>
                <c:pt idx="207">
                  <c:v>0.16700000000000001</c:v>
                </c:pt>
                <c:pt idx="208">
                  <c:v>0.13900000000000001</c:v>
                </c:pt>
                <c:pt idx="209">
                  <c:v>0.11700000000000001</c:v>
                </c:pt>
                <c:pt idx="210">
                  <c:v>0.10299999999999999</c:v>
                </c:pt>
                <c:pt idx="211">
                  <c:v>8.8999999999999996E-2</c:v>
                </c:pt>
                <c:pt idx="212">
                  <c:v>7.4999999999999997E-2</c:v>
                </c:pt>
                <c:pt idx="213">
                  <c:v>6.0999999999999999E-2</c:v>
                </c:pt>
                <c:pt idx="214">
                  <c:v>5.3999999999999999E-2</c:v>
                </c:pt>
                <c:pt idx="215">
                  <c:v>4.5999999999999999E-2</c:v>
                </c:pt>
                <c:pt idx="216">
                  <c:v>4.2000000000000003E-2</c:v>
                </c:pt>
                <c:pt idx="217">
                  <c:v>3.4000000000000002E-2</c:v>
                </c:pt>
                <c:pt idx="218">
                  <c:v>3.4000000000000002E-2</c:v>
                </c:pt>
                <c:pt idx="219">
                  <c:v>3.3000000000000002E-2</c:v>
                </c:pt>
                <c:pt idx="220">
                  <c:v>2.7E-2</c:v>
                </c:pt>
                <c:pt idx="221">
                  <c:v>2.5999999999999999E-2</c:v>
                </c:pt>
                <c:pt idx="222">
                  <c:v>2.5999999999999999E-2</c:v>
                </c:pt>
                <c:pt idx="223">
                  <c:v>2.4E-2</c:v>
                </c:pt>
                <c:pt idx="224">
                  <c:v>2.1000000000000001E-2</c:v>
                </c:pt>
                <c:pt idx="225">
                  <c:v>0.02</c:v>
                </c:pt>
                <c:pt idx="226">
                  <c:v>1.6E-2</c:v>
                </c:pt>
                <c:pt idx="227">
                  <c:v>1.4E-2</c:v>
                </c:pt>
                <c:pt idx="228">
                  <c:v>1.9E-2</c:v>
                </c:pt>
                <c:pt idx="229">
                  <c:v>1.6E-2</c:v>
                </c:pt>
                <c:pt idx="230">
                  <c:v>1.7999999999999999E-2</c:v>
                </c:pt>
                <c:pt idx="231">
                  <c:v>1.7999999999999999E-2</c:v>
                </c:pt>
                <c:pt idx="232">
                  <c:v>1.4999999999999999E-2</c:v>
                </c:pt>
                <c:pt idx="233">
                  <c:v>1.2999999999999999E-2</c:v>
                </c:pt>
                <c:pt idx="234">
                  <c:v>1.4E-2</c:v>
                </c:pt>
                <c:pt idx="235">
                  <c:v>1.0999999999999999E-2</c:v>
                </c:pt>
                <c:pt idx="236">
                  <c:v>1.4E-2</c:v>
                </c:pt>
                <c:pt idx="237">
                  <c:v>1.6E-2</c:v>
                </c:pt>
                <c:pt idx="238">
                  <c:v>0.01</c:v>
                </c:pt>
                <c:pt idx="239">
                  <c:v>1.2E-2</c:v>
                </c:pt>
                <c:pt idx="240">
                  <c:v>0.01</c:v>
                </c:pt>
                <c:pt idx="241">
                  <c:v>1.2999999999999999E-2</c:v>
                </c:pt>
                <c:pt idx="242">
                  <c:v>0.01</c:v>
                </c:pt>
                <c:pt idx="243">
                  <c:v>1.2E-2</c:v>
                </c:pt>
                <c:pt idx="244">
                  <c:v>1.0999999999999999E-2</c:v>
                </c:pt>
                <c:pt idx="245">
                  <c:v>1.2E-2</c:v>
                </c:pt>
                <c:pt idx="246">
                  <c:v>8.9999999999999993E-3</c:v>
                </c:pt>
                <c:pt idx="247">
                  <c:v>7.0000000000000001E-3</c:v>
                </c:pt>
                <c:pt idx="248">
                  <c:v>1.0999999999999999E-2</c:v>
                </c:pt>
                <c:pt idx="249">
                  <c:v>0.01</c:v>
                </c:pt>
                <c:pt idx="250">
                  <c:v>1.2E-2</c:v>
                </c:pt>
                <c:pt idx="251">
                  <c:v>1.2E-2</c:v>
                </c:pt>
                <c:pt idx="252">
                  <c:v>1.2E-2</c:v>
                </c:pt>
                <c:pt idx="253">
                  <c:v>8.9999999999999993E-3</c:v>
                </c:pt>
                <c:pt idx="254">
                  <c:v>1.0999999999999999E-2</c:v>
                </c:pt>
                <c:pt idx="255">
                  <c:v>7.0000000000000001E-3</c:v>
                </c:pt>
                <c:pt idx="256">
                  <c:v>1.0999999999999999E-2</c:v>
                </c:pt>
                <c:pt idx="257">
                  <c:v>8.9999999999999993E-3</c:v>
                </c:pt>
                <c:pt idx="258">
                  <c:v>1.0999999999999999E-2</c:v>
                </c:pt>
                <c:pt idx="259">
                  <c:v>8.0000000000000002E-3</c:v>
                </c:pt>
                <c:pt idx="260">
                  <c:v>1.2E-2</c:v>
                </c:pt>
              </c:numCache>
            </c:numRef>
          </c:yVal>
          <c:smooth val="1"/>
          <c:extLst>
            <c:ext xmlns:c16="http://schemas.microsoft.com/office/drawing/2014/chart" uri="{C3380CC4-5D6E-409C-BE32-E72D297353CC}">
              <c16:uniqueId val="{00000001-7AD8-4E6E-B711-E22954CD800A}"/>
            </c:ext>
          </c:extLst>
        </c:ser>
        <c:ser>
          <c:idx val="1"/>
          <c:order val="2"/>
          <c:tx>
            <c:v>RMA-2M-500</c:v>
          </c:tx>
          <c:spPr>
            <a:ln w="19050" cap="rnd">
              <a:solidFill>
                <a:srgbClr val="00B050"/>
              </a:solidFill>
              <a:round/>
            </a:ln>
            <a:effectLst/>
          </c:spPr>
          <c:marker>
            <c:symbol val="none"/>
          </c:marker>
          <c:xVal>
            <c:numRef>
              <c:f>'[Graphique dans Microsoft Word]RMA-2M-500'!$I$42:$I$301</c:f>
              <c:numCache>
                <c:formatCode>General</c:formatCode>
                <c:ptCount val="260"/>
                <c:pt idx="0">
                  <c:v>282</c:v>
                </c:pt>
                <c:pt idx="1">
                  <c:v>284</c:v>
                </c:pt>
                <c:pt idx="2">
                  <c:v>286</c:v>
                </c:pt>
                <c:pt idx="3">
                  <c:v>288</c:v>
                </c:pt>
                <c:pt idx="4">
                  <c:v>290</c:v>
                </c:pt>
                <c:pt idx="5">
                  <c:v>292</c:v>
                </c:pt>
                <c:pt idx="6">
                  <c:v>294</c:v>
                </c:pt>
                <c:pt idx="7">
                  <c:v>296</c:v>
                </c:pt>
                <c:pt idx="8">
                  <c:v>298</c:v>
                </c:pt>
                <c:pt idx="9">
                  <c:v>300</c:v>
                </c:pt>
                <c:pt idx="10">
                  <c:v>302</c:v>
                </c:pt>
                <c:pt idx="11">
                  <c:v>304</c:v>
                </c:pt>
                <c:pt idx="12">
                  <c:v>306</c:v>
                </c:pt>
                <c:pt idx="13">
                  <c:v>308</c:v>
                </c:pt>
                <c:pt idx="14">
                  <c:v>310</c:v>
                </c:pt>
                <c:pt idx="15">
                  <c:v>312</c:v>
                </c:pt>
                <c:pt idx="16">
                  <c:v>314</c:v>
                </c:pt>
                <c:pt idx="17">
                  <c:v>316</c:v>
                </c:pt>
                <c:pt idx="18">
                  <c:v>318</c:v>
                </c:pt>
                <c:pt idx="19">
                  <c:v>320</c:v>
                </c:pt>
                <c:pt idx="20">
                  <c:v>322</c:v>
                </c:pt>
                <c:pt idx="21">
                  <c:v>324</c:v>
                </c:pt>
                <c:pt idx="22">
                  <c:v>326</c:v>
                </c:pt>
                <c:pt idx="23">
                  <c:v>328</c:v>
                </c:pt>
                <c:pt idx="24">
                  <c:v>330</c:v>
                </c:pt>
                <c:pt idx="25">
                  <c:v>332</c:v>
                </c:pt>
                <c:pt idx="26">
                  <c:v>334</c:v>
                </c:pt>
                <c:pt idx="27">
                  <c:v>336</c:v>
                </c:pt>
                <c:pt idx="28">
                  <c:v>338</c:v>
                </c:pt>
                <c:pt idx="29">
                  <c:v>340</c:v>
                </c:pt>
                <c:pt idx="30">
                  <c:v>342</c:v>
                </c:pt>
                <c:pt idx="31">
                  <c:v>344</c:v>
                </c:pt>
                <c:pt idx="32">
                  <c:v>346</c:v>
                </c:pt>
                <c:pt idx="33">
                  <c:v>348</c:v>
                </c:pt>
                <c:pt idx="34">
                  <c:v>350</c:v>
                </c:pt>
                <c:pt idx="35">
                  <c:v>352</c:v>
                </c:pt>
                <c:pt idx="36">
                  <c:v>354</c:v>
                </c:pt>
                <c:pt idx="37">
                  <c:v>356</c:v>
                </c:pt>
                <c:pt idx="38">
                  <c:v>358</c:v>
                </c:pt>
                <c:pt idx="39">
                  <c:v>360</c:v>
                </c:pt>
                <c:pt idx="40">
                  <c:v>362</c:v>
                </c:pt>
                <c:pt idx="41">
                  <c:v>364</c:v>
                </c:pt>
                <c:pt idx="42">
                  <c:v>366</c:v>
                </c:pt>
                <c:pt idx="43">
                  <c:v>368</c:v>
                </c:pt>
                <c:pt idx="44">
                  <c:v>370</c:v>
                </c:pt>
                <c:pt idx="45">
                  <c:v>372</c:v>
                </c:pt>
                <c:pt idx="46">
                  <c:v>374</c:v>
                </c:pt>
                <c:pt idx="47">
                  <c:v>376</c:v>
                </c:pt>
                <c:pt idx="48">
                  <c:v>378</c:v>
                </c:pt>
                <c:pt idx="49">
                  <c:v>380</c:v>
                </c:pt>
                <c:pt idx="50">
                  <c:v>382</c:v>
                </c:pt>
                <c:pt idx="51">
                  <c:v>384</c:v>
                </c:pt>
                <c:pt idx="52">
                  <c:v>386</c:v>
                </c:pt>
                <c:pt idx="53">
                  <c:v>388</c:v>
                </c:pt>
                <c:pt idx="54">
                  <c:v>390</c:v>
                </c:pt>
                <c:pt idx="55">
                  <c:v>392</c:v>
                </c:pt>
                <c:pt idx="56">
                  <c:v>394</c:v>
                </c:pt>
                <c:pt idx="57">
                  <c:v>396</c:v>
                </c:pt>
                <c:pt idx="58">
                  <c:v>398</c:v>
                </c:pt>
                <c:pt idx="59">
                  <c:v>400</c:v>
                </c:pt>
                <c:pt idx="60">
                  <c:v>402</c:v>
                </c:pt>
                <c:pt idx="61">
                  <c:v>404</c:v>
                </c:pt>
                <c:pt idx="62">
                  <c:v>406</c:v>
                </c:pt>
                <c:pt idx="63">
                  <c:v>408</c:v>
                </c:pt>
                <c:pt idx="64">
                  <c:v>410</c:v>
                </c:pt>
                <c:pt idx="65">
                  <c:v>412</c:v>
                </c:pt>
                <c:pt idx="66">
                  <c:v>414</c:v>
                </c:pt>
                <c:pt idx="67">
                  <c:v>416</c:v>
                </c:pt>
                <c:pt idx="68">
                  <c:v>418</c:v>
                </c:pt>
                <c:pt idx="69">
                  <c:v>420</c:v>
                </c:pt>
                <c:pt idx="70">
                  <c:v>422</c:v>
                </c:pt>
                <c:pt idx="71">
                  <c:v>424</c:v>
                </c:pt>
                <c:pt idx="72">
                  <c:v>426</c:v>
                </c:pt>
                <c:pt idx="73">
                  <c:v>428</c:v>
                </c:pt>
                <c:pt idx="74">
                  <c:v>430</c:v>
                </c:pt>
                <c:pt idx="75">
                  <c:v>432</c:v>
                </c:pt>
                <c:pt idx="76">
                  <c:v>434</c:v>
                </c:pt>
                <c:pt idx="77">
                  <c:v>436</c:v>
                </c:pt>
                <c:pt idx="78">
                  <c:v>438</c:v>
                </c:pt>
                <c:pt idx="79">
                  <c:v>440</c:v>
                </c:pt>
                <c:pt idx="80">
                  <c:v>442</c:v>
                </c:pt>
                <c:pt idx="81">
                  <c:v>444</c:v>
                </c:pt>
                <c:pt idx="82">
                  <c:v>446</c:v>
                </c:pt>
                <c:pt idx="83">
                  <c:v>448</c:v>
                </c:pt>
                <c:pt idx="84">
                  <c:v>450</c:v>
                </c:pt>
                <c:pt idx="85">
                  <c:v>452</c:v>
                </c:pt>
                <c:pt idx="86">
                  <c:v>454</c:v>
                </c:pt>
                <c:pt idx="87">
                  <c:v>456</c:v>
                </c:pt>
                <c:pt idx="88">
                  <c:v>458</c:v>
                </c:pt>
                <c:pt idx="89">
                  <c:v>460</c:v>
                </c:pt>
                <c:pt idx="90">
                  <c:v>462</c:v>
                </c:pt>
                <c:pt idx="91">
                  <c:v>464</c:v>
                </c:pt>
                <c:pt idx="92">
                  <c:v>466</c:v>
                </c:pt>
                <c:pt idx="93">
                  <c:v>468</c:v>
                </c:pt>
                <c:pt idx="94">
                  <c:v>470</c:v>
                </c:pt>
                <c:pt idx="95">
                  <c:v>472</c:v>
                </c:pt>
                <c:pt idx="96">
                  <c:v>474</c:v>
                </c:pt>
                <c:pt idx="97">
                  <c:v>476</c:v>
                </c:pt>
                <c:pt idx="98">
                  <c:v>478</c:v>
                </c:pt>
                <c:pt idx="99">
                  <c:v>480</c:v>
                </c:pt>
                <c:pt idx="100">
                  <c:v>482</c:v>
                </c:pt>
                <c:pt idx="101">
                  <c:v>484</c:v>
                </c:pt>
                <c:pt idx="102">
                  <c:v>486</c:v>
                </c:pt>
                <c:pt idx="103">
                  <c:v>488</c:v>
                </c:pt>
                <c:pt idx="104">
                  <c:v>490</c:v>
                </c:pt>
                <c:pt idx="105">
                  <c:v>492</c:v>
                </c:pt>
                <c:pt idx="106">
                  <c:v>494</c:v>
                </c:pt>
                <c:pt idx="107">
                  <c:v>496</c:v>
                </c:pt>
                <c:pt idx="108">
                  <c:v>498</c:v>
                </c:pt>
                <c:pt idx="109">
                  <c:v>500</c:v>
                </c:pt>
                <c:pt idx="110">
                  <c:v>502</c:v>
                </c:pt>
                <c:pt idx="111">
                  <c:v>504</c:v>
                </c:pt>
                <c:pt idx="112">
                  <c:v>506</c:v>
                </c:pt>
                <c:pt idx="113">
                  <c:v>508</c:v>
                </c:pt>
                <c:pt idx="114">
                  <c:v>510</c:v>
                </c:pt>
                <c:pt idx="115">
                  <c:v>512</c:v>
                </c:pt>
                <c:pt idx="116">
                  <c:v>514</c:v>
                </c:pt>
                <c:pt idx="117">
                  <c:v>516</c:v>
                </c:pt>
                <c:pt idx="118">
                  <c:v>518</c:v>
                </c:pt>
                <c:pt idx="119">
                  <c:v>520</c:v>
                </c:pt>
                <c:pt idx="120">
                  <c:v>522</c:v>
                </c:pt>
                <c:pt idx="121">
                  <c:v>524</c:v>
                </c:pt>
                <c:pt idx="122">
                  <c:v>526</c:v>
                </c:pt>
                <c:pt idx="123">
                  <c:v>528</c:v>
                </c:pt>
                <c:pt idx="124">
                  <c:v>530</c:v>
                </c:pt>
                <c:pt idx="125">
                  <c:v>532</c:v>
                </c:pt>
                <c:pt idx="126">
                  <c:v>534</c:v>
                </c:pt>
                <c:pt idx="127">
                  <c:v>536</c:v>
                </c:pt>
                <c:pt idx="128">
                  <c:v>538</c:v>
                </c:pt>
                <c:pt idx="129">
                  <c:v>540</c:v>
                </c:pt>
                <c:pt idx="130">
                  <c:v>542</c:v>
                </c:pt>
                <c:pt idx="131">
                  <c:v>544</c:v>
                </c:pt>
                <c:pt idx="132">
                  <c:v>546</c:v>
                </c:pt>
                <c:pt idx="133">
                  <c:v>548</c:v>
                </c:pt>
                <c:pt idx="134">
                  <c:v>550</c:v>
                </c:pt>
                <c:pt idx="135">
                  <c:v>552</c:v>
                </c:pt>
                <c:pt idx="136">
                  <c:v>554</c:v>
                </c:pt>
                <c:pt idx="137">
                  <c:v>556</c:v>
                </c:pt>
                <c:pt idx="138">
                  <c:v>558</c:v>
                </c:pt>
                <c:pt idx="139">
                  <c:v>560</c:v>
                </c:pt>
                <c:pt idx="140">
                  <c:v>562</c:v>
                </c:pt>
                <c:pt idx="141">
                  <c:v>564</c:v>
                </c:pt>
                <c:pt idx="142">
                  <c:v>566</c:v>
                </c:pt>
                <c:pt idx="143">
                  <c:v>568</c:v>
                </c:pt>
                <c:pt idx="144">
                  <c:v>570</c:v>
                </c:pt>
                <c:pt idx="145">
                  <c:v>572</c:v>
                </c:pt>
                <c:pt idx="146">
                  <c:v>574</c:v>
                </c:pt>
                <c:pt idx="147">
                  <c:v>576</c:v>
                </c:pt>
                <c:pt idx="148">
                  <c:v>578</c:v>
                </c:pt>
                <c:pt idx="149">
                  <c:v>580</c:v>
                </c:pt>
                <c:pt idx="150">
                  <c:v>582</c:v>
                </c:pt>
                <c:pt idx="151">
                  <c:v>584</c:v>
                </c:pt>
                <c:pt idx="152">
                  <c:v>586</c:v>
                </c:pt>
                <c:pt idx="153">
                  <c:v>588</c:v>
                </c:pt>
                <c:pt idx="154">
                  <c:v>590</c:v>
                </c:pt>
                <c:pt idx="155">
                  <c:v>592</c:v>
                </c:pt>
                <c:pt idx="156">
                  <c:v>594</c:v>
                </c:pt>
                <c:pt idx="157">
                  <c:v>596</c:v>
                </c:pt>
                <c:pt idx="158">
                  <c:v>598</c:v>
                </c:pt>
                <c:pt idx="159">
                  <c:v>600</c:v>
                </c:pt>
                <c:pt idx="160">
                  <c:v>602</c:v>
                </c:pt>
                <c:pt idx="161">
                  <c:v>604</c:v>
                </c:pt>
                <c:pt idx="162">
                  <c:v>606</c:v>
                </c:pt>
                <c:pt idx="163">
                  <c:v>608</c:v>
                </c:pt>
                <c:pt idx="164">
                  <c:v>610</c:v>
                </c:pt>
                <c:pt idx="165">
                  <c:v>612</c:v>
                </c:pt>
                <c:pt idx="166">
                  <c:v>614</c:v>
                </c:pt>
                <c:pt idx="167">
                  <c:v>616</c:v>
                </c:pt>
                <c:pt idx="168">
                  <c:v>618</c:v>
                </c:pt>
                <c:pt idx="169">
                  <c:v>620</c:v>
                </c:pt>
                <c:pt idx="170">
                  <c:v>622</c:v>
                </c:pt>
                <c:pt idx="171">
                  <c:v>624</c:v>
                </c:pt>
                <c:pt idx="172">
                  <c:v>626</c:v>
                </c:pt>
                <c:pt idx="173">
                  <c:v>628</c:v>
                </c:pt>
                <c:pt idx="174">
                  <c:v>630</c:v>
                </c:pt>
                <c:pt idx="175">
                  <c:v>632</c:v>
                </c:pt>
                <c:pt idx="176">
                  <c:v>634</c:v>
                </c:pt>
                <c:pt idx="177">
                  <c:v>636</c:v>
                </c:pt>
                <c:pt idx="178">
                  <c:v>638</c:v>
                </c:pt>
                <c:pt idx="179">
                  <c:v>640</c:v>
                </c:pt>
                <c:pt idx="180">
                  <c:v>642</c:v>
                </c:pt>
                <c:pt idx="181">
                  <c:v>644</c:v>
                </c:pt>
                <c:pt idx="182">
                  <c:v>646</c:v>
                </c:pt>
                <c:pt idx="183">
                  <c:v>648</c:v>
                </c:pt>
                <c:pt idx="184">
                  <c:v>650</c:v>
                </c:pt>
                <c:pt idx="185">
                  <c:v>652</c:v>
                </c:pt>
                <c:pt idx="186">
                  <c:v>654</c:v>
                </c:pt>
                <c:pt idx="187">
                  <c:v>656</c:v>
                </c:pt>
                <c:pt idx="188">
                  <c:v>658</c:v>
                </c:pt>
                <c:pt idx="189">
                  <c:v>660</c:v>
                </c:pt>
                <c:pt idx="190">
                  <c:v>662</c:v>
                </c:pt>
                <c:pt idx="191">
                  <c:v>664</c:v>
                </c:pt>
                <c:pt idx="192">
                  <c:v>666</c:v>
                </c:pt>
                <c:pt idx="193">
                  <c:v>668</c:v>
                </c:pt>
                <c:pt idx="194">
                  <c:v>670</c:v>
                </c:pt>
                <c:pt idx="195">
                  <c:v>672</c:v>
                </c:pt>
                <c:pt idx="196">
                  <c:v>674</c:v>
                </c:pt>
                <c:pt idx="197">
                  <c:v>676</c:v>
                </c:pt>
                <c:pt idx="198">
                  <c:v>678</c:v>
                </c:pt>
                <c:pt idx="199">
                  <c:v>680</c:v>
                </c:pt>
                <c:pt idx="200">
                  <c:v>682</c:v>
                </c:pt>
                <c:pt idx="201">
                  <c:v>684</c:v>
                </c:pt>
                <c:pt idx="202">
                  <c:v>686</c:v>
                </c:pt>
                <c:pt idx="203">
                  <c:v>688</c:v>
                </c:pt>
                <c:pt idx="204">
                  <c:v>690</c:v>
                </c:pt>
                <c:pt idx="205">
                  <c:v>692</c:v>
                </c:pt>
                <c:pt idx="206">
                  <c:v>694</c:v>
                </c:pt>
                <c:pt idx="207">
                  <c:v>696</c:v>
                </c:pt>
                <c:pt idx="208">
                  <c:v>698</c:v>
                </c:pt>
                <c:pt idx="209">
                  <c:v>700</c:v>
                </c:pt>
                <c:pt idx="210">
                  <c:v>702</c:v>
                </c:pt>
                <c:pt idx="211">
                  <c:v>704</c:v>
                </c:pt>
                <c:pt idx="212">
                  <c:v>706</c:v>
                </c:pt>
                <c:pt idx="213">
                  <c:v>708</c:v>
                </c:pt>
                <c:pt idx="214">
                  <c:v>710</c:v>
                </c:pt>
                <c:pt idx="215">
                  <c:v>712</c:v>
                </c:pt>
                <c:pt idx="216">
                  <c:v>714</c:v>
                </c:pt>
                <c:pt idx="217">
                  <c:v>716</c:v>
                </c:pt>
                <c:pt idx="218">
                  <c:v>718</c:v>
                </c:pt>
                <c:pt idx="219">
                  <c:v>720</c:v>
                </c:pt>
                <c:pt idx="220">
                  <c:v>722</c:v>
                </c:pt>
                <c:pt idx="221">
                  <c:v>724</c:v>
                </c:pt>
                <c:pt idx="222">
                  <c:v>726</c:v>
                </c:pt>
                <c:pt idx="223">
                  <c:v>728</c:v>
                </c:pt>
                <c:pt idx="224">
                  <c:v>730</c:v>
                </c:pt>
                <c:pt idx="225">
                  <c:v>732</c:v>
                </c:pt>
                <c:pt idx="226">
                  <c:v>734</c:v>
                </c:pt>
                <c:pt idx="227">
                  <c:v>736</c:v>
                </c:pt>
                <c:pt idx="228">
                  <c:v>738</c:v>
                </c:pt>
                <c:pt idx="229">
                  <c:v>740</c:v>
                </c:pt>
                <c:pt idx="230">
                  <c:v>742</c:v>
                </c:pt>
                <c:pt idx="231">
                  <c:v>744</c:v>
                </c:pt>
                <c:pt idx="232">
                  <c:v>746</c:v>
                </c:pt>
                <c:pt idx="233">
                  <c:v>748</c:v>
                </c:pt>
                <c:pt idx="234">
                  <c:v>750</c:v>
                </c:pt>
                <c:pt idx="235">
                  <c:v>752</c:v>
                </c:pt>
                <c:pt idx="236">
                  <c:v>754</c:v>
                </c:pt>
                <c:pt idx="237">
                  <c:v>756</c:v>
                </c:pt>
                <c:pt idx="238">
                  <c:v>758</c:v>
                </c:pt>
                <c:pt idx="239">
                  <c:v>760</c:v>
                </c:pt>
                <c:pt idx="240">
                  <c:v>762</c:v>
                </c:pt>
                <c:pt idx="241">
                  <c:v>764</c:v>
                </c:pt>
                <c:pt idx="242">
                  <c:v>766</c:v>
                </c:pt>
                <c:pt idx="243">
                  <c:v>768</c:v>
                </c:pt>
                <c:pt idx="244">
                  <c:v>770</c:v>
                </c:pt>
                <c:pt idx="245">
                  <c:v>772</c:v>
                </c:pt>
                <c:pt idx="246">
                  <c:v>774</c:v>
                </c:pt>
                <c:pt idx="247">
                  <c:v>776</c:v>
                </c:pt>
                <c:pt idx="248">
                  <c:v>778</c:v>
                </c:pt>
                <c:pt idx="249">
                  <c:v>780</c:v>
                </c:pt>
                <c:pt idx="250">
                  <c:v>782</c:v>
                </c:pt>
                <c:pt idx="251">
                  <c:v>784</c:v>
                </c:pt>
                <c:pt idx="252">
                  <c:v>786</c:v>
                </c:pt>
                <c:pt idx="253">
                  <c:v>788</c:v>
                </c:pt>
                <c:pt idx="254">
                  <c:v>790</c:v>
                </c:pt>
                <c:pt idx="255">
                  <c:v>792</c:v>
                </c:pt>
                <c:pt idx="256">
                  <c:v>794</c:v>
                </c:pt>
                <c:pt idx="257">
                  <c:v>796</c:v>
                </c:pt>
                <c:pt idx="258">
                  <c:v>798</c:v>
                </c:pt>
                <c:pt idx="259">
                  <c:v>800</c:v>
                </c:pt>
              </c:numCache>
            </c:numRef>
          </c:xVal>
          <c:yVal>
            <c:numRef>
              <c:f>'[Graphique dans Microsoft Word]RMA-2M-500'!$J$42:$J$301</c:f>
              <c:numCache>
                <c:formatCode>General</c:formatCode>
                <c:ptCount val="260"/>
                <c:pt idx="0">
                  <c:v>5.6000000000000001E-2</c:v>
                </c:pt>
                <c:pt idx="1">
                  <c:v>0.14199999999999999</c:v>
                </c:pt>
                <c:pt idx="2">
                  <c:v>0.215</c:v>
                </c:pt>
                <c:pt idx="3">
                  <c:v>0.27900000000000003</c:v>
                </c:pt>
                <c:pt idx="4">
                  <c:v>0.32600000000000001</c:v>
                </c:pt>
                <c:pt idx="5">
                  <c:v>0.34599999999999997</c:v>
                </c:pt>
                <c:pt idx="6">
                  <c:v>0.34499999999999997</c:v>
                </c:pt>
                <c:pt idx="7">
                  <c:v>0.33200000000000002</c:v>
                </c:pt>
                <c:pt idx="8">
                  <c:v>0.30599999999999999</c:v>
                </c:pt>
                <c:pt idx="9">
                  <c:v>0.27900000000000003</c:v>
                </c:pt>
                <c:pt idx="10">
                  <c:v>0.24099999999999999</c:v>
                </c:pt>
                <c:pt idx="11">
                  <c:v>0.21</c:v>
                </c:pt>
                <c:pt idx="12">
                  <c:v>0.18</c:v>
                </c:pt>
                <c:pt idx="13">
                  <c:v>0.159</c:v>
                </c:pt>
                <c:pt idx="14">
                  <c:v>0.14599999999999999</c:v>
                </c:pt>
                <c:pt idx="15">
                  <c:v>0.13600000000000001</c:v>
                </c:pt>
                <c:pt idx="16">
                  <c:v>0.13500000000000001</c:v>
                </c:pt>
                <c:pt idx="17">
                  <c:v>0.128</c:v>
                </c:pt>
                <c:pt idx="18">
                  <c:v>0.127</c:v>
                </c:pt>
                <c:pt idx="19">
                  <c:v>0.125</c:v>
                </c:pt>
                <c:pt idx="20">
                  <c:v>0.11899999999999999</c:v>
                </c:pt>
                <c:pt idx="21">
                  <c:v>0.11899999999999999</c:v>
                </c:pt>
                <c:pt idx="22">
                  <c:v>0.121</c:v>
                </c:pt>
                <c:pt idx="23">
                  <c:v>0.112</c:v>
                </c:pt>
                <c:pt idx="24">
                  <c:v>0.108</c:v>
                </c:pt>
                <c:pt idx="25">
                  <c:v>0.10100000000000001</c:v>
                </c:pt>
                <c:pt idx="26">
                  <c:v>9.2999999999999999E-2</c:v>
                </c:pt>
                <c:pt idx="27">
                  <c:v>8.4000000000000005E-2</c:v>
                </c:pt>
                <c:pt idx="28">
                  <c:v>0.08</c:v>
                </c:pt>
                <c:pt idx="29">
                  <c:v>7.1999999999999995E-2</c:v>
                </c:pt>
                <c:pt idx="30">
                  <c:v>6.4000000000000001E-2</c:v>
                </c:pt>
                <c:pt idx="31">
                  <c:v>6.2E-2</c:v>
                </c:pt>
                <c:pt idx="32">
                  <c:v>5.8999999999999997E-2</c:v>
                </c:pt>
                <c:pt idx="33">
                  <c:v>5.8000000000000003E-2</c:v>
                </c:pt>
                <c:pt idx="34">
                  <c:v>5.5E-2</c:v>
                </c:pt>
                <c:pt idx="35">
                  <c:v>5.5E-2</c:v>
                </c:pt>
                <c:pt idx="36">
                  <c:v>5.1999999999999998E-2</c:v>
                </c:pt>
                <c:pt idx="37">
                  <c:v>0.05</c:v>
                </c:pt>
                <c:pt idx="38">
                  <c:v>0.05</c:v>
                </c:pt>
                <c:pt idx="39">
                  <c:v>4.8000000000000001E-2</c:v>
                </c:pt>
                <c:pt idx="40">
                  <c:v>4.9000000000000002E-2</c:v>
                </c:pt>
                <c:pt idx="41">
                  <c:v>4.4999999999999998E-2</c:v>
                </c:pt>
                <c:pt idx="42">
                  <c:v>4.5999999999999999E-2</c:v>
                </c:pt>
                <c:pt idx="43">
                  <c:v>4.7E-2</c:v>
                </c:pt>
                <c:pt idx="44">
                  <c:v>4.5999999999999999E-2</c:v>
                </c:pt>
                <c:pt idx="45">
                  <c:v>4.5999999999999999E-2</c:v>
                </c:pt>
                <c:pt idx="46">
                  <c:v>4.7E-2</c:v>
                </c:pt>
                <c:pt idx="47">
                  <c:v>4.3999999999999997E-2</c:v>
                </c:pt>
                <c:pt idx="48">
                  <c:v>4.2999999999999997E-2</c:v>
                </c:pt>
                <c:pt idx="49">
                  <c:v>4.2999999999999997E-2</c:v>
                </c:pt>
                <c:pt idx="50">
                  <c:v>4.1000000000000002E-2</c:v>
                </c:pt>
                <c:pt idx="51">
                  <c:v>3.5999999999999997E-2</c:v>
                </c:pt>
                <c:pt idx="52">
                  <c:v>0.04</c:v>
                </c:pt>
                <c:pt idx="53">
                  <c:v>4.2000000000000003E-2</c:v>
                </c:pt>
                <c:pt idx="54">
                  <c:v>4.2999999999999997E-2</c:v>
                </c:pt>
                <c:pt idx="55">
                  <c:v>4.5999999999999999E-2</c:v>
                </c:pt>
                <c:pt idx="56">
                  <c:v>0.04</c:v>
                </c:pt>
                <c:pt idx="57">
                  <c:v>4.1000000000000002E-2</c:v>
                </c:pt>
                <c:pt idx="58">
                  <c:v>4.3999999999999997E-2</c:v>
                </c:pt>
                <c:pt idx="59">
                  <c:v>0.04</c:v>
                </c:pt>
                <c:pt idx="60">
                  <c:v>3.9E-2</c:v>
                </c:pt>
                <c:pt idx="61">
                  <c:v>3.6999999999999998E-2</c:v>
                </c:pt>
                <c:pt idx="62">
                  <c:v>3.9E-2</c:v>
                </c:pt>
                <c:pt idx="63">
                  <c:v>3.5999999999999997E-2</c:v>
                </c:pt>
                <c:pt idx="64">
                  <c:v>3.5999999999999997E-2</c:v>
                </c:pt>
                <c:pt idx="65">
                  <c:v>3.4000000000000002E-2</c:v>
                </c:pt>
                <c:pt idx="66">
                  <c:v>3.2000000000000001E-2</c:v>
                </c:pt>
                <c:pt idx="67">
                  <c:v>3.9E-2</c:v>
                </c:pt>
                <c:pt idx="68">
                  <c:v>2.8000000000000001E-2</c:v>
                </c:pt>
                <c:pt idx="69">
                  <c:v>3.5999999999999997E-2</c:v>
                </c:pt>
                <c:pt idx="70">
                  <c:v>3.4000000000000002E-2</c:v>
                </c:pt>
                <c:pt idx="71">
                  <c:v>3.1E-2</c:v>
                </c:pt>
                <c:pt idx="72">
                  <c:v>3.9E-2</c:v>
                </c:pt>
                <c:pt idx="73">
                  <c:v>3.2000000000000001E-2</c:v>
                </c:pt>
                <c:pt idx="74">
                  <c:v>3.4000000000000002E-2</c:v>
                </c:pt>
                <c:pt idx="75">
                  <c:v>3.3000000000000002E-2</c:v>
                </c:pt>
                <c:pt idx="76">
                  <c:v>3.6999999999999998E-2</c:v>
                </c:pt>
                <c:pt idx="77">
                  <c:v>3.3000000000000002E-2</c:v>
                </c:pt>
                <c:pt idx="78">
                  <c:v>3.9E-2</c:v>
                </c:pt>
                <c:pt idx="79">
                  <c:v>3.6999999999999998E-2</c:v>
                </c:pt>
                <c:pt idx="80">
                  <c:v>3.6999999999999998E-2</c:v>
                </c:pt>
                <c:pt idx="81">
                  <c:v>3.5000000000000003E-2</c:v>
                </c:pt>
                <c:pt idx="82">
                  <c:v>3.5999999999999997E-2</c:v>
                </c:pt>
                <c:pt idx="83">
                  <c:v>4.1000000000000002E-2</c:v>
                </c:pt>
                <c:pt idx="84">
                  <c:v>0.04</c:v>
                </c:pt>
                <c:pt idx="85">
                  <c:v>0.04</c:v>
                </c:pt>
                <c:pt idx="86">
                  <c:v>0.04</c:v>
                </c:pt>
                <c:pt idx="87">
                  <c:v>0.04</c:v>
                </c:pt>
                <c:pt idx="88">
                  <c:v>4.1000000000000002E-2</c:v>
                </c:pt>
                <c:pt idx="89">
                  <c:v>4.1000000000000002E-2</c:v>
                </c:pt>
                <c:pt idx="90">
                  <c:v>4.2000000000000003E-2</c:v>
                </c:pt>
                <c:pt idx="91">
                  <c:v>0.04</c:v>
                </c:pt>
                <c:pt idx="92">
                  <c:v>4.2999999999999997E-2</c:v>
                </c:pt>
                <c:pt idx="93">
                  <c:v>0.04</c:v>
                </c:pt>
                <c:pt idx="94">
                  <c:v>4.2999999999999997E-2</c:v>
                </c:pt>
                <c:pt idx="95">
                  <c:v>4.5999999999999999E-2</c:v>
                </c:pt>
                <c:pt idx="96">
                  <c:v>4.8000000000000001E-2</c:v>
                </c:pt>
                <c:pt idx="97">
                  <c:v>4.8000000000000001E-2</c:v>
                </c:pt>
                <c:pt idx="98">
                  <c:v>4.8000000000000001E-2</c:v>
                </c:pt>
                <c:pt idx="99">
                  <c:v>4.8000000000000001E-2</c:v>
                </c:pt>
                <c:pt idx="100">
                  <c:v>4.4999999999999998E-2</c:v>
                </c:pt>
                <c:pt idx="101">
                  <c:v>5.1999999999999998E-2</c:v>
                </c:pt>
                <c:pt idx="102">
                  <c:v>5.3999999999999999E-2</c:v>
                </c:pt>
                <c:pt idx="103">
                  <c:v>5.0999999999999997E-2</c:v>
                </c:pt>
                <c:pt idx="104">
                  <c:v>4.9000000000000002E-2</c:v>
                </c:pt>
                <c:pt idx="105">
                  <c:v>5.2999999999999999E-2</c:v>
                </c:pt>
                <c:pt idx="106">
                  <c:v>5.0999999999999997E-2</c:v>
                </c:pt>
                <c:pt idx="107">
                  <c:v>5.1999999999999998E-2</c:v>
                </c:pt>
                <c:pt idx="108">
                  <c:v>0.05</c:v>
                </c:pt>
                <c:pt idx="109">
                  <c:v>5.3999999999999999E-2</c:v>
                </c:pt>
                <c:pt idx="110">
                  <c:v>5.6000000000000001E-2</c:v>
                </c:pt>
                <c:pt idx="111">
                  <c:v>4.9000000000000002E-2</c:v>
                </c:pt>
                <c:pt idx="112">
                  <c:v>5.1999999999999998E-2</c:v>
                </c:pt>
                <c:pt idx="113">
                  <c:v>5.3999999999999999E-2</c:v>
                </c:pt>
                <c:pt idx="114">
                  <c:v>5.2999999999999999E-2</c:v>
                </c:pt>
                <c:pt idx="115">
                  <c:v>5.6000000000000001E-2</c:v>
                </c:pt>
                <c:pt idx="116">
                  <c:v>5.6000000000000001E-2</c:v>
                </c:pt>
                <c:pt idx="117">
                  <c:v>5.8000000000000003E-2</c:v>
                </c:pt>
                <c:pt idx="118">
                  <c:v>5.5E-2</c:v>
                </c:pt>
                <c:pt idx="119">
                  <c:v>5.5E-2</c:v>
                </c:pt>
                <c:pt idx="120">
                  <c:v>6.0999999999999999E-2</c:v>
                </c:pt>
                <c:pt idx="121">
                  <c:v>0.06</c:v>
                </c:pt>
                <c:pt idx="122">
                  <c:v>6.2E-2</c:v>
                </c:pt>
                <c:pt idx="123">
                  <c:v>6.0999999999999999E-2</c:v>
                </c:pt>
                <c:pt idx="124">
                  <c:v>6.5000000000000002E-2</c:v>
                </c:pt>
                <c:pt idx="125">
                  <c:v>6.4000000000000001E-2</c:v>
                </c:pt>
                <c:pt idx="126">
                  <c:v>6.4000000000000001E-2</c:v>
                </c:pt>
                <c:pt idx="127">
                  <c:v>6.9000000000000006E-2</c:v>
                </c:pt>
                <c:pt idx="128">
                  <c:v>7.0000000000000007E-2</c:v>
                </c:pt>
                <c:pt idx="129">
                  <c:v>0.08</c:v>
                </c:pt>
                <c:pt idx="130">
                  <c:v>8.1000000000000003E-2</c:v>
                </c:pt>
                <c:pt idx="131">
                  <c:v>8.7999999999999995E-2</c:v>
                </c:pt>
                <c:pt idx="132">
                  <c:v>8.4000000000000005E-2</c:v>
                </c:pt>
                <c:pt idx="133">
                  <c:v>9.1999999999999998E-2</c:v>
                </c:pt>
                <c:pt idx="134">
                  <c:v>9.6000000000000002E-2</c:v>
                </c:pt>
                <c:pt idx="135">
                  <c:v>0.10199999999999999</c:v>
                </c:pt>
                <c:pt idx="136">
                  <c:v>0.108</c:v>
                </c:pt>
                <c:pt idx="137">
                  <c:v>0.11</c:v>
                </c:pt>
                <c:pt idx="138">
                  <c:v>0.114</c:v>
                </c:pt>
                <c:pt idx="139">
                  <c:v>0.123</c:v>
                </c:pt>
                <c:pt idx="140">
                  <c:v>0.125</c:v>
                </c:pt>
                <c:pt idx="141">
                  <c:v>0.13300000000000001</c:v>
                </c:pt>
                <c:pt idx="142">
                  <c:v>0.13600000000000001</c:v>
                </c:pt>
                <c:pt idx="143">
                  <c:v>0.14599999999999999</c:v>
                </c:pt>
                <c:pt idx="144">
                  <c:v>0.151</c:v>
                </c:pt>
                <c:pt idx="145">
                  <c:v>0.16300000000000001</c:v>
                </c:pt>
                <c:pt idx="146">
                  <c:v>0.17</c:v>
                </c:pt>
                <c:pt idx="147">
                  <c:v>0.17599999999999999</c:v>
                </c:pt>
                <c:pt idx="148">
                  <c:v>0.186</c:v>
                </c:pt>
                <c:pt idx="149">
                  <c:v>0.19400000000000001</c:v>
                </c:pt>
                <c:pt idx="150">
                  <c:v>0.20699999999999999</c:v>
                </c:pt>
                <c:pt idx="151">
                  <c:v>0.223</c:v>
                </c:pt>
                <c:pt idx="152">
                  <c:v>0.23499999999999999</c:v>
                </c:pt>
                <c:pt idx="153">
                  <c:v>0.245</c:v>
                </c:pt>
                <c:pt idx="154">
                  <c:v>0.26200000000000001</c:v>
                </c:pt>
                <c:pt idx="155">
                  <c:v>0.27600000000000002</c:v>
                </c:pt>
                <c:pt idx="156">
                  <c:v>0.29299999999999998</c:v>
                </c:pt>
                <c:pt idx="157">
                  <c:v>0.308</c:v>
                </c:pt>
                <c:pt idx="158">
                  <c:v>0.32500000000000001</c:v>
                </c:pt>
                <c:pt idx="159">
                  <c:v>0.34100000000000003</c:v>
                </c:pt>
                <c:pt idx="160">
                  <c:v>0.35099999999999998</c:v>
                </c:pt>
                <c:pt idx="161">
                  <c:v>0.36799999999999999</c:v>
                </c:pt>
                <c:pt idx="162">
                  <c:v>0.379</c:v>
                </c:pt>
                <c:pt idx="163">
                  <c:v>0.39200000000000002</c:v>
                </c:pt>
                <c:pt idx="164">
                  <c:v>0.39900000000000002</c:v>
                </c:pt>
                <c:pt idx="165">
                  <c:v>0.40400000000000003</c:v>
                </c:pt>
                <c:pt idx="166">
                  <c:v>0.41</c:v>
                </c:pt>
                <c:pt idx="167">
                  <c:v>0.41599999999999998</c:v>
                </c:pt>
                <c:pt idx="168">
                  <c:v>0.41799999999999998</c:v>
                </c:pt>
                <c:pt idx="169">
                  <c:v>0.42399999999999999</c:v>
                </c:pt>
                <c:pt idx="170">
                  <c:v>0.42599999999999999</c:v>
                </c:pt>
                <c:pt idx="171">
                  <c:v>0.436</c:v>
                </c:pt>
                <c:pt idx="172">
                  <c:v>0.44</c:v>
                </c:pt>
                <c:pt idx="173">
                  <c:v>0.44900000000000001</c:v>
                </c:pt>
                <c:pt idx="174">
                  <c:v>0.46</c:v>
                </c:pt>
                <c:pt idx="175">
                  <c:v>0.47199999999999998</c:v>
                </c:pt>
                <c:pt idx="176">
                  <c:v>0.48399999999999999</c:v>
                </c:pt>
                <c:pt idx="177">
                  <c:v>0.498</c:v>
                </c:pt>
                <c:pt idx="178">
                  <c:v>0.52100000000000002</c:v>
                </c:pt>
                <c:pt idx="179">
                  <c:v>0.53400000000000003</c:v>
                </c:pt>
                <c:pt idx="180">
                  <c:v>0.55500000000000005</c:v>
                </c:pt>
                <c:pt idx="181">
                  <c:v>0.57599999999999996</c:v>
                </c:pt>
                <c:pt idx="182">
                  <c:v>0.59699999999999998</c:v>
                </c:pt>
                <c:pt idx="183">
                  <c:v>0.622</c:v>
                </c:pt>
                <c:pt idx="184">
                  <c:v>0.64</c:v>
                </c:pt>
                <c:pt idx="185">
                  <c:v>0.65400000000000003</c:v>
                </c:pt>
                <c:pt idx="186">
                  <c:v>0.66800000000000004</c:v>
                </c:pt>
                <c:pt idx="187">
                  <c:v>0.67900000000000005</c:v>
                </c:pt>
                <c:pt idx="188">
                  <c:v>0.68700000000000006</c:v>
                </c:pt>
                <c:pt idx="189">
                  <c:v>0.69</c:v>
                </c:pt>
                <c:pt idx="190">
                  <c:v>0.69499999999999995</c:v>
                </c:pt>
                <c:pt idx="191">
                  <c:v>0.69099999999999995</c:v>
                </c:pt>
                <c:pt idx="192">
                  <c:v>0.68100000000000005</c:v>
                </c:pt>
                <c:pt idx="193">
                  <c:v>0.65900000000000003</c:v>
                </c:pt>
                <c:pt idx="194">
                  <c:v>0.63</c:v>
                </c:pt>
                <c:pt idx="195">
                  <c:v>0.59099999999999997</c:v>
                </c:pt>
                <c:pt idx="196">
                  <c:v>0.54500000000000004</c:v>
                </c:pt>
                <c:pt idx="197">
                  <c:v>0.497</c:v>
                </c:pt>
                <c:pt idx="198">
                  <c:v>0.434</c:v>
                </c:pt>
                <c:pt idx="199">
                  <c:v>0.38600000000000001</c:v>
                </c:pt>
                <c:pt idx="200">
                  <c:v>0.33100000000000002</c:v>
                </c:pt>
                <c:pt idx="201">
                  <c:v>0.28499999999999998</c:v>
                </c:pt>
                <c:pt idx="202">
                  <c:v>0.23799999999999999</c:v>
                </c:pt>
                <c:pt idx="203">
                  <c:v>0.19700000000000001</c:v>
                </c:pt>
                <c:pt idx="204">
                  <c:v>0.16500000000000001</c:v>
                </c:pt>
                <c:pt idx="205">
                  <c:v>0.14000000000000001</c:v>
                </c:pt>
                <c:pt idx="206">
                  <c:v>0.113</c:v>
                </c:pt>
                <c:pt idx="207">
                  <c:v>9.5000000000000001E-2</c:v>
                </c:pt>
                <c:pt idx="208">
                  <c:v>7.9000000000000001E-2</c:v>
                </c:pt>
                <c:pt idx="209">
                  <c:v>7.0999999999999994E-2</c:v>
                </c:pt>
                <c:pt idx="210">
                  <c:v>6.3E-2</c:v>
                </c:pt>
                <c:pt idx="211">
                  <c:v>5.3999999999999999E-2</c:v>
                </c:pt>
                <c:pt idx="212">
                  <c:v>4.2000000000000003E-2</c:v>
                </c:pt>
                <c:pt idx="213">
                  <c:v>3.5999999999999997E-2</c:v>
                </c:pt>
                <c:pt idx="214">
                  <c:v>3.7999999999999999E-2</c:v>
                </c:pt>
                <c:pt idx="215">
                  <c:v>3.1E-2</c:v>
                </c:pt>
                <c:pt idx="216">
                  <c:v>2.7E-2</c:v>
                </c:pt>
                <c:pt idx="217">
                  <c:v>2.5999999999999999E-2</c:v>
                </c:pt>
                <c:pt idx="218">
                  <c:v>2.5999999999999999E-2</c:v>
                </c:pt>
                <c:pt idx="219">
                  <c:v>2.4E-2</c:v>
                </c:pt>
                <c:pt idx="220">
                  <c:v>2.4E-2</c:v>
                </c:pt>
                <c:pt idx="221">
                  <c:v>2.1000000000000001E-2</c:v>
                </c:pt>
                <c:pt idx="222">
                  <c:v>1.7000000000000001E-2</c:v>
                </c:pt>
                <c:pt idx="223">
                  <c:v>2.1000000000000001E-2</c:v>
                </c:pt>
                <c:pt idx="224">
                  <c:v>2.1000000000000001E-2</c:v>
                </c:pt>
                <c:pt idx="225">
                  <c:v>1.7999999999999999E-2</c:v>
                </c:pt>
                <c:pt idx="226">
                  <c:v>1.2999999999999999E-2</c:v>
                </c:pt>
                <c:pt idx="227">
                  <c:v>0.02</c:v>
                </c:pt>
                <c:pt idx="228">
                  <c:v>1.4999999999999999E-2</c:v>
                </c:pt>
                <c:pt idx="229">
                  <c:v>1.7999999999999999E-2</c:v>
                </c:pt>
                <c:pt idx="230">
                  <c:v>1.7000000000000001E-2</c:v>
                </c:pt>
                <c:pt idx="231">
                  <c:v>1.6E-2</c:v>
                </c:pt>
                <c:pt idx="232">
                  <c:v>1.4999999999999999E-2</c:v>
                </c:pt>
                <c:pt idx="233">
                  <c:v>1.4E-2</c:v>
                </c:pt>
                <c:pt idx="234">
                  <c:v>1.2E-2</c:v>
                </c:pt>
                <c:pt idx="235">
                  <c:v>1.2999999999999999E-2</c:v>
                </c:pt>
                <c:pt idx="236">
                  <c:v>1.6E-2</c:v>
                </c:pt>
                <c:pt idx="237">
                  <c:v>0.01</c:v>
                </c:pt>
                <c:pt idx="238">
                  <c:v>1.4E-2</c:v>
                </c:pt>
                <c:pt idx="239">
                  <c:v>1.4E-2</c:v>
                </c:pt>
                <c:pt idx="240">
                  <c:v>1.6E-2</c:v>
                </c:pt>
                <c:pt idx="241">
                  <c:v>1.2E-2</c:v>
                </c:pt>
                <c:pt idx="242">
                  <c:v>1.4E-2</c:v>
                </c:pt>
                <c:pt idx="243">
                  <c:v>1.2999999999999999E-2</c:v>
                </c:pt>
                <c:pt idx="244">
                  <c:v>1.2999999999999999E-2</c:v>
                </c:pt>
                <c:pt idx="245">
                  <c:v>1.2E-2</c:v>
                </c:pt>
                <c:pt idx="246">
                  <c:v>0.01</c:v>
                </c:pt>
                <c:pt idx="247">
                  <c:v>1.2E-2</c:v>
                </c:pt>
                <c:pt idx="248">
                  <c:v>1.2999999999999999E-2</c:v>
                </c:pt>
                <c:pt idx="249">
                  <c:v>1.2E-2</c:v>
                </c:pt>
                <c:pt idx="250">
                  <c:v>1.2E-2</c:v>
                </c:pt>
                <c:pt idx="251">
                  <c:v>1.0999999999999999E-2</c:v>
                </c:pt>
                <c:pt idx="252">
                  <c:v>8.9999999999999993E-3</c:v>
                </c:pt>
                <c:pt idx="253">
                  <c:v>1.2E-2</c:v>
                </c:pt>
                <c:pt idx="254">
                  <c:v>8.9999999999999993E-3</c:v>
                </c:pt>
                <c:pt idx="255">
                  <c:v>1.2E-2</c:v>
                </c:pt>
                <c:pt idx="256">
                  <c:v>7.0000000000000001E-3</c:v>
                </c:pt>
                <c:pt idx="257">
                  <c:v>1.0999999999999999E-2</c:v>
                </c:pt>
                <c:pt idx="258">
                  <c:v>8.9999999999999993E-3</c:v>
                </c:pt>
                <c:pt idx="259">
                  <c:v>1.0999999999999999E-2</c:v>
                </c:pt>
              </c:numCache>
            </c:numRef>
          </c:yVal>
          <c:smooth val="1"/>
          <c:extLst>
            <c:ext xmlns:c16="http://schemas.microsoft.com/office/drawing/2014/chart" uri="{C3380CC4-5D6E-409C-BE32-E72D297353CC}">
              <c16:uniqueId val="{00000002-7AD8-4E6E-B711-E22954CD800A}"/>
            </c:ext>
          </c:extLst>
        </c:ser>
        <c:ser>
          <c:idx val="0"/>
          <c:order val="3"/>
          <c:tx>
            <c:v>RMA-2M-600</c:v>
          </c:tx>
          <c:spPr>
            <a:ln w="19050" cap="rnd">
              <a:solidFill>
                <a:srgbClr val="7030A0"/>
              </a:solidFill>
              <a:round/>
            </a:ln>
            <a:effectLst/>
          </c:spPr>
          <c:marker>
            <c:symbol val="none"/>
          </c:marker>
          <c:xVal>
            <c:numRef>
              <c:f>'[Graphique dans Microsoft Word]RMA-2M-500'!$B$44:$B$303</c:f>
              <c:numCache>
                <c:formatCode>General</c:formatCode>
                <c:ptCount val="260"/>
                <c:pt idx="0">
                  <c:v>282</c:v>
                </c:pt>
                <c:pt idx="1">
                  <c:v>284</c:v>
                </c:pt>
                <c:pt idx="2">
                  <c:v>286</c:v>
                </c:pt>
                <c:pt idx="3">
                  <c:v>288</c:v>
                </c:pt>
                <c:pt idx="4">
                  <c:v>290</c:v>
                </c:pt>
                <c:pt idx="5">
                  <c:v>292</c:v>
                </c:pt>
                <c:pt idx="6">
                  <c:v>294</c:v>
                </c:pt>
                <c:pt idx="7">
                  <c:v>296</c:v>
                </c:pt>
                <c:pt idx="8">
                  <c:v>298</c:v>
                </c:pt>
                <c:pt idx="9">
                  <c:v>300</c:v>
                </c:pt>
                <c:pt idx="10">
                  <c:v>302</c:v>
                </c:pt>
                <c:pt idx="11">
                  <c:v>304</c:v>
                </c:pt>
                <c:pt idx="12">
                  <c:v>306</c:v>
                </c:pt>
                <c:pt idx="13">
                  <c:v>308</c:v>
                </c:pt>
                <c:pt idx="14">
                  <c:v>310</c:v>
                </c:pt>
                <c:pt idx="15">
                  <c:v>312</c:v>
                </c:pt>
                <c:pt idx="16">
                  <c:v>314</c:v>
                </c:pt>
                <c:pt idx="17">
                  <c:v>316</c:v>
                </c:pt>
                <c:pt idx="18">
                  <c:v>318</c:v>
                </c:pt>
                <c:pt idx="19">
                  <c:v>320</c:v>
                </c:pt>
                <c:pt idx="20">
                  <c:v>322</c:v>
                </c:pt>
                <c:pt idx="21">
                  <c:v>324</c:v>
                </c:pt>
                <c:pt idx="22">
                  <c:v>326</c:v>
                </c:pt>
                <c:pt idx="23">
                  <c:v>328</c:v>
                </c:pt>
                <c:pt idx="24">
                  <c:v>330</c:v>
                </c:pt>
                <c:pt idx="25">
                  <c:v>332</c:v>
                </c:pt>
                <c:pt idx="26">
                  <c:v>334</c:v>
                </c:pt>
                <c:pt idx="27">
                  <c:v>336</c:v>
                </c:pt>
                <c:pt idx="28">
                  <c:v>338</c:v>
                </c:pt>
                <c:pt idx="29">
                  <c:v>340</c:v>
                </c:pt>
                <c:pt idx="30">
                  <c:v>342</c:v>
                </c:pt>
                <c:pt idx="31">
                  <c:v>344</c:v>
                </c:pt>
                <c:pt idx="32">
                  <c:v>346</c:v>
                </c:pt>
                <c:pt idx="33">
                  <c:v>348</c:v>
                </c:pt>
                <c:pt idx="34">
                  <c:v>350</c:v>
                </c:pt>
                <c:pt idx="35">
                  <c:v>352</c:v>
                </c:pt>
                <c:pt idx="36">
                  <c:v>354</c:v>
                </c:pt>
                <c:pt idx="37">
                  <c:v>356</c:v>
                </c:pt>
                <c:pt idx="38">
                  <c:v>358</c:v>
                </c:pt>
                <c:pt idx="39">
                  <c:v>360</c:v>
                </c:pt>
                <c:pt idx="40">
                  <c:v>362</c:v>
                </c:pt>
                <c:pt idx="41">
                  <c:v>364</c:v>
                </c:pt>
                <c:pt idx="42">
                  <c:v>366</c:v>
                </c:pt>
                <c:pt idx="43">
                  <c:v>368</c:v>
                </c:pt>
                <c:pt idx="44">
                  <c:v>370</c:v>
                </c:pt>
                <c:pt idx="45">
                  <c:v>372</c:v>
                </c:pt>
                <c:pt idx="46">
                  <c:v>374</c:v>
                </c:pt>
                <c:pt idx="47">
                  <c:v>376</c:v>
                </c:pt>
                <c:pt idx="48">
                  <c:v>378</c:v>
                </c:pt>
                <c:pt idx="49">
                  <c:v>380</c:v>
                </c:pt>
                <c:pt idx="50">
                  <c:v>382</c:v>
                </c:pt>
                <c:pt idx="51">
                  <c:v>384</c:v>
                </c:pt>
                <c:pt idx="52">
                  <c:v>386</c:v>
                </c:pt>
                <c:pt idx="53">
                  <c:v>388</c:v>
                </c:pt>
                <c:pt idx="54">
                  <c:v>390</c:v>
                </c:pt>
                <c:pt idx="55">
                  <c:v>392</c:v>
                </c:pt>
                <c:pt idx="56">
                  <c:v>394</c:v>
                </c:pt>
                <c:pt idx="57">
                  <c:v>396</c:v>
                </c:pt>
                <c:pt idx="58">
                  <c:v>398</c:v>
                </c:pt>
                <c:pt idx="59">
                  <c:v>400</c:v>
                </c:pt>
                <c:pt idx="60">
                  <c:v>402</c:v>
                </c:pt>
                <c:pt idx="61">
                  <c:v>404</c:v>
                </c:pt>
                <c:pt idx="62">
                  <c:v>406</c:v>
                </c:pt>
                <c:pt idx="63">
                  <c:v>408</c:v>
                </c:pt>
                <c:pt idx="64">
                  <c:v>410</c:v>
                </c:pt>
                <c:pt idx="65">
                  <c:v>412</c:v>
                </c:pt>
                <c:pt idx="66">
                  <c:v>414</c:v>
                </c:pt>
                <c:pt idx="67">
                  <c:v>416</c:v>
                </c:pt>
                <c:pt idx="68">
                  <c:v>418</c:v>
                </c:pt>
                <c:pt idx="69">
                  <c:v>420</c:v>
                </c:pt>
                <c:pt idx="70">
                  <c:v>422</c:v>
                </c:pt>
                <c:pt idx="71">
                  <c:v>424</c:v>
                </c:pt>
                <c:pt idx="72">
                  <c:v>426</c:v>
                </c:pt>
                <c:pt idx="73">
                  <c:v>428</c:v>
                </c:pt>
                <c:pt idx="74">
                  <c:v>430</c:v>
                </c:pt>
                <c:pt idx="75">
                  <c:v>432</c:v>
                </c:pt>
                <c:pt idx="76">
                  <c:v>434</c:v>
                </c:pt>
                <c:pt idx="77">
                  <c:v>436</c:v>
                </c:pt>
                <c:pt idx="78">
                  <c:v>438</c:v>
                </c:pt>
                <c:pt idx="79">
                  <c:v>440</c:v>
                </c:pt>
                <c:pt idx="80">
                  <c:v>442</c:v>
                </c:pt>
                <c:pt idx="81">
                  <c:v>444</c:v>
                </c:pt>
                <c:pt idx="82">
                  <c:v>446</c:v>
                </c:pt>
                <c:pt idx="83">
                  <c:v>448</c:v>
                </c:pt>
                <c:pt idx="84">
                  <c:v>450</c:v>
                </c:pt>
                <c:pt idx="85">
                  <c:v>452</c:v>
                </c:pt>
                <c:pt idx="86">
                  <c:v>454</c:v>
                </c:pt>
                <c:pt idx="87">
                  <c:v>456</c:v>
                </c:pt>
                <c:pt idx="88">
                  <c:v>458</c:v>
                </c:pt>
                <c:pt idx="89">
                  <c:v>460</c:v>
                </c:pt>
                <c:pt idx="90">
                  <c:v>462</c:v>
                </c:pt>
                <c:pt idx="91">
                  <c:v>464</c:v>
                </c:pt>
                <c:pt idx="92">
                  <c:v>466</c:v>
                </c:pt>
                <c:pt idx="93">
                  <c:v>468</c:v>
                </c:pt>
                <c:pt idx="94">
                  <c:v>470</c:v>
                </c:pt>
                <c:pt idx="95">
                  <c:v>472</c:v>
                </c:pt>
                <c:pt idx="96">
                  <c:v>474</c:v>
                </c:pt>
                <c:pt idx="97">
                  <c:v>476</c:v>
                </c:pt>
                <c:pt idx="98">
                  <c:v>478</c:v>
                </c:pt>
                <c:pt idx="99">
                  <c:v>480</c:v>
                </c:pt>
                <c:pt idx="100">
                  <c:v>482</c:v>
                </c:pt>
                <c:pt idx="101">
                  <c:v>484</c:v>
                </c:pt>
                <c:pt idx="102">
                  <c:v>486</c:v>
                </c:pt>
                <c:pt idx="103">
                  <c:v>488</c:v>
                </c:pt>
                <c:pt idx="104">
                  <c:v>490</c:v>
                </c:pt>
                <c:pt idx="105">
                  <c:v>492</c:v>
                </c:pt>
                <c:pt idx="106">
                  <c:v>494</c:v>
                </c:pt>
                <c:pt idx="107">
                  <c:v>496</c:v>
                </c:pt>
                <c:pt idx="108">
                  <c:v>498</c:v>
                </c:pt>
                <c:pt idx="109">
                  <c:v>500</c:v>
                </c:pt>
                <c:pt idx="110">
                  <c:v>502</c:v>
                </c:pt>
                <c:pt idx="111">
                  <c:v>504</c:v>
                </c:pt>
                <c:pt idx="112">
                  <c:v>506</c:v>
                </c:pt>
                <c:pt idx="113">
                  <c:v>508</c:v>
                </c:pt>
                <c:pt idx="114">
                  <c:v>510</c:v>
                </c:pt>
                <c:pt idx="115">
                  <c:v>512</c:v>
                </c:pt>
                <c:pt idx="116">
                  <c:v>514</c:v>
                </c:pt>
                <c:pt idx="117">
                  <c:v>516</c:v>
                </c:pt>
                <c:pt idx="118">
                  <c:v>518</c:v>
                </c:pt>
                <c:pt idx="119">
                  <c:v>520</c:v>
                </c:pt>
                <c:pt idx="120">
                  <c:v>522</c:v>
                </c:pt>
                <c:pt idx="121">
                  <c:v>524</c:v>
                </c:pt>
                <c:pt idx="122">
                  <c:v>526</c:v>
                </c:pt>
                <c:pt idx="123">
                  <c:v>528</c:v>
                </c:pt>
                <c:pt idx="124">
                  <c:v>530</c:v>
                </c:pt>
                <c:pt idx="125">
                  <c:v>532</c:v>
                </c:pt>
                <c:pt idx="126">
                  <c:v>534</c:v>
                </c:pt>
                <c:pt idx="127">
                  <c:v>536</c:v>
                </c:pt>
                <c:pt idx="128">
                  <c:v>538</c:v>
                </c:pt>
                <c:pt idx="129">
                  <c:v>540</c:v>
                </c:pt>
                <c:pt idx="130">
                  <c:v>542</c:v>
                </c:pt>
                <c:pt idx="131">
                  <c:v>544</c:v>
                </c:pt>
                <c:pt idx="132">
                  <c:v>546</c:v>
                </c:pt>
                <c:pt idx="133">
                  <c:v>548</c:v>
                </c:pt>
                <c:pt idx="134">
                  <c:v>550</c:v>
                </c:pt>
                <c:pt idx="135">
                  <c:v>552</c:v>
                </c:pt>
                <c:pt idx="136">
                  <c:v>554</c:v>
                </c:pt>
                <c:pt idx="137">
                  <c:v>556</c:v>
                </c:pt>
                <c:pt idx="138">
                  <c:v>558</c:v>
                </c:pt>
                <c:pt idx="139">
                  <c:v>560</c:v>
                </c:pt>
                <c:pt idx="140">
                  <c:v>562</c:v>
                </c:pt>
                <c:pt idx="141">
                  <c:v>564</c:v>
                </c:pt>
                <c:pt idx="142">
                  <c:v>566</c:v>
                </c:pt>
                <c:pt idx="143">
                  <c:v>568</c:v>
                </c:pt>
                <c:pt idx="144">
                  <c:v>570</c:v>
                </c:pt>
                <c:pt idx="145">
                  <c:v>572</c:v>
                </c:pt>
                <c:pt idx="146">
                  <c:v>574</c:v>
                </c:pt>
                <c:pt idx="147">
                  <c:v>576</c:v>
                </c:pt>
                <c:pt idx="148">
                  <c:v>578</c:v>
                </c:pt>
                <c:pt idx="149">
                  <c:v>580</c:v>
                </c:pt>
                <c:pt idx="150">
                  <c:v>582</c:v>
                </c:pt>
                <c:pt idx="151">
                  <c:v>584</c:v>
                </c:pt>
                <c:pt idx="152">
                  <c:v>586</c:v>
                </c:pt>
                <c:pt idx="153">
                  <c:v>588</c:v>
                </c:pt>
                <c:pt idx="154">
                  <c:v>590</c:v>
                </c:pt>
                <c:pt idx="155">
                  <c:v>592</c:v>
                </c:pt>
                <c:pt idx="156">
                  <c:v>594</c:v>
                </c:pt>
                <c:pt idx="157">
                  <c:v>596</c:v>
                </c:pt>
                <c:pt idx="158">
                  <c:v>598</c:v>
                </c:pt>
                <c:pt idx="159">
                  <c:v>600</c:v>
                </c:pt>
                <c:pt idx="160">
                  <c:v>602</c:v>
                </c:pt>
                <c:pt idx="161">
                  <c:v>604</c:v>
                </c:pt>
                <c:pt idx="162">
                  <c:v>606</c:v>
                </c:pt>
                <c:pt idx="163">
                  <c:v>608</c:v>
                </c:pt>
                <c:pt idx="164">
                  <c:v>610</c:v>
                </c:pt>
                <c:pt idx="165">
                  <c:v>612</c:v>
                </c:pt>
                <c:pt idx="166">
                  <c:v>614</c:v>
                </c:pt>
                <c:pt idx="167">
                  <c:v>616</c:v>
                </c:pt>
                <c:pt idx="168">
                  <c:v>618</c:v>
                </c:pt>
                <c:pt idx="169">
                  <c:v>620</c:v>
                </c:pt>
                <c:pt idx="170">
                  <c:v>622</c:v>
                </c:pt>
                <c:pt idx="171">
                  <c:v>624</c:v>
                </c:pt>
                <c:pt idx="172">
                  <c:v>626</c:v>
                </c:pt>
                <c:pt idx="173">
                  <c:v>628</c:v>
                </c:pt>
                <c:pt idx="174">
                  <c:v>630</c:v>
                </c:pt>
                <c:pt idx="175">
                  <c:v>632</c:v>
                </c:pt>
                <c:pt idx="176">
                  <c:v>634</c:v>
                </c:pt>
                <c:pt idx="177">
                  <c:v>636</c:v>
                </c:pt>
                <c:pt idx="178">
                  <c:v>638</c:v>
                </c:pt>
                <c:pt idx="179">
                  <c:v>640</c:v>
                </c:pt>
                <c:pt idx="180">
                  <c:v>642</c:v>
                </c:pt>
                <c:pt idx="181">
                  <c:v>644</c:v>
                </c:pt>
                <c:pt idx="182">
                  <c:v>646</c:v>
                </c:pt>
                <c:pt idx="183">
                  <c:v>648</c:v>
                </c:pt>
                <c:pt idx="184">
                  <c:v>650</c:v>
                </c:pt>
                <c:pt idx="185">
                  <c:v>652</c:v>
                </c:pt>
                <c:pt idx="186">
                  <c:v>654</c:v>
                </c:pt>
                <c:pt idx="187">
                  <c:v>656</c:v>
                </c:pt>
                <c:pt idx="188">
                  <c:v>658</c:v>
                </c:pt>
                <c:pt idx="189">
                  <c:v>660</c:v>
                </c:pt>
                <c:pt idx="190">
                  <c:v>662</c:v>
                </c:pt>
                <c:pt idx="191">
                  <c:v>664</c:v>
                </c:pt>
                <c:pt idx="192">
                  <c:v>666</c:v>
                </c:pt>
                <c:pt idx="193">
                  <c:v>668</c:v>
                </c:pt>
                <c:pt idx="194">
                  <c:v>670</c:v>
                </c:pt>
                <c:pt idx="195">
                  <c:v>672</c:v>
                </c:pt>
                <c:pt idx="196">
                  <c:v>674</c:v>
                </c:pt>
                <c:pt idx="197">
                  <c:v>676</c:v>
                </c:pt>
                <c:pt idx="198">
                  <c:v>678</c:v>
                </c:pt>
                <c:pt idx="199">
                  <c:v>680</c:v>
                </c:pt>
                <c:pt idx="200">
                  <c:v>682</c:v>
                </c:pt>
                <c:pt idx="201">
                  <c:v>684</c:v>
                </c:pt>
                <c:pt idx="202">
                  <c:v>686</c:v>
                </c:pt>
                <c:pt idx="203">
                  <c:v>688</c:v>
                </c:pt>
                <c:pt idx="204">
                  <c:v>690</c:v>
                </c:pt>
                <c:pt idx="205">
                  <c:v>692</c:v>
                </c:pt>
                <c:pt idx="206">
                  <c:v>694</c:v>
                </c:pt>
                <c:pt idx="207">
                  <c:v>696</c:v>
                </c:pt>
                <c:pt idx="208">
                  <c:v>698</c:v>
                </c:pt>
                <c:pt idx="209">
                  <c:v>700</c:v>
                </c:pt>
                <c:pt idx="210">
                  <c:v>702</c:v>
                </c:pt>
                <c:pt idx="211">
                  <c:v>704</c:v>
                </c:pt>
                <c:pt idx="212">
                  <c:v>706</c:v>
                </c:pt>
                <c:pt idx="213">
                  <c:v>708</c:v>
                </c:pt>
                <c:pt idx="214">
                  <c:v>710</c:v>
                </c:pt>
                <c:pt idx="215">
                  <c:v>712</c:v>
                </c:pt>
                <c:pt idx="216">
                  <c:v>714</c:v>
                </c:pt>
                <c:pt idx="217">
                  <c:v>716</c:v>
                </c:pt>
                <c:pt idx="218">
                  <c:v>718</c:v>
                </c:pt>
                <c:pt idx="219">
                  <c:v>720</c:v>
                </c:pt>
                <c:pt idx="220">
                  <c:v>722</c:v>
                </c:pt>
                <c:pt idx="221">
                  <c:v>724</c:v>
                </c:pt>
                <c:pt idx="222">
                  <c:v>726</c:v>
                </c:pt>
                <c:pt idx="223">
                  <c:v>728</c:v>
                </c:pt>
                <c:pt idx="224">
                  <c:v>730</c:v>
                </c:pt>
                <c:pt idx="225">
                  <c:v>732</c:v>
                </c:pt>
                <c:pt idx="226">
                  <c:v>734</c:v>
                </c:pt>
                <c:pt idx="227">
                  <c:v>736</c:v>
                </c:pt>
                <c:pt idx="228">
                  <c:v>738</c:v>
                </c:pt>
                <c:pt idx="229">
                  <c:v>740</c:v>
                </c:pt>
                <c:pt idx="230">
                  <c:v>742</c:v>
                </c:pt>
                <c:pt idx="231">
                  <c:v>744</c:v>
                </c:pt>
                <c:pt idx="232">
                  <c:v>746</c:v>
                </c:pt>
                <c:pt idx="233">
                  <c:v>748</c:v>
                </c:pt>
                <c:pt idx="234">
                  <c:v>750</c:v>
                </c:pt>
                <c:pt idx="235">
                  <c:v>752</c:v>
                </c:pt>
                <c:pt idx="236">
                  <c:v>754</c:v>
                </c:pt>
                <c:pt idx="237">
                  <c:v>756</c:v>
                </c:pt>
                <c:pt idx="238">
                  <c:v>758</c:v>
                </c:pt>
                <c:pt idx="239">
                  <c:v>760</c:v>
                </c:pt>
                <c:pt idx="240">
                  <c:v>762</c:v>
                </c:pt>
                <c:pt idx="241">
                  <c:v>764</c:v>
                </c:pt>
                <c:pt idx="242">
                  <c:v>766</c:v>
                </c:pt>
                <c:pt idx="243">
                  <c:v>768</c:v>
                </c:pt>
                <c:pt idx="244">
                  <c:v>770</c:v>
                </c:pt>
                <c:pt idx="245">
                  <c:v>772</c:v>
                </c:pt>
                <c:pt idx="246">
                  <c:v>774</c:v>
                </c:pt>
                <c:pt idx="247">
                  <c:v>776</c:v>
                </c:pt>
                <c:pt idx="248">
                  <c:v>778</c:v>
                </c:pt>
                <c:pt idx="249">
                  <c:v>780</c:v>
                </c:pt>
                <c:pt idx="250">
                  <c:v>782</c:v>
                </c:pt>
                <c:pt idx="251">
                  <c:v>784</c:v>
                </c:pt>
                <c:pt idx="252">
                  <c:v>786</c:v>
                </c:pt>
                <c:pt idx="253">
                  <c:v>788</c:v>
                </c:pt>
                <c:pt idx="254">
                  <c:v>790</c:v>
                </c:pt>
                <c:pt idx="255">
                  <c:v>792</c:v>
                </c:pt>
                <c:pt idx="256">
                  <c:v>794</c:v>
                </c:pt>
                <c:pt idx="257">
                  <c:v>796</c:v>
                </c:pt>
                <c:pt idx="258">
                  <c:v>798</c:v>
                </c:pt>
                <c:pt idx="259">
                  <c:v>800</c:v>
                </c:pt>
              </c:numCache>
            </c:numRef>
          </c:xVal>
          <c:yVal>
            <c:numRef>
              <c:f>'[Graphique dans Microsoft Word]RMA-2M-500'!$C$44:$C$303</c:f>
              <c:numCache>
                <c:formatCode>General</c:formatCode>
                <c:ptCount val="260"/>
                <c:pt idx="0">
                  <c:v>0.112</c:v>
                </c:pt>
                <c:pt idx="1">
                  <c:v>0.20499999999999999</c:v>
                </c:pt>
                <c:pt idx="2">
                  <c:v>0.28499999999999998</c:v>
                </c:pt>
                <c:pt idx="3">
                  <c:v>0.35399999999999998</c:v>
                </c:pt>
                <c:pt idx="4">
                  <c:v>0.40500000000000003</c:v>
                </c:pt>
                <c:pt idx="5">
                  <c:v>0.42799999999999999</c:v>
                </c:pt>
                <c:pt idx="6">
                  <c:v>0.41899999999999998</c:v>
                </c:pt>
                <c:pt idx="7">
                  <c:v>0.39700000000000002</c:v>
                </c:pt>
                <c:pt idx="8">
                  <c:v>0.36099999999999999</c:v>
                </c:pt>
                <c:pt idx="9">
                  <c:v>0.32400000000000001</c:v>
                </c:pt>
                <c:pt idx="10">
                  <c:v>0.27600000000000002</c:v>
                </c:pt>
                <c:pt idx="11">
                  <c:v>0.23300000000000001</c:v>
                </c:pt>
                <c:pt idx="12">
                  <c:v>0.19400000000000001</c:v>
                </c:pt>
                <c:pt idx="13">
                  <c:v>0.17</c:v>
                </c:pt>
                <c:pt idx="14">
                  <c:v>0.154</c:v>
                </c:pt>
                <c:pt idx="15">
                  <c:v>0.14000000000000001</c:v>
                </c:pt>
                <c:pt idx="16">
                  <c:v>0.13600000000000001</c:v>
                </c:pt>
                <c:pt idx="17">
                  <c:v>0.129</c:v>
                </c:pt>
                <c:pt idx="18">
                  <c:v>0.128</c:v>
                </c:pt>
                <c:pt idx="19">
                  <c:v>0.123</c:v>
                </c:pt>
                <c:pt idx="20">
                  <c:v>0.11700000000000001</c:v>
                </c:pt>
                <c:pt idx="21">
                  <c:v>0.11700000000000001</c:v>
                </c:pt>
                <c:pt idx="22">
                  <c:v>0.115</c:v>
                </c:pt>
                <c:pt idx="23">
                  <c:v>0.108</c:v>
                </c:pt>
                <c:pt idx="24">
                  <c:v>0.10299999999999999</c:v>
                </c:pt>
                <c:pt idx="25">
                  <c:v>9.0999999999999998E-2</c:v>
                </c:pt>
                <c:pt idx="26">
                  <c:v>8.5000000000000006E-2</c:v>
                </c:pt>
                <c:pt idx="27">
                  <c:v>6.9000000000000006E-2</c:v>
                </c:pt>
                <c:pt idx="28">
                  <c:v>6.6000000000000003E-2</c:v>
                </c:pt>
                <c:pt idx="29">
                  <c:v>5.5E-2</c:v>
                </c:pt>
                <c:pt idx="30">
                  <c:v>4.8000000000000001E-2</c:v>
                </c:pt>
                <c:pt idx="31">
                  <c:v>4.8000000000000001E-2</c:v>
                </c:pt>
                <c:pt idx="32">
                  <c:v>4.1000000000000002E-2</c:v>
                </c:pt>
                <c:pt idx="33">
                  <c:v>4.1000000000000002E-2</c:v>
                </c:pt>
                <c:pt idx="34">
                  <c:v>3.4000000000000002E-2</c:v>
                </c:pt>
                <c:pt idx="35">
                  <c:v>3.5999999999999997E-2</c:v>
                </c:pt>
                <c:pt idx="36">
                  <c:v>3.4000000000000002E-2</c:v>
                </c:pt>
                <c:pt idx="37">
                  <c:v>3.3000000000000002E-2</c:v>
                </c:pt>
                <c:pt idx="38">
                  <c:v>3.2000000000000001E-2</c:v>
                </c:pt>
                <c:pt idx="39">
                  <c:v>3.1E-2</c:v>
                </c:pt>
                <c:pt idx="40">
                  <c:v>2.8000000000000001E-2</c:v>
                </c:pt>
                <c:pt idx="41">
                  <c:v>2.5999999999999999E-2</c:v>
                </c:pt>
                <c:pt idx="42">
                  <c:v>2.5999999999999999E-2</c:v>
                </c:pt>
                <c:pt idx="43">
                  <c:v>2.7E-2</c:v>
                </c:pt>
                <c:pt idx="44">
                  <c:v>2.7E-2</c:v>
                </c:pt>
                <c:pt idx="45">
                  <c:v>2.5999999999999999E-2</c:v>
                </c:pt>
                <c:pt idx="46">
                  <c:v>2.5999999999999999E-2</c:v>
                </c:pt>
                <c:pt idx="47">
                  <c:v>2.5000000000000001E-2</c:v>
                </c:pt>
                <c:pt idx="48">
                  <c:v>2.4E-2</c:v>
                </c:pt>
                <c:pt idx="49">
                  <c:v>2.5000000000000001E-2</c:v>
                </c:pt>
                <c:pt idx="50">
                  <c:v>2.4E-2</c:v>
                </c:pt>
                <c:pt idx="51">
                  <c:v>2.1999999999999999E-2</c:v>
                </c:pt>
                <c:pt idx="52">
                  <c:v>2.3E-2</c:v>
                </c:pt>
                <c:pt idx="53">
                  <c:v>2.1999999999999999E-2</c:v>
                </c:pt>
                <c:pt idx="54">
                  <c:v>2.4E-2</c:v>
                </c:pt>
                <c:pt idx="55">
                  <c:v>2.5000000000000001E-2</c:v>
                </c:pt>
                <c:pt idx="56">
                  <c:v>2.3E-2</c:v>
                </c:pt>
                <c:pt idx="57">
                  <c:v>2.4E-2</c:v>
                </c:pt>
                <c:pt idx="58">
                  <c:v>2.3E-2</c:v>
                </c:pt>
                <c:pt idx="59">
                  <c:v>0.02</c:v>
                </c:pt>
                <c:pt idx="60">
                  <c:v>2.1999999999999999E-2</c:v>
                </c:pt>
                <c:pt idx="61">
                  <c:v>1.7000000000000001E-2</c:v>
                </c:pt>
                <c:pt idx="62">
                  <c:v>1.7999999999999999E-2</c:v>
                </c:pt>
                <c:pt idx="63">
                  <c:v>1.6E-2</c:v>
                </c:pt>
                <c:pt idx="64">
                  <c:v>1.7999999999999999E-2</c:v>
                </c:pt>
                <c:pt idx="65">
                  <c:v>1.7000000000000001E-2</c:v>
                </c:pt>
                <c:pt idx="66">
                  <c:v>1.4999999999999999E-2</c:v>
                </c:pt>
                <c:pt idx="67">
                  <c:v>0.02</c:v>
                </c:pt>
                <c:pt idx="68">
                  <c:v>8.0000000000000002E-3</c:v>
                </c:pt>
                <c:pt idx="69">
                  <c:v>1.6E-2</c:v>
                </c:pt>
                <c:pt idx="70">
                  <c:v>1.4999999999999999E-2</c:v>
                </c:pt>
                <c:pt idx="71">
                  <c:v>1.4E-2</c:v>
                </c:pt>
                <c:pt idx="72">
                  <c:v>1.4999999999999999E-2</c:v>
                </c:pt>
                <c:pt idx="73">
                  <c:v>1.9E-2</c:v>
                </c:pt>
                <c:pt idx="74">
                  <c:v>1.4E-2</c:v>
                </c:pt>
                <c:pt idx="75">
                  <c:v>1.6E-2</c:v>
                </c:pt>
                <c:pt idx="76">
                  <c:v>1.9E-2</c:v>
                </c:pt>
                <c:pt idx="77">
                  <c:v>1.4E-2</c:v>
                </c:pt>
                <c:pt idx="78">
                  <c:v>2.1999999999999999E-2</c:v>
                </c:pt>
                <c:pt idx="79">
                  <c:v>1.7000000000000001E-2</c:v>
                </c:pt>
                <c:pt idx="80">
                  <c:v>0.02</c:v>
                </c:pt>
                <c:pt idx="81">
                  <c:v>1.9E-2</c:v>
                </c:pt>
                <c:pt idx="82">
                  <c:v>2.1000000000000001E-2</c:v>
                </c:pt>
                <c:pt idx="83">
                  <c:v>2.1000000000000001E-2</c:v>
                </c:pt>
                <c:pt idx="84">
                  <c:v>2.4E-2</c:v>
                </c:pt>
                <c:pt idx="85">
                  <c:v>2.4E-2</c:v>
                </c:pt>
                <c:pt idx="86">
                  <c:v>2.3E-2</c:v>
                </c:pt>
                <c:pt idx="87">
                  <c:v>2.5999999999999999E-2</c:v>
                </c:pt>
                <c:pt idx="88">
                  <c:v>0.03</c:v>
                </c:pt>
                <c:pt idx="89">
                  <c:v>2.5999999999999999E-2</c:v>
                </c:pt>
                <c:pt idx="90">
                  <c:v>3.3000000000000002E-2</c:v>
                </c:pt>
                <c:pt idx="91">
                  <c:v>2.9000000000000001E-2</c:v>
                </c:pt>
                <c:pt idx="92">
                  <c:v>3.3000000000000002E-2</c:v>
                </c:pt>
                <c:pt idx="93">
                  <c:v>2.9000000000000001E-2</c:v>
                </c:pt>
                <c:pt idx="94">
                  <c:v>3.1E-2</c:v>
                </c:pt>
                <c:pt idx="95">
                  <c:v>3.5000000000000003E-2</c:v>
                </c:pt>
                <c:pt idx="96">
                  <c:v>3.6999999999999998E-2</c:v>
                </c:pt>
                <c:pt idx="97">
                  <c:v>3.6999999999999998E-2</c:v>
                </c:pt>
                <c:pt idx="98">
                  <c:v>3.5000000000000003E-2</c:v>
                </c:pt>
                <c:pt idx="99">
                  <c:v>3.7999999999999999E-2</c:v>
                </c:pt>
                <c:pt idx="100">
                  <c:v>3.4000000000000002E-2</c:v>
                </c:pt>
                <c:pt idx="101">
                  <c:v>0.04</c:v>
                </c:pt>
                <c:pt idx="102">
                  <c:v>4.2999999999999997E-2</c:v>
                </c:pt>
                <c:pt idx="103">
                  <c:v>4.2000000000000003E-2</c:v>
                </c:pt>
                <c:pt idx="104">
                  <c:v>4.2000000000000003E-2</c:v>
                </c:pt>
                <c:pt idx="105">
                  <c:v>4.3999999999999997E-2</c:v>
                </c:pt>
                <c:pt idx="106">
                  <c:v>4.2000000000000003E-2</c:v>
                </c:pt>
                <c:pt idx="107">
                  <c:v>4.3999999999999997E-2</c:v>
                </c:pt>
                <c:pt idx="108">
                  <c:v>4.3999999999999997E-2</c:v>
                </c:pt>
                <c:pt idx="109">
                  <c:v>4.5999999999999999E-2</c:v>
                </c:pt>
                <c:pt idx="110">
                  <c:v>4.4999999999999998E-2</c:v>
                </c:pt>
                <c:pt idx="111">
                  <c:v>4.2000000000000003E-2</c:v>
                </c:pt>
                <c:pt idx="112">
                  <c:v>4.1000000000000002E-2</c:v>
                </c:pt>
                <c:pt idx="113">
                  <c:v>4.4999999999999998E-2</c:v>
                </c:pt>
                <c:pt idx="114">
                  <c:v>4.4999999999999998E-2</c:v>
                </c:pt>
                <c:pt idx="115">
                  <c:v>4.9000000000000002E-2</c:v>
                </c:pt>
                <c:pt idx="116">
                  <c:v>4.9000000000000002E-2</c:v>
                </c:pt>
                <c:pt idx="117">
                  <c:v>4.9000000000000002E-2</c:v>
                </c:pt>
                <c:pt idx="118">
                  <c:v>5.1999999999999998E-2</c:v>
                </c:pt>
                <c:pt idx="119">
                  <c:v>5.1999999999999998E-2</c:v>
                </c:pt>
                <c:pt idx="120">
                  <c:v>5.3999999999999999E-2</c:v>
                </c:pt>
                <c:pt idx="121">
                  <c:v>5.7000000000000002E-2</c:v>
                </c:pt>
                <c:pt idx="122">
                  <c:v>5.7000000000000002E-2</c:v>
                </c:pt>
                <c:pt idx="123">
                  <c:v>5.3999999999999999E-2</c:v>
                </c:pt>
                <c:pt idx="124">
                  <c:v>5.8999999999999997E-2</c:v>
                </c:pt>
                <c:pt idx="125">
                  <c:v>6.0999999999999999E-2</c:v>
                </c:pt>
                <c:pt idx="126">
                  <c:v>6.6000000000000003E-2</c:v>
                </c:pt>
                <c:pt idx="127">
                  <c:v>6.7000000000000004E-2</c:v>
                </c:pt>
                <c:pt idx="128">
                  <c:v>7.0000000000000007E-2</c:v>
                </c:pt>
                <c:pt idx="129">
                  <c:v>7.3999999999999996E-2</c:v>
                </c:pt>
                <c:pt idx="130">
                  <c:v>8.3000000000000004E-2</c:v>
                </c:pt>
                <c:pt idx="131">
                  <c:v>9.2999999999999999E-2</c:v>
                </c:pt>
                <c:pt idx="132">
                  <c:v>8.7999999999999995E-2</c:v>
                </c:pt>
                <c:pt idx="133">
                  <c:v>9.4E-2</c:v>
                </c:pt>
                <c:pt idx="134">
                  <c:v>0.10299999999999999</c:v>
                </c:pt>
                <c:pt idx="135">
                  <c:v>0.11</c:v>
                </c:pt>
                <c:pt idx="136">
                  <c:v>0.113</c:v>
                </c:pt>
                <c:pt idx="137">
                  <c:v>0.121</c:v>
                </c:pt>
                <c:pt idx="138">
                  <c:v>0.128</c:v>
                </c:pt>
                <c:pt idx="139">
                  <c:v>0.13600000000000001</c:v>
                </c:pt>
                <c:pt idx="140">
                  <c:v>0.14299999999999999</c:v>
                </c:pt>
                <c:pt idx="141">
                  <c:v>0.152</c:v>
                </c:pt>
                <c:pt idx="142">
                  <c:v>0.16</c:v>
                </c:pt>
                <c:pt idx="143">
                  <c:v>0.17</c:v>
                </c:pt>
                <c:pt idx="144">
                  <c:v>0.17799999999999999</c:v>
                </c:pt>
                <c:pt idx="145">
                  <c:v>0.188</c:v>
                </c:pt>
                <c:pt idx="146">
                  <c:v>0.19900000000000001</c:v>
                </c:pt>
                <c:pt idx="147">
                  <c:v>0.20799999999999999</c:v>
                </c:pt>
                <c:pt idx="148">
                  <c:v>0.222</c:v>
                </c:pt>
                <c:pt idx="149">
                  <c:v>0.23599999999999999</c:v>
                </c:pt>
                <c:pt idx="150">
                  <c:v>0.252</c:v>
                </c:pt>
                <c:pt idx="151">
                  <c:v>0.26900000000000002</c:v>
                </c:pt>
                <c:pt idx="152">
                  <c:v>0.28799999999999998</c:v>
                </c:pt>
                <c:pt idx="153">
                  <c:v>0.3</c:v>
                </c:pt>
                <c:pt idx="154">
                  <c:v>0.32400000000000001</c:v>
                </c:pt>
                <c:pt idx="155">
                  <c:v>0.33900000000000002</c:v>
                </c:pt>
                <c:pt idx="156">
                  <c:v>0.36299999999999999</c:v>
                </c:pt>
                <c:pt idx="157">
                  <c:v>0.38500000000000001</c:v>
                </c:pt>
                <c:pt idx="158">
                  <c:v>0.40400000000000003</c:v>
                </c:pt>
                <c:pt idx="159">
                  <c:v>0.42099999999999999</c:v>
                </c:pt>
                <c:pt idx="160">
                  <c:v>0.442</c:v>
                </c:pt>
                <c:pt idx="161">
                  <c:v>0.46</c:v>
                </c:pt>
                <c:pt idx="162">
                  <c:v>0.47099999999999997</c:v>
                </c:pt>
                <c:pt idx="163">
                  <c:v>0.48699999999999999</c:v>
                </c:pt>
                <c:pt idx="164">
                  <c:v>0.495</c:v>
                </c:pt>
                <c:pt idx="165">
                  <c:v>0.501</c:v>
                </c:pt>
                <c:pt idx="166">
                  <c:v>0.50800000000000001</c:v>
                </c:pt>
                <c:pt idx="167">
                  <c:v>0.51700000000000002</c:v>
                </c:pt>
                <c:pt idx="168">
                  <c:v>0.51700000000000002</c:v>
                </c:pt>
                <c:pt idx="169">
                  <c:v>0.52500000000000002</c:v>
                </c:pt>
                <c:pt idx="170">
                  <c:v>0.52800000000000002</c:v>
                </c:pt>
                <c:pt idx="171">
                  <c:v>0.53500000000000003</c:v>
                </c:pt>
                <c:pt idx="172">
                  <c:v>0.54200000000000004</c:v>
                </c:pt>
                <c:pt idx="173">
                  <c:v>0.54900000000000004</c:v>
                </c:pt>
                <c:pt idx="174">
                  <c:v>0.56299999999999994</c:v>
                </c:pt>
                <c:pt idx="175">
                  <c:v>0.57599999999999996</c:v>
                </c:pt>
                <c:pt idx="176">
                  <c:v>0.59599999999999997</c:v>
                </c:pt>
                <c:pt idx="177">
                  <c:v>0.61299999999999999</c:v>
                </c:pt>
                <c:pt idx="178">
                  <c:v>0.63800000000000001</c:v>
                </c:pt>
                <c:pt idx="179">
                  <c:v>0.65700000000000003</c:v>
                </c:pt>
                <c:pt idx="180">
                  <c:v>0.68100000000000005</c:v>
                </c:pt>
                <c:pt idx="181">
                  <c:v>0.70799999999999996</c:v>
                </c:pt>
                <c:pt idx="182">
                  <c:v>0.73399999999999999</c:v>
                </c:pt>
                <c:pt idx="183">
                  <c:v>0.76200000000000001</c:v>
                </c:pt>
                <c:pt idx="184">
                  <c:v>0.78400000000000003</c:v>
                </c:pt>
                <c:pt idx="185">
                  <c:v>0.80500000000000005</c:v>
                </c:pt>
                <c:pt idx="186">
                  <c:v>0.82</c:v>
                </c:pt>
                <c:pt idx="187">
                  <c:v>0.83499999999999996</c:v>
                </c:pt>
                <c:pt idx="188">
                  <c:v>0.84299999999999997</c:v>
                </c:pt>
                <c:pt idx="189">
                  <c:v>0.85099999999999998</c:v>
                </c:pt>
                <c:pt idx="190">
                  <c:v>0.85199999999999998</c:v>
                </c:pt>
                <c:pt idx="191">
                  <c:v>0.84599999999999997</c:v>
                </c:pt>
                <c:pt idx="192">
                  <c:v>0.83399999999999996</c:v>
                </c:pt>
                <c:pt idx="193">
                  <c:v>0.80900000000000005</c:v>
                </c:pt>
                <c:pt idx="194">
                  <c:v>0.77300000000000002</c:v>
                </c:pt>
                <c:pt idx="195">
                  <c:v>0.72199999999999998</c:v>
                </c:pt>
                <c:pt idx="196">
                  <c:v>0.66800000000000004</c:v>
                </c:pt>
                <c:pt idx="197">
                  <c:v>0.60399999999999998</c:v>
                </c:pt>
                <c:pt idx="198">
                  <c:v>0.52700000000000002</c:v>
                </c:pt>
                <c:pt idx="199">
                  <c:v>0.46100000000000002</c:v>
                </c:pt>
                <c:pt idx="200">
                  <c:v>0.39500000000000002</c:v>
                </c:pt>
                <c:pt idx="201">
                  <c:v>0.33800000000000002</c:v>
                </c:pt>
                <c:pt idx="202">
                  <c:v>0.27800000000000002</c:v>
                </c:pt>
                <c:pt idx="203">
                  <c:v>0.23100000000000001</c:v>
                </c:pt>
                <c:pt idx="204">
                  <c:v>0.192</c:v>
                </c:pt>
                <c:pt idx="205">
                  <c:v>0.155</c:v>
                </c:pt>
                <c:pt idx="206">
                  <c:v>0.129</c:v>
                </c:pt>
                <c:pt idx="207">
                  <c:v>0.106</c:v>
                </c:pt>
                <c:pt idx="208">
                  <c:v>8.5999999999999993E-2</c:v>
                </c:pt>
                <c:pt idx="209">
                  <c:v>7.0999999999999994E-2</c:v>
                </c:pt>
                <c:pt idx="210">
                  <c:v>6.6000000000000003E-2</c:v>
                </c:pt>
                <c:pt idx="211">
                  <c:v>0.05</c:v>
                </c:pt>
                <c:pt idx="212">
                  <c:v>4.2999999999999997E-2</c:v>
                </c:pt>
                <c:pt idx="213">
                  <c:v>3.5999999999999997E-2</c:v>
                </c:pt>
                <c:pt idx="214">
                  <c:v>2.9000000000000001E-2</c:v>
                </c:pt>
                <c:pt idx="215">
                  <c:v>2.5999999999999999E-2</c:v>
                </c:pt>
                <c:pt idx="216">
                  <c:v>1.9E-2</c:v>
                </c:pt>
                <c:pt idx="217">
                  <c:v>1.7999999999999999E-2</c:v>
                </c:pt>
                <c:pt idx="218">
                  <c:v>0.02</c:v>
                </c:pt>
                <c:pt idx="219">
                  <c:v>1.6E-2</c:v>
                </c:pt>
                <c:pt idx="220">
                  <c:v>1.2E-2</c:v>
                </c:pt>
                <c:pt idx="221">
                  <c:v>1.2E-2</c:v>
                </c:pt>
                <c:pt idx="222">
                  <c:v>0.01</c:v>
                </c:pt>
                <c:pt idx="223">
                  <c:v>1.2E-2</c:v>
                </c:pt>
                <c:pt idx="224">
                  <c:v>0.01</c:v>
                </c:pt>
                <c:pt idx="225">
                  <c:v>6.0000000000000001E-3</c:v>
                </c:pt>
                <c:pt idx="226">
                  <c:v>6.0000000000000001E-3</c:v>
                </c:pt>
                <c:pt idx="227">
                  <c:v>8.9999999999999993E-3</c:v>
                </c:pt>
                <c:pt idx="228">
                  <c:v>7.0000000000000001E-3</c:v>
                </c:pt>
                <c:pt idx="229">
                  <c:v>8.0000000000000002E-3</c:v>
                </c:pt>
                <c:pt idx="230">
                  <c:v>7.0000000000000001E-3</c:v>
                </c:pt>
                <c:pt idx="231">
                  <c:v>5.0000000000000001E-3</c:v>
                </c:pt>
                <c:pt idx="232">
                  <c:v>5.0000000000000001E-3</c:v>
                </c:pt>
                <c:pt idx="233">
                  <c:v>4.0000000000000001E-3</c:v>
                </c:pt>
                <c:pt idx="234">
                  <c:v>3.0000000000000001E-3</c:v>
                </c:pt>
                <c:pt idx="235">
                  <c:v>1E-3</c:v>
                </c:pt>
                <c:pt idx="236">
                  <c:v>5.0000000000000001E-3</c:v>
                </c:pt>
                <c:pt idx="237">
                  <c:v>2E-3</c:v>
                </c:pt>
                <c:pt idx="238">
                  <c:v>1E-3</c:v>
                </c:pt>
                <c:pt idx="239">
                  <c:v>5.0000000000000001E-3</c:v>
                </c:pt>
                <c:pt idx="240">
                  <c:v>2E-3</c:v>
                </c:pt>
                <c:pt idx="241">
                  <c:v>1E-3</c:v>
                </c:pt>
                <c:pt idx="242">
                  <c:v>4.0000000000000001E-3</c:v>
                </c:pt>
                <c:pt idx="243">
                  <c:v>4.0000000000000001E-3</c:v>
                </c:pt>
                <c:pt idx="244">
                  <c:v>5.0000000000000001E-3</c:v>
                </c:pt>
                <c:pt idx="245">
                  <c:v>3.0000000000000001E-3</c:v>
                </c:pt>
                <c:pt idx="246">
                  <c:v>-2E-3</c:v>
                </c:pt>
                <c:pt idx="247">
                  <c:v>2E-3</c:v>
                </c:pt>
                <c:pt idx="248">
                  <c:v>2E-3</c:v>
                </c:pt>
                <c:pt idx="249">
                  <c:v>2E-3</c:v>
                </c:pt>
                <c:pt idx="250">
                  <c:v>3.0000000000000001E-3</c:v>
                </c:pt>
                <c:pt idx="251">
                  <c:v>2E-3</c:v>
                </c:pt>
                <c:pt idx="252">
                  <c:v>0</c:v>
                </c:pt>
                <c:pt idx="253">
                  <c:v>2E-3</c:v>
                </c:pt>
                <c:pt idx="254">
                  <c:v>-2E-3</c:v>
                </c:pt>
                <c:pt idx="255">
                  <c:v>2E-3</c:v>
                </c:pt>
                <c:pt idx="256">
                  <c:v>0</c:v>
                </c:pt>
                <c:pt idx="257">
                  <c:v>0</c:v>
                </c:pt>
                <c:pt idx="258">
                  <c:v>-1E-3</c:v>
                </c:pt>
                <c:pt idx="259">
                  <c:v>0</c:v>
                </c:pt>
              </c:numCache>
            </c:numRef>
          </c:yVal>
          <c:smooth val="1"/>
          <c:extLst>
            <c:ext xmlns:c16="http://schemas.microsoft.com/office/drawing/2014/chart" uri="{C3380CC4-5D6E-409C-BE32-E72D297353CC}">
              <c16:uniqueId val="{00000003-7AD8-4E6E-B711-E22954CD800A}"/>
            </c:ext>
          </c:extLst>
        </c:ser>
        <c:dLbls>
          <c:showLegendKey val="0"/>
          <c:showVal val="0"/>
          <c:showCatName val="0"/>
          <c:showSerName val="0"/>
          <c:showPercent val="0"/>
          <c:showBubbleSize val="0"/>
        </c:dLbls>
        <c:axId val="1585645424"/>
        <c:axId val="1585653584"/>
      </c:scatterChart>
      <c:valAx>
        <c:axId val="1585645424"/>
        <c:scaling>
          <c:orientation val="minMax"/>
          <c:min val="200"/>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fr-FR" sz="1100" b="1">
                    <a:latin typeface="Times New Roman" panose="02020603050405020304" pitchFamily="18" charset="0"/>
                    <a:cs typeface="Times New Roman" panose="02020603050405020304" pitchFamily="18" charset="0"/>
                  </a:rPr>
                  <a:t>λ/nm</a:t>
                </a:r>
              </a:p>
            </c:rich>
          </c:tx>
          <c:layout>
            <c:manualLayout>
              <c:xMode val="edge"/>
              <c:yMode val="edge"/>
              <c:x val="0.53077482003145959"/>
              <c:y val="0.90211751605915558"/>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85653584"/>
        <c:crosses val="autoZero"/>
        <c:crossBetween val="midCat"/>
      </c:valAx>
      <c:valAx>
        <c:axId val="1585653584"/>
        <c:scaling>
          <c:orientation val="minMax"/>
          <c:min val="0"/>
        </c:scaling>
        <c:delete val="0"/>
        <c:axPos val="l"/>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fr-FR" sz="1100" b="1">
                    <a:latin typeface="Times New Roman" panose="02020603050405020304" pitchFamily="18" charset="0"/>
                    <a:cs typeface="Times New Roman" panose="02020603050405020304" pitchFamily="18" charset="0"/>
                  </a:rPr>
                  <a:t>Absorbance</a:t>
                </a:r>
              </a:p>
            </c:rich>
          </c:tx>
          <c:layout>
            <c:manualLayout>
              <c:xMode val="edge"/>
              <c:yMode val="edge"/>
              <c:x val="1.1336583153837433E-2"/>
              <c:y val="0.29907795240887974"/>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85645424"/>
        <c:crosses val="autoZero"/>
        <c:crossBetween val="midCat"/>
      </c:valAx>
      <c:spPr>
        <a:noFill/>
        <a:ln w="19050">
          <a:solidFill>
            <a:sysClr val="windowText" lastClr="000000"/>
          </a:solidFill>
        </a:ln>
        <a:effectLst/>
      </c:spPr>
    </c:plotArea>
    <c:legend>
      <c:legendPos val="t"/>
      <c:layout>
        <c:manualLayout>
          <c:xMode val="edge"/>
          <c:yMode val="edge"/>
          <c:x val="0.26256141059290666"/>
          <c:y val="8.8144557073600707E-2"/>
          <c:w val="0.27472364520275905"/>
          <c:h val="0.2725012983002793"/>
        </c:manualLayout>
      </c:layout>
      <c:overlay val="1"/>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0.75737</cdr:x>
      <cdr:y>0.64143</cdr:y>
    </cdr:from>
    <cdr:to>
      <cdr:x>0.901</cdr:x>
      <cdr:y>0.75396</cdr:y>
    </cdr:to>
    <cdr:sp macro="" textlink="">
      <cdr:nvSpPr>
        <cdr:cNvPr id="2" name="Zone de texte 10"/>
        <cdr:cNvSpPr txBox="1"/>
      </cdr:nvSpPr>
      <cdr:spPr>
        <a:xfrm xmlns:a="http://schemas.openxmlformats.org/drawingml/2006/main">
          <a:off x="2136292" y="1527407"/>
          <a:ext cx="405130" cy="267970"/>
        </a:xfrm>
        <a:prstGeom xmlns:a="http://schemas.openxmlformats.org/drawingml/2006/main" prst="rect">
          <a:avLst/>
        </a:prstGeom>
        <a:solidFill xmlns:a="http://schemas.openxmlformats.org/drawingml/2006/main">
          <a:schemeClr val="lt1"/>
        </a:solidFill>
        <a:ln xmlns:a="http://schemas.openxmlformats.org/drawingml/2006/main" w="6350">
          <a:solidFill>
            <a:prstClr val="black"/>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15000"/>
            </a:lnSpc>
            <a:spcAft>
              <a:spcPts val="800"/>
            </a:spcAft>
            <a:buNone/>
          </a:pPr>
          <a:r>
            <a:rPr lang="fr-FR" sz="1000" b="1" kern="100">
              <a:effectLst/>
              <a:latin typeface="Arial" panose="020B0604020202020204" pitchFamily="34" charset="0"/>
              <a:ea typeface="Calibri" panose="020F0502020204030204" pitchFamily="34" charset="0"/>
              <a:cs typeface="Arial" panose="020B0604020202020204" pitchFamily="34" charset="0"/>
            </a:rPr>
            <a:t>5.b</a:t>
          </a:r>
          <a:endParaRPr lang="fr-BF" sz="1000" kern="100">
            <a:effectLst/>
            <a:latin typeface="Arial" panose="020B0604020202020204" pitchFamily="34" charset="0"/>
            <a:ea typeface="Calibri" panose="020F050202020403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0.70105</cdr:x>
      <cdr:y>0.59868</cdr:y>
    </cdr:from>
    <cdr:to>
      <cdr:x>0.82178</cdr:x>
      <cdr:y>0.71907</cdr:y>
    </cdr:to>
    <cdr:sp macro="" textlink="">
      <cdr:nvSpPr>
        <cdr:cNvPr id="2" name="Zone de texte 10"/>
        <cdr:cNvSpPr txBox="1"/>
      </cdr:nvSpPr>
      <cdr:spPr>
        <a:xfrm xmlns:a="http://schemas.openxmlformats.org/drawingml/2006/main">
          <a:off x="2357154" y="1332460"/>
          <a:ext cx="405954" cy="267962"/>
        </a:xfrm>
        <a:prstGeom xmlns:a="http://schemas.openxmlformats.org/drawingml/2006/main" prst="rect">
          <a:avLst/>
        </a:prstGeom>
        <a:solidFill xmlns:a="http://schemas.openxmlformats.org/drawingml/2006/main">
          <a:schemeClr val="lt1"/>
        </a:solidFill>
        <a:ln xmlns:a="http://schemas.openxmlformats.org/drawingml/2006/main" w="6350">
          <a:solidFill>
            <a:prstClr val="black"/>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15000"/>
            </a:lnSpc>
            <a:spcAft>
              <a:spcPts val="800"/>
            </a:spcAft>
            <a:buNone/>
          </a:pPr>
          <a:r>
            <a:rPr lang="fr-FR" sz="1200" b="1" kern="100">
              <a:effectLst/>
              <a:latin typeface="Times New Roman" panose="02020603050405020304" pitchFamily="18" charset="0"/>
              <a:ea typeface="Calibri" panose="020F0502020204030204" pitchFamily="34" charset="0"/>
              <a:cs typeface="Times New Roman" panose="02020603050405020304" pitchFamily="18" charset="0"/>
            </a:rPr>
            <a:t>5.c</a:t>
          </a:r>
          <a:endParaRPr lang="fr-BF" sz="1200" kern="1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F9038-3273-46A5-863F-BE6C19132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40</TotalTime>
  <Pages>29</Pages>
  <Words>31390</Words>
  <Characters>178927</Characters>
  <Application>Microsoft Office Word</Application>
  <DocSecurity>0</DocSecurity>
  <Lines>1491</Lines>
  <Paragraphs>419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209898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11</cp:revision>
  <cp:lastPrinted>1999-07-06T11:00:00Z</cp:lastPrinted>
  <dcterms:created xsi:type="dcterms:W3CDTF">2025-11-30T09:26:00Z</dcterms:created>
  <dcterms:modified xsi:type="dcterms:W3CDTF">2025-12-01T13:59:00Z</dcterms:modified>
</cp:coreProperties>
</file>