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CF065" w14:textId="77777777" w:rsidR="001D18BE" w:rsidRPr="001D18BE" w:rsidRDefault="001D18BE" w:rsidP="001D18BE">
      <w:pPr>
        <w:pStyle w:val="isselectedend"/>
        <w:rPr>
          <w:rFonts w:ascii="Arial" w:hAnsi="Arial" w:cs="Arial"/>
          <w:b/>
          <w:bCs/>
          <w:i/>
          <w:iCs/>
          <w:sz w:val="44"/>
          <w:szCs w:val="44"/>
          <w:u w:val="single"/>
        </w:rPr>
      </w:pPr>
      <w:r w:rsidRPr="001D18BE">
        <w:rPr>
          <w:rFonts w:ascii="Arial" w:hAnsi="Arial" w:cs="Arial"/>
          <w:b/>
          <w:bCs/>
          <w:i/>
          <w:iCs/>
          <w:sz w:val="44"/>
          <w:szCs w:val="44"/>
          <w:u w:val="single"/>
        </w:rPr>
        <w:t xml:space="preserve">Case report </w:t>
      </w:r>
    </w:p>
    <w:p w14:paraId="2870F280" w14:textId="77777777" w:rsidR="00A258C3" w:rsidRPr="00C15CEA" w:rsidRDefault="00C24D2C" w:rsidP="00702F36">
      <w:pPr>
        <w:pStyle w:val="isselectedend"/>
        <w:jc w:val="right"/>
        <w:rPr>
          <w:rFonts w:ascii="Arial" w:hAnsi="Arial" w:cs="Arial"/>
          <w:b/>
          <w:sz w:val="44"/>
          <w:szCs w:val="44"/>
        </w:rPr>
      </w:pPr>
      <w:r w:rsidRPr="00C15CEA">
        <w:rPr>
          <w:rFonts w:ascii="Arial" w:hAnsi="Arial" w:cs="Arial"/>
          <w:b/>
          <w:sz w:val="44"/>
          <w:szCs w:val="44"/>
        </w:rPr>
        <w:t>Fatal Rupture of Subcapsular Hepatic Hematoma in Preeclampsia with Severe Features: A Catastrophic Obstetric Emergency</w:t>
      </w:r>
    </w:p>
    <w:p w14:paraId="1971C740" w14:textId="77777777" w:rsidR="00790ADA" w:rsidRPr="00C15CEA" w:rsidRDefault="00790ADA" w:rsidP="00441B6F">
      <w:pPr>
        <w:pStyle w:val="Affiliation"/>
        <w:spacing w:after="0" w:line="240" w:lineRule="auto"/>
        <w:jc w:val="both"/>
        <w:rPr>
          <w:rFonts w:ascii="Arial" w:hAnsi="Arial" w:cs="Arial"/>
          <w:sz w:val="22"/>
          <w:szCs w:val="22"/>
        </w:rPr>
      </w:pPr>
    </w:p>
    <w:p w14:paraId="3CF5AB3B" w14:textId="77777777" w:rsidR="002C57D2" w:rsidRPr="00C15CEA" w:rsidRDefault="002C57D2" w:rsidP="00441B6F">
      <w:pPr>
        <w:pStyle w:val="Affiliation"/>
        <w:spacing w:after="0" w:line="240" w:lineRule="auto"/>
        <w:jc w:val="both"/>
        <w:rPr>
          <w:rFonts w:ascii="Arial" w:hAnsi="Arial" w:cs="Arial"/>
          <w:sz w:val="22"/>
          <w:szCs w:val="22"/>
        </w:rPr>
      </w:pPr>
    </w:p>
    <w:p w14:paraId="37B6CD20" w14:textId="77777777" w:rsidR="00B01FCD" w:rsidRPr="00C15CEA" w:rsidRDefault="00C24D2C" w:rsidP="00441B6F">
      <w:pPr>
        <w:pStyle w:val="Copyright"/>
        <w:spacing w:after="0" w:line="240" w:lineRule="auto"/>
        <w:jc w:val="both"/>
        <w:rPr>
          <w:rFonts w:ascii="Arial" w:hAnsi="Arial" w:cs="Arial"/>
          <w:sz w:val="22"/>
          <w:szCs w:val="22"/>
        </w:rPr>
        <w:sectPr w:rsidR="00B01FCD" w:rsidRPr="00C15CEA" w:rsidSect="00702F3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15CEA">
        <w:rPr>
          <w:rFonts w:ascii="Arial" w:hAnsi="Arial" w:cs="Arial"/>
          <w:noProof/>
          <w:sz w:val="22"/>
          <w:szCs w:val="22"/>
        </w:rPr>
        <mc:AlternateContent>
          <mc:Choice Requires="wps">
            <w:drawing>
              <wp:inline distT="0" distB="0" distL="0" distR="0" wp14:anchorId="03330EA7" wp14:editId="58C5DA2F">
                <wp:extent cx="5303520" cy="635"/>
                <wp:effectExtent l="9525" t="10160" r="11430"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5EDBD8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C15CEA">
        <w:rPr>
          <w:rFonts w:ascii="Arial" w:hAnsi="Arial" w:cs="Arial"/>
          <w:sz w:val="22"/>
          <w:szCs w:val="22"/>
        </w:rPr>
        <w:t>.</w:t>
      </w:r>
    </w:p>
    <w:p w14:paraId="7AE82488" w14:textId="77777777" w:rsidR="00B01FCD" w:rsidRPr="00C15CEA" w:rsidRDefault="00B01FCD" w:rsidP="00E35D98">
      <w:pPr>
        <w:pStyle w:val="AbstHead"/>
        <w:spacing w:after="0"/>
        <w:rPr>
          <w:rFonts w:ascii="Arial" w:hAnsi="Arial" w:cs="Arial"/>
          <w:szCs w:val="22"/>
        </w:rPr>
      </w:pPr>
      <w:r w:rsidRPr="00C15CEA">
        <w:rPr>
          <w:rFonts w:ascii="Arial" w:hAnsi="Arial" w:cs="Arial"/>
          <w:szCs w:val="22"/>
        </w:rPr>
        <w:t>ABSTRACT</w:t>
      </w:r>
    </w:p>
    <w:p w14:paraId="36CE626E" w14:textId="77777777" w:rsidR="00790ADA" w:rsidRPr="00C15CEA" w:rsidRDefault="00790ADA" w:rsidP="00E35D98">
      <w:pPr>
        <w:pStyle w:val="AbstHead"/>
        <w:spacing w:after="0"/>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C15CEA" w14:paraId="20B83E18" w14:textId="77777777" w:rsidTr="001E44FE">
        <w:tc>
          <w:tcPr>
            <w:tcW w:w="9576" w:type="dxa"/>
            <w:shd w:val="clear" w:color="auto" w:fill="F2F2F2"/>
          </w:tcPr>
          <w:p w14:paraId="7F7A3813" w14:textId="4892A58D" w:rsidR="002D5EB5" w:rsidRDefault="002D5EB5" w:rsidP="00E35D98">
            <w:pPr>
              <w:spacing w:after="120"/>
              <w:rPr>
                <w:rFonts w:ascii="Arial" w:hAnsi="Arial" w:cs="Arial"/>
                <w:sz w:val="22"/>
                <w:szCs w:val="22"/>
              </w:rPr>
            </w:pPr>
            <w:r>
              <w:rPr>
                <w:rFonts w:ascii="Arial" w:hAnsi="Arial" w:cs="Arial"/>
                <w:sz w:val="22"/>
                <w:szCs w:val="22"/>
              </w:rPr>
              <w:t>Introduction</w:t>
            </w:r>
          </w:p>
          <w:p w14:paraId="26A2D487" w14:textId="14B5047F" w:rsidR="00EE3379" w:rsidRPr="002E0C58" w:rsidRDefault="00EE3379" w:rsidP="00E35D98">
            <w:pPr>
              <w:spacing w:after="120"/>
              <w:rPr>
                <w:rFonts w:ascii="Arial" w:hAnsi="Arial" w:cs="Arial"/>
                <w:sz w:val="22"/>
                <w:szCs w:val="22"/>
              </w:rPr>
            </w:pPr>
            <w:r w:rsidRPr="002E0C58">
              <w:rPr>
                <w:rFonts w:ascii="Arial" w:hAnsi="Arial" w:cs="Arial"/>
                <w:sz w:val="22"/>
                <w:szCs w:val="22"/>
              </w:rPr>
              <w:t>Subcapsular liver hematoma (SLH) in pregnancy is a rare complication, and it’s a life-threatening complication associated with severe preeclampsia and HELLP syndrome. SLH complicate between 1 in 40,000 and 1 in 250,000 pregnancies.  Timely identification and interdisciplinary management are essential for improving maternal outcomes.</w:t>
            </w:r>
          </w:p>
          <w:p w14:paraId="4FC00C38"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Management approach is multidisciplinary treatment options range from conservative treatment to surgical modalities, including hepatic resection, hepatic artery ligation, and liver transplantation, depending on hemodynamic stability and trauma severity.</w:t>
            </w:r>
          </w:p>
          <w:p w14:paraId="15A19DA2" w14:textId="77777777" w:rsidR="00EE3379" w:rsidRPr="002E0C58" w:rsidRDefault="00EE3379" w:rsidP="00E35D98">
            <w:pPr>
              <w:spacing w:after="120"/>
              <w:rPr>
                <w:rFonts w:ascii="Arial" w:hAnsi="Arial" w:cs="Arial"/>
                <w:sz w:val="22"/>
                <w:szCs w:val="22"/>
              </w:rPr>
            </w:pPr>
            <w:r w:rsidRPr="002E0C58">
              <w:rPr>
                <w:rFonts w:ascii="Arial" w:hAnsi="Arial" w:cs="Arial"/>
                <w:b/>
                <w:bCs/>
                <w:sz w:val="22"/>
                <w:szCs w:val="22"/>
              </w:rPr>
              <w:t>Case Presentation</w:t>
            </w:r>
          </w:p>
          <w:p w14:paraId="742908CB"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We present a case of a 25-year-old gravida 3 para 2 at gestational age 32+6 weeks with severe preeclampsia who developed sudden epigastric pain and hypovolemic shock. A trans abdominal ultrasound revealed intrauterine fetal demise and a large right-lobe Subcapsular hepatic hematoma with hemoperitoneum.</w:t>
            </w:r>
          </w:p>
          <w:p w14:paraId="654355BF"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An emergency laparotomy revealed a ruptured Subcapsular hematoma affecting over 60% of the liver surface. Primary hemostasis was accomplished using Feliciano perihepatic packing. Despite all intensive resuscitation measures and re-exploration, the patient ultimately succumbed to multiple organ failure.</w:t>
            </w:r>
          </w:p>
          <w:p w14:paraId="633D5FEB" w14:textId="77777777" w:rsidR="00EE3379" w:rsidRPr="002E0C58" w:rsidRDefault="00EE3379" w:rsidP="00E35D98">
            <w:pPr>
              <w:spacing w:after="120"/>
              <w:rPr>
                <w:rFonts w:ascii="Arial" w:hAnsi="Arial" w:cs="Arial"/>
                <w:sz w:val="22"/>
                <w:szCs w:val="22"/>
              </w:rPr>
            </w:pPr>
            <w:r w:rsidRPr="002E0C58">
              <w:rPr>
                <w:rFonts w:ascii="Arial" w:hAnsi="Arial" w:cs="Arial"/>
                <w:b/>
                <w:bCs/>
                <w:sz w:val="22"/>
                <w:szCs w:val="22"/>
              </w:rPr>
              <w:t>Discussion and Conclusion</w:t>
            </w:r>
          </w:p>
          <w:p w14:paraId="4495AAEA"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This case outlines the importance of early identification, diligent observation, and prompt multidisciplinary intervention in severe maternal hypertension aggravating hypertensive disorder in pregnancy, especially in severe preeclampsia.</w:t>
            </w:r>
          </w:p>
          <w:p w14:paraId="3CCAA61B"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Subcapsular hepatic hematoma is a critical yet preventable contributor to maternal mortality linked to severe preeclampsia. Careful clinical assessment, timely imaging, and swift surgical intervention are crucial for improving survival rates. This example underscores the necessity of prompt identification, swift resuscitation, interdisciplinary collaboration, and availability of modern surgical methods to enhance outcomes in thi</w:t>
            </w:r>
            <w:r w:rsidRPr="00C15CEA">
              <w:rPr>
                <w:rFonts w:ascii="Arial" w:hAnsi="Arial" w:cs="Arial"/>
                <w:sz w:val="22"/>
                <w:szCs w:val="22"/>
              </w:rPr>
              <w:t xml:space="preserve">s rare </w:t>
            </w:r>
            <w:r w:rsidRPr="002E0C58">
              <w:rPr>
                <w:rFonts w:ascii="Arial" w:hAnsi="Arial" w:cs="Arial"/>
                <w:sz w:val="22"/>
                <w:szCs w:val="22"/>
              </w:rPr>
              <w:t>yet severe condition.</w:t>
            </w:r>
          </w:p>
          <w:p w14:paraId="45531E25" w14:textId="77777777" w:rsidR="00505F06" w:rsidRPr="00C15CEA" w:rsidRDefault="00505F06" w:rsidP="00E35D98">
            <w:pPr>
              <w:pStyle w:val="Body"/>
              <w:spacing w:after="0"/>
              <w:jc w:val="left"/>
              <w:rPr>
                <w:rFonts w:ascii="Arial" w:eastAsia="Calibri" w:hAnsi="Arial" w:cs="Arial"/>
                <w:sz w:val="22"/>
                <w:szCs w:val="22"/>
              </w:rPr>
            </w:pPr>
          </w:p>
        </w:tc>
      </w:tr>
    </w:tbl>
    <w:p w14:paraId="5732F197" w14:textId="77777777" w:rsidR="00636EB2" w:rsidRPr="00C15CEA" w:rsidRDefault="00636EB2" w:rsidP="00E35D98">
      <w:pPr>
        <w:pStyle w:val="Body"/>
        <w:spacing w:after="0"/>
        <w:jc w:val="left"/>
        <w:rPr>
          <w:rFonts w:ascii="Arial" w:hAnsi="Arial" w:cs="Arial"/>
          <w:i/>
          <w:sz w:val="22"/>
          <w:szCs w:val="22"/>
        </w:rPr>
      </w:pPr>
    </w:p>
    <w:p w14:paraId="586B03A6" w14:textId="77777777" w:rsidR="00790ADA" w:rsidRPr="00C15CEA" w:rsidRDefault="00C24D2C" w:rsidP="00E35D98">
      <w:pPr>
        <w:pStyle w:val="Body"/>
        <w:spacing w:after="0"/>
        <w:jc w:val="left"/>
        <w:rPr>
          <w:rFonts w:ascii="Arial" w:eastAsia="Calibri" w:hAnsi="Arial" w:cs="Arial"/>
          <w:i/>
          <w:sz w:val="22"/>
          <w:szCs w:val="22"/>
        </w:rPr>
      </w:pPr>
      <w:r w:rsidRPr="00C15CEA">
        <w:rPr>
          <w:rFonts w:ascii="Arial" w:hAnsi="Arial" w:cs="Arial"/>
          <w:i/>
          <w:sz w:val="22"/>
          <w:szCs w:val="22"/>
        </w:rPr>
        <w:t xml:space="preserve">Keywords: </w:t>
      </w:r>
      <w:r w:rsidRPr="00C15CEA">
        <w:rPr>
          <w:rFonts w:ascii="Arial" w:eastAsia="Calibri" w:hAnsi="Arial" w:cs="Arial"/>
          <w:i/>
          <w:sz w:val="22"/>
          <w:szCs w:val="22"/>
        </w:rPr>
        <w:t>Keywords: Liver hematoma, preeclampsia, HELLP syndrome, Subcapsular hematoma, Feliciano packing, transfusion.</w:t>
      </w:r>
    </w:p>
    <w:p w14:paraId="1C77D052" w14:textId="77777777" w:rsidR="00C24D2C" w:rsidRPr="00C15CEA" w:rsidRDefault="00C24D2C" w:rsidP="00E35D98">
      <w:pPr>
        <w:pStyle w:val="Body"/>
        <w:spacing w:after="0"/>
        <w:jc w:val="left"/>
        <w:rPr>
          <w:rFonts w:ascii="Arial" w:hAnsi="Arial" w:cs="Arial"/>
          <w:i/>
          <w:sz w:val="22"/>
          <w:szCs w:val="22"/>
        </w:rPr>
      </w:pPr>
    </w:p>
    <w:p w14:paraId="3B7FAB89" w14:textId="77777777" w:rsidR="0024282C" w:rsidRPr="00C15CEA" w:rsidRDefault="0024282C" w:rsidP="00E35D98">
      <w:pPr>
        <w:pStyle w:val="Body"/>
        <w:spacing w:after="0"/>
        <w:jc w:val="left"/>
        <w:rPr>
          <w:rFonts w:ascii="Arial" w:hAnsi="Arial" w:cs="Arial"/>
          <w:i/>
          <w:sz w:val="22"/>
          <w:szCs w:val="22"/>
        </w:rPr>
      </w:pPr>
    </w:p>
    <w:p w14:paraId="2BE48721" w14:textId="77777777" w:rsidR="00505F06" w:rsidRPr="00C15CEA" w:rsidRDefault="00505F06" w:rsidP="00E35D98">
      <w:pPr>
        <w:pStyle w:val="Body"/>
        <w:spacing w:after="0"/>
        <w:jc w:val="left"/>
        <w:rPr>
          <w:rFonts w:ascii="Arial" w:hAnsi="Arial" w:cs="Arial"/>
          <w:i/>
          <w:sz w:val="22"/>
          <w:szCs w:val="22"/>
        </w:rPr>
      </w:pPr>
    </w:p>
    <w:p w14:paraId="7920C717" w14:textId="77777777" w:rsidR="002B30F7" w:rsidRPr="00C15CEA" w:rsidRDefault="00902823" w:rsidP="00E35D98">
      <w:pPr>
        <w:pStyle w:val="AbstHead"/>
        <w:spacing w:after="0"/>
        <w:rPr>
          <w:rFonts w:ascii="Arial" w:hAnsi="Arial" w:cs="Arial"/>
          <w:szCs w:val="22"/>
        </w:rPr>
      </w:pPr>
      <w:r w:rsidRPr="00C15CEA">
        <w:rPr>
          <w:rFonts w:ascii="Arial" w:hAnsi="Arial" w:cs="Arial"/>
          <w:szCs w:val="22"/>
        </w:rPr>
        <w:t xml:space="preserve">1. </w:t>
      </w:r>
      <w:r w:rsidR="00B01FCD" w:rsidRPr="00C15CEA">
        <w:rPr>
          <w:rFonts w:ascii="Arial" w:hAnsi="Arial" w:cs="Arial"/>
          <w:szCs w:val="22"/>
        </w:rPr>
        <w:t>INTRODUCTION</w:t>
      </w:r>
    </w:p>
    <w:p w14:paraId="7982AFD8" w14:textId="77777777" w:rsidR="000D0A9A" w:rsidRPr="00C15CEA" w:rsidRDefault="000D0A9A" w:rsidP="00E35D98">
      <w:pPr>
        <w:pStyle w:val="AbstHead"/>
        <w:spacing w:after="0"/>
        <w:rPr>
          <w:rFonts w:ascii="Arial" w:hAnsi="Arial" w:cs="Arial"/>
          <w:szCs w:val="22"/>
        </w:rPr>
      </w:pPr>
    </w:p>
    <w:p w14:paraId="25A0E04A"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Subcapsular liver hematoma (SLH) is rare and has potentially fatal consequences linked to hypertensive disorders of pregnancy, especially severe preeclampsia and HELLP syndrome (Wicke et al., 2004).  Despite its rarity, with an estimated frequency of 1–2 per 100,000 pregnancies, SLH is associated with considerable maternal and neonatal morbidity and mortality, particularly in cases of hepatic rupture (Wicke et al., 2004; Rinehart et al., 1999).  Recent case reports underscore the severity of this illness despite advancements in maternal care (Azar et al., 2025; Chawanpaiboon et al., 2025).</w:t>
      </w:r>
    </w:p>
    <w:p w14:paraId="27C9433D"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The pathogenesis of SLH in preeclampsia is intricate and is thought to stem from endothelial dysfunction, hepatic sinusoidal obstruction, periportal hemorrhage, and fibrin deposition, resulting in hepatocellular necrosis and capsular distension (Van Dyke, 1996).  These gradual alterations predispose the liver to the formation of subcapsular hematomas, which may expand and rupture spontaneously or under elevated intra-abdominal pressure.  The literature reports hepatic rupture in the absence of complete HELLP syndrome, underscoring the unpredictable nature of the condition (Kang et al., 2025; Sucan et al., 2025).</w:t>
      </w:r>
    </w:p>
    <w:p w14:paraId="6F253228"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Clinically, SLH frequently manifests with ambiguous or nonspecific symptoms, including epigastric pain, discomfort in the right upper quadrant, nausea, vomiting, or referred pain to the shoulder tip.  These symptoms are often erroneously ascribed to more prevalent gastrointestinal or musculoskeletal disorders during pregnancy, resulting in frequent diagnostic delays (Sucan et al., 2025; McBride et al., 2023).  Delayed identification poses significant risks, as hematoma expansion or rupture may result in extensive intraperitoneal hemorrhage, hemodynamic instability, disseminated intravascular coagulation (DIC), and multiorgan failure—key factors in maternal mortality (Wicke et al., 2004; Rinehart et al., 1999).</w:t>
      </w:r>
    </w:p>
    <w:p w14:paraId="01020ED0"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 xml:space="preserve">Ultrasonography is generally the primary diagnostic tool performed at the patient’s bedside; it's readily available and safe during pregnancy; however, its sensitivity is limited, especially in unstable patients or those with significant obesity.  Computed tomography (CT) is the imaging modality of choice for diagnosing </w:t>
      </w:r>
      <w:r w:rsidR="006716B9" w:rsidRPr="00C15CEA">
        <w:rPr>
          <w:rFonts w:ascii="Arial" w:hAnsi="Arial" w:cs="Arial"/>
          <w:sz w:val="22"/>
          <w:szCs w:val="22"/>
        </w:rPr>
        <w:t>Subcapsular</w:t>
      </w:r>
      <w:r w:rsidRPr="002E0C58">
        <w:rPr>
          <w:rFonts w:ascii="Arial" w:hAnsi="Arial" w:cs="Arial"/>
          <w:sz w:val="22"/>
          <w:szCs w:val="22"/>
        </w:rPr>
        <w:t xml:space="preserve"> hematoma.  It provides enhanced detail for delineating the extent of the hematoma, ongoing hemorrhage, and related problems (McBride et al., 2023; Liu &amp; Yang, 2025).  CT imaging is acknowledged as the most sensitive technique for delineating hematoma anatomy and directing urgent management (Wicke et al., 2004).</w:t>
      </w:r>
    </w:p>
    <w:p w14:paraId="46FEF2CA"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Effective management of Subcapsular liver hematoma requires a prompt, multidisciplinary approach involving obstetricians, hepatobiliary or general surgeons, anesthesiologists, interventional radiologists, and critical care specialists.  Treatment may encompass hemodynamic stabilization, immediate delivery, perihepatic packing, hepatic artery ligation, or endovascular methods. The Feliciano perihepatic pa</w:t>
      </w:r>
      <w:r w:rsidRPr="00C15CEA">
        <w:rPr>
          <w:rFonts w:ascii="Arial" w:hAnsi="Arial" w:cs="Arial"/>
          <w:sz w:val="22"/>
          <w:szCs w:val="22"/>
        </w:rPr>
        <w:t xml:space="preserve">cking technique is a </w:t>
      </w:r>
      <w:r w:rsidRPr="002E0C58">
        <w:rPr>
          <w:rFonts w:ascii="Arial" w:hAnsi="Arial" w:cs="Arial"/>
          <w:sz w:val="22"/>
          <w:szCs w:val="22"/>
        </w:rPr>
        <w:t xml:space="preserve">surgical method for managing hepatic hemorrhage in trauma and has been effectively </w:t>
      </w:r>
      <w:r w:rsidRPr="00C15CEA">
        <w:rPr>
          <w:rFonts w:ascii="Arial" w:hAnsi="Arial" w:cs="Arial"/>
          <w:sz w:val="22"/>
          <w:szCs w:val="22"/>
        </w:rPr>
        <w:t xml:space="preserve">utilized in obstetric scenarios </w:t>
      </w:r>
      <w:r w:rsidRPr="002E0C58">
        <w:rPr>
          <w:rFonts w:ascii="Arial" w:hAnsi="Arial" w:cs="Arial"/>
          <w:sz w:val="22"/>
          <w:szCs w:val="22"/>
        </w:rPr>
        <w:t>(Baldoni et al., 2011; Caruso, 1999).  Notwithstanding rigorous control, problems including disseminated intravascular coagulation, shock, and multisystem failure persist as significant threats (Rinehart et al., 1999; Wicke et al., 2004).</w:t>
      </w:r>
    </w:p>
    <w:p w14:paraId="3DB51630"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We present the case of a 25-year-old gravida 3 para 2 at 32 weeks and 6 days of gestation with a ruptured Subcapsular liver hematoma associated with severe preeclampsia. This case reinforces the diagnostic challenges of Subcapsular liver hematoma, given its nonspecific symptoms, and highlights the need for timely imaging and a multidisciplinary approach. This example signified an evidence gap regarding the optimal timing of imaging and action, underscoring the need for further research to develop guidelines that could markedly enhance patient outcomes in similar situations.</w:t>
      </w:r>
    </w:p>
    <w:p w14:paraId="6720F678" w14:textId="77777777" w:rsidR="00EE3379" w:rsidRPr="002E0C58" w:rsidRDefault="00ED2E46" w:rsidP="00E35D98">
      <w:pPr>
        <w:spacing w:after="120"/>
        <w:rPr>
          <w:rFonts w:ascii="Arial" w:hAnsi="Arial" w:cs="Arial"/>
          <w:sz w:val="22"/>
          <w:szCs w:val="22"/>
        </w:rPr>
      </w:pPr>
      <w:r w:rsidRPr="00C15CEA">
        <w:rPr>
          <w:rFonts w:ascii="Arial" w:hAnsi="Arial" w:cs="Arial"/>
          <w:b/>
          <w:bCs/>
          <w:sz w:val="22"/>
          <w:szCs w:val="22"/>
        </w:rPr>
        <w:t>2. CASE PRESENTATION</w:t>
      </w:r>
    </w:p>
    <w:p w14:paraId="769C3AEC"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lastRenderedPageBreak/>
        <w:t>A 25-year-old woman, gravida 3 para 2, at 32 weeks and 6 days of gestation with preeclampsia with severe features, was referred from a regional hospital for maternal and fetal surveillance. She was admitted to the Department of Obstetrics and Gynecology at the Georgetown Public Hospital Corporation. Her antenatal course had been uneventful. She did not present with abdominal pain, vaginal bleeding, or leakage of fluid per vagina.</w:t>
      </w:r>
    </w:p>
    <w:p w14:paraId="628D6E10"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On admission, her pulse rate was 82 beats per minute, and her blood pressure was 130/90 mmHg. Speculum examination revealed a healthy vagina and cervix, with no abnormal discharge or bleeding. Abdominal examination showed a non-tender uterus corresponding to 30 weeks’ gestation with absent fetal heart sounds.</w:t>
      </w:r>
    </w:p>
    <w:p w14:paraId="66C43F3E"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Baseline laboratory investigations revealed hemoglobin of 12.4 g/dL, platelet count 108 × 10⁹/L, total leukocyte count 15.3 × 10⁹/L, INR 1.0, creatinine 0.9 mg/dL, SGOT 28 IU/L, SGPT 21.2 IU/L, and LDH 288 IU/L. Urine dipstick testing showed 3+ proteinuria. Obstetric ultrasonography confirmed a single intrauterine fetal demise with normal liquor and an anterior placenta, without evidence of fetal malformations.</w:t>
      </w:r>
    </w:p>
    <w:p w14:paraId="11BB08CA"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Approximately 30 minutes after arrival in the triage area, the patient experienced a sudden onset of severe epigastric pain. Her blood pressure dropped acutely to 74/46 mmHg. On re-examination, the abdomen was distended and tender; the uterine fundal height could not be appreciated. Magnesium sulphate was administered for eclampsia prophylaxis and planned termination of pregnancy.</w:t>
      </w:r>
    </w:p>
    <w:p w14:paraId="4F4CEA00"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While being prepared for emergency surgery, repeat laboratory investigations revealed hemoglobin of 6.7 g/dL, platelet count of 115 × 10^9/L, total leukocyte counts of 39 × 10^9/L, and creatinine of 1.6 mg/dL. Her pulse rate was 70 beats per minute, and her blood pressure had further declined to 60/39 mmHg. Resuscitative measures were initiated immediately. Ultrasound assessment indicated the presence of free fluid in the perihepatic, pericholecystic, and splenorenal regions, along with a hyperechoic area in the right hepatic lobe indicative of a ruptured Subcapsular hematoma.</w:t>
      </w:r>
      <w:r w:rsidRPr="002E0C58">
        <w:rPr>
          <w:rFonts w:ascii="Arial" w:hAnsi="Arial" w:cs="Arial"/>
          <w:sz w:val="22"/>
          <w:szCs w:val="22"/>
        </w:rPr>
        <w:br/>
      </w:r>
      <w:r w:rsidRPr="002E0C58">
        <w:rPr>
          <w:rFonts w:ascii="Arial" w:hAnsi="Arial" w:cs="Arial"/>
          <w:sz w:val="22"/>
          <w:szCs w:val="22"/>
        </w:rPr>
        <w:br/>
        <w:t>A suspected diagnosis of a ruptured Subcapsular hepatic hematoma accompanied by intrauterine fetal death was established. The massive blood transfusion protocol was initiated. Consults were requested from the general surgery, anesthesia, and intensive care departments. The patient was transported for an urgent exploratory laparotomy.</w:t>
      </w:r>
    </w:p>
    <w:p w14:paraId="54B9D9D1"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 xml:space="preserve">Hemostasis was attempted using the Feliciano perihepatic packing technique, placing four large laparotomy pads. Adequate hemostasis was achieved. An abdominal drain was placed in the subhepatic space and pouch of Douglas. A cesarean section was carried out routinely, with a fresh stillbirth extracted. The total blood loss was 3.3 </w:t>
      </w:r>
      <w:r w:rsidRPr="00C15CEA">
        <w:rPr>
          <w:rFonts w:ascii="Arial" w:hAnsi="Arial" w:cs="Arial"/>
          <w:sz w:val="22"/>
          <w:szCs w:val="22"/>
        </w:rPr>
        <w:t>liters</w:t>
      </w:r>
      <w:r w:rsidRPr="002E0C58">
        <w:rPr>
          <w:rFonts w:ascii="Arial" w:hAnsi="Arial" w:cs="Arial"/>
          <w:sz w:val="22"/>
          <w:szCs w:val="22"/>
        </w:rPr>
        <w:t>. The patient received multiple transfusions, which included 11 units of packed red blood cells, 8 units of fresh frozen plasma, 8 units of cryoprecipitate, and 3 units of platelets.</w:t>
      </w:r>
    </w:p>
    <w:p w14:paraId="78E5FC44"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 xml:space="preserve">Postoperatively, the patient was transferred to the intensive care unit for close monitoring. Approximately 45 minutes later, there was 1.1 </w:t>
      </w:r>
      <w:r w:rsidRPr="00C15CEA">
        <w:rPr>
          <w:rFonts w:ascii="Arial" w:hAnsi="Arial" w:cs="Arial"/>
          <w:sz w:val="22"/>
          <w:szCs w:val="22"/>
        </w:rPr>
        <w:t>liters</w:t>
      </w:r>
      <w:r w:rsidRPr="002E0C58">
        <w:rPr>
          <w:rFonts w:ascii="Arial" w:hAnsi="Arial" w:cs="Arial"/>
          <w:sz w:val="22"/>
          <w:szCs w:val="22"/>
        </w:rPr>
        <w:t xml:space="preserve"> of frank blood drained from the abdominal site, prompting urgent re-exploration by a hepatobiliary surgeon. During the second surgery, an additional 1.2 litres of hemoperitoneum were noted, with active bleeding from liver segments V, VI, and VII. Hemostasis was achieved with perihepatic packing using seven laparotomy sponges and compression of the inferior vena cava.</w:t>
      </w:r>
    </w:p>
    <w:p w14:paraId="2A0BB8A3"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Despite continued intensive care, including ventilator support, inotropic support, blood component therapy, and dialysis for acute renal failure, the patient developed hypovolemic shock, disseminated intravascular coagulation, metabolic acidosis, and ultimately multi-organ failure. She succumbed despite aggressive multidisciplinary management.</w:t>
      </w:r>
    </w:p>
    <w:p w14:paraId="1EB7097A" w14:textId="77777777" w:rsidR="00EE3379" w:rsidRPr="00C15CEA" w:rsidRDefault="00EE3379" w:rsidP="00E35D98">
      <w:pPr>
        <w:jc w:val="center"/>
        <w:rPr>
          <w:rFonts w:ascii="Arial" w:hAnsi="Arial" w:cs="Arial"/>
          <w:sz w:val="22"/>
          <w:szCs w:val="22"/>
        </w:rPr>
      </w:pPr>
    </w:p>
    <w:p w14:paraId="6EF35300" w14:textId="77777777" w:rsidR="00EE3379" w:rsidRPr="00C15CEA" w:rsidRDefault="00EE3379" w:rsidP="00E35D98">
      <w:pPr>
        <w:pStyle w:val="AbstHead"/>
        <w:spacing w:after="0"/>
        <w:jc w:val="center"/>
        <w:rPr>
          <w:rFonts w:ascii="Arial" w:hAnsi="Arial" w:cs="Arial"/>
          <w:szCs w:val="22"/>
        </w:rPr>
      </w:pPr>
    </w:p>
    <w:p w14:paraId="07C4245C" w14:textId="77777777" w:rsidR="00DC75EF" w:rsidRPr="00C15CEA" w:rsidRDefault="00DC75EF" w:rsidP="00E35D98">
      <w:pPr>
        <w:pStyle w:val="AbstHead"/>
        <w:spacing w:after="0"/>
        <w:jc w:val="center"/>
        <w:rPr>
          <w:rFonts w:ascii="Arial" w:hAnsi="Arial" w:cs="Arial"/>
          <w:szCs w:val="22"/>
        </w:rPr>
      </w:pPr>
    </w:p>
    <w:p w14:paraId="0AB38C8E" w14:textId="77777777" w:rsidR="002B30F7" w:rsidRPr="00C15CEA" w:rsidRDefault="002B30F7" w:rsidP="00E35D98">
      <w:pPr>
        <w:spacing w:line="276" w:lineRule="auto"/>
        <w:jc w:val="center"/>
        <w:rPr>
          <w:rFonts w:ascii="Arial" w:hAnsi="Arial" w:cs="Arial"/>
          <w:color w:val="000000"/>
          <w:sz w:val="22"/>
          <w:szCs w:val="22"/>
        </w:rPr>
      </w:pPr>
      <w:r w:rsidRPr="00C15CEA">
        <w:rPr>
          <w:rFonts w:ascii="Arial" w:hAnsi="Arial" w:cs="Arial"/>
          <w:noProof/>
          <w:color w:val="000000"/>
          <w:sz w:val="22"/>
          <w:szCs w:val="22"/>
        </w:rPr>
        <w:drawing>
          <wp:inline distT="0" distB="0" distL="0" distR="0" wp14:anchorId="39501BC9" wp14:editId="3CE5F1D5">
            <wp:extent cx="2965450" cy="2381250"/>
            <wp:effectExtent l="0" t="0" r="6350" b="0"/>
            <wp:docPr id="3" name="Picture 3" descr="C:\Users\amand\AppData\Local\Packages\5319275A.WhatsAppDesktop_cv1g1gvanyjgm\TempState\F15D337C70078947CFE1B5D6F0ED3F13\WhatsApp Image 2025-10-22 at 01.36.44_c738d2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nd\AppData\Local\Packages\5319275A.WhatsAppDesktop_cv1g1gvanyjgm\TempState\F15D337C70078947CFE1B5D6F0ED3F13\WhatsApp Image 2025-10-22 at 01.36.44_c738d2fc.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65450" cy="2381250"/>
                    </a:xfrm>
                    <a:prstGeom prst="rect">
                      <a:avLst/>
                    </a:prstGeom>
                    <a:noFill/>
                    <a:ln>
                      <a:noFill/>
                    </a:ln>
                  </pic:spPr>
                </pic:pic>
              </a:graphicData>
            </a:graphic>
          </wp:inline>
        </w:drawing>
      </w:r>
    </w:p>
    <w:p w14:paraId="2523E0BB" w14:textId="77777777" w:rsidR="002B30F7" w:rsidRPr="00C15CEA" w:rsidRDefault="002B30F7" w:rsidP="00E35D98">
      <w:pPr>
        <w:spacing w:line="276" w:lineRule="auto"/>
        <w:jc w:val="center"/>
        <w:rPr>
          <w:rFonts w:ascii="Arial" w:hAnsi="Arial" w:cs="Arial"/>
          <w:color w:val="000000"/>
          <w:sz w:val="22"/>
          <w:szCs w:val="22"/>
        </w:rPr>
      </w:pPr>
      <w:r w:rsidRPr="00C15CEA">
        <w:rPr>
          <w:rFonts w:ascii="Arial" w:hAnsi="Arial" w:cs="Arial"/>
          <w:color w:val="000000"/>
          <w:sz w:val="22"/>
          <w:szCs w:val="22"/>
        </w:rPr>
        <w:t>Figure:1 Ultrasound imaging of the liver of a patient with subcapsular hematoma.</w:t>
      </w:r>
    </w:p>
    <w:p w14:paraId="6C7121CD" w14:textId="77777777" w:rsidR="002B30F7" w:rsidRPr="00C15CEA" w:rsidRDefault="002B30F7" w:rsidP="00E35D98">
      <w:pPr>
        <w:spacing w:line="276" w:lineRule="auto"/>
        <w:jc w:val="center"/>
        <w:rPr>
          <w:rFonts w:ascii="Arial" w:hAnsi="Arial" w:cs="Arial"/>
          <w:color w:val="000000"/>
          <w:sz w:val="22"/>
          <w:szCs w:val="22"/>
        </w:rPr>
      </w:pPr>
    </w:p>
    <w:p w14:paraId="4B2A9455" w14:textId="77777777" w:rsidR="002B30F7" w:rsidRPr="00C15CEA" w:rsidRDefault="002B30F7" w:rsidP="00E35D98">
      <w:pPr>
        <w:spacing w:line="276" w:lineRule="auto"/>
        <w:jc w:val="center"/>
        <w:rPr>
          <w:rFonts w:ascii="Arial" w:hAnsi="Arial" w:cs="Arial"/>
          <w:color w:val="000000"/>
          <w:sz w:val="22"/>
          <w:szCs w:val="22"/>
        </w:rPr>
      </w:pPr>
    </w:p>
    <w:p w14:paraId="3B895938" w14:textId="77777777" w:rsidR="002B30F7" w:rsidRPr="00C15CEA" w:rsidRDefault="002B30F7" w:rsidP="00E35D98">
      <w:pPr>
        <w:spacing w:line="276" w:lineRule="auto"/>
        <w:jc w:val="center"/>
        <w:rPr>
          <w:rFonts w:ascii="Arial" w:hAnsi="Arial" w:cs="Arial"/>
          <w:color w:val="000000"/>
          <w:sz w:val="22"/>
          <w:szCs w:val="22"/>
        </w:rPr>
      </w:pPr>
      <w:r w:rsidRPr="00C15CEA">
        <w:rPr>
          <w:rFonts w:ascii="Arial" w:hAnsi="Arial" w:cs="Arial"/>
          <w:noProof/>
          <w:color w:val="000000"/>
          <w:sz w:val="22"/>
          <w:szCs w:val="22"/>
        </w:rPr>
        <w:drawing>
          <wp:anchor distT="0" distB="0" distL="114300" distR="114300" simplePos="0" relativeHeight="251659264" behindDoc="0" locked="0" layoutInCell="1" allowOverlap="1" wp14:anchorId="248AA7CB" wp14:editId="7653D7C8">
            <wp:simplePos x="0" y="0"/>
            <wp:positionH relativeFrom="column">
              <wp:posOffset>3009900</wp:posOffset>
            </wp:positionH>
            <wp:positionV relativeFrom="paragraph">
              <wp:posOffset>0</wp:posOffset>
            </wp:positionV>
            <wp:extent cx="2451100" cy="2361565"/>
            <wp:effectExtent l="0" t="0" r="6350" b="635"/>
            <wp:wrapSquare wrapText="bothSides"/>
            <wp:docPr id="4" name="Picture 4" descr="C:\Users\amand\AppData\Local\Packages\5319275A.WhatsAppDesktop_cv1g1gvanyjgm\TempState\21FFE5BF5B67A399BF74007793F4FC30\WhatsApp Image 2025-10-16 at 11.36.21_9ec116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and\AppData\Local\Packages\5319275A.WhatsAppDesktop_cv1g1gvanyjgm\TempState\21FFE5BF5B67A399BF74007793F4FC30\WhatsApp Image 2025-10-16 at 11.36.21_9ec1165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1100" cy="2361565"/>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C15CEA">
        <w:rPr>
          <w:rFonts w:ascii="Arial" w:hAnsi="Arial" w:cs="Arial"/>
          <w:noProof/>
          <w:color w:val="000000"/>
          <w:sz w:val="22"/>
          <w:szCs w:val="22"/>
        </w:rPr>
        <w:drawing>
          <wp:inline distT="0" distB="0" distL="0" distR="0" wp14:anchorId="098A06F9" wp14:editId="0F3A46EA">
            <wp:extent cx="2228850" cy="2393950"/>
            <wp:effectExtent l="0" t="0" r="0" b="6350"/>
            <wp:docPr id="2" name="Picture 2" descr="C:\Users\amand\AppData\Local\Packages\5319275A.WhatsAppDesktop_cv1g1gvanyjgm\TempState\36823DD8B2A2E143B1F60A01BB5C6E9F\WhatsApp Image 2025-10-16 at 11.36.21_ed0bfe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and\AppData\Local\Packages\5319275A.WhatsAppDesktop_cv1g1gvanyjgm\TempState\36823DD8B2A2E143B1F60A01BB5C6E9F\WhatsApp Image 2025-10-16 at 11.36.21_ed0bfe8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8850" cy="2393950"/>
                    </a:xfrm>
                    <a:prstGeom prst="rect">
                      <a:avLst/>
                    </a:prstGeom>
                    <a:noFill/>
                    <a:ln>
                      <a:noFill/>
                    </a:ln>
                  </pic:spPr>
                </pic:pic>
              </a:graphicData>
            </a:graphic>
          </wp:inline>
        </w:drawing>
      </w:r>
    </w:p>
    <w:p w14:paraId="1F30991B" w14:textId="77777777" w:rsidR="002B30F7" w:rsidRPr="00C15CEA" w:rsidRDefault="002B30F7" w:rsidP="00E35D98">
      <w:pPr>
        <w:spacing w:line="276" w:lineRule="auto"/>
        <w:jc w:val="center"/>
        <w:rPr>
          <w:rFonts w:ascii="Arial" w:hAnsi="Arial" w:cs="Arial"/>
          <w:color w:val="000000"/>
          <w:sz w:val="22"/>
          <w:szCs w:val="22"/>
        </w:rPr>
      </w:pPr>
      <w:r w:rsidRPr="00C15CEA">
        <w:rPr>
          <w:rStyle w:val="Strong"/>
          <w:rFonts w:ascii="Arial" w:hAnsi="Arial" w:cs="Arial"/>
          <w:b w:val="0"/>
          <w:color w:val="000000"/>
          <w:sz w:val="22"/>
          <w:szCs w:val="22"/>
        </w:rPr>
        <w:t>Figure 2:</w:t>
      </w:r>
      <w:r w:rsidRPr="00C15CEA">
        <w:rPr>
          <w:rFonts w:ascii="Arial" w:hAnsi="Arial" w:cs="Arial"/>
          <w:color w:val="000000"/>
          <w:sz w:val="22"/>
          <w:szCs w:val="22"/>
        </w:rPr>
        <w:t xml:space="preserve"> Intraoperative finding showing a ruptured subcapsular hematoma over the right lobe of the liver in a patient with preeclampsia with severe features.</w:t>
      </w:r>
    </w:p>
    <w:p w14:paraId="266E5988" w14:textId="77777777" w:rsidR="002B30F7" w:rsidRPr="00C15CEA" w:rsidRDefault="002B30F7" w:rsidP="00E35D98">
      <w:pPr>
        <w:spacing w:line="276" w:lineRule="auto"/>
        <w:jc w:val="center"/>
        <w:rPr>
          <w:rFonts w:ascii="Arial" w:hAnsi="Arial" w:cs="Arial"/>
          <w:color w:val="000000"/>
          <w:sz w:val="22"/>
          <w:szCs w:val="22"/>
        </w:rPr>
      </w:pPr>
      <w:r w:rsidRPr="00C15CEA">
        <w:rPr>
          <w:rFonts w:ascii="Arial" w:hAnsi="Arial" w:cs="Arial"/>
          <w:noProof/>
          <w:color w:val="000000"/>
          <w:sz w:val="22"/>
          <w:szCs w:val="22"/>
        </w:rPr>
        <w:drawing>
          <wp:inline distT="0" distB="0" distL="0" distR="0" wp14:anchorId="49BF4B49" wp14:editId="4AB805E9">
            <wp:extent cx="2540000" cy="2076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0" cy="2076450"/>
                    </a:xfrm>
                    <a:prstGeom prst="rect">
                      <a:avLst/>
                    </a:prstGeom>
                    <a:noFill/>
                    <a:ln>
                      <a:noFill/>
                    </a:ln>
                  </pic:spPr>
                </pic:pic>
              </a:graphicData>
            </a:graphic>
          </wp:inline>
        </w:drawing>
      </w:r>
    </w:p>
    <w:p w14:paraId="726D7D23" w14:textId="77777777" w:rsidR="002B30F7" w:rsidRPr="00C15CEA" w:rsidRDefault="002B30F7" w:rsidP="00E35D98">
      <w:pPr>
        <w:spacing w:line="276" w:lineRule="auto"/>
        <w:jc w:val="center"/>
        <w:rPr>
          <w:rFonts w:ascii="Arial" w:hAnsi="Arial" w:cs="Arial"/>
          <w:color w:val="000000"/>
          <w:sz w:val="22"/>
          <w:szCs w:val="22"/>
        </w:rPr>
      </w:pPr>
      <w:r w:rsidRPr="00C15CEA">
        <w:rPr>
          <w:rStyle w:val="Strong"/>
          <w:rFonts w:ascii="Arial" w:hAnsi="Arial" w:cs="Arial"/>
          <w:b w:val="0"/>
          <w:color w:val="000000"/>
          <w:sz w:val="22"/>
          <w:szCs w:val="22"/>
        </w:rPr>
        <w:t>Figure 3:</w:t>
      </w:r>
      <w:r w:rsidRPr="00C15CEA">
        <w:rPr>
          <w:rFonts w:ascii="Arial" w:hAnsi="Arial" w:cs="Arial"/>
          <w:color w:val="000000"/>
          <w:sz w:val="22"/>
          <w:szCs w:val="22"/>
        </w:rPr>
        <w:t xml:space="preserve"> Intraoperative materials showing blood clots and soaked laparotomy packs collected after rupture of a subcapsular hepatic hematoma.</w:t>
      </w:r>
    </w:p>
    <w:p w14:paraId="6D669389" w14:textId="77777777" w:rsidR="00ED2E46" w:rsidRPr="00C15CEA" w:rsidRDefault="00ED2E46" w:rsidP="00E35D98">
      <w:pPr>
        <w:pStyle w:val="ConcHead"/>
        <w:spacing w:after="0"/>
        <w:rPr>
          <w:rFonts w:ascii="Arial" w:hAnsi="Arial" w:cs="Arial"/>
          <w:szCs w:val="22"/>
        </w:rPr>
      </w:pPr>
      <w:r w:rsidRPr="00C15CEA">
        <w:rPr>
          <w:rFonts w:ascii="Arial" w:hAnsi="Arial" w:cs="Arial"/>
          <w:szCs w:val="22"/>
        </w:rPr>
        <w:lastRenderedPageBreak/>
        <w:t>3. DISCUSSION</w:t>
      </w:r>
    </w:p>
    <w:p w14:paraId="1336D74C" w14:textId="77777777" w:rsidR="00ED2E46" w:rsidRPr="00C15CEA" w:rsidRDefault="00ED2E46" w:rsidP="00E35D98">
      <w:pPr>
        <w:pStyle w:val="ConcHead"/>
        <w:spacing w:after="0"/>
        <w:rPr>
          <w:rFonts w:ascii="Arial" w:hAnsi="Arial" w:cs="Arial"/>
          <w:szCs w:val="22"/>
        </w:rPr>
      </w:pPr>
    </w:p>
    <w:p w14:paraId="39EE4112" w14:textId="77777777" w:rsidR="00593807" w:rsidRPr="00C15CEA" w:rsidRDefault="00ED2E46" w:rsidP="00ED2E46">
      <w:pPr>
        <w:rPr>
          <w:rFonts w:ascii="Arial" w:hAnsi="Arial" w:cs="Arial"/>
          <w:sz w:val="22"/>
          <w:szCs w:val="22"/>
        </w:rPr>
      </w:pPr>
      <w:r w:rsidRPr="00C15CEA">
        <w:rPr>
          <w:rFonts w:ascii="Arial" w:hAnsi="Arial" w:cs="Arial"/>
          <w:sz w:val="22"/>
          <w:szCs w:val="22"/>
        </w:rPr>
        <w:t>Subcapsular liver hematoma (SLH) is an extremely rare condition yet potentially can cause</w:t>
      </w:r>
      <w:r w:rsidR="008174BD" w:rsidRPr="00C15CEA">
        <w:rPr>
          <w:rFonts w:ascii="Arial" w:hAnsi="Arial" w:cs="Arial"/>
          <w:sz w:val="22"/>
          <w:szCs w:val="22"/>
        </w:rPr>
        <w:t xml:space="preserve"> </w:t>
      </w:r>
      <w:r w:rsidRPr="00C15CEA">
        <w:rPr>
          <w:rFonts w:ascii="Arial" w:hAnsi="Arial" w:cs="Arial"/>
          <w:sz w:val="22"/>
          <w:szCs w:val="22"/>
        </w:rPr>
        <w:t>complication of pregn</w:t>
      </w:r>
      <w:r w:rsidR="008174BD" w:rsidRPr="00C15CEA">
        <w:rPr>
          <w:rFonts w:ascii="Arial" w:hAnsi="Arial" w:cs="Arial"/>
          <w:sz w:val="22"/>
          <w:szCs w:val="22"/>
        </w:rPr>
        <w:t xml:space="preserve">ancy, primarily </w:t>
      </w:r>
      <w:r w:rsidRPr="00C15CEA">
        <w:rPr>
          <w:rFonts w:ascii="Arial" w:hAnsi="Arial" w:cs="Arial"/>
          <w:sz w:val="22"/>
          <w:szCs w:val="22"/>
        </w:rPr>
        <w:t xml:space="preserve">severe preeclampsia and HELLP syndrome. </w:t>
      </w:r>
      <w:r w:rsidR="008174BD" w:rsidRPr="00C15CEA">
        <w:rPr>
          <w:rFonts w:ascii="Arial" w:hAnsi="Arial" w:cs="Arial"/>
          <w:color w:val="333333"/>
          <w:sz w:val="22"/>
          <w:szCs w:val="22"/>
          <w:shd w:val="clear" w:color="auto" w:fill="FCFCFC"/>
        </w:rPr>
        <w:t xml:space="preserve">Approximately, 75% of cases affects the right lobe of the liver and only 25% of patients </w:t>
      </w:r>
      <w:proofErr w:type="gramStart"/>
      <w:r w:rsidR="008174BD" w:rsidRPr="00C15CEA">
        <w:rPr>
          <w:rFonts w:ascii="Arial" w:hAnsi="Arial" w:cs="Arial"/>
          <w:color w:val="333333"/>
          <w:sz w:val="22"/>
          <w:szCs w:val="22"/>
          <w:shd w:val="clear" w:color="auto" w:fill="FCFCFC"/>
        </w:rPr>
        <w:t>have involvement</w:t>
      </w:r>
      <w:proofErr w:type="gramEnd"/>
      <w:r w:rsidR="008174BD" w:rsidRPr="00C15CEA">
        <w:rPr>
          <w:rFonts w:ascii="Arial" w:hAnsi="Arial" w:cs="Arial"/>
          <w:color w:val="333333"/>
          <w:sz w:val="22"/>
          <w:szCs w:val="22"/>
          <w:shd w:val="clear" w:color="auto" w:fill="FCFCFC"/>
        </w:rPr>
        <w:t xml:space="preserve"> of the left lobe of the liver. </w:t>
      </w:r>
      <w:r w:rsidR="008174BD" w:rsidRPr="00C15CEA">
        <w:rPr>
          <w:rFonts w:ascii="Arial" w:hAnsi="Arial" w:cs="Arial"/>
          <w:sz w:val="22"/>
          <w:szCs w:val="22"/>
        </w:rPr>
        <w:t>The etiological factors involve</w:t>
      </w:r>
      <w:r w:rsidRPr="00C15CEA">
        <w:rPr>
          <w:rFonts w:ascii="Arial" w:hAnsi="Arial" w:cs="Arial"/>
          <w:sz w:val="22"/>
          <w:szCs w:val="22"/>
        </w:rPr>
        <w:t xml:space="preserve"> periportal fibrin accumulation, hepatocellular necrosis, and intrahepatic hemorrhage, leading to </w:t>
      </w:r>
      <w:r w:rsidR="008174BD" w:rsidRPr="00C15CEA">
        <w:rPr>
          <w:rFonts w:ascii="Arial" w:hAnsi="Arial" w:cs="Arial"/>
          <w:sz w:val="22"/>
          <w:szCs w:val="22"/>
        </w:rPr>
        <w:t xml:space="preserve">expansion of the </w:t>
      </w:r>
      <w:r w:rsidR="008174BD" w:rsidRPr="00C15CEA">
        <w:rPr>
          <w:rFonts w:ascii="Arial" w:hAnsi="Arial" w:cs="Arial"/>
          <w:color w:val="333333"/>
          <w:sz w:val="22"/>
          <w:szCs w:val="22"/>
          <w:shd w:val="clear" w:color="auto" w:fill="FCFCFC"/>
        </w:rPr>
        <w:t>Glisson’s</w:t>
      </w:r>
      <w:r w:rsidR="008174BD" w:rsidRPr="00C15CEA">
        <w:rPr>
          <w:rFonts w:ascii="Arial" w:hAnsi="Arial" w:cs="Arial"/>
          <w:sz w:val="22"/>
          <w:szCs w:val="22"/>
        </w:rPr>
        <w:t xml:space="preserve"> capsule and in severe cases can cause </w:t>
      </w:r>
      <w:r w:rsidRPr="00C15CEA">
        <w:rPr>
          <w:rFonts w:ascii="Arial" w:hAnsi="Arial" w:cs="Arial"/>
          <w:sz w:val="22"/>
          <w:szCs w:val="22"/>
        </w:rPr>
        <w:t>rupture. The reported incidence ranges from 1 in 40,000 to 1 in 250,000 pregnancies, with maternal mortality rates between 30% and 50% in instances of rupture (Wicke et al., 2004).</w:t>
      </w:r>
      <w:r w:rsidRPr="00C15CEA">
        <w:rPr>
          <w:rFonts w:ascii="Arial" w:hAnsi="Arial" w:cs="Arial"/>
          <w:sz w:val="22"/>
          <w:szCs w:val="22"/>
        </w:rPr>
        <w:br/>
      </w:r>
      <w:r w:rsidRPr="00C15CEA">
        <w:rPr>
          <w:rFonts w:ascii="Arial" w:hAnsi="Arial" w:cs="Arial"/>
          <w:sz w:val="22"/>
          <w:szCs w:val="22"/>
        </w:rPr>
        <w:br/>
        <w:t>Th</w:t>
      </w:r>
      <w:r w:rsidR="008174BD" w:rsidRPr="00C15CEA">
        <w:rPr>
          <w:rFonts w:ascii="Arial" w:hAnsi="Arial" w:cs="Arial"/>
          <w:sz w:val="22"/>
          <w:szCs w:val="22"/>
        </w:rPr>
        <w:t xml:space="preserve">e clinical presentation can be confusing and non-specific because it can </w:t>
      </w:r>
      <w:proofErr w:type="gramStart"/>
      <w:r w:rsidR="008174BD" w:rsidRPr="00C15CEA">
        <w:rPr>
          <w:rFonts w:ascii="Arial" w:hAnsi="Arial" w:cs="Arial"/>
          <w:sz w:val="22"/>
          <w:szCs w:val="22"/>
        </w:rPr>
        <w:t>mimics</w:t>
      </w:r>
      <w:proofErr w:type="gramEnd"/>
      <w:r w:rsidR="008174BD" w:rsidRPr="00C15CEA">
        <w:rPr>
          <w:rFonts w:ascii="Arial" w:hAnsi="Arial" w:cs="Arial"/>
          <w:sz w:val="22"/>
          <w:szCs w:val="22"/>
        </w:rPr>
        <w:t xml:space="preserve"> other medical conditions. Patients usually presents with </w:t>
      </w:r>
      <w:r w:rsidRPr="00C15CEA">
        <w:rPr>
          <w:rFonts w:ascii="Arial" w:hAnsi="Arial" w:cs="Arial"/>
          <w:sz w:val="22"/>
          <w:szCs w:val="22"/>
        </w:rPr>
        <w:t xml:space="preserve">right upper quadrant or epigastric pain, nausea, vomiting, and, in severe cases, sudden </w:t>
      </w:r>
      <w:r w:rsidR="008174BD" w:rsidRPr="00C15CEA">
        <w:rPr>
          <w:rFonts w:ascii="Arial" w:hAnsi="Arial" w:cs="Arial"/>
          <w:sz w:val="22"/>
          <w:szCs w:val="22"/>
        </w:rPr>
        <w:t xml:space="preserve">hemodynamic instability as seen in this case. </w:t>
      </w:r>
      <w:r w:rsidRPr="00C15CEA">
        <w:rPr>
          <w:rFonts w:ascii="Arial" w:hAnsi="Arial" w:cs="Arial"/>
          <w:sz w:val="22"/>
          <w:szCs w:val="22"/>
        </w:rPr>
        <w:t>The patient was initially stable but thereafter had acute epigastric pain and severe hypotension, suggesting capsular rupture and hemoperitoneum. Ultrasonography serves as the principal imaging modality for diagnosis</w:t>
      </w:r>
      <w:r w:rsidR="00C15CEA" w:rsidRPr="00C15CEA">
        <w:rPr>
          <w:rFonts w:ascii="Arial" w:hAnsi="Arial" w:cs="Arial"/>
          <w:sz w:val="22"/>
          <w:szCs w:val="22"/>
        </w:rPr>
        <w:t xml:space="preserve"> of hepatic pathology</w:t>
      </w:r>
      <w:r w:rsidRPr="00C15CEA">
        <w:rPr>
          <w:rFonts w:ascii="Arial" w:hAnsi="Arial" w:cs="Arial"/>
          <w:sz w:val="22"/>
          <w:szCs w:val="22"/>
        </w:rPr>
        <w:t>; yet, CT scans demonstrate superior sensitivity in characterizing t</w:t>
      </w:r>
      <w:r w:rsidR="008174BD" w:rsidRPr="00C15CEA">
        <w:rPr>
          <w:rFonts w:ascii="Arial" w:hAnsi="Arial" w:cs="Arial"/>
          <w:sz w:val="22"/>
          <w:szCs w:val="22"/>
        </w:rPr>
        <w:t>he extent of hepatic impairment</w:t>
      </w:r>
      <w:r w:rsidR="00C15CEA" w:rsidRPr="00C15CEA">
        <w:rPr>
          <w:rFonts w:ascii="Arial" w:hAnsi="Arial" w:cs="Arial"/>
          <w:sz w:val="22"/>
          <w:szCs w:val="22"/>
        </w:rPr>
        <w:t xml:space="preserve">. </w:t>
      </w:r>
      <w:r w:rsidR="00593807" w:rsidRPr="00C15CEA">
        <w:rPr>
          <w:rFonts w:ascii="Arial" w:hAnsi="Arial" w:cs="Arial"/>
          <w:sz w:val="22"/>
          <w:szCs w:val="22"/>
        </w:rPr>
        <w:t>Nevertheless, a CT scan could not be obtained in this patient because her hemodynamic instability rendered further imaging unsafe.</w:t>
      </w:r>
    </w:p>
    <w:p w14:paraId="04432DCE" w14:textId="77777777" w:rsidR="00593807" w:rsidRPr="00C15CEA" w:rsidRDefault="00593807" w:rsidP="00ED2E46">
      <w:pPr>
        <w:rPr>
          <w:rFonts w:ascii="Arial" w:hAnsi="Arial" w:cs="Arial"/>
          <w:sz w:val="22"/>
          <w:szCs w:val="22"/>
        </w:rPr>
      </w:pPr>
    </w:p>
    <w:p w14:paraId="2040D848" w14:textId="77777777" w:rsidR="00ED2E46" w:rsidRPr="00C15CEA" w:rsidRDefault="00C15CEA" w:rsidP="00ED2E46">
      <w:pPr>
        <w:rPr>
          <w:rFonts w:ascii="Arial" w:hAnsi="Arial" w:cs="Arial"/>
          <w:sz w:val="22"/>
          <w:szCs w:val="22"/>
        </w:rPr>
      </w:pPr>
      <w:r w:rsidRPr="00C15CEA">
        <w:rPr>
          <w:rFonts w:ascii="Arial" w:hAnsi="Arial" w:cs="Arial"/>
          <w:sz w:val="22"/>
          <w:szCs w:val="22"/>
        </w:rPr>
        <w:t xml:space="preserve">A high index </w:t>
      </w:r>
      <w:r w:rsidR="00ED2E46" w:rsidRPr="00C15CEA">
        <w:rPr>
          <w:rFonts w:ascii="Arial" w:hAnsi="Arial" w:cs="Arial"/>
          <w:sz w:val="22"/>
          <w:szCs w:val="22"/>
        </w:rPr>
        <w:t xml:space="preserve">suspicion is crucial when evaluating </w:t>
      </w:r>
      <w:r w:rsidR="00593807" w:rsidRPr="00C15CEA">
        <w:rPr>
          <w:rFonts w:ascii="Arial" w:hAnsi="Arial" w:cs="Arial"/>
          <w:sz w:val="22"/>
          <w:szCs w:val="22"/>
        </w:rPr>
        <w:t>preeclampsia</w:t>
      </w:r>
      <w:r w:rsidR="00ED2E46" w:rsidRPr="00C15CEA">
        <w:rPr>
          <w:rFonts w:ascii="Arial" w:hAnsi="Arial" w:cs="Arial"/>
          <w:sz w:val="22"/>
          <w:szCs w:val="22"/>
        </w:rPr>
        <w:t xml:space="preserve"> women who exhibit unexplained upper abdominal pain.</w:t>
      </w:r>
      <w:r w:rsidR="00ED2E46" w:rsidRPr="00C15CEA">
        <w:rPr>
          <w:rFonts w:ascii="Arial" w:hAnsi="Arial" w:cs="Arial"/>
          <w:sz w:val="22"/>
          <w:szCs w:val="22"/>
        </w:rPr>
        <w:br/>
      </w:r>
      <w:r w:rsidR="00ED2E46" w:rsidRPr="00C15CEA">
        <w:rPr>
          <w:rFonts w:ascii="Arial" w:hAnsi="Arial" w:cs="Arial"/>
          <w:sz w:val="22"/>
          <w:szCs w:val="22"/>
        </w:rPr>
        <w:br/>
        <w:t>Management depends on the patient's hemodynamic status and the severity of liver damage. Conservative treatment and careful observation, sequential imaging, and extensive care support are appropriate for hemodynamically stable patients with localized hematomas. Surgical intervention is necessary for ruptured or expanding hematomas or for patients who remain unstable despite resuscitation efforts.</w:t>
      </w:r>
      <w:r w:rsidR="00ED2E46" w:rsidRPr="00C15CEA">
        <w:rPr>
          <w:rFonts w:ascii="Arial" w:hAnsi="Arial" w:cs="Arial"/>
          <w:sz w:val="22"/>
          <w:szCs w:val="22"/>
        </w:rPr>
        <w:br/>
      </w:r>
      <w:r w:rsidR="00ED2E46" w:rsidRPr="00C15CEA">
        <w:rPr>
          <w:rFonts w:ascii="Arial" w:hAnsi="Arial" w:cs="Arial"/>
          <w:sz w:val="22"/>
          <w:szCs w:val="22"/>
        </w:rPr>
        <w:br/>
        <w:t>The Feliciano perihepatic packing method was utilized to address hepatic bleeding. This technique, first described by Feliciano et al. (1986), involves the circumferential placement of laparotomy packs to ensure effective hemostasis.</w:t>
      </w:r>
    </w:p>
    <w:p w14:paraId="72B60E95" w14:textId="77777777" w:rsidR="00ED2E46" w:rsidRPr="00C15CEA" w:rsidRDefault="00ED2E46" w:rsidP="00E35D98">
      <w:pPr>
        <w:pStyle w:val="ConcHead"/>
        <w:spacing w:after="0"/>
        <w:rPr>
          <w:rFonts w:ascii="Arial" w:hAnsi="Arial" w:cs="Arial"/>
          <w:szCs w:val="22"/>
        </w:rPr>
      </w:pPr>
    </w:p>
    <w:p w14:paraId="4D5A4E75" w14:textId="77777777" w:rsidR="00B01FCD" w:rsidRPr="00C15CEA" w:rsidRDefault="00000F8F" w:rsidP="00E35D98">
      <w:pPr>
        <w:pStyle w:val="ConcHead"/>
        <w:spacing w:after="0"/>
        <w:rPr>
          <w:rFonts w:ascii="Arial" w:hAnsi="Arial" w:cs="Arial"/>
          <w:szCs w:val="22"/>
        </w:rPr>
      </w:pPr>
      <w:r w:rsidRPr="00C15CEA">
        <w:rPr>
          <w:rFonts w:ascii="Arial" w:hAnsi="Arial" w:cs="Arial"/>
          <w:szCs w:val="22"/>
        </w:rPr>
        <w:t xml:space="preserve">4. </w:t>
      </w:r>
      <w:r w:rsidR="00B01FCD" w:rsidRPr="00C15CEA">
        <w:rPr>
          <w:rFonts w:ascii="Arial" w:hAnsi="Arial" w:cs="Arial"/>
          <w:szCs w:val="22"/>
        </w:rPr>
        <w:t>Conclusion</w:t>
      </w:r>
    </w:p>
    <w:p w14:paraId="1C80C0BD" w14:textId="77777777" w:rsidR="00EE3379" w:rsidRPr="00C15CEA" w:rsidRDefault="00EE3379" w:rsidP="00E35D98">
      <w:pPr>
        <w:pStyle w:val="ConcHead"/>
        <w:spacing w:after="0"/>
        <w:rPr>
          <w:rFonts w:ascii="Arial" w:hAnsi="Arial" w:cs="Arial"/>
          <w:szCs w:val="22"/>
        </w:rPr>
      </w:pPr>
    </w:p>
    <w:p w14:paraId="126ECB29"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Subcapsular liver hematoma is a rare but life-threatening obstetric emergency seen in preeclampsia and HELLP syndrome that can result in maternal mortality. Women presenting with severe epigastric or right upper quadrant pain should be urgently evaluated for hepatic involvement. Timely diagnosis, aggressive resuscitation, and multidisciplinary management, including perihepatic packing, play a critical role in improving maternal outcomes.</w:t>
      </w:r>
    </w:p>
    <w:p w14:paraId="728485E6" w14:textId="77777777" w:rsidR="00315186" w:rsidRPr="00C15CEA" w:rsidRDefault="00315186" w:rsidP="00E35D98">
      <w:pPr>
        <w:rPr>
          <w:rFonts w:ascii="Arial" w:hAnsi="Arial" w:cs="Arial"/>
          <w:sz w:val="22"/>
          <w:szCs w:val="22"/>
        </w:rPr>
      </w:pPr>
    </w:p>
    <w:p w14:paraId="37505597" w14:textId="77777777" w:rsidR="002B30F7" w:rsidRPr="00C15CEA" w:rsidRDefault="002B30F7" w:rsidP="00E35D98">
      <w:pPr>
        <w:pStyle w:val="ReferHead"/>
        <w:rPr>
          <w:rFonts w:ascii="Arial" w:hAnsi="Arial" w:cs="Arial"/>
          <w:caps w:val="0"/>
          <w:szCs w:val="22"/>
        </w:rPr>
      </w:pPr>
      <w:r w:rsidRPr="00C15CEA">
        <w:rPr>
          <w:rFonts w:ascii="Arial" w:hAnsi="Arial" w:cs="Arial"/>
          <w:caps w:val="0"/>
          <w:szCs w:val="22"/>
        </w:rPr>
        <w:t>CONSENT</w:t>
      </w:r>
    </w:p>
    <w:p w14:paraId="1FF055EB" w14:textId="77777777" w:rsidR="002B30F7" w:rsidRPr="00C15CEA" w:rsidRDefault="002B30F7" w:rsidP="00E35D98">
      <w:pPr>
        <w:pStyle w:val="ReferHead"/>
        <w:rPr>
          <w:rFonts w:ascii="Arial" w:hAnsi="Arial" w:cs="Arial"/>
          <w:b w:val="0"/>
          <w:caps w:val="0"/>
          <w:szCs w:val="22"/>
        </w:rPr>
      </w:pPr>
      <w:r w:rsidRPr="00C15CEA">
        <w:rPr>
          <w:rFonts w:ascii="Arial" w:hAnsi="Arial" w:cs="Arial"/>
          <w:b w:val="0"/>
          <w:caps w:val="0"/>
          <w:szCs w:val="22"/>
        </w:rPr>
        <w:t>As per international standards or university standards, patient(s) written consent has been collected and preserved by the author(s).</w:t>
      </w:r>
    </w:p>
    <w:p w14:paraId="621CDB48" w14:textId="77777777" w:rsidR="002B30F7" w:rsidRPr="00C15CEA" w:rsidRDefault="002B30F7" w:rsidP="00E35D98">
      <w:pPr>
        <w:pStyle w:val="ReferHead"/>
        <w:rPr>
          <w:rFonts w:ascii="Arial" w:hAnsi="Arial" w:cs="Arial"/>
          <w:caps w:val="0"/>
          <w:szCs w:val="22"/>
        </w:rPr>
      </w:pPr>
      <w:r w:rsidRPr="00C15CEA">
        <w:rPr>
          <w:rFonts w:ascii="Arial" w:hAnsi="Arial" w:cs="Arial"/>
          <w:caps w:val="0"/>
          <w:szCs w:val="22"/>
        </w:rPr>
        <w:t>ETHICAL APPROVAL</w:t>
      </w:r>
    </w:p>
    <w:p w14:paraId="08153ADE" w14:textId="77777777" w:rsidR="0041027F" w:rsidRPr="00C15CEA" w:rsidRDefault="002B30F7" w:rsidP="00E35D98">
      <w:pPr>
        <w:pStyle w:val="ReferHead"/>
        <w:spacing w:after="0"/>
        <w:rPr>
          <w:rFonts w:ascii="Arial" w:hAnsi="Arial" w:cs="Arial"/>
          <w:b w:val="0"/>
          <w:caps w:val="0"/>
          <w:szCs w:val="22"/>
        </w:rPr>
      </w:pPr>
      <w:r w:rsidRPr="00C15CEA">
        <w:rPr>
          <w:rFonts w:ascii="Arial" w:hAnsi="Arial" w:cs="Arial"/>
          <w:b w:val="0"/>
          <w:caps w:val="0"/>
          <w:szCs w:val="22"/>
        </w:rPr>
        <w:t>As per international standards or university standards written ethical approval has been collected and preserved by the author(s).</w:t>
      </w:r>
    </w:p>
    <w:p w14:paraId="318004BB" w14:textId="77777777" w:rsidR="00860000" w:rsidRPr="00C15CEA" w:rsidRDefault="00860000" w:rsidP="00E35D98">
      <w:pPr>
        <w:pStyle w:val="ReferHead"/>
        <w:spacing w:after="0"/>
        <w:rPr>
          <w:rFonts w:ascii="Arial" w:hAnsi="Arial" w:cs="Arial"/>
          <w:szCs w:val="22"/>
        </w:rPr>
      </w:pPr>
    </w:p>
    <w:p w14:paraId="53315855" w14:textId="77777777" w:rsidR="00E1295C" w:rsidRPr="00C15CEA" w:rsidRDefault="00E1295C" w:rsidP="00E1295C">
      <w:pPr>
        <w:pStyle w:val="ReferHead"/>
        <w:spacing w:after="0"/>
        <w:rPr>
          <w:rFonts w:ascii="Arial" w:hAnsi="Arial" w:cs="Arial"/>
          <w:szCs w:val="22"/>
        </w:rPr>
      </w:pPr>
    </w:p>
    <w:p w14:paraId="271698B0" w14:textId="77777777" w:rsidR="00E1295C" w:rsidRPr="00C15CEA" w:rsidRDefault="00E1295C" w:rsidP="00E1295C">
      <w:pPr>
        <w:pStyle w:val="ReferHead"/>
        <w:spacing w:after="0"/>
        <w:rPr>
          <w:rFonts w:ascii="Arial" w:hAnsi="Arial" w:cs="Arial"/>
          <w:szCs w:val="22"/>
        </w:rPr>
      </w:pPr>
      <w:r w:rsidRPr="00C15CEA">
        <w:rPr>
          <w:rFonts w:ascii="Arial" w:hAnsi="Arial" w:cs="Arial"/>
          <w:szCs w:val="22"/>
        </w:rPr>
        <w:t>References</w:t>
      </w:r>
    </w:p>
    <w:p w14:paraId="28EC54C8" w14:textId="77777777" w:rsidR="00E1295C" w:rsidRPr="00C15CEA" w:rsidRDefault="00E1295C" w:rsidP="00E1295C">
      <w:pPr>
        <w:pStyle w:val="NormalWeb"/>
        <w:rPr>
          <w:rFonts w:ascii="Arial" w:hAnsi="Arial" w:cs="Arial"/>
          <w:color w:val="000000"/>
          <w:sz w:val="22"/>
          <w:szCs w:val="22"/>
        </w:rPr>
      </w:pPr>
      <w:r w:rsidRPr="00C15CEA">
        <w:rPr>
          <w:rFonts w:ascii="Arial" w:hAnsi="Arial" w:cs="Arial"/>
          <w:color w:val="000000"/>
          <w:sz w:val="22"/>
          <w:szCs w:val="22"/>
        </w:rPr>
        <w:t xml:space="preserve">Azar, R. S., Leon, J. M., Tass, R. V., &amp; Guillemin, R. (2025). Subcapsular Hepatic Hematoma Secondary to Preeclampsia </w:t>
      </w:r>
      <w:proofErr w:type="gramStart"/>
      <w:r w:rsidRPr="00C15CEA">
        <w:rPr>
          <w:rFonts w:ascii="Arial" w:hAnsi="Arial" w:cs="Arial"/>
          <w:color w:val="000000"/>
          <w:sz w:val="22"/>
          <w:szCs w:val="22"/>
        </w:rPr>
        <w:t>With</w:t>
      </w:r>
      <w:proofErr w:type="gramEnd"/>
      <w:r w:rsidRPr="00C15CEA">
        <w:rPr>
          <w:rFonts w:ascii="Arial" w:hAnsi="Arial" w:cs="Arial"/>
          <w:color w:val="000000"/>
          <w:sz w:val="22"/>
          <w:szCs w:val="22"/>
        </w:rPr>
        <w:t xml:space="preserve"> a Successful Maternal Outcome: A Case Report. Cureus, 17(3), e80911–e80911. </w:t>
      </w:r>
      <w:hyperlink r:id="rId18" w:history="1">
        <w:r w:rsidRPr="00C15CEA">
          <w:rPr>
            <w:rStyle w:val="Hyperlink"/>
            <w:rFonts w:ascii="Arial" w:hAnsi="Arial" w:cs="Arial"/>
            <w:sz w:val="22"/>
            <w:szCs w:val="22"/>
          </w:rPr>
          <w:t>https://doi.org/10.7759/cureus.80911</w:t>
        </w:r>
      </w:hyperlink>
    </w:p>
    <w:p w14:paraId="0D7D4304" w14:textId="77777777" w:rsidR="00E1295C" w:rsidRPr="00C15CEA" w:rsidRDefault="00E1295C" w:rsidP="00E1295C">
      <w:pPr>
        <w:pStyle w:val="NormalWeb"/>
        <w:rPr>
          <w:rFonts w:ascii="Arial" w:hAnsi="Arial" w:cs="Arial"/>
          <w:color w:val="000000"/>
          <w:sz w:val="22"/>
          <w:szCs w:val="22"/>
        </w:rPr>
      </w:pPr>
      <w:r w:rsidRPr="00C15CEA">
        <w:rPr>
          <w:rFonts w:ascii="Arial" w:hAnsi="Arial" w:cs="Arial"/>
          <w:color w:val="000000"/>
          <w:sz w:val="22"/>
          <w:szCs w:val="22"/>
        </w:rPr>
        <w:lastRenderedPageBreak/>
        <w:t xml:space="preserve">Kang, Y. et al. (2025) ‘Intraoperatively diagnosed spontaneous rupture of a subcapsular liver hematoma with incomplete hemolysis, elevated liver enzymes, low platelets (HELLP) syndrome: A case report and literature review’, Medicine, 104(35), p. e44186. </w:t>
      </w:r>
      <w:hyperlink r:id="rId19" w:history="1">
        <w:r w:rsidRPr="00C15CEA">
          <w:rPr>
            <w:rStyle w:val="Hyperlink"/>
            <w:rFonts w:ascii="Arial" w:hAnsi="Arial" w:cs="Arial"/>
            <w:sz w:val="22"/>
            <w:szCs w:val="22"/>
          </w:rPr>
          <w:t>https://doi.org/10.1097/md.0000000000044186</w:t>
        </w:r>
      </w:hyperlink>
      <w:r w:rsidRPr="00C15CEA">
        <w:rPr>
          <w:rFonts w:ascii="Arial" w:hAnsi="Arial" w:cs="Arial"/>
          <w:color w:val="000000"/>
          <w:sz w:val="22"/>
          <w:szCs w:val="22"/>
        </w:rPr>
        <w:t>.</w:t>
      </w:r>
    </w:p>
    <w:p w14:paraId="1980B970" w14:textId="77777777" w:rsidR="00E1295C" w:rsidRPr="00C15CEA" w:rsidRDefault="00E1295C" w:rsidP="00E1295C">
      <w:pPr>
        <w:pStyle w:val="NormalWeb"/>
        <w:rPr>
          <w:rFonts w:ascii="Arial" w:hAnsi="Arial" w:cs="Arial"/>
          <w:color w:val="000000"/>
          <w:sz w:val="22"/>
          <w:szCs w:val="22"/>
        </w:rPr>
      </w:pPr>
      <w:r w:rsidRPr="00C15CEA">
        <w:rPr>
          <w:rFonts w:ascii="Arial" w:hAnsi="Arial" w:cs="Arial"/>
          <w:color w:val="000000"/>
          <w:sz w:val="22"/>
          <w:szCs w:val="22"/>
        </w:rPr>
        <w:t xml:space="preserve">Sucan, H. et al. (2025) ‘A Case of Eclampsia Complicated by HELLP Syndrome, Rupture of Subcapsular Hepatic Hematoma, and Thrombotic Microangiopathy’. </w:t>
      </w:r>
      <w:hyperlink r:id="rId20" w:history="1">
        <w:r w:rsidRPr="00C15CEA">
          <w:rPr>
            <w:rStyle w:val="Hyperlink"/>
            <w:rFonts w:ascii="Arial" w:hAnsi="Arial" w:cs="Arial"/>
            <w:sz w:val="22"/>
            <w:szCs w:val="22"/>
          </w:rPr>
          <w:t>https://doi.org/10.22541/au.173935682.23296698/v1</w:t>
        </w:r>
      </w:hyperlink>
      <w:r w:rsidRPr="00C15CEA">
        <w:rPr>
          <w:rFonts w:ascii="Arial" w:hAnsi="Arial" w:cs="Arial"/>
          <w:color w:val="000000"/>
          <w:sz w:val="22"/>
          <w:szCs w:val="22"/>
        </w:rPr>
        <w:t>.</w:t>
      </w:r>
    </w:p>
    <w:p w14:paraId="7A56AE03" w14:textId="77777777" w:rsidR="00E1295C" w:rsidRPr="00C15CEA" w:rsidRDefault="00E1295C" w:rsidP="00E1295C">
      <w:pPr>
        <w:pStyle w:val="NormalWeb"/>
        <w:rPr>
          <w:rFonts w:ascii="Arial" w:hAnsi="Arial" w:cs="Arial"/>
          <w:color w:val="000000"/>
          <w:sz w:val="22"/>
          <w:szCs w:val="22"/>
        </w:rPr>
      </w:pPr>
      <w:r w:rsidRPr="00C15CEA">
        <w:rPr>
          <w:rFonts w:ascii="Arial" w:hAnsi="Arial" w:cs="Arial"/>
          <w:color w:val="000000"/>
          <w:sz w:val="22"/>
          <w:szCs w:val="22"/>
        </w:rPr>
        <w:t xml:space="preserve">Liu, G., &amp; Yang, H. (2025). Surgical management for subcapsular hematoma of the liver with preeclampsia: a case report. </w:t>
      </w:r>
      <w:hyperlink r:id="rId21" w:history="1">
        <w:r w:rsidRPr="00C15CEA">
          <w:rPr>
            <w:rStyle w:val="Hyperlink"/>
            <w:rFonts w:ascii="Arial" w:hAnsi="Arial" w:cs="Arial"/>
            <w:sz w:val="22"/>
            <w:szCs w:val="22"/>
          </w:rPr>
          <w:t>https://doi.org/10.21203/rs.3.rs-7108560/v1</w:t>
        </w:r>
      </w:hyperlink>
    </w:p>
    <w:p w14:paraId="6A5EAF5C" w14:textId="77777777" w:rsidR="00E1295C" w:rsidRPr="00C15CEA" w:rsidRDefault="00E1295C" w:rsidP="00E1295C">
      <w:pPr>
        <w:pStyle w:val="NormalWeb"/>
        <w:rPr>
          <w:rFonts w:ascii="Arial" w:hAnsi="Arial" w:cs="Arial"/>
          <w:color w:val="000000"/>
          <w:sz w:val="22"/>
          <w:szCs w:val="22"/>
        </w:rPr>
      </w:pPr>
      <w:r w:rsidRPr="00C15CEA">
        <w:rPr>
          <w:rFonts w:ascii="Arial" w:hAnsi="Arial" w:cs="Arial"/>
          <w:color w:val="000000"/>
          <w:sz w:val="22"/>
          <w:szCs w:val="22"/>
        </w:rPr>
        <w:t xml:space="preserve">Chawanpaiboon, S., Janchua, M., Luamprapat, P., Chawanpaiboon, P., &amp; Maimaen, S. (2025). Managing Life-Threatening Spontaneous Liver Rupture in Pregnancy: A Case Study. American Journal of Case Reports, 26. </w:t>
      </w:r>
      <w:hyperlink r:id="rId22" w:history="1">
        <w:r w:rsidRPr="00C15CEA">
          <w:rPr>
            <w:rStyle w:val="Hyperlink"/>
            <w:rFonts w:ascii="Arial" w:hAnsi="Arial" w:cs="Arial"/>
            <w:sz w:val="22"/>
            <w:szCs w:val="22"/>
          </w:rPr>
          <w:t>https://doi.org/10.12659/ajcr.946909</w:t>
        </w:r>
      </w:hyperlink>
    </w:p>
    <w:p w14:paraId="4D7A4971" w14:textId="77777777" w:rsidR="00E1295C" w:rsidRPr="00C15CEA" w:rsidRDefault="00E1295C" w:rsidP="00E1295C">
      <w:pPr>
        <w:pStyle w:val="NormalWeb"/>
        <w:ind w:left="720"/>
        <w:rPr>
          <w:rFonts w:ascii="Arial" w:hAnsi="Arial" w:cs="Arial"/>
          <w:color w:val="000000"/>
          <w:sz w:val="22"/>
          <w:szCs w:val="22"/>
        </w:rPr>
      </w:pPr>
    </w:p>
    <w:p w14:paraId="676058E7" w14:textId="77777777" w:rsidR="00E1295C" w:rsidRPr="00C15CEA" w:rsidRDefault="00E1295C" w:rsidP="00E1295C">
      <w:pPr>
        <w:pStyle w:val="NormalWeb"/>
        <w:rPr>
          <w:rFonts w:ascii="Arial" w:hAnsi="Arial" w:cs="Arial"/>
          <w:color w:val="000000"/>
          <w:sz w:val="22"/>
          <w:szCs w:val="22"/>
        </w:rPr>
      </w:pPr>
      <w:r w:rsidRPr="00C15CEA">
        <w:rPr>
          <w:rFonts w:ascii="Arial" w:hAnsi="Arial" w:cs="Arial"/>
          <w:color w:val="000000"/>
          <w:sz w:val="22"/>
          <w:szCs w:val="22"/>
        </w:rPr>
        <w:t xml:space="preserve">S. Ainslie McBride, Small, R., Hurd, K., &amp; Sunette Claassens. (2023). Preeclampsia and HELLP syndrome complicated by subcapsular liver hematoma and rupture. Canadian Medical Association Journal, 195(45), E1543–E1545. </w:t>
      </w:r>
      <w:hyperlink r:id="rId23" w:history="1">
        <w:r w:rsidRPr="00C15CEA">
          <w:rPr>
            <w:rStyle w:val="Hyperlink"/>
            <w:rFonts w:ascii="Arial" w:hAnsi="Arial" w:cs="Arial"/>
            <w:sz w:val="22"/>
            <w:szCs w:val="22"/>
          </w:rPr>
          <w:t>https://doi.org/10.1503/cmaj.230851</w:t>
        </w:r>
      </w:hyperlink>
    </w:p>
    <w:p w14:paraId="763F827C" w14:textId="77777777" w:rsidR="00E1295C" w:rsidRPr="00C15CEA" w:rsidRDefault="00E1295C" w:rsidP="00E1295C">
      <w:pPr>
        <w:pStyle w:val="NormalWeb"/>
        <w:rPr>
          <w:rFonts w:ascii="Arial" w:hAnsi="Arial" w:cs="Arial"/>
          <w:color w:val="000000"/>
          <w:sz w:val="22"/>
          <w:szCs w:val="22"/>
        </w:rPr>
      </w:pPr>
      <w:r w:rsidRPr="00C15CEA">
        <w:rPr>
          <w:rFonts w:ascii="Arial" w:hAnsi="Arial" w:cs="Arial"/>
          <w:color w:val="000000"/>
          <w:sz w:val="22"/>
          <w:szCs w:val="22"/>
        </w:rPr>
        <w:t>Van Dyke, R. W. (1996). The liver in pregnancy. In Z. D. Popper, L. A. Sherlock, &amp; H. Schiff (Eds.), Hepatology: A textbook of liver disease (2nd ed., pp. 1132–1135). New York, NY: Churchill Livingstone.</w:t>
      </w:r>
    </w:p>
    <w:p w14:paraId="7D7DD6D0" w14:textId="77777777" w:rsidR="00E1295C" w:rsidRPr="00C15CEA" w:rsidRDefault="00E1295C" w:rsidP="00E1295C">
      <w:pPr>
        <w:pStyle w:val="NormalWeb"/>
        <w:rPr>
          <w:rFonts w:ascii="Arial" w:hAnsi="Arial" w:cs="Arial"/>
          <w:color w:val="000000"/>
          <w:sz w:val="22"/>
          <w:szCs w:val="22"/>
        </w:rPr>
      </w:pPr>
      <w:r w:rsidRPr="00C15CEA">
        <w:rPr>
          <w:rFonts w:ascii="Arial" w:hAnsi="Arial" w:cs="Arial"/>
          <w:color w:val="000000"/>
          <w:sz w:val="22"/>
          <w:szCs w:val="22"/>
        </w:rPr>
        <w:t xml:space="preserve">Rinehart, B. K., Terrone, D. A., Magann, E. F., Martin, R. W., May, W. L., &amp; Martin, J. N., Jr. (1999). Pre-eclampsia associated hepatic hemorrhage and rupture: Mode of management related to maternal and perinatal outcome. Obstetrical &amp; Gynecological Survey, 54(3), 196–202. </w:t>
      </w:r>
      <w:hyperlink r:id="rId24" w:history="1">
        <w:r w:rsidRPr="00C15CEA">
          <w:rPr>
            <w:rStyle w:val="Hyperlink"/>
            <w:rFonts w:ascii="Arial" w:hAnsi="Arial" w:cs="Arial"/>
            <w:sz w:val="22"/>
            <w:szCs w:val="22"/>
          </w:rPr>
          <w:t>https://doi.org/10.1097/00006254-199903000-00024</w:t>
        </w:r>
      </w:hyperlink>
    </w:p>
    <w:p w14:paraId="5FA6EEDC" w14:textId="77777777" w:rsidR="00E1295C" w:rsidRDefault="00E1295C" w:rsidP="00E1295C">
      <w:pPr>
        <w:pStyle w:val="NormalWeb"/>
        <w:rPr>
          <w:rFonts w:ascii="Arial" w:hAnsi="Arial" w:cs="Arial"/>
          <w:color w:val="000000"/>
          <w:sz w:val="22"/>
          <w:szCs w:val="22"/>
        </w:rPr>
      </w:pPr>
      <w:r w:rsidRPr="00C15CEA">
        <w:rPr>
          <w:rFonts w:ascii="Arial" w:hAnsi="Arial" w:cs="Arial"/>
          <w:color w:val="000000"/>
          <w:sz w:val="22"/>
          <w:szCs w:val="22"/>
        </w:rPr>
        <w:t>Rinehart, B. K., Terrone, D. A., Magann, E. F., Martin, R. W., May, W. L., &amp; Martin, J. N. Jr. (1999). Preeclampsia-associated hepatic hemorrhage and rupture: Mode of management related to maternal and perinatal outcome. Obstetrical &amp; Gynecological Survey, 54(3), 196–202</w:t>
      </w:r>
      <w:r w:rsidRPr="007F18B5">
        <w:t xml:space="preserve"> </w:t>
      </w:r>
      <w:hyperlink r:id="rId25" w:history="1">
        <w:r w:rsidRPr="00B01AF8">
          <w:rPr>
            <w:rStyle w:val="Hyperlink"/>
            <w:rFonts w:ascii="Arial" w:hAnsi="Arial" w:cs="Arial"/>
            <w:sz w:val="22"/>
            <w:szCs w:val="22"/>
          </w:rPr>
          <w:t>https://doi.org/10.1097/00006254-199903000-00024</w:t>
        </w:r>
      </w:hyperlink>
      <w:r>
        <w:rPr>
          <w:rFonts w:ascii="Arial" w:hAnsi="Arial" w:cs="Arial"/>
          <w:color w:val="000000"/>
          <w:sz w:val="22"/>
          <w:szCs w:val="22"/>
        </w:rPr>
        <w:t xml:space="preserve"> </w:t>
      </w:r>
    </w:p>
    <w:p w14:paraId="22264D28" w14:textId="77777777" w:rsidR="00E1295C" w:rsidRPr="00C15CEA" w:rsidRDefault="00E1295C" w:rsidP="00E1295C">
      <w:pPr>
        <w:pStyle w:val="NormalWeb"/>
        <w:rPr>
          <w:rFonts w:ascii="Arial" w:hAnsi="Arial" w:cs="Arial"/>
          <w:color w:val="000000"/>
          <w:sz w:val="22"/>
          <w:szCs w:val="22"/>
        </w:rPr>
      </w:pPr>
      <w:r w:rsidRPr="00C15CEA">
        <w:rPr>
          <w:rFonts w:ascii="Arial" w:hAnsi="Arial" w:cs="Arial"/>
          <w:color w:val="000000"/>
          <w:sz w:val="22"/>
          <w:szCs w:val="22"/>
        </w:rPr>
        <w:t>Wicke, C., Pereira, P. L., Neeser, E., Flesch, I., Rodegerdts, E. A., Becker, H. D., &amp; Langer, R. (2004). Subcapsular liver hematoma in HELLP syndrome: Evaluation of diagnostic and therapeutic options. American Journal of Obstetrics and Gynecology, 190(1), 106–112.</w:t>
      </w:r>
      <w:r w:rsidRPr="007F18B5">
        <w:t xml:space="preserve"> </w:t>
      </w:r>
      <w:hyperlink r:id="rId26" w:history="1">
        <w:r w:rsidRPr="00B01AF8">
          <w:rPr>
            <w:rStyle w:val="Hyperlink"/>
            <w:rFonts w:ascii="Arial" w:hAnsi="Arial" w:cs="Arial"/>
            <w:sz w:val="22"/>
            <w:szCs w:val="22"/>
          </w:rPr>
          <w:t>https://doi.org/10.1016/j.ajog.2003.08.029</w:t>
        </w:r>
      </w:hyperlink>
      <w:r>
        <w:rPr>
          <w:rFonts w:ascii="Arial" w:hAnsi="Arial" w:cs="Arial"/>
          <w:color w:val="000000"/>
          <w:sz w:val="22"/>
          <w:szCs w:val="22"/>
        </w:rPr>
        <w:t xml:space="preserve"> </w:t>
      </w:r>
    </w:p>
    <w:p w14:paraId="326ACC34" w14:textId="77777777" w:rsidR="00E1295C" w:rsidRPr="00C15CEA" w:rsidRDefault="00E1295C" w:rsidP="00E1295C">
      <w:pPr>
        <w:pStyle w:val="NormalWeb"/>
        <w:rPr>
          <w:rFonts w:ascii="Arial" w:hAnsi="Arial" w:cs="Arial"/>
          <w:color w:val="000000"/>
          <w:sz w:val="22"/>
          <w:szCs w:val="22"/>
        </w:rPr>
      </w:pPr>
      <w:r w:rsidRPr="00C15CEA">
        <w:rPr>
          <w:rFonts w:ascii="Arial" w:hAnsi="Arial" w:cs="Arial"/>
          <w:color w:val="000000"/>
          <w:sz w:val="22"/>
          <w:szCs w:val="22"/>
        </w:rPr>
        <w:t>Baldoni, F., Salomone Di Saverio, Antonacci, N., Coniglio, C., Aimone Giugni, Montanari, N., Biscardi, A., Villani, S., Gordini, G., &amp; Tugnoli, G. (2011). Refinement in the technique of perihepatic packing: a safe and effective surgical hemostasis and multidisciplinary approach can improve the outcome in severe liver trauma. </w:t>
      </w:r>
      <w:r w:rsidRPr="00C15CEA">
        <w:rPr>
          <w:rFonts w:ascii="Arial" w:hAnsi="Arial" w:cs="Arial"/>
          <w:i/>
          <w:iCs/>
          <w:color w:val="000000"/>
          <w:sz w:val="22"/>
          <w:szCs w:val="22"/>
        </w:rPr>
        <w:t>The American Journal of Surgery</w:t>
      </w:r>
      <w:r w:rsidRPr="00C15CEA">
        <w:rPr>
          <w:rFonts w:ascii="Arial" w:hAnsi="Arial" w:cs="Arial"/>
          <w:color w:val="000000"/>
          <w:sz w:val="22"/>
          <w:szCs w:val="22"/>
        </w:rPr>
        <w:t>, </w:t>
      </w:r>
      <w:r w:rsidRPr="00C15CEA">
        <w:rPr>
          <w:rFonts w:ascii="Arial" w:hAnsi="Arial" w:cs="Arial"/>
          <w:i/>
          <w:iCs/>
          <w:color w:val="000000"/>
          <w:sz w:val="22"/>
          <w:szCs w:val="22"/>
        </w:rPr>
        <w:t>201</w:t>
      </w:r>
      <w:r w:rsidRPr="00C15CEA">
        <w:rPr>
          <w:rFonts w:ascii="Arial" w:hAnsi="Arial" w:cs="Arial"/>
          <w:color w:val="000000"/>
          <w:sz w:val="22"/>
          <w:szCs w:val="22"/>
        </w:rPr>
        <w:t>(1), e5–e14.</w:t>
      </w:r>
      <w:r w:rsidRPr="007F18B5">
        <w:t xml:space="preserve"> </w:t>
      </w:r>
      <w:hyperlink r:id="rId27" w:history="1">
        <w:r w:rsidRPr="00B01AF8">
          <w:rPr>
            <w:rStyle w:val="Hyperlink"/>
            <w:rFonts w:ascii="Arial" w:hAnsi="Arial" w:cs="Arial"/>
            <w:sz w:val="22"/>
            <w:szCs w:val="22"/>
          </w:rPr>
          <w:t>https://doi.org/10.1016/j.amjsurg.2010.05.015</w:t>
        </w:r>
      </w:hyperlink>
      <w:r>
        <w:rPr>
          <w:rFonts w:ascii="Arial" w:hAnsi="Arial" w:cs="Arial"/>
          <w:color w:val="000000"/>
          <w:sz w:val="22"/>
          <w:szCs w:val="22"/>
        </w:rPr>
        <w:t xml:space="preserve"> </w:t>
      </w:r>
    </w:p>
    <w:p w14:paraId="763F12AA" w14:textId="4628A41B" w:rsidR="00702F36" w:rsidRPr="00C15CEA" w:rsidRDefault="00E1295C" w:rsidP="00E1295C">
      <w:pPr>
        <w:pStyle w:val="NormalWeb"/>
        <w:ind w:left="720"/>
        <w:rPr>
          <w:rFonts w:ascii="Arial" w:hAnsi="Arial" w:cs="Arial"/>
          <w:color w:val="000000"/>
          <w:sz w:val="22"/>
          <w:szCs w:val="22"/>
        </w:rPr>
      </w:pPr>
      <w:r w:rsidRPr="00C15CEA">
        <w:rPr>
          <w:rFonts w:ascii="Arial" w:hAnsi="Arial" w:cs="Arial"/>
          <w:color w:val="000000"/>
          <w:sz w:val="22"/>
          <w:szCs w:val="22"/>
        </w:rPr>
        <w:t xml:space="preserve">Caruso, D. M. (1999). Perihepatic Packing of Major Liver Injuries. Archives of Surgery, 134(9), 958. </w:t>
      </w:r>
      <w:hyperlink r:id="rId28" w:history="1">
        <w:r w:rsidRPr="00B01AF8">
          <w:rPr>
            <w:rStyle w:val="Hyperlink"/>
          </w:rPr>
          <w:t>https://doi.org/10.1001/archsurg.134.9.958</w:t>
        </w:r>
      </w:hyperlink>
      <w:bookmarkStart w:id="0" w:name="_GoBack"/>
      <w:bookmarkEnd w:id="0"/>
    </w:p>
    <w:p w14:paraId="6CBBFF03" w14:textId="77777777" w:rsidR="00B01FCD" w:rsidRPr="00C15CEA" w:rsidRDefault="00B01FCD" w:rsidP="00E35D98">
      <w:pPr>
        <w:pStyle w:val="Appendix"/>
        <w:spacing w:after="0"/>
        <w:rPr>
          <w:rFonts w:ascii="Arial" w:hAnsi="Arial" w:cs="Arial"/>
          <w:b w:val="0"/>
          <w:szCs w:val="22"/>
        </w:rPr>
      </w:pPr>
    </w:p>
    <w:sectPr w:rsidR="00B01FCD" w:rsidRPr="00C15CEA" w:rsidSect="00702F36">
      <w:headerReference w:type="even" r:id="rId29"/>
      <w:headerReference w:type="default" r:id="rId30"/>
      <w:footerReference w:type="default" r:id="rId31"/>
      <w:headerReference w:type="first" r:id="rId3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E7212" w14:textId="77777777" w:rsidR="00211E95" w:rsidRDefault="00211E95" w:rsidP="00C37E61">
      <w:r>
        <w:separator/>
      </w:r>
    </w:p>
  </w:endnote>
  <w:endnote w:type="continuationSeparator" w:id="0">
    <w:p w14:paraId="1C08196F" w14:textId="77777777" w:rsidR="00211E95" w:rsidRDefault="00211E9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98BC3" w14:textId="77777777" w:rsidR="00357145" w:rsidRDefault="00357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6319" w14:textId="77777777" w:rsidR="00357145" w:rsidRDefault="00357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862E" w14:textId="77777777" w:rsidR="009E048A" w:rsidRDefault="009E048A">
    <w:pPr>
      <w:pStyle w:val="Footer"/>
      <w:rPr>
        <w:rFonts w:ascii="Arial" w:hAnsi="Arial" w:cs="Arial"/>
        <w:sz w:val="16"/>
      </w:rPr>
    </w:pPr>
  </w:p>
  <w:p w14:paraId="4FC24EE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58E21B" w14:textId="77777777" w:rsidR="009E048A" w:rsidRDefault="009E048A">
    <w:pPr>
      <w:pStyle w:val="Footer"/>
      <w:rPr>
        <w:rFonts w:ascii="Arial" w:hAnsi="Arial" w:cs="Arial"/>
        <w:sz w:val="16"/>
      </w:rPr>
    </w:pPr>
  </w:p>
  <w:p w14:paraId="28E713E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1628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DA91E" w14:textId="77777777" w:rsidR="00211E95" w:rsidRDefault="00211E95" w:rsidP="00C37E61">
      <w:r>
        <w:separator/>
      </w:r>
    </w:p>
  </w:footnote>
  <w:footnote w:type="continuationSeparator" w:id="0">
    <w:p w14:paraId="17C15A75" w14:textId="77777777" w:rsidR="00211E95" w:rsidRDefault="00211E9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6150" w14:textId="3678502B" w:rsidR="00357145" w:rsidRDefault="00211E95">
    <w:pPr>
      <w:pStyle w:val="Header"/>
    </w:pPr>
    <w:r>
      <w:rPr>
        <w:noProof/>
      </w:rPr>
      <w:pict w14:anchorId="7E484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7717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5DD6" w14:textId="1270B6DA" w:rsidR="00357145" w:rsidRDefault="00211E95">
    <w:pPr>
      <w:pStyle w:val="Header"/>
    </w:pPr>
    <w:r>
      <w:rPr>
        <w:noProof/>
      </w:rPr>
      <w:pict w14:anchorId="02FF2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7717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471EA" w14:textId="69142C14" w:rsidR="00296529" w:rsidRPr="00296529" w:rsidRDefault="00211E95" w:rsidP="00296529">
    <w:pPr>
      <w:ind w:left="2160"/>
      <w:jc w:val="center"/>
      <w:rPr>
        <w:rFonts w:ascii="Times New Roman" w:eastAsia="Calibri" w:hAnsi="Times New Roman"/>
        <w:i/>
        <w:sz w:val="18"/>
        <w:szCs w:val="22"/>
      </w:rPr>
    </w:pPr>
    <w:r>
      <w:rPr>
        <w:noProof/>
      </w:rPr>
      <w:pict w14:anchorId="227E7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7717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5309A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A732B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51CD3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3B2B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F12FA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BF041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803CF" w14:textId="6CCEF9C4" w:rsidR="00357145" w:rsidRDefault="00211E95">
    <w:pPr>
      <w:pStyle w:val="Header"/>
    </w:pPr>
    <w:r>
      <w:rPr>
        <w:noProof/>
      </w:rPr>
      <w:pict w14:anchorId="2A8C8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7717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44B53" w14:textId="7D0A77E0" w:rsidR="00357145" w:rsidRDefault="00211E95">
    <w:pPr>
      <w:pStyle w:val="Header"/>
    </w:pPr>
    <w:r>
      <w:rPr>
        <w:noProof/>
      </w:rPr>
      <w:pict w14:anchorId="179CF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7717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C68E1" w14:textId="5B0AD14C" w:rsidR="00357145" w:rsidRDefault="00211E95">
    <w:pPr>
      <w:pStyle w:val="Header"/>
    </w:pPr>
    <w:r>
      <w:rPr>
        <w:noProof/>
      </w:rPr>
      <w:pict w14:anchorId="3F1D1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7717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0A9A"/>
    <w:rsid w:val="000D689F"/>
    <w:rsid w:val="000E7B7B"/>
    <w:rsid w:val="000E7D62"/>
    <w:rsid w:val="00103357"/>
    <w:rsid w:val="00123C9F"/>
    <w:rsid w:val="00126190"/>
    <w:rsid w:val="00130F17"/>
    <w:rsid w:val="001320BF"/>
    <w:rsid w:val="001551AA"/>
    <w:rsid w:val="00163BC4"/>
    <w:rsid w:val="00191062"/>
    <w:rsid w:val="00192B72"/>
    <w:rsid w:val="001A29D8"/>
    <w:rsid w:val="001A5CAA"/>
    <w:rsid w:val="001B0427"/>
    <w:rsid w:val="001D18BE"/>
    <w:rsid w:val="001D3A51"/>
    <w:rsid w:val="001E10D2"/>
    <w:rsid w:val="001E25B4"/>
    <w:rsid w:val="001E44FE"/>
    <w:rsid w:val="00200595"/>
    <w:rsid w:val="00204835"/>
    <w:rsid w:val="00211E95"/>
    <w:rsid w:val="00231920"/>
    <w:rsid w:val="0023195C"/>
    <w:rsid w:val="0024282C"/>
    <w:rsid w:val="002460DC"/>
    <w:rsid w:val="00250985"/>
    <w:rsid w:val="002556F6"/>
    <w:rsid w:val="00283105"/>
    <w:rsid w:val="00284C4C"/>
    <w:rsid w:val="00287E68"/>
    <w:rsid w:val="00296529"/>
    <w:rsid w:val="002A759B"/>
    <w:rsid w:val="002B27FB"/>
    <w:rsid w:val="002B30F7"/>
    <w:rsid w:val="002B685A"/>
    <w:rsid w:val="002C57D2"/>
    <w:rsid w:val="002D5EB5"/>
    <w:rsid w:val="002E0D56"/>
    <w:rsid w:val="00315186"/>
    <w:rsid w:val="0033343E"/>
    <w:rsid w:val="003512C2"/>
    <w:rsid w:val="00357145"/>
    <w:rsid w:val="00367F7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0CE8"/>
    <w:rsid w:val="00554FDA"/>
    <w:rsid w:val="00593807"/>
    <w:rsid w:val="005A5576"/>
    <w:rsid w:val="005C784C"/>
    <w:rsid w:val="005D17F6"/>
    <w:rsid w:val="005E5539"/>
    <w:rsid w:val="00602BF5"/>
    <w:rsid w:val="00617FDD"/>
    <w:rsid w:val="00633614"/>
    <w:rsid w:val="00633F68"/>
    <w:rsid w:val="00636EB2"/>
    <w:rsid w:val="006375B8"/>
    <w:rsid w:val="0066510A"/>
    <w:rsid w:val="006716B9"/>
    <w:rsid w:val="00673F9F"/>
    <w:rsid w:val="00686953"/>
    <w:rsid w:val="00687DEA"/>
    <w:rsid w:val="00687E67"/>
    <w:rsid w:val="006967F7"/>
    <w:rsid w:val="006A250C"/>
    <w:rsid w:val="006B21D3"/>
    <w:rsid w:val="006B57D0"/>
    <w:rsid w:val="006D30FF"/>
    <w:rsid w:val="006D6940"/>
    <w:rsid w:val="006F11EC"/>
    <w:rsid w:val="0070082C"/>
    <w:rsid w:val="00702F36"/>
    <w:rsid w:val="007369E6"/>
    <w:rsid w:val="00746E59"/>
    <w:rsid w:val="00754C9A"/>
    <w:rsid w:val="0075599A"/>
    <w:rsid w:val="00761D52"/>
    <w:rsid w:val="0077749E"/>
    <w:rsid w:val="00790ADA"/>
    <w:rsid w:val="007D2288"/>
    <w:rsid w:val="007E088F"/>
    <w:rsid w:val="007F7B32"/>
    <w:rsid w:val="00804BC2"/>
    <w:rsid w:val="0081431A"/>
    <w:rsid w:val="008174BD"/>
    <w:rsid w:val="0083216F"/>
    <w:rsid w:val="00860000"/>
    <w:rsid w:val="00863BD3"/>
    <w:rsid w:val="008641ED"/>
    <w:rsid w:val="00866D66"/>
    <w:rsid w:val="008671C6"/>
    <w:rsid w:val="00875803"/>
    <w:rsid w:val="00896758"/>
    <w:rsid w:val="008B459E"/>
    <w:rsid w:val="008E13AE"/>
    <w:rsid w:val="008E1506"/>
    <w:rsid w:val="008E3989"/>
    <w:rsid w:val="008E710C"/>
    <w:rsid w:val="008F69D6"/>
    <w:rsid w:val="00902823"/>
    <w:rsid w:val="00915CA6"/>
    <w:rsid w:val="00927834"/>
    <w:rsid w:val="009500A6"/>
    <w:rsid w:val="00957C18"/>
    <w:rsid w:val="009659BA"/>
    <w:rsid w:val="0097348C"/>
    <w:rsid w:val="00983040"/>
    <w:rsid w:val="009A551C"/>
    <w:rsid w:val="009B3FB9"/>
    <w:rsid w:val="009C2465"/>
    <w:rsid w:val="009D28C4"/>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71BC7"/>
    <w:rsid w:val="00B81126"/>
    <w:rsid w:val="00B95236"/>
    <w:rsid w:val="00B96BD9"/>
    <w:rsid w:val="00BA1B01"/>
    <w:rsid w:val="00BA2641"/>
    <w:rsid w:val="00BB37AA"/>
    <w:rsid w:val="00BC53A0"/>
    <w:rsid w:val="00BE62AD"/>
    <w:rsid w:val="00BF121F"/>
    <w:rsid w:val="00BF1F80"/>
    <w:rsid w:val="00C15CEA"/>
    <w:rsid w:val="00C1665A"/>
    <w:rsid w:val="00C166EF"/>
    <w:rsid w:val="00C17EB0"/>
    <w:rsid w:val="00C24D2C"/>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C75EF"/>
    <w:rsid w:val="00DE15F0"/>
    <w:rsid w:val="00DE5663"/>
    <w:rsid w:val="00DE78AA"/>
    <w:rsid w:val="00E053D0"/>
    <w:rsid w:val="00E1295C"/>
    <w:rsid w:val="00E15994"/>
    <w:rsid w:val="00E3114E"/>
    <w:rsid w:val="00E31A70"/>
    <w:rsid w:val="00E35B02"/>
    <w:rsid w:val="00E35D98"/>
    <w:rsid w:val="00E66496"/>
    <w:rsid w:val="00E66B35"/>
    <w:rsid w:val="00E66E10"/>
    <w:rsid w:val="00E769F6"/>
    <w:rsid w:val="00E8407C"/>
    <w:rsid w:val="00E84F3C"/>
    <w:rsid w:val="00EA012C"/>
    <w:rsid w:val="00EC6A55"/>
    <w:rsid w:val="00ED0288"/>
    <w:rsid w:val="00ED2E46"/>
    <w:rsid w:val="00EE3379"/>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B9FD78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B30F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isselectedend">
    <w:name w:val="isselectedend"/>
    <w:basedOn w:val="Normal"/>
    <w:rsid w:val="00C24D2C"/>
    <w:pPr>
      <w:spacing w:before="100" w:beforeAutospacing="1" w:after="100" w:afterAutospacing="1"/>
    </w:pPr>
    <w:rPr>
      <w:rFonts w:ascii="Times New Roman" w:hAnsi="Times New Roman"/>
      <w:sz w:val="24"/>
      <w:szCs w:val="24"/>
    </w:rPr>
  </w:style>
  <w:style w:type="paragraph" w:styleId="NoSpacing">
    <w:name w:val="No Spacing"/>
    <w:aliases w:val="Level 2"/>
    <w:link w:val="NoSpacingChar"/>
    <w:uiPriority w:val="1"/>
    <w:qFormat/>
    <w:rsid w:val="002B30F7"/>
    <w:rPr>
      <w:rFonts w:ascii="Calibri" w:eastAsia="Calibri" w:hAnsi="Calibri"/>
      <w:sz w:val="22"/>
      <w:szCs w:val="22"/>
      <w:lang w:val="en-IN"/>
    </w:rPr>
  </w:style>
  <w:style w:type="character" w:customStyle="1" w:styleId="NoSpacingChar">
    <w:name w:val="No Spacing Char"/>
    <w:aliases w:val="Level 2 Char"/>
    <w:link w:val="NoSpacing"/>
    <w:uiPriority w:val="1"/>
    <w:rsid w:val="002B30F7"/>
    <w:rPr>
      <w:rFonts w:ascii="Calibri" w:eastAsia="Calibri" w:hAnsi="Calibri"/>
      <w:sz w:val="22"/>
      <w:szCs w:val="22"/>
      <w:lang w:val="en-IN"/>
    </w:rPr>
  </w:style>
  <w:style w:type="character" w:styleId="Strong">
    <w:name w:val="Strong"/>
    <w:uiPriority w:val="22"/>
    <w:qFormat/>
    <w:rsid w:val="002B30F7"/>
    <w:rPr>
      <w:b/>
      <w:bCs/>
    </w:rPr>
  </w:style>
  <w:style w:type="paragraph" w:styleId="NormalWeb">
    <w:name w:val="Normal (Web)"/>
    <w:basedOn w:val="Normal"/>
    <w:uiPriority w:val="99"/>
    <w:unhideWhenUsed/>
    <w:rsid w:val="002B30F7"/>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semiHidden/>
    <w:rsid w:val="002B30F7"/>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1D1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180362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7759/cureus.80911" TargetMode="External"/><Relationship Id="rId26" Type="http://schemas.openxmlformats.org/officeDocument/2006/relationships/hyperlink" Target="https://doi.org/10.1016/j.ajog.2003.08.029" TargetMode="External"/><Relationship Id="rId3" Type="http://schemas.openxmlformats.org/officeDocument/2006/relationships/styles" Target="styles.xml"/><Relationship Id="rId21" Type="http://schemas.openxmlformats.org/officeDocument/2006/relationships/hyperlink" Target="https://doi.org/10.21203/rs.3.rs-7108560/v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97/00006254-199903000-0002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22541/au.173935682.23296698/v1"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97/00006254-199903000-00024"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503/cmaj.230851" TargetMode="External"/><Relationship Id="rId28" Type="http://schemas.openxmlformats.org/officeDocument/2006/relationships/hyperlink" Target="https://doi.org/10.1001/archsurg.134.9.958" TargetMode="External"/><Relationship Id="rId10" Type="http://schemas.openxmlformats.org/officeDocument/2006/relationships/footer" Target="footer1.xml"/><Relationship Id="rId19" Type="http://schemas.openxmlformats.org/officeDocument/2006/relationships/hyperlink" Target="https://doi.org/10.1097/md.0000000000044186"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2659/ajcr.946909" TargetMode="External"/><Relationship Id="rId27" Type="http://schemas.openxmlformats.org/officeDocument/2006/relationships/hyperlink" Target="https://doi.org/10.1016/j.amjsurg.2010.05.015" TargetMode="External"/><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DBD6B-C105-416E-B2BF-5E5C7D09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106</TotalTime>
  <Pages>6</Pages>
  <Words>2564</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17151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19</cp:revision>
  <cp:lastPrinted>1999-07-06T11:00:00Z</cp:lastPrinted>
  <dcterms:created xsi:type="dcterms:W3CDTF">2025-11-24T15:25:00Z</dcterms:created>
  <dcterms:modified xsi:type="dcterms:W3CDTF">2025-11-27T10:39:00Z</dcterms:modified>
</cp:coreProperties>
</file>