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E8E5" w14:textId="77777777" w:rsidR="00EB1BA0" w:rsidRDefault="00EB1BA0" w:rsidP="00C667A6">
      <w:pPr>
        <w:jc w:val="center"/>
        <w:rPr>
          <w:rFonts w:ascii="Times New Roman" w:hAnsi="Times New Roman" w:cs="Times New Roman"/>
          <w:b/>
          <w:sz w:val="28"/>
          <w:lang w:val="en-GB"/>
        </w:rPr>
      </w:pPr>
      <w:r w:rsidRPr="00EB1BA0">
        <w:rPr>
          <w:rFonts w:ascii="Times New Roman" w:hAnsi="Times New Roman" w:cs="Times New Roman"/>
          <w:b/>
          <w:sz w:val="28"/>
          <w:lang w:val="en-GB"/>
        </w:rPr>
        <w:t xml:space="preserve">Case report </w:t>
      </w:r>
    </w:p>
    <w:p w14:paraId="168CD0F1" w14:textId="77777777" w:rsidR="00EB1BA0" w:rsidRDefault="00EB1BA0" w:rsidP="00C667A6">
      <w:pPr>
        <w:jc w:val="center"/>
        <w:rPr>
          <w:rFonts w:ascii="Times New Roman" w:hAnsi="Times New Roman" w:cs="Times New Roman"/>
          <w:b/>
          <w:sz w:val="28"/>
          <w:lang w:val="en-GB"/>
        </w:rPr>
      </w:pPr>
    </w:p>
    <w:p w14:paraId="65158CC7" w14:textId="1332950D" w:rsidR="00C667A6" w:rsidRPr="006E7CEB" w:rsidRDefault="00706D0B" w:rsidP="00C667A6">
      <w:pPr>
        <w:jc w:val="center"/>
        <w:rPr>
          <w:rFonts w:ascii="Times New Roman" w:hAnsi="Times New Roman" w:cs="Times New Roman"/>
          <w:b/>
          <w:sz w:val="28"/>
          <w:lang w:val="en-GB"/>
        </w:rPr>
      </w:pPr>
      <w:r w:rsidRPr="006E7CEB">
        <w:rPr>
          <w:rFonts w:ascii="Times New Roman" w:hAnsi="Times New Roman" w:cs="Times New Roman"/>
          <w:b/>
          <w:sz w:val="28"/>
          <w:lang w:val="en-GB"/>
        </w:rPr>
        <w:t>Methimazole Induced Agranulocytosis, Thyrotoxicosis Crisis: A Case Report</w:t>
      </w:r>
    </w:p>
    <w:p w14:paraId="2FBA00C0" w14:textId="77777777" w:rsidR="00265201" w:rsidRPr="006E7CEB" w:rsidRDefault="00265201" w:rsidP="00C667A6">
      <w:pPr>
        <w:tabs>
          <w:tab w:val="left" w:pos="3416"/>
        </w:tabs>
        <w:rPr>
          <w:rFonts w:ascii="Times New Roman" w:hAnsi="Times New Roman" w:cs="Times New Roman"/>
          <w:sz w:val="24"/>
          <w:szCs w:val="24"/>
          <w:lang w:val="en-GB"/>
        </w:rPr>
      </w:pPr>
    </w:p>
    <w:p w14:paraId="674EFCE1" w14:textId="77777777" w:rsidR="005E0B8F" w:rsidRPr="006E7CEB" w:rsidRDefault="006E7CEB" w:rsidP="006E7CEB">
      <w:pPr>
        <w:spacing w:after="120"/>
        <w:jc w:val="both"/>
        <w:outlineLvl w:val="2"/>
        <w:rPr>
          <w:rFonts w:ascii="Times New Roman" w:eastAsia="Times New Roman" w:hAnsi="Times New Roman" w:cs="Times New Roman"/>
          <w:b/>
          <w:bCs/>
          <w:sz w:val="24"/>
          <w:szCs w:val="24"/>
        </w:rPr>
      </w:pPr>
      <w:r w:rsidRPr="006E7CEB">
        <w:rPr>
          <w:rFonts w:ascii="Times New Roman" w:eastAsia="Times New Roman" w:hAnsi="Times New Roman" w:cs="Times New Roman"/>
          <w:b/>
          <w:bCs/>
          <w:sz w:val="24"/>
          <w:szCs w:val="24"/>
        </w:rPr>
        <w:t xml:space="preserve">Abstract </w:t>
      </w:r>
    </w:p>
    <w:p w14:paraId="5C483EFE" w14:textId="77777777" w:rsidR="00F06A3C" w:rsidRPr="006E7CEB" w:rsidRDefault="00F06A3C" w:rsidP="005477C8">
      <w:pPr>
        <w:pStyle w:val="vineela"/>
        <w:rPr>
          <w:szCs w:val="24"/>
        </w:rPr>
      </w:pPr>
      <w:r w:rsidRPr="006E7CEB">
        <w:t>Methimazole is one of the most commonly used drugs in hyperthyroidism but rarely leads to potentially life-threatening agranulocytosis, which has significantly complicated the management. We report a case of a 49-year-old male with known history of hyperthyroidism, presenting with high-grade fever, profuse sweating, cough with expectoration, reeling sensation, shortness of breath, and generalized weakness subsequent to the administration of his routine medication. His laboratory investigations revealed profound agranulocytosis, with an absolute neutrophil count below 500 /µL in addition to marked thyrotoxicosis evoking suspicion for an evolving thyrotoxic crisis. Methimazole was immediately stopped, and treatment with broad-spectrum intravenous antibiotics, G-CSF, beta-blockers, corticosteroids, and supportive care was started. Clinical improvement was secured with the return of neutrophil counts and thyroid function stabilization. This case emphasizes the need for early recognition of methimazole-induced agranulocytosis, which may progress to thyrotoxic crisis. We conclude that timely withdrawal of the offending drug along with early multidisciplinary intervention constitutes an important measure in reducing morbidity and preventing lethal complications.</w:t>
      </w:r>
    </w:p>
    <w:p w14:paraId="5AA58EC2" w14:textId="77777777" w:rsidR="00F06A3C" w:rsidRPr="006E7CEB" w:rsidRDefault="00F06A3C" w:rsidP="00F06A3C">
      <w:pPr>
        <w:rPr>
          <w:rFonts w:ascii="Times New Roman" w:hAnsi="Times New Roman" w:cs="Times New Roman"/>
          <w:sz w:val="24"/>
        </w:rPr>
      </w:pPr>
      <w:r w:rsidRPr="006E7CEB">
        <w:rPr>
          <w:rStyle w:val="Strong"/>
          <w:rFonts w:ascii="Times New Roman" w:hAnsi="Times New Roman" w:cs="Times New Roman"/>
          <w:sz w:val="24"/>
        </w:rPr>
        <w:t>Key words:</w:t>
      </w:r>
      <w:r w:rsidRPr="006E7CEB">
        <w:rPr>
          <w:rFonts w:ascii="Times New Roman" w:hAnsi="Times New Roman" w:cs="Times New Roman"/>
          <w:sz w:val="24"/>
        </w:rPr>
        <w:t xml:space="preserve"> Methimazole, Agranulocytosis, Thyrotoxic crisis, Hyperthyroidism, Antithyroid drugs, </w:t>
      </w:r>
      <w:r w:rsidR="006E159B">
        <w:rPr>
          <w:rFonts w:ascii="Times New Roman" w:hAnsi="Times New Roman" w:cs="Times New Roman"/>
          <w:sz w:val="24"/>
        </w:rPr>
        <w:t>adverse</w:t>
      </w:r>
      <w:r w:rsidRPr="006E7CEB">
        <w:rPr>
          <w:rFonts w:ascii="Times New Roman" w:hAnsi="Times New Roman" w:cs="Times New Roman"/>
          <w:sz w:val="24"/>
        </w:rPr>
        <w:t xml:space="preserve"> drug reaction</w:t>
      </w:r>
    </w:p>
    <w:p w14:paraId="1C628551" w14:textId="77777777" w:rsidR="005477C8" w:rsidRPr="006E159B" w:rsidRDefault="005477C8" w:rsidP="005477C8">
      <w:pPr>
        <w:pStyle w:val="vineela"/>
      </w:pPr>
      <w:r w:rsidRPr="006E159B">
        <w:rPr>
          <w:rStyle w:val="Strong"/>
          <w:bCs w:val="0"/>
        </w:rPr>
        <w:t>Introduction</w:t>
      </w:r>
    </w:p>
    <w:p w14:paraId="0AA129EE" w14:textId="77777777" w:rsidR="00B61455" w:rsidRDefault="00C1389E" w:rsidP="006E159B">
      <w:pPr>
        <w:pStyle w:val="vineela"/>
      </w:pPr>
      <w:r w:rsidRPr="00C1389E">
        <w:t>Hyperthyroidism is a widespread endocrine condition that results from overproduction and secretion of thyroid hormones</w:t>
      </w:r>
      <w:r w:rsidR="00AD25D2">
        <w:t xml:space="preserve"> [</w:t>
      </w:r>
      <w:r w:rsidR="00AD25D2">
        <w:fldChar w:fldCharType="begin"/>
      </w:r>
      <w:r w:rsidR="00AD25D2">
        <w:instrText xml:space="preserve"> REF _Ref215789240 \r \h </w:instrText>
      </w:r>
      <w:r w:rsidR="00AD25D2">
        <w:fldChar w:fldCharType="separate"/>
      </w:r>
      <w:r w:rsidR="00AD25D2">
        <w:t>1</w:t>
      </w:r>
      <w:r w:rsidR="00AD25D2">
        <w:fldChar w:fldCharType="end"/>
      </w:r>
      <w:r w:rsidR="00616A1C">
        <w:t>]</w:t>
      </w:r>
      <w:r w:rsidRPr="00C1389E">
        <w:t xml:space="preserve">. The commonest causes are Graves' disease, toxic multinodular goiter, and toxic adenoma. </w:t>
      </w:r>
      <w:r w:rsidR="006E159B">
        <w:t>However</w:t>
      </w:r>
      <w:r w:rsidRPr="00C1389E">
        <w:t xml:space="preserve">, because of their effectiveness, ease of use, and non-invasive mode of administration, the major drugs in the initial management of hyperthyroidism continue to be ATDs including methimazole and propylthiouracil. Among these, methimazole is widely preferred owing to its longer half-life, better safety profile, and once-daily dosing. However, methimazole therapy is not without risk despite such advantages. Rare but potentially life-threatening adverse effects, particularly agranulocytosis, may occur in approximately 0.1–0.5% of patients, generally within </w:t>
      </w:r>
      <w:r w:rsidR="006E159B">
        <w:t>the first 90 days of treatment</w:t>
      </w:r>
      <w:r w:rsidR="00AD25D2">
        <w:t xml:space="preserve"> [</w:t>
      </w:r>
      <w:r w:rsidR="00AD25D2">
        <w:fldChar w:fldCharType="begin"/>
      </w:r>
      <w:r w:rsidR="00AD25D2">
        <w:instrText xml:space="preserve"> REF _Ref215789251 \r \h </w:instrText>
      </w:r>
      <w:r w:rsidR="00AD25D2">
        <w:fldChar w:fldCharType="separate"/>
      </w:r>
      <w:r w:rsidR="00AD25D2">
        <w:t>2</w:t>
      </w:r>
      <w:r w:rsidR="00AD25D2">
        <w:fldChar w:fldCharType="end"/>
      </w:r>
      <w:r w:rsidR="00616A1C">
        <w:t>]</w:t>
      </w:r>
      <w:r w:rsidR="006E159B">
        <w:t>.</w:t>
      </w:r>
      <w:r w:rsidR="006A7FFC">
        <w:t xml:space="preserve"> </w:t>
      </w:r>
      <w:r w:rsidRPr="00C1389E">
        <w:t xml:space="preserve">Agranulocytosis is characterized by an absolute neutrophil count of less than 500/µL and makes patients very vulnerable to life-threatening infections due to impaired defense mechanisms. Early symptoms are often nonspecific, such as fever, sore throat, and malaise, due to which the recognition of the condition may be significantly delayed. If left unattended, agranulocytosis can </w:t>
      </w:r>
      <w:r w:rsidRPr="00C1389E">
        <w:lastRenderedPageBreak/>
        <w:t>rapidly lead to sepsis or multiorgan dysfunction. In addition, abrupt cessation of antithyroid drugs in the setting of uncontrolled hyperthyroidism can trigger or exacerbate thyrotoxicosis, which may further lead to thyroid storm-an acute endocrine emergency associated with a high mortality rate</w:t>
      </w:r>
      <w:r w:rsidR="00AD25D2">
        <w:t xml:space="preserve"> [</w:t>
      </w:r>
      <w:r w:rsidR="00AD25D2">
        <w:fldChar w:fldCharType="begin"/>
      </w:r>
      <w:r w:rsidR="00AD25D2">
        <w:instrText xml:space="preserve"> REF _Ref215789272 \r \h </w:instrText>
      </w:r>
      <w:r w:rsidR="00AD25D2">
        <w:fldChar w:fldCharType="separate"/>
      </w:r>
      <w:r w:rsidR="00AD25D2">
        <w:t>3</w:t>
      </w:r>
      <w:r w:rsidR="00AD25D2">
        <w:fldChar w:fldCharType="end"/>
      </w:r>
      <w:r w:rsidR="00616A1C">
        <w:t>]</w:t>
      </w:r>
      <w:r w:rsidRPr="00C1389E">
        <w:t>.</w:t>
      </w:r>
    </w:p>
    <w:p w14:paraId="63D23719" w14:textId="77777777" w:rsidR="006E159B" w:rsidRDefault="006E159B" w:rsidP="006E159B">
      <w:pPr>
        <w:pStyle w:val="vineela"/>
      </w:pPr>
      <w:r w:rsidRPr="006E159B">
        <w:t>Methimazole-induced agranulocytosis complicated by thyrotoxic crisis occurring simultaneously represents a diagnostic and therapeutic challenge. The timely identification of the adverse reaction, immediate discontinuation of the offending agent, rapid infection control, and urgent stabilization of thyroid function are important in preventing fatal outcomes. We describe the case of a 49-year-old male who developed severe agranulocytosis complicated by evolving thyrotoxic crisis shortly after commencing methimazole therapy</w:t>
      </w:r>
      <w:r w:rsidR="00AD25D2">
        <w:t xml:space="preserve"> [</w:t>
      </w:r>
      <w:r w:rsidR="00AD25D2">
        <w:fldChar w:fldCharType="begin"/>
      </w:r>
      <w:r w:rsidR="00AD25D2">
        <w:instrText xml:space="preserve"> REF _Ref215789281 \r \h </w:instrText>
      </w:r>
      <w:r w:rsidR="00AD25D2">
        <w:fldChar w:fldCharType="separate"/>
      </w:r>
      <w:r w:rsidR="00AD25D2">
        <w:t>4</w:t>
      </w:r>
      <w:r w:rsidR="00AD25D2">
        <w:fldChar w:fldCharType="end"/>
      </w:r>
      <w:r w:rsidR="00616A1C">
        <w:t>]</w:t>
      </w:r>
      <w:r w:rsidRPr="006E159B">
        <w:t>.</w:t>
      </w:r>
    </w:p>
    <w:p w14:paraId="1298974C" w14:textId="77777777" w:rsidR="002B1EF9" w:rsidRPr="002B1EF9" w:rsidRDefault="002B1EF9" w:rsidP="002B1EF9">
      <w:pPr>
        <w:spacing w:before="100" w:beforeAutospacing="1" w:after="100" w:afterAutospacing="1"/>
        <w:jc w:val="both"/>
        <w:outlineLvl w:val="2"/>
        <w:rPr>
          <w:rFonts w:ascii="Times New Roman" w:eastAsia="Times New Roman" w:hAnsi="Times New Roman" w:cs="Times New Roman"/>
          <w:b/>
          <w:bCs/>
          <w:sz w:val="24"/>
          <w:szCs w:val="24"/>
        </w:rPr>
      </w:pPr>
      <w:r w:rsidRPr="002B1EF9">
        <w:rPr>
          <w:rFonts w:ascii="Times New Roman" w:eastAsia="Times New Roman" w:hAnsi="Times New Roman" w:cs="Times New Roman"/>
          <w:b/>
          <w:bCs/>
          <w:sz w:val="24"/>
          <w:szCs w:val="24"/>
        </w:rPr>
        <w:t>Case Presentation</w:t>
      </w:r>
    </w:p>
    <w:p w14:paraId="02F0F097" w14:textId="77777777" w:rsidR="00440806" w:rsidRPr="002B1EF9" w:rsidRDefault="00440806" w:rsidP="00440806">
      <w:pPr>
        <w:spacing w:before="100" w:beforeAutospacing="1" w:after="100" w:afterAutospacing="1"/>
        <w:jc w:val="both"/>
        <w:rPr>
          <w:rFonts w:ascii="Times New Roman" w:eastAsia="Times New Roman" w:hAnsi="Times New Roman" w:cs="Times New Roman"/>
          <w:sz w:val="24"/>
          <w:szCs w:val="24"/>
        </w:rPr>
      </w:pPr>
      <w:r w:rsidRPr="00D42057">
        <w:rPr>
          <w:rStyle w:val="diff-highlight"/>
          <w:rFonts w:ascii="Times New Roman" w:hAnsi="Times New Roman" w:cs="Times New Roman"/>
          <w:sz w:val="24"/>
          <w:shd w:val="clear" w:color="auto" w:fill="FFFFFF"/>
        </w:rPr>
        <w:t>The patient is a</w:t>
      </w:r>
      <w:r w:rsidRPr="00D42057">
        <w:rPr>
          <w:rFonts w:ascii="Times New Roman" w:hAnsi="Times New Roman" w:cs="Times New Roman"/>
          <w:sz w:val="24"/>
          <w:szCs w:val="27"/>
          <w:shd w:val="clear" w:color="auto" w:fill="FFFFFF"/>
        </w:rPr>
        <w:t xml:space="preserve"> 49-year-old male </w:t>
      </w:r>
      <w:r w:rsidRPr="00D42057">
        <w:rPr>
          <w:rStyle w:val="diff-highlight"/>
          <w:rFonts w:ascii="Times New Roman" w:hAnsi="Times New Roman" w:cs="Times New Roman"/>
          <w:sz w:val="24"/>
          <w:shd w:val="clear" w:color="auto" w:fill="FFFFFF"/>
        </w:rPr>
        <w:t>who</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has</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had</w:t>
      </w:r>
      <w:r w:rsidRPr="00D42057">
        <w:rPr>
          <w:rFonts w:ascii="Times New Roman" w:hAnsi="Times New Roman" w:cs="Times New Roman"/>
          <w:sz w:val="24"/>
          <w:szCs w:val="27"/>
          <w:shd w:val="clear" w:color="auto" w:fill="FFFFFF"/>
        </w:rPr>
        <w:t xml:space="preserve"> hyperthyroidism for 10 years</w:t>
      </w:r>
      <w:r w:rsidRPr="00D42057">
        <w:rPr>
          <w:rStyle w:val="diff-highlight"/>
          <w:rFonts w:ascii="Times New Roman" w:hAnsi="Times New Roman" w:cs="Times New Roman"/>
          <w:sz w:val="24"/>
          <w:shd w:val="clear" w:color="auto" w:fill="FFFFFF"/>
        </w:rPr>
        <w:t>.</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He came</w:t>
      </w:r>
      <w:r w:rsidRPr="00D42057">
        <w:rPr>
          <w:rFonts w:ascii="Times New Roman" w:hAnsi="Times New Roman" w:cs="Times New Roman"/>
          <w:sz w:val="24"/>
          <w:szCs w:val="27"/>
          <w:shd w:val="clear" w:color="auto" w:fill="FFFFFF"/>
        </w:rPr>
        <w:t xml:space="preserve"> to the</w:t>
      </w:r>
      <w:r w:rsidRPr="00D42057">
        <w:rPr>
          <w:rStyle w:val="diff-highlight"/>
          <w:rFonts w:ascii="Times New Roman" w:hAnsi="Times New Roman" w:cs="Times New Roman"/>
          <w:sz w:val="24"/>
          <w:shd w:val="clear" w:color="auto" w:fill="FFFFFF"/>
        </w:rPr>
        <w:t xml:space="preserve"> hospital's</w:t>
      </w:r>
      <w:r w:rsidRPr="00D42057">
        <w:rPr>
          <w:rFonts w:ascii="Times New Roman" w:hAnsi="Times New Roman" w:cs="Times New Roman"/>
          <w:sz w:val="24"/>
          <w:szCs w:val="27"/>
          <w:shd w:val="clear" w:color="auto" w:fill="FFFFFF"/>
        </w:rPr>
        <w:t xml:space="preserve"> emergency department with </w:t>
      </w:r>
      <w:r w:rsidRPr="00D42057">
        <w:rPr>
          <w:rStyle w:val="diff-highlight"/>
          <w:rFonts w:ascii="Times New Roman" w:hAnsi="Times New Roman" w:cs="Times New Roman"/>
          <w:sz w:val="24"/>
          <w:shd w:val="clear" w:color="auto" w:fill="FFFFFF"/>
        </w:rPr>
        <w:t>symptoms of</w:t>
      </w:r>
      <w:r w:rsidRPr="00D42057">
        <w:rPr>
          <w:rFonts w:ascii="Times New Roman" w:hAnsi="Times New Roman" w:cs="Times New Roman"/>
          <w:sz w:val="24"/>
          <w:szCs w:val="24"/>
        </w:rPr>
        <w:t xml:space="preserve"> </w:t>
      </w:r>
      <w:r w:rsidRPr="003410ED">
        <w:rPr>
          <w:rFonts w:ascii="Times New Roman" w:hAnsi="Times New Roman" w:cs="Times New Roman"/>
          <w:sz w:val="24"/>
          <w:szCs w:val="24"/>
        </w:rPr>
        <w:t xml:space="preserve">high-grade fever, profuse sweating, cough with expectoration, </w:t>
      </w:r>
      <w:r>
        <w:rPr>
          <w:rFonts w:ascii="Times New Roman" w:hAnsi="Times New Roman" w:cs="Times New Roman"/>
          <w:sz w:val="24"/>
          <w:szCs w:val="24"/>
        </w:rPr>
        <w:t xml:space="preserve">burning micturition, </w:t>
      </w:r>
      <w:r w:rsidRPr="003410ED">
        <w:rPr>
          <w:rFonts w:ascii="Times New Roman" w:hAnsi="Times New Roman" w:cs="Times New Roman"/>
          <w:sz w:val="24"/>
          <w:szCs w:val="24"/>
        </w:rPr>
        <w:t>reeling sensation, shortness of breath, and generalized weakness</w:t>
      </w:r>
      <w:r w:rsidRPr="00D42057">
        <w:rPr>
          <w:rStyle w:val="diff-highlight"/>
          <w:rFonts w:ascii="Times New Roman" w:hAnsi="Times New Roman" w:cs="Times New Roman"/>
          <w:sz w:val="24"/>
          <w:shd w:val="clear" w:color="auto" w:fill="FFFFFF"/>
        </w:rPr>
        <w:t>, that</w:t>
      </w:r>
      <w:r w:rsidRPr="00D42057">
        <w:rPr>
          <w:rFonts w:ascii="Times New Roman" w:hAnsi="Times New Roman" w:cs="Times New Roman"/>
          <w:sz w:val="24"/>
          <w:szCs w:val="27"/>
          <w:shd w:val="clear" w:color="auto" w:fill="FFFFFF"/>
        </w:rPr>
        <w:t xml:space="preserve"> developed </w:t>
      </w:r>
      <w:r w:rsidRPr="00D42057">
        <w:rPr>
          <w:rStyle w:val="diff-highlight"/>
          <w:rFonts w:ascii="Times New Roman" w:hAnsi="Times New Roman" w:cs="Times New Roman"/>
          <w:sz w:val="24"/>
          <w:shd w:val="clear" w:color="auto" w:fill="FFFFFF"/>
        </w:rPr>
        <w:t>just</w:t>
      </w:r>
      <w:r w:rsidRPr="00D42057">
        <w:rPr>
          <w:rFonts w:ascii="Times New Roman" w:hAnsi="Times New Roman" w:cs="Times New Roman"/>
          <w:sz w:val="24"/>
          <w:szCs w:val="27"/>
          <w:shd w:val="clear" w:color="auto" w:fill="FFFFFF"/>
        </w:rPr>
        <w:t xml:space="preserve"> after he </w:t>
      </w:r>
      <w:r w:rsidRPr="00D42057">
        <w:rPr>
          <w:rStyle w:val="diff-highlight"/>
          <w:rFonts w:ascii="Times New Roman" w:hAnsi="Times New Roman" w:cs="Times New Roman"/>
          <w:sz w:val="24"/>
          <w:shd w:val="clear" w:color="auto" w:fill="FFFFFF"/>
        </w:rPr>
        <w:t>tak</w:t>
      </w:r>
      <w:r>
        <w:rPr>
          <w:rStyle w:val="diff-highlight"/>
          <w:sz w:val="24"/>
          <w:shd w:val="clear" w:color="auto" w:fill="FFFFFF"/>
        </w:rPr>
        <w:t>en</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Methimazole medicine</w:t>
      </w:r>
      <w:r w:rsidRPr="00D42057">
        <w:rPr>
          <w:rFonts w:ascii="Times New Roman" w:hAnsi="Times New Roman" w:cs="Times New Roman"/>
          <w:sz w:val="24"/>
          <w:szCs w:val="27"/>
          <w:shd w:val="clear" w:color="auto" w:fill="FFFFFF"/>
        </w:rPr>
        <w:t xml:space="preserve"> as part of his </w:t>
      </w:r>
      <w:r w:rsidRPr="00D42057">
        <w:rPr>
          <w:rStyle w:val="diff-highlight"/>
          <w:rFonts w:ascii="Times New Roman" w:hAnsi="Times New Roman" w:cs="Times New Roman"/>
          <w:sz w:val="24"/>
          <w:shd w:val="clear" w:color="auto" w:fill="FFFFFF"/>
        </w:rPr>
        <w:t>treatment</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of</w:t>
      </w:r>
      <w:r w:rsidRPr="00D42057">
        <w:rPr>
          <w:rFonts w:ascii="Times New Roman" w:hAnsi="Times New Roman" w:cs="Times New Roman"/>
          <w:sz w:val="24"/>
          <w:szCs w:val="27"/>
          <w:shd w:val="clear" w:color="auto" w:fill="FFFFFF"/>
        </w:rPr>
        <w:t xml:space="preserve"> hyperthyroidism.</w:t>
      </w:r>
      <w:r w:rsidRPr="00D42057">
        <w:rPr>
          <w:rFonts w:ascii="Times New Roman" w:eastAsia="Times New Roman" w:hAnsi="Times New Roman" w:cs="Times New Roman"/>
          <w:sz w:val="24"/>
          <w:szCs w:val="24"/>
        </w:rPr>
        <w:t xml:space="preserve"> </w:t>
      </w:r>
      <w:r w:rsidRPr="002B1EF9">
        <w:rPr>
          <w:rFonts w:ascii="Times New Roman" w:eastAsia="Times New Roman" w:hAnsi="Times New Roman" w:cs="Times New Roman"/>
          <w:sz w:val="24"/>
          <w:szCs w:val="24"/>
        </w:rPr>
        <w:t xml:space="preserve">There was no history of recent infections, drug allergies, or exposure to other medications or </w:t>
      </w:r>
      <w:proofErr w:type="gramStart"/>
      <w:r w:rsidRPr="002B1EF9">
        <w:rPr>
          <w:rFonts w:ascii="Times New Roman" w:eastAsia="Times New Roman" w:hAnsi="Times New Roman" w:cs="Times New Roman"/>
          <w:sz w:val="24"/>
          <w:szCs w:val="24"/>
        </w:rPr>
        <w:t>toxins.</w:t>
      </w:r>
      <w:r w:rsidRPr="00D42057">
        <w:rPr>
          <w:rStyle w:val="diff-highlight"/>
          <w:rFonts w:ascii="Times New Roman" w:hAnsi="Times New Roman" w:cs="Times New Roman"/>
          <w:sz w:val="24"/>
          <w:shd w:val="clear" w:color="auto" w:fill="FFFFFF"/>
        </w:rPr>
        <w:t>.</w:t>
      </w:r>
      <w:proofErr w:type="gramEnd"/>
      <w:r w:rsidRPr="00D42057">
        <w:rPr>
          <w:rStyle w:val="diff-highlight"/>
          <w:rFonts w:ascii="Times New Roman" w:hAnsi="Times New Roman" w:cs="Times New Roman"/>
          <w:sz w:val="24"/>
          <w:shd w:val="clear" w:color="auto" w:fill="FFFFFF"/>
        </w:rPr>
        <w:t xml:space="preserve"> </w:t>
      </w:r>
      <w:r w:rsidRPr="00D42057">
        <w:rPr>
          <w:rFonts w:ascii="Times New Roman" w:hAnsi="Times New Roman" w:cs="Times New Roman"/>
          <w:sz w:val="24"/>
          <w:szCs w:val="27"/>
          <w:shd w:val="clear" w:color="auto" w:fill="FFFFFF"/>
        </w:rPr>
        <w:t>On</w:t>
      </w:r>
      <w:r w:rsidRPr="00D42057">
        <w:rPr>
          <w:rStyle w:val="diff-highlight"/>
          <w:rFonts w:ascii="Times New Roman" w:hAnsi="Times New Roman" w:cs="Times New Roman"/>
          <w:sz w:val="24"/>
          <w:shd w:val="clear" w:color="auto" w:fill="FFFFFF"/>
        </w:rPr>
        <w:t xml:space="preserve"> physical</w:t>
      </w:r>
      <w:r w:rsidRPr="00D42057">
        <w:rPr>
          <w:rFonts w:ascii="Times New Roman" w:hAnsi="Times New Roman" w:cs="Times New Roman"/>
          <w:sz w:val="24"/>
          <w:szCs w:val="27"/>
          <w:shd w:val="clear" w:color="auto" w:fill="FFFFFF"/>
        </w:rPr>
        <w:t xml:space="preserve"> examination, the patient </w:t>
      </w:r>
      <w:r w:rsidRPr="00D42057">
        <w:rPr>
          <w:rStyle w:val="diff-highlight"/>
          <w:rFonts w:ascii="Times New Roman" w:hAnsi="Times New Roman" w:cs="Times New Roman"/>
          <w:sz w:val="24"/>
          <w:shd w:val="clear" w:color="auto" w:fill="FFFFFF"/>
        </w:rPr>
        <w:t>was</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very</w:t>
      </w:r>
      <w:r w:rsidRPr="00D42057">
        <w:rPr>
          <w:rFonts w:ascii="Times New Roman" w:hAnsi="Times New Roman" w:cs="Times New Roman"/>
          <w:sz w:val="24"/>
          <w:szCs w:val="27"/>
          <w:shd w:val="clear" w:color="auto" w:fill="FFFFFF"/>
        </w:rPr>
        <w:t xml:space="preserve"> ill and </w:t>
      </w:r>
      <w:r>
        <w:rPr>
          <w:rStyle w:val="diff-highlight"/>
          <w:sz w:val="24"/>
          <w:shd w:val="clear" w:color="auto" w:fill="FFFFFF"/>
        </w:rPr>
        <w:t>tachycardic</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H</w:t>
      </w:r>
      <w:r>
        <w:rPr>
          <w:rStyle w:val="diff-highlight"/>
          <w:sz w:val="24"/>
          <w:shd w:val="clear" w:color="auto" w:fill="FFFFFF"/>
        </w:rPr>
        <w:t>is vital signs</w:t>
      </w:r>
      <w:r w:rsidRPr="00D42057">
        <w:rPr>
          <w:rFonts w:ascii="Times New Roman" w:hAnsi="Times New Roman" w:cs="Times New Roman"/>
          <w:sz w:val="24"/>
          <w:szCs w:val="27"/>
          <w:shd w:val="clear" w:color="auto" w:fill="FFFFFF"/>
        </w:rPr>
        <w:t xml:space="preserve"> </w:t>
      </w:r>
      <w:proofErr w:type="gramStart"/>
      <w:r w:rsidRPr="00D42057">
        <w:rPr>
          <w:rStyle w:val="diff-highlight"/>
          <w:rFonts w:ascii="Times New Roman" w:hAnsi="Times New Roman" w:cs="Times New Roman"/>
          <w:sz w:val="24"/>
          <w:shd w:val="clear" w:color="auto" w:fill="FFFFFF"/>
        </w:rPr>
        <w:t>was</w:t>
      </w:r>
      <w:proofErr w:type="gramEnd"/>
      <w:r w:rsidRPr="00D42057">
        <w:rPr>
          <w:rFonts w:ascii="Times New Roman" w:hAnsi="Times New Roman" w:cs="Times New Roman"/>
          <w:sz w:val="24"/>
          <w:szCs w:val="27"/>
          <w:shd w:val="clear" w:color="auto" w:fill="FFFFFF"/>
        </w:rPr>
        <w:t xml:space="preserve"> </w:t>
      </w:r>
      <w:r>
        <w:rPr>
          <w:rStyle w:val="diff-highlight"/>
          <w:sz w:val="24"/>
          <w:shd w:val="clear" w:color="auto" w:fill="FFFFFF"/>
        </w:rPr>
        <w:t xml:space="preserve">showed </w:t>
      </w:r>
      <w:r w:rsidRPr="00D42057">
        <w:rPr>
          <w:rFonts w:ascii="Times New Roman" w:hAnsi="Times New Roman" w:cs="Times New Roman"/>
          <w:sz w:val="24"/>
          <w:szCs w:val="27"/>
          <w:shd w:val="clear" w:color="auto" w:fill="FFFFFF"/>
        </w:rPr>
        <w:t xml:space="preserve">a temperature of 98.6°F, pulse rate of 86 </w:t>
      </w:r>
      <w:r>
        <w:rPr>
          <w:rStyle w:val="diff-highlight"/>
          <w:sz w:val="24"/>
          <w:shd w:val="clear" w:color="auto" w:fill="FFFFFF"/>
        </w:rPr>
        <w:t>beats per minute</w:t>
      </w:r>
      <w:r w:rsidRPr="00D42057">
        <w:rPr>
          <w:rFonts w:ascii="Times New Roman" w:hAnsi="Times New Roman" w:cs="Times New Roman"/>
          <w:sz w:val="24"/>
          <w:szCs w:val="27"/>
          <w:shd w:val="clear" w:color="auto" w:fill="FFFFFF"/>
        </w:rPr>
        <w:t>, blood pressure of 120/80 mmHg,</w:t>
      </w:r>
      <w:r w:rsidRPr="00D42057">
        <w:rPr>
          <w:rStyle w:val="diff-highlight"/>
          <w:rFonts w:ascii="Times New Roman" w:hAnsi="Times New Roman" w:cs="Times New Roman"/>
          <w:sz w:val="24"/>
          <w:shd w:val="clear" w:color="auto" w:fill="FFFFFF"/>
        </w:rPr>
        <w:t xml:space="preserve"> and</w:t>
      </w:r>
      <w:r w:rsidRPr="00D42057">
        <w:rPr>
          <w:rFonts w:ascii="Times New Roman" w:hAnsi="Times New Roman" w:cs="Times New Roman"/>
          <w:sz w:val="24"/>
          <w:szCs w:val="27"/>
          <w:shd w:val="clear" w:color="auto" w:fill="FFFFFF"/>
        </w:rPr>
        <w:t xml:space="preserve"> respiratory rate of 16 breaths</w:t>
      </w:r>
      <w:r w:rsidRPr="00D42057">
        <w:rPr>
          <w:rStyle w:val="diff-highlight"/>
          <w:rFonts w:ascii="Times New Roman" w:hAnsi="Times New Roman" w:cs="Times New Roman"/>
          <w:sz w:val="24"/>
          <w:shd w:val="clear" w:color="auto" w:fill="FFFFFF"/>
        </w:rPr>
        <w:t xml:space="preserve"> per minute</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His</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skin</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was</w:t>
      </w:r>
      <w:r w:rsidRPr="00D42057">
        <w:rPr>
          <w:rFonts w:ascii="Times New Roman" w:hAnsi="Times New Roman" w:cs="Times New Roman"/>
          <w:sz w:val="24"/>
          <w:szCs w:val="27"/>
          <w:shd w:val="clear" w:color="auto" w:fill="FFFFFF"/>
        </w:rPr>
        <w:t xml:space="preserve"> warm </w:t>
      </w:r>
      <w:r w:rsidRPr="00D42057">
        <w:rPr>
          <w:rStyle w:val="diff-highlight"/>
          <w:rFonts w:ascii="Times New Roman" w:hAnsi="Times New Roman" w:cs="Times New Roman"/>
          <w:sz w:val="24"/>
          <w:shd w:val="clear" w:color="auto" w:fill="FFFFFF"/>
        </w:rPr>
        <w:t>and</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moist</w:t>
      </w:r>
      <w:r w:rsidRPr="00D42057">
        <w:rPr>
          <w:rFonts w:ascii="Times New Roman" w:hAnsi="Times New Roman" w:cs="Times New Roman"/>
          <w:sz w:val="24"/>
          <w:szCs w:val="27"/>
          <w:shd w:val="clear" w:color="auto" w:fill="FFFFFF"/>
        </w:rPr>
        <w:t>,</w:t>
      </w:r>
      <w:r w:rsidRPr="00D42057">
        <w:rPr>
          <w:rStyle w:val="diff-highlight"/>
          <w:rFonts w:ascii="Times New Roman" w:hAnsi="Times New Roman" w:cs="Times New Roman"/>
          <w:sz w:val="24"/>
          <w:shd w:val="clear" w:color="auto" w:fill="FFFFFF"/>
        </w:rPr>
        <w:t xml:space="preserve"> and he had</w:t>
      </w:r>
      <w:r w:rsidRPr="00D42057">
        <w:rPr>
          <w:rFonts w:ascii="Times New Roman" w:hAnsi="Times New Roman" w:cs="Times New Roman"/>
          <w:sz w:val="24"/>
          <w:szCs w:val="27"/>
          <w:shd w:val="clear" w:color="auto" w:fill="FFFFFF"/>
        </w:rPr>
        <w:t xml:space="preserve"> mild tremors and </w:t>
      </w:r>
      <w:r w:rsidRPr="00D42057">
        <w:rPr>
          <w:rStyle w:val="diff-highlight"/>
          <w:rFonts w:ascii="Times New Roman" w:hAnsi="Times New Roman" w:cs="Times New Roman"/>
          <w:sz w:val="24"/>
          <w:shd w:val="clear" w:color="auto" w:fill="FFFFFF"/>
        </w:rPr>
        <w:t>an</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anxious</w:t>
      </w:r>
      <w:r w:rsidRPr="00D42057">
        <w:rPr>
          <w:rFonts w:ascii="Times New Roman" w:hAnsi="Times New Roman" w:cs="Times New Roman"/>
          <w:sz w:val="24"/>
          <w:szCs w:val="27"/>
          <w:shd w:val="clear" w:color="auto" w:fill="FFFFFF"/>
        </w:rPr>
        <w:t xml:space="preserve"> </w:t>
      </w:r>
      <w:r w:rsidRPr="00D42057">
        <w:rPr>
          <w:rStyle w:val="diff-highlight"/>
          <w:rFonts w:ascii="Times New Roman" w:hAnsi="Times New Roman" w:cs="Times New Roman"/>
          <w:sz w:val="24"/>
          <w:shd w:val="clear" w:color="auto" w:fill="FFFFFF"/>
        </w:rPr>
        <w:t>appearance</w:t>
      </w:r>
      <w:r w:rsidRPr="00D42057">
        <w:rPr>
          <w:rStyle w:val="diff-highlight"/>
          <w:rFonts w:ascii="Times New Roman" w:hAnsi="Times New Roman" w:cs="Times New Roman"/>
          <w:sz w:val="24"/>
          <w:szCs w:val="24"/>
          <w:shd w:val="clear" w:color="auto" w:fill="FFFFFF"/>
        </w:rPr>
        <w:t>.</w:t>
      </w:r>
      <w:r w:rsidRPr="00D42057">
        <w:rPr>
          <w:rFonts w:ascii="Times New Roman" w:hAnsi="Times New Roman" w:cs="Times New Roman"/>
          <w:sz w:val="24"/>
          <w:szCs w:val="24"/>
          <w:shd w:val="clear" w:color="auto" w:fill="FFFFFF"/>
        </w:rPr>
        <w:t xml:space="preserve"> </w:t>
      </w:r>
      <w:r w:rsidRPr="00D42057">
        <w:rPr>
          <w:rStyle w:val="diff-highlight"/>
          <w:rFonts w:ascii="Times New Roman" w:hAnsi="Times New Roman" w:cs="Times New Roman"/>
          <w:sz w:val="24"/>
          <w:szCs w:val="24"/>
          <w:shd w:val="clear" w:color="auto" w:fill="FFFFFF"/>
        </w:rPr>
        <w:t>He had</w:t>
      </w:r>
      <w:r w:rsidRPr="00D42057">
        <w:rPr>
          <w:rFonts w:ascii="Times New Roman" w:hAnsi="Times New Roman" w:cs="Times New Roman"/>
          <w:sz w:val="24"/>
          <w:szCs w:val="24"/>
          <w:shd w:val="clear" w:color="auto" w:fill="FFFFFF"/>
        </w:rPr>
        <w:t xml:space="preserve"> tachycardia</w:t>
      </w:r>
      <w:r w:rsidRPr="00D42057">
        <w:rPr>
          <w:rStyle w:val="diff-highlight"/>
          <w:rFonts w:ascii="Times New Roman" w:hAnsi="Times New Roman" w:cs="Times New Roman"/>
          <w:sz w:val="24"/>
          <w:szCs w:val="24"/>
          <w:shd w:val="clear" w:color="auto" w:fill="FFFFFF"/>
        </w:rPr>
        <w:t xml:space="preserve"> on the cardiovascular portion of the examination</w:t>
      </w:r>
      <w:r w:rsidRPr="00D42057">
        <w:rPr>
          <w:rFonts w:ascii="Times New Roman" w:hAnsi="Times New Roman" w:cs="Times New Roman"/>
          <w:sz w:val="24"/>
          <w:szCs w:val="24"/>
          <w:shd w:val="clear" w:color="auto" w:fill="FFFFFF"/>
        </w:rPr>
        <w:t xml:space="preserve">, and </w:t>
      </w:r>
      <w:r w:rsidRPr="00D42057">
        <w:rPr>
          <w:rStyle w:val="diff-highlight"/>
          <w:rFonts w:ascii="Times New Roman" w:hAnsi="Times New Roman" w:cs="Times New Roman"/>
          <w:sz w:val="24"/>
          <w:szCs w:val="24"/>
          <w:shd w:val="clear" w:color="auto" w:fill="FFFFFF"/>
        </w:rPr>
        <w:t>he</w:t>
      </w:r>
      <w:r w:rsidRPr="00D42057">
        <w:rPr>
          <w:rFonts w:ascii="Times New Roman" w:hAnsi="Times New Roman" w:cs="Times New Roman"/>
          <w:sz w:val="24"/>
          <w:szCs w:val="24"/>
          <w:shd w:val="clear" w:color="auto" w:fill="FFFFFF"/>
        </w:rPr>
        <w:t xml:space="preserve"> </w:t>
      </w:r>
      <w:r w:rsidRPr="00D42057">
        <w:rPr>
          <w:rStyle w:val="diff-highlight"/>
          <w:rFonts w:ascii="Times New Roman" w:hAnsi="Times New Roman" w:cs="Times New Roman"/>
          <w:sz w:val="24"/>
          <w:szCs w:val="24"/>
          <w:shd w:val="clear" w:color="auto" w:fill="FFFFFF"/>
        </w:rPr>
        <w:t>had</w:t>
      </w:r>
      <w:r w:rsidRPr="00D42057">
        <w:rPr>
          <w:rFonts w:ascii="Times New Roman" w:hAnsi="Times New Roman" w:cs="Times New Roman"/>
          <w:sz w:val="24"/>
          <w:szCs w:val="24"/>
          <w:shd w:val="clear" w:color="auto" w:fill="FFFFFF"/>
        </w:rPr>
        <w:t xml:space="preserve"> bilateral crepitations</w:t>
      </w:r>
      <w:r w:rsidRPr="00D42057">
        <w:rPr>
          <w:rStyle w:val="diff-highlight"/>
          <w:rFonts w:ascii="Times New Roman" w:hAnsi="Times New Roman" w:cs="Times New Roman"/>
          <w:sz w:val="24"/>
          <w:szCs w:val="24"/>
          <w:shd w:val="clear" w:color="auto" w:fill="FFFFFF"/>
        </w:rPr>
        <w:t xml:space="preserve"> on his respiratory examination</w:t>
      </w:r>
      <w:r w:rsidRPr="00D42057">
        <w:rPr>
          <w:rFonts w:ascii="Times New Roman" w:hAnsi="Times New Roman" w:cs="Times New Roman"/>
          <w:sz w:val="24"/>
          <w:szCs w:val="24"/>
          <w:shd w:val="clear" w:color="auto" w:fill="FFFFFF"/>
        </w:rPr>
        <w:t xml:space="preserve">. </w:t>
      </w:r>
      <w:r w:rsidRPr="002B1EF9">
        <w:rPr>
          <w:rFonts w:ascii="Times New Roman" w:eastAsia="Times New Roman" w:hAnsi="Times New Roman" w:cs="Times New Roman"/>
          <w:sz w:val="24"/>
          <w:szCs w:val="24"/>
        </w:rPr>
        <w:t>There was no lymphadenopathy or organomegaly.</w:t>
      </w:r>
      <w:r w:rsidRPr="00D42057">
        <w:rPr>
          <w:rStyle w:val="diff-highlight"/>
          <w:rFonts w:ascii="Times New Roman" w:hAnsi="Times New Roman" w:cs="Times New Roman"/>
          <w:sz w:val="24"/>
          <w:szCs w:val="24"/>
          <w:shd w:val="clear" w:color="auto" w:fill="FFFFFF"/>
        </w:rPr>
        <w:t xml:space="preserve"> His</w:t>
      </w:r>
      <w:r w:rsidRPr="00D42057">
        <w:rPr>
          <w:rFonts w:ascii="Times New Roman" w:hAnsi="Times New Roman" w:cs="Times New Roman"/>
          <w:sz w:val="24"/>
          <w:szCs w:val="24"/>
          <w:shd w:val="clear" w:color="auto" w:fill="FFFFFF"/>
        </w:rPr>
        <w:t xml:space="preserve"> </w:t>
      </w:r>
      <w:r w:rsidRPr="00D42057">
        <w:rPr>
          <w:rStyle w:val="diff-highlight"/>
          <w:rFonts w:ascii="Times New Roman" w:hAnsi="Times New Roman" w:cs="Times New Roman"/>
          <w:sz w:val="24"/>
          <w:szCs w:val="24"/>
          <w:shd w:val="clear" w:color="auto" w:fill="FFFFFF"/>
        </w:rPr>
        <w:t>examination</w:t>
      </w:r>
      <w:r w:rsidRPr="00D42057">
        <w:rPr>
          <w:rFonts w:ascii="Times New Roman" w:hAnsi="Times New Roman" w:cs="Times New Roman"/>
          <w:sz w:val="24"/>
          <w:szCs w:val="24"/>
          <w:shd w:val="clear" w:color="auto" w:fill="FFFFFF"/>
        </w:rPr>
        <w:t xml:space="preserve"> </w:t>
      </w:r>
      <w:r w:rsidRPr="00D42057">
        <w:rPr>
          <w:rStyle w:val="diff-highlight"/>
          <w:rFonts w:ascii="Times New Roman" w:hAnsi="Times New Roman" w:cs="Times New Roman"/>
          <w:sz w:val="24"/>
          <w:szCs w:val="24"/>
          <w:shd w:val="clear" w:color="auto" w:fill="FFFFFF"/>
        </w:rPr>
        <w:t>did</w:t>
      </w:r>
      <w:r w:rsidRPr="00D42057">
        <w:rPr>
          <w:rFonts w:ascii="Times New Roman" w:hAnsi="Times New Roman" w:cs="Times New Roman"/>
          <w:sz w:val="24"/>
          <w:szCs w:val="24"/>
          <w:shd w:val="clear" w:color="auto" w:fill="FFFFFF"/>
        </w:rPr>
        <w:t xml:space="preserve"> </w:t>
      </w:r>
      <w:r w:rsidRPr="00D42057">
        <w:rPr>
          <w:rStyle w:val="diff-highlight"/>
          <w:rFonts w:ascii="Times New Roman" w:hAnsi="Times New Roman" w:cs="Times New Roman"/>
          <w:sz w:val="24"/>
          <w:szCs w:val="24"/>
          <w:shd w:val="clear" w:color="auto" w:fill="FFFFFF"/>
        </w:rPr>
        <w:t>not show any lymph nodes</w:t>
      </w:r>
      <w:r w:rsidRPr="00D42057">
        <w:rPr>
          <w:rFonts w:ascii="Times New Roman" w:hAnsi="Times New Roman" w:cs="Times New Roman"/>
          <w:sz w:val="24"/>
          <w:szCs w:val="24"/>
          <w:shd w:val="clear" w:color="auto" w:fill="FFFFFF"/>
        </w:rPr>
        <w:t xml:space="preserve"> or </w:t>
      </w:r>
      <w:r w:rsidRPr="00D42057">
        <w:rPr>
          <w:rStyle w:val="diff-highlight"/>
          <w:rFonts w:ascii="Times New Roman" w:hAnsi="Times New Roman" w:cs="Times New Roman"/>
          <w:sz w:val="24"/>
          <w:szCs w:val="24"/>
          <w:shd w:val="clear" w:color="auto" w:fill="FFFFFF"/>
        </w:rPr>
        <w:t>organs</w:t>
      </w:r>
      <w:r>
        <w:rPr>
          <w:rStyle w:val="diff-highlight"/>
          <w:sz w:val="24"/>
          <w:szCs w:val="24"/>
          <w:shd w:val="clear" w:color="auto" w:fill="FFFFFF"/>
        </w:rPr>
        <w:t xml:space="preserve"> enlargement</w:t>
      </w:r>
      <w:r w:rsidRPr="00D42057">
        <w:rPr>
          <w:rFonts w:ascii="Times New Roman" w:hAnsi="Times New Roman" w:cs="Times New Roman"/>
          <w:sz w:val="24"/>
          <w:szCs w:val="24"/>
          <w:shd w:val="clear" w:color="auto" w:fill="FFFFFF"/>
        </w:rPr>
        <w:t>.</w:t>
      </w:r>
    </w:p>
    <w:p w14:paraId="704A8A3F" w14:textId="77777777" w:rsidR="00183EC3" w:rsidRDefault="00440806" w:rsidP="00183EC3">
      <w:pPr>
        <w:pStyle w:val="vineela"/>
      </w:pPr>
      <w:r w:rsidRPr="00183EC3">
        <w:t>Laboratory tests demonstrated severe neutropenia with a total w</w:t>
      </w:r>
      <w:r w:rsidR="006A7FFC">
        <w:t>hite blood cell count of 2</w:t>
      </w:r>
      <w:r w:rsidR="00F40C1D" w:rsidRPr="00183EC3">
        <w:t>00cells/</w:t>
      </w:r>
      <w:proofErr w:type="spellStart"/>
      <w:r w:rsidR="00F40C1D" w:rsidRPr="00183EC3">
        <w:t>u</w:t>
      </w:r>
      <w:r w:rsidRPr="00183EC3">
        <w:t>L</w:t>
      </w:r>
      <w:proofErr w:type="spellEnd"/>
      <w:r w:rsidRPr="00183EC3">
        <w:t xml:space="preserve"> and an </w:t>
      </w:r>
      <w:r w:rsidR="00F40C1D" w:rsidRPr="00183EC3">
        <w:t xml:space="preserve">absolute neutrophil count of </w:t>
      </w:r>
      <w:r w:rsidR="006A7FFC">
        <w:t>2</w:t>
      </w:r>
      <w:r w:rsidRPr="00183EC3">
        <w:t>%, indicating an agranulocytosis diagnosis. Thyroid function tests demonstrated a significantly low TSH level and a high free triiodothyronine and free thyroxine level, which indicated a diagnosis of thyrotoxicosis. Elevated procalcitonin, a marker of inflammation was als</w:t>
      </w:r>
      <w:r w:rsidR="00F40C1D" w:rsidRPr="00183EC3">
        <w:t>o detected; the value was 21.77</w:t>
      </w:r>
      <w:r w:rsidRPr="00183EC3">
        <w:t>ng/</w:t>
      </w:r>
      <w:proofErr w:type="spellStart"/>
      <w:r w:rsidRPr="00183EC3">
        <w:t>mL.</w:t>
      </w:r>
      <w:proofErr w:type="spellEnd"/>
      <w:r w:rsidRPr="00183EC3">
        <w:t xml:space="preserve"> Ultrasound showed the thyroid gland, both lobes, to be hyperplastic and </w:t>
      </w:r>
      <w:proofErr w:type="spellStart"/>
      <w:r w:rsidRPr="00183EC3">
        <w:t>hypervascular</w:t>
      </w:r>
      <w:proofErr w:type="spellEnd"/>
      <w:r w:rsidRPr="00183EC3">
        <w:t>; ultrasound of the abdomen demonstrated splenomegaly. Chest x-ray showed bilateral mild perihilar infiltrates that may suggest early infection. Both liver and renal function tests were within normal limits.</w:t>
      </w:r>
      <w:r w:rsidR="006A7FFC">
        <w:t xml:space="preserve"> </w:t>
      </w:r>
      <w:r w:rsidR="00183EC3" w:rsidRPr="00183EC3">
        <w:t xml:space="preserve">All </w:t>
      </w:r>
      <w:r w:rsidR="00A5060E">
        <w:t xml:space="preserve">remaining </w:t>
      </w:r>
      <w:r w:rsidR="00183EC3" w:rsidRPr="00183EC3">
        <w:t>laboratory tests performed on the samples sh</w:t>
      </w:r>
      <w:r w:rsidR="00A5060E">
        <w:t xml:space="preserve">owed normal laboratory values so </w:t>
      </w:r>
      <w:r w:rsidR="00183EC3" w:rsidRPr="00183EC3">
        <w:t>results are therefore excluded from the table (</w:t>
      </w:r>
      <w:hyperlink w:anchor="tab1" w:history="1">
        <w:r w:rsidR="00183EC3" w:rsidRPr="00AD25D2">
          <w:rPr>
            <w:rStyle w:val="Hyperlink"/>
          </w:rPr>
          <w:t>Table 1</w:t>
        </w:r>
      </w:hyperlink>
      <w:r w:rsidR="00183EC3" w:rsidRPr="00183EC3">
        <w:t>). As part of the causality investigation of the suspected ADRs, meth</w:t>
      </w:r>
      <w:r w:rsidR="00A5060E">
        <w:t>imazole was assessed using the N</w:t>
      </w:r>
      <w:r w:rsidR="00183EC3" w:rsidRPr="00183EC3">
        <w:t>aranjo probability score (</w:t>
      </w:r>
      <w:hyperlink w:anchor="tab2" w:history="1">
        <w:r w:rsidR="00183EC3" w:rsidRPr="00AD25D2">
          <w:rPr>
            <w:rStyle w:val="Hyperlink"/>
          </w:rPr>
          <w:t>Table 2</w:t>
        </w:r>
      </w:hyperlink>
      <w:r w:rsidR="00183EC3" w:rsidRPr="00183EC3">
        <w:t>).</w:t>
      </w:r>
    </w:p>
    <w:p w14:paraId="76A69855" w14:textId="77777777" w:rsidR="00207D2C" w:rsidRDefault="00440806" w:rsidP="00183EC3">
      <w:pPr>
        <w:pStyle w:val="vineela"/>
      </w:pPr>
      <w:r w:rsidRPr="002B1EF9">
        <w:rPr>
          <w:rFonts w:eastAsia="Times New Roman"/>
          <w:szCs w:val="24"/>
        </w:rPr>
        <w:lastRenderedPageBreak/>
        <w:t>Given the relationship with methimazole initiation and</w:t>
      </w:r>
      <w:r>
        <w:rPr>
          <w:rFonts w:eastAsia="Times New Roman"/>
          <w:szCs w:val="24"/>
        </w:rPr>
        <w:t xml:space="preserve"> </w:t>
      </w:r>
      <w:r w:rsidRPr="00AA6F7D">
        <w:t>the report of lack of other possible causes</w:t>
      </w:r>
      <w:r w:rsidRPr="002B1EF9">
        <w:rPr>
          <w:rFonts w:eastAsia="Times New Roman"/>
          <w:szCs w:val="24"/>
        </w:rPr>
        <w:t xml:space="preserve">, a diagnosis of methimazole-induced agranulocytosis with evolving thyrotoxic crisis was made. </w:t>
      </w:r>
      <w:r w:rsidRPr="00AA6F7D">
        <w:t>Methim</w:t>
      </w:r>
      <w:r>
        <w:t>azole was immediately stopped</w:t>
      </w:r>
      <w:r w:rsidRPr="00AA6F7D">
        <w:t xml:space="preserve"> and the individual was treated with broad-spectrum intravenous (IV) antibiotics, as well as additional therapies (Granulocyte-colony</w:t>
      </w:r>
      <w:r w:rsidR="006A7FFC">
        <w:t xml:space="preserve"> </w:t>
      </w:r>
      <w:r w:rsidRPr="00AA6F7D">
        <w:t>stimulating factor (G-CSF), beta-blockers (beta), corticosteroids), and supportive care. Over the subsequent days, the individual demonstrated</w:t>
      </w:r>
      <w:r>
        <w:t xml:space="preserve"> </w:t>
      </w:r>
      <w:r w:rsidRPr="002B1EF9">
        <w:rPr>
          <w:rFonts w:eastAsia="Times New Roman"/>
          <w:szCs w:val="24"/>
        </w:rPr>
        <w:t>progressive improvement with normalization of neutrophil</w:t>
      </w:r>
      <w:r w:rsidRPr="00AA6F7D">
        <w:t xml:space="preserve"> and</w:t>
      </w:r>
      <w:r>
        <w:t xml:space="preserve"> </w:t>
      </w:r>
      <w:r w:rsidRPr="002B1EF9">
        <w:rPr>
          <w:rFonts w:eastAsia="Times New Roman"/>
          <w:szCs w:val="24"/>
        </w:rPr>
        <w:t>s</w:t>
      </w:r>
      <w:r>
        <w:rPr>
          <w:rFonts w:eastAsia="Times New Roman"/>
          <w:szCs w:val="24"/>
        </w:rPr>
        <w:t>tabilization of thyroid status</w:t>
      </w:r>
      <w:r w:rsidRPr="00AA6F7D">
        <w:t xml:space="preserve">. He was discharged in a stable condition and had received </w:t>
      </w:r>
      <w:r w:rsidRPr="002B1EF9">
        <w:rPr>
          <w:rFonts w:eastAsia="Times New Roman"/>
          <w:szCs w:val="24"/>
        </w:rPr>
        <w:t>instructions for endocrinology</w:t>
      </w:r>
      <w:r>
        <w:rPr>
          <w:rFonts w:eastAsia="Times New Roman"/>
          <w:szCs w:val="24"/>
        </w:rPr>
        <w:t xml:space="preserve"> </w:t>
      </w:r>
      <w:r w:rsidRPr="002B1EF9">
        <w:rPr>
          <w:rFonts w:eastAsia="Times New Roman"/>
          <w:szCs w:val="24"/>
        </w:rPr>
        <w:t xml:space="preserve">follow-up </w:t>
      </w:r>
      <w:r w:rsidRPr="00AA6F7D">
        <w:t>and alternative treatments for hyperthyroidism.</w:t>
      </w:r>
    </w:p>
    <w:p w14:paraId="702EF8FA" w14:textId="77777777" w:rsidR="00CB0D33" w:rsidRPr="00CB0D33" w:rsidRDefault="00CB0D33" w:rsidP="00CB0D33">
      <w:pPr>
        <w:pStyle w:val="vineela"/>
        <w:rPr>
          <w:b/>
        </w:rPr>
      </w:pPr>
      <w:bookmarkStart w:id="0" w:name="tab1"/>
      <w:r w:rsidRPr="00CB0D33">
        <w:rPr>
          <w:b/>
        </w:rPr>
        <w:t>Table 1: Day-wise Laboratory Investigations of the Patient</w:t>
      </w:r>
    </w:p>
    <w:tbl>
      <w:tblPr>
        <w:tblStyle w:val="TableGrid"/>
        <w:tblW w:w="9829" w:type="dxa"/>
        <w:tblLayout w:type="fixed"/>
        <w:tblLook w:val="04A0" w:firstRow="1" w:lastRow="0" w:firstColumn="1" w:lastColumn="0" w:noHBand="0" w:noVBand="1"/>
      </w:tblPr>
      <w:tblGrid>
        <w:gridCol w:w="2171"/>
        <w:gridCol w:w="992"/>
        <w:gridCol w:w="851"/>
        <w:gridCol w:w="850"/>
        <w:gridCol w:w="992"/>
        <w:gridCol w:w="851"/>
        <w:gridCol w:w="850"/>
        <w:gridCol w:w="850"/>
        <w:gridCol w:w="1422"/>
      </w:tblGrid>
      <w:tr w:rsidR="00CB0D33" w:rsidRPr="00CF6173" w14:paraId="2CAA65EA" w14:textId="77777777" w:rsidTr="00CB0D33">
        <w:trPr>
          <w:trHeight w:val="302"/>
        </w:trPr>
        <w:tc>
          <w:tcPr>
            <w:tcW w:w="2171" w:type="dxa"/>
            <w:hideMark/>
          </w:tcPr>
          <w:bookmarkEnd w:id="0"/>
          <w:p w14:paraId="551271A6"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Parameter</w:t>
            </w:r>
          </w:p>
        </w:tc>
        <w:tc>
          <w:tcPr>
            <w:tcW w:w="992" w:type="dxa"/>
          </w:tcPr>
          <w:p w14:paraId="3F9EDD9F"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1</w:t>
            </w:r>
          </w:p>
        </w:tc>
        <w:tc>
          <w:tcPr>
            <w:tcW w:w="851" w:type="dxa"/>
          </w:tcPr>
          <w:p w14:paraId="4CA90151"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2</w:t>
            </w:r>
          </w:p>
        </w:tc>
        <w:tc>
          <w:tcPr>
            <w:tcW w:w="850" w:type="dxa"/>
            <w:hideMark/>
          </w:tcPr>
          <w:p w14:paraId="0AA45121"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3</w:t>
            </w:r>
          </w:p>
        </w:tc>
        <w:tc>
          <w:tcPr>
            <w:tcW w:w="992" w:type="dxa"/>
            <w:hideMark/>
          </w:tcPr>
          <w:p w14:paraId="5CC90427"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4</w:t>
            </w:r>
          </w:p>
        </w:tc>
        <w:tc>
          <w:tcPr>
            <w:tcW w:w="851" w:type="dxa"/>
            <w:hideMark/>
          </w:tcPr>
          <w:p w14:paraId="26B1299B"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5</w:t>
            </w:r>
          </w:p>
        </w:tc>
        <w:tc>
          <w:tcPr>
            <w:tcW w:w="850" w:type="dxa"/>
            <w:hideMark/>
          </w:tcPr>
          <w:p w14:paraId="7595E630"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6</w:t>
            </w:r>
          </w:p>
        </w:tc>
        <w:tc>
          <w:tcPr>
            <w:tcW w:w="850" w:type="dxa"/>
            <w:hideMark/>
          </w:tcPr>
          <w:p w14:paraId="12ACB933"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7</w:t>
            </w:r>
          </w:p>
        </w:tc>
        <w:tc>
          <w:tcPr>
            <w:tcW w:w="1422" w:type="dxa"/>
            <w:hideMark/>
          </w:tcPr>
          <w:p w14:paraId="07499373" w14:textId="77777777" w:rsidR="00CB0D33" w:rsidRPr="00CF6173" w:rsidRDefault="00CB0D33"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Reference Range</w:t>
            </w:r>
          </w:p>
        </w:tc>
      </w:tr>
      <w:tr w:rsidR="00CB0D33" w:rsidRPr="00CF6173" w14:paraId="0CE408DC" w14:textId="77777777" w:rsidTr="00CB0D33">
        <w:trPr>
          <w:trHeight w:val="302"/>
        </w:trPr>
        <w:tc>
          <w:tcPr>
            <w:tcW w:w="2171" w:type="dxa"/>
            <w:hideMark/>
          </w:tcPr>
          <w:p w14:paraId="20149242"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TSH (µIU/L)</w:t>
            </w:r>
          </w:p>
        </w:tc>
        <w:tc>
          <w:tcPr>
            <w:tcW w:w="992" w:type="dxa"/>
          </w:tcPr>
          <w:p w14:paraId="503BB60F"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0.01</w:t>
            </w:r>
          </w:p>
        </w:tc>
        <w:tc>
          <w:tcPr>
            <w:tcW w:w="851" w:type="dxa"/>
          </w:tcPr>
          <w:p w14:paraId="1DC42D40"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0A08B4E3"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992" w:type="dxa"/>
            <w:hideMark/>
          </w:tcPr>
          <w:p w14:paraId="0B102AA1"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14:paraId="064024E1"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65D37CAA"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7D62770C"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0.01</w:t>
            </w:r>
          </w:p>
        </w:tc>
        <w:tc>
          <w:tcPr>
            <w:tcW w:w="1422" w:type="dxa"/>
            <w:hideMark/>
          </w:tcPr>
          <w:p w14:paraId="457DF9C6"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0.5–5</w:t>
            </w:r>
          </w:p>
        </w:tc>
      </w:tr>
      <w:tr w:rsidR="00CB0D33" w:rsidRPr="00CF6173" w14:paraId="1C1D3088" w14:textId="77777777" w:rsidTr="00CB0D33">
        <w:trPr>
          <w:trHeight w:val="302"/>
        </w:trPr>
        <w:tc>
          <w:tcPr>
            <w:tcW w:w="2171" w:type="dxa"/>
            <w:hideMark/>
          </w:tcPr>
          <w:p w14:paraId="233490ED"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FT3 (</w:t>
            </w:r>
            <w:proofErr w:type="spellStart"/>
            <w:r w:rsidRPr="009C60F6">
              <w:rPr>
                <w:rFonts w:ascii="Times New Roman" w:eastAsia="Times New Roman" w:hAnsi="Times New Roman" w:cs="Times New Roman"/>
                <w:bCs/>
                <w:sz w:val="24"/>
                <w:szCs w:val="24"/>
              </w:rPr>
              <w:t>pg</w:t>
            </w:r>
            <w:proofErr w:type="spellEnd"/>
            <w:r w:rsidRPr="009C60F6">
              <w:rPr>
                <w:rFonts w:ascii="Times New Roman" w:eastAsia="Times New Roman" w:hAnsi="Times New Roman" w:cs="Times New Roman"/>
                <w:bCs/>
                <w:sz w:val="24"/>
                <w:szCs w:val="24"/>
              </w:rPr>
              <w:t>/mL)</w:t>
            </w:r>
          </w:p>
        </w:tc>
        <w:tc>
          <w:tcPr>
            <w:tcW w:w="992" w:type="dxa"/>
          </w:tcPr>
          <w:p w14:paraId="32A8A5FF" w14:textId="77777777" w:rsidR="00CB0D33" w:rsidRPr="00CF6173" w:rsidRDefault="00CB0D33" w:rsidP="00C95BBC">
            <w:pPr>
              <w:rPr>
                <w:rFonts w:ascii="Times New Roman" w:eastAsia="Times New Roman" w:hAnsi="Times New Roman" w:cs="Times New Roman"/>
                <w:sz w:val="24"/>
                <w:szCs w:val="24"/>
              </w:rPr>
            </w:pPr>
          </w:p>
        </w:tc>
        <w:tc>
          <w:tcPr>
            <w:tcW w:w="851" w:type="dxa"/>
          </w:tcPr>
          <w:p w14:paraId="0AF4EF92"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719775E6"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992" w:type="dxa"/>
            <w:hideMark/>
          </w:tcPr>
          <w:p w14:paraId="5A92EBCB"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14:paraId="516CB2AC"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520F47DA"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2F444818"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1422" w:type="dxa"/>
            <w:hideMark/>
          </w:tcPr>
          <w:p w14:paraId="698E88A6"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2.3–4.1</w:t>
            </w:r>
          </w:p>
        </w:tc>
      </w:tr>
      <w:tr w:rsidR="00CB0D33" w:rsidRPr="00CF6173" w14:paraId="73E06F18" w14:textId="77777777" w:rsidTr="00CB0D33">
        <w:trPr>
          <w:trHeight w:val="302"/>
        </w:trPr>
        <w:tc>
          <w:tcPr>
            <w:tcW w:w="2171" w:type="dxa"/>
            <w:hideMark/>
          </w:tcPr>
          <w:p w14:paraId="26DB9E49"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FT4 (ng/dL)</w:t>
            </w:r>
          </w:p>
        </w:tc>
        <w:tc>
          <w:tcPr>
            <w:tcW w:w="992" w:type="dxa"/>
          </w:tcPr>
          <w:p w14:paraId="525417EE"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22.6</w:t>
            </w:r>
          </w:p>
        </w:tc>
        <w:tc>
          <w:tcPr>
            <w:tcW w:w="851" w:type="dxa"/>
          </w:tcPr>
          <w:p w14:paraId="7F26F540" w14:textId="77777777" w:rsidR="00CB0D33" w:rsidRPr="00CF6173" w:rsidRDefault="00CB0D33" w:rsidP="00C95BBC">
            <w:pPr>
              <w:rPr>
                <w:rFonts w:ascii="Times New Roman" w:eastAsia="Times New Roman" w:hAnsi="Times New Roman" w:cs="Times New Roman"/>
                <w:sz w:val="24"/>
                <w:szCs w:val="24"/>
              </w:rPr>
            </w:pPr>
          </w:p>
        </w:tc>
        <w:tc>
          <w:tcPr>
            <w:tcW w:w="850" w:type="dxa"/>
            <w:hideMark/>
          </w:tcPr>
          <w:p w14:paraId="149B98C1" w14:textId="77777777" w:rsidR="00CB0D33" w:rsidRPr="00CF6173" w:rsidRDefault="00CB0D33" w:rsidP="00C95BBC">
            <w:pPr>
              <w:rPr>
                <w:rFonts w:ascii="Times New Roman" w:eastAsia="Times New Roman" w:hAnsi="Times New Roman" w:cs="Times New Roman"/>
                <w:sz w:val="24"/>
                <w:szCs w:val="24"/>
              </w:rPr>
            </w:pPr>
          </w:p>
        </w:tc>
        <w:tc>
          <w:tcPr>
            <w:tcW w:w="992" w:type="dxa"/>
            <w:hideMark/>
          </w:tcPr>
          <w:p w14:paraId="303FEB5F" w14:textId="77777777" w:rsidR="00CB0D33" w:rsidRPr="00CF6173" w:rsidRDefault="00CB0D33" w:rsidP="00C95BBC">
            <w:pPr>
              <w:rPr>
                <w:rFonts w:ascii="Times New Roman" w:eastAsia="Times New Roman" w:hAnsi="Times New Roman" w:cs="Times New Roman"/>
                <w:sz w:val="24"/>
                <w:szCs w:val="24"/>
              </w:rPr>
            </w:pPr>
          </w:p>
        </w:tc>
        <w:tc>
          <w:tcPr>
            <w:tcW w:w="851" w:type="dxa"/>
            <w:hideMark/>
          </w:tcPr>
          <w:p w14:paraId="1F356B63"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5F658091"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54021F14"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422" w:type="dxa"/>
            <w:hideMark/>
          </w:tcPr>
          <w:p w14:paraId="706F2B63"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12–28</w:t>
            </w:r>
          </w:p>
        </w:tc>
      </w:tr>
      <w:tr w:rsidR="00CB0D33" w:rsidRPr="00CF6173" w14:paraId="3A487FBA" w14:textId="77777777" w:rsidTr="00CB0D33">
        <w:trPr>
          <w:trHeight w:val="302"/>
        </w:trPr>
        <w:tc>
          <w:tcPr>
            <w:tcW w:w="2171" w:type="dxa"/>
            <w:hideMark/>
          </w:tcPr>
          <w:p w14:paraId="0412EEEC"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Lymphocytes (%)</w:t>
            </w:r>
          </w:p>
        </w:tc>
        <w:tc>
          <w:tcPr>
            <w:tcW w:w="992" w:type="dxa"/>
          </w:tcPr>
          <w:p w14:paraId="6564894E"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Pr>
          <w:p w14:paraId="5CF470AB"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0" w:type="dxa"/>
            <w:hideMark/>
          </w:tcPr>
          <w:p w14:paraId="28932936"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992" w:type="dxa"/>
            <w:hideMark/>
          </w:tcPr>
          <w:p w14:paraId="30A0D555"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1" w:type="dxa"/>
            <w:hideMark/>
          </w:tcPr>
          <w:p w14:paraId="2524FA1E"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50" w:type="dxa"/>
            <w:hideMark/>
          </w:tcPr>
          <w:p w14:paraId="169C1B61"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0" w:type="dxa"/>
            <w:hideMark/>
          </w:tcPr>
          <w:p w14:paraId="7DD320D7"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14:paraId="279FD8AF"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20–50</w:t>
            </w:r>
            <w:r>
              <w:rPr>
                <w:rFonts w:ascii="Times New Roman" w:eastAsia="Times New Roman" w:hAnsi="Times New Roman" w:cs="Times New Roman"/>
                <w:sz w:val="24"/>
                <w:szCs w:val="24"/>
              </w:rPr>
              <w:t>%</w:t>
            </w:r>
          </w:p>
        </w:tc>
      </w:tr>
      <w:tr w:rsidR="00CB0D33" w:rsidRPr="00CF6173" w14:paraId="57A468F6" w14:textId="77777777" w:rsidTr="00CB0D33">
        <w:trPr>
          <w:trHeight w:val="302"/>
        </w:trPr>
        <w:tc>
          <w:tcPr>
            <w:tcW w:w="2171" w:type="dxa"/>
            <w:hideMark/>
          </w:tcPr>
          <w:p w14:paraId="0A58C75C"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Total WBC (cells/cu mm)</w:t>
            </w:r>
          </w:p>
        </w:tc>
        <w:tc>
          <w:tcPr>
            <w:tcW w:w="992" w:type="dxa"/>
          </w:tcPr>
          <w:p w14:paraId="0AE4BE29"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851" w:type="dxa"/>
          </w:tcPr>
          <w:p w14:paraId="045FE50B"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850" w:type="dxa"/>
            <w:hideMark/>
          </w:tcPr>
          <w:p w14:paraId="6DE288AC"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992" w:type="dxa"/>
            <w:hideMark/>
          </w:tcPr>
          <w:p w14:paraId="26A218BC"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851" w:type="dxa"/>
            <w:hideMark/>
          </w:tcPr>
          <w:p w14:paraId="339BADA7"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1370</w:t>
            </w:r>
          </w:p>
        </w:tc>
        <w:tc>
          <w:tcPr>
            <w:tcW w:w="850" w:type="dxa"/>
            <w:hideMark/>
          </w:tcPr>
          <w:p w14:paraId="7661B2D6"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850" w:type="dxa"/>
            <w:hideMark/>
          </w:tcPr>
          <w:p w14:paraId="1D16AD69"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3850</w:t>
            </w:r>
          </w:p>
        </w:tc>
        <w:tc>
          <w:tcPr>
            <w:tcW w:w="1422" w:type="dxa"/>
            <w:hideMark/>
          </w:tcPr>
          <w:p w14:paraId="0A075DC1"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4000–11000</w:t>
            </w:r>
          </w:p>
        </w:tc>
      </w:tr>
      <w:tr w:rsidR="00CB0D33" w:rsidRPr="00CF6173" w14:paraId="33A31A2C" w14:textId="77777777" w:rsidTr="00CB0D33">
        <w:trPr>
          <w:trHeight w:val="302"/>
        </w:trPr>
        <w:tc>
          <w:tcPr>
            <w:tcW w:w="2171" w:type="dxa"/>
            <w:hideMark/>
          </w:tcPr>
          <w:p w14:paraId="595B99E1"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Neutrophils </w:t>
            </w:r>
            <w:r w:rsidRPr="009C60F6">
              <w:rPr>
                <w:rFonts w:ascii="Times New Roman" w:eastAsia="Times New Roman" w:hAnsi="Times New Roman" w:cs="Times New Roman"/>
                <w:bCs/>
                <w:sz w:val="24"/>
                <w:szCs w:val="24"/>
              </w:rPr>
              <w:t>(%)</w:t>
            </w:r>
          </w:p>
        </w:tc>
        <w:tc>
          <w:tcPr>
            <w:tcW w:w="992" w:type="dxa"/>
          </w:tcPr>
          <w:p w14:paraId="2A2B37E3"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tcPr>
          <w:p w14:paraId="570BCF90"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hideMark/>
          </w:tcPr>
          <w:p w14:paraId="7B26A7D1"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hideMark/>
          </w:tcPr>
          <w:p w14:paraId="1500FB55"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51" w:type="dxa"/>
            <w:hideMark/>
          </w:tcPr>
          <w:p w14:paraId="61B6AFD6"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hideMark/>
          </w:tcPr>
          <w:p w14:paraId="38849B48"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hideMark/>
          </w:tcPr>
          <w:p w14:paraId="5245DA45"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14:paraId="5CD35CFC"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40-70%</w:t>
            </w:r>
          </w:p>
        </w:tc>
      </w:tr>
      <w:tr w:rsidR="00CB0D33" w:rsidRPr="00CF6173" w14:paraId="398741BA" w14:textId="77777777" w:rsidTr="00CB0D33">
        <w:trPr>
          <w:trHeight w:val="302"/>
        </w:trPr>
        <w:tc>
          <w:tcPr>
            <w:tcW w:w="2171" w:type="dxa"/>
            <w:hideMark/>
          </w:tcPr>
          <w:p w14:paraId="132FCFAC" w14:textId="77777777" w:rsidR="00CB0D33" w:rsidRPr="00CF6173" w:rsidRDefault="00CB0D33" w:rsidP="00C95BBC">
            <w:pPr>
              <w:rPr>
                <w:rFonts w:ascii="Times New Roman" w:eastAsia="Times New Roman" w:hAnsi="Times New Roman" w:cs="Times New Roman"/>
                <w:sz w:val="24"/>
                <w:szCs w:val="24"/>
              </w:rPr>
            </w:pPr>
            <w:proofErr w:type="spellStart"/>
            <w:r w:rsidRPr="009C60F6">
              <w:rPr>
                <w:rFonts w:ascii="Times New Roman" w:eastAsia="Times New Roman" w:hAnsi="Times New Roman" w:cs="Times New Roman"/>
                <w:bCs/>
                <w:sz w:val="24"/>
                <w:szCs w:val="24"/>
              </w:rPr>
              <w:t>Haemoglobin</w:t>
            </w:r>
            <w:proofErr w:type="spellEnd"/>
            <w:r w:rsidRPr="009C60F6">
              <w:rPr>
                <w:rFonts w:ascii="Times New Roman" w:eastAsia="Times New Roman" w:hAnsi="Times New Roman" w:cs="Times New Roman"/>
                <w:bCs/>
                <w:sz w:val="24"/>
                <w:szCs w:val="24"/>
              </w:rPr>
              <w:t xml:space="preserve"> (g/dL)</w:t>
            </w:r>
          </w:p>
        </w:tc>
        <w:tc>
          <w:tcPr>
            <w:tcW w:w="992" w:type="dxa"/>
          </w:tcPr>
          <w:p w14:paraId="2C3EAA1D"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851" w:type="dxa"/>
          </w:tcPr>
          <w:p w14:paraId="7B10EFF3"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p>
        </w:tc>
        <w:tc>
          <w:tcPr>
            <w:tcW w:w="850" w:type="dxa"/>
            <w:hideMark/>
          </w:tcPr>
          <w:p w14:paraId="53D2402D"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p>
        </w:tc>
        <w:tc>
          <w:tcPr>
            <w:tcW w:w="992" w:type="dxa"/>
            <w:hideMark/>
          </w:tcPr>
          <w:p w14:paraId="43F4E4C6"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p>
        </w:tc>
        <w:tc>
          <w:tcPr>
            <w:tcW w:w="851" w:type="dxa"/>
            <w:hideMark/>
          </w:tcPr>
          <w:p w14:paraId="24F96562"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850" w:type="dxa"/>
            <w:hideMark/>
          </w:tcPr>
          <w:p w14:paraId="0EB33832"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0C7F969B"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14:paraId="15C173E1"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12–16</w:t>
            </w:r>
            <w:r>
              <w:rPr>
                <w:rFonts w:ascii="Times New Roman" w:eastAsia="Times New Roman" w:hAnsi="Times New Roman" w:cs="Times New Roman"/>
                <w:sz w:val="24"/>
                <w:szCs w:val="24"/>
              </w:rPr>
              <w:t>g/dl</w:t>
            </w:r>
          </w:p>
        </w:tc>
      </w:tr>
      <w:tr w:rsidR="00CB0D33" w:rsidRPr="00CF6173" w14:paraId="1DEE10BE" w14:textId="77777777" w:rsidTr="00CB0D33">
        <w:trPr>
          <w:trHeight w:val="302"/>
        </w:trPr>
        <w:tc>
          <w:tcPr>
            <w:tcW w:w="2171" w:type="dxa"/>
            <w:hideMark/>
          </w:tcPr>
          <w:p w14:paraId="14F13EE3"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CRP (mg/dL)</w:t>
            </w:r>
          </w:p>
        </w:tc>
        <w:tc>
          <w:tcPr>
            <w:tcW w:w="992" w:type="dxa"/>
          </w:tcPr>
          <w:p w14:paraId="0606346E"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F6173">
              <w:rPr>
                <w:rFonts w:ascii="Times New Roman" w:eastAsia="Times New Roman" w:hAnsi="Times New Roman" w:cs="Times New Roman"/>
                <w:sz w:val="24"/>
                <w:szCs w:val="24"/>
              </w:rPr>
              <w:t>.1</w:t>
            </w:r>
          </w:p>
        </w:tc>
        <w:tc>
          <w:tcPr>
            <w:tcW w:w="851" w:type="dxa"/>
          </w:tcPr>
          <w:p w14:paraId="371608A6"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F617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850" w:type="dxa"/>
            <w:hideMark/>
          </w:tcPr>
          <w:p w14:paraId="635693FB"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617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992" w:type="dxa"/>
            <w:hideMark/>
          </w:tcPr>
          <w:p w14:paraId="0B77EF8F"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2.2</w:t>
            </w:r>
          </w:p>
        </w:tc>
        <w:tc>
          <w:tcPr>
            <w:tcW w:w="851" w:type="dxa"/>
            <w:hideMark/>
          </w:tcPr>
          <w:p w14:paraId="132DFF98" w14:textId="77777777" w:rsidR="00CB0D33" w:rsidRPr="00CF6173" w:rsidRDefault="00CB0D33" w:rsidP="00C95BBC">
            <w:pPr>
              <w:rPr>
                <w:rFonts w:ascii="Times New Roman" w:eastAsia="Times New Roman" w:hAnsi="Times New Roman" w:cs="Times New Roman"/>
                <w:sz w:val="24"/>
                <w:szCs w:val="24"/>
              </w:rPr>
            </w:pPr>
          </w:p>
        </w:tc>
        <w:tc>
          <w:tcPr>
            <w:tcW w:w="850" w:type="dxa"/>
            <w:hideMark/>
          </w:tcPr>
          <w:p w14:paraId="66B317FF"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hideMark/>
          </w:tcPr>
          <w:p w14:paraId="7FAC9129"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14:paraId="1A49D7F2"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&lt;0.3</w:t>
            </w:r>
          </w:p>
        </w:tc>
      </w:tr>
      <w:tr w:rsidR="00CB0D33" w:rsidRPr="00CF6173" w14:paraId="70201E5D" w14:textId="77777777" w:rsidTr="00CB0D33">
        <w:trPr>
          <w:trHeight w:val="322"/>
        </w:trPr>
        <w:tc>
          <w:tcPr>
            <w:tcW w:w="2171" w:type="dxa"/>
            <w:hideMark/>
          </w:tcPr>
          <w:p w14:paraId="51051AD8" w14:textId="77777777" w:rsidR="00CB0D33" w:rsidRPr="00CF6173" w:rsidRDefault="00CB0D33" w:rsidP="00C95BBC">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ESR (mm/</w:t>
            </w:r>
            <w:proofErr w:type="spellStart"/>
            <w:r w:rsidRPr="009C60F6">
              <w:rPr>
                <w:rFonts w:ascii="Times New Roman" w:eastAsia="Times New Roman" w:hAnsi="Times New Roman" w:cs="Times New Roman"/>
                <w:bCs/>
                <w:sz w:val="24"/>
                <w:szCs w:val="24"/>
              </w:rPr>
              <w:t>hr</w:t>
            </w:r>
            <w:proofErr w:type="spellEnd"/>
            <w:r w:rsidRPr="009C60F6">
              <w:rPr>
                <w:rFonts w:ascii="Times New Roman" w:eastAsia="Times New Roman" w:hAnsi="Times New Roman" w:cs="Times New Roman"/>
                <w:bCs/>
                <w:sz w:val="24"/>
                <w:szCs w:val="24"/>
              </w:rPr>
              <w:t>)</w:t>
            </w:r>
          </w:p>
        </w:tc>
        <w:tc>
          <w:tcPr>
            <w:tcW w:w="992" w:type="dxa"/>
          </w:tcPr>
          <w:p w14:paraId="4BE3B7CB"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851" w:type="dxa"/>
          </w:tcPr>
          <w:p w14:paraId="7A0ED317"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0" w:type="dxa"/>
            <w:hideMark/>
          </w:tcPr>
          <w:p w14:paraId="25C50C39"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2" w:type="dxa"/>
            <w:hideMark/>
          </w:tcPr>
          <w:p w14:paraId="1372ABB8"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14:paraId="3132707C"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77121930"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14:paraId="0C5D45F8" w14:textId="77777777" w:rsidR="00CB0D33" w:rsidRPr="00CF6173" w:rsidRDefault="00CB0D33"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14:paraId="7151F490" w14:textId="77777777" w:rsidR="00CB0D33" w:rsidRPr="00CF6173" w:rsidRDefault="00CB0D33"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0-20mm/</w:t>
            </w:r>
            <w:proofErr w:type="spellStart"/>
            <w:r>
              <w:rPr>
                <w:rFonts w:ascii="Times New Roman" w:eastAsia="Times New Roman" w:hAnsi="Times New Roman" w:cs="Times New Roman"/>
                <w:sz w:val="24"/>
                <w:szCs w:val="24"/>
              </w:rPr>
              <w:t>hr</w:t>
            </w:r>
            <w:proofErr w:type="spellEnd"/>
          </w:p>
        </w:tc>
      </w:tr>
    </w:tbl>
    <w:p w14:paraId="1B39BEEA" w14:textId="77777777" w:rsidR="00CB0D33" w:rsidRDefault="00CB0D33" w:rsidP="00207D2C">
      <w:pPr>
        <w:pStyle w:val="vineela"/>
        <w:rPr>
          <w:szCs w:val="22"/>
          <w:shd w:val="clear" w:color="auto" w:fill="auto"/>
        </w:rPr>
      </w:pPr>
    </w:p>
    <w:p w14:paraId="115DC47E" w14:textId="77777777" w:rsidR="00440806" w:rsidRPr="00207D2C" w:rsidRDefault="00207D2C" w:rsidP="00207D2C">
      <w:pPr>
        <w:pStyle w:val="vineela"/>
        <w:rPr>
          <w:b/>
        </w:rPr>
      </w:pPr>
      <w:bookmarkStart w:id="1" w:name="tab2"/>
      <w:r w:rsidRPr="00207D2C">
        <w:rPr>
          <w:b/>
        </w:rPr>
        <w:t>Table 2: Naranjo Causality Assessment</w:t>
      </w:r>
      <w:bookmarkEnd w:id="1"/>
      <w:r w:rsidR="00616A1C">
        <w:rPr>
          <w:b/>
        </w:rPr>
        <w:t xml:space="preserve"> </w:t>
      </w:r>
      <w:r w:rsidR="00AD25D2">
        <w:rPr>
          <w:b/>
        </w:rPr>
        <w:t>[</w:t>
      </w:r>
      <w:r w:rsidR="00AD25D2">
        <w:rPr>
          <w:b/>
        </w:rPr>
        <w:fldChar w:fldCharType="begin"/>
      </w:r>
      <w:r w:rsidR="00AD25D2">
        <w:rPr>
          <w:b/>
        </w:rPr>
        <w:instrText xml:space="preserve"> REF _Ref215789294 \r \h </w:instrText>
      </w:r>
      <w:r w:rsidR="00AD25D2">
        <w:rPr>
          <w:b/>
        </w:rPr>
      </w:r>
      <w:r w:rsidR="00AD25D2">
        <w:rPr>
          <w:b/>
        </w:rPr>
        <w:fldChar w:fldCharType="separate"/>
      </w:r>
      <w:r w:rsidR="00AD25D2">
        <w:rPr>
          <w:b/>
        </w:rPr>
        <w:t>5</w:t>
      </w:r>
      <w:r w:rsidR="00AD25D2">
        <w:rPr>
          <w:b/>
        </w:rPr>
        <w:fldChar w:fldCharType="end"/>
      </w:r>
      <w:r w:rsidR="00616A1C">
        <w:rPr>
          <w:b/>
        </w:rPr>
        <w:t>]</w:t>
      </w:r>
    </w:p>
    <w:tbl>
      <w:tblPr>
        <w:tblStyle w:val="TableGrid"/>
        <w:tblW w:w="9576" w:type="dxa"/>
        <w:tblLook w:val="04A0" w:firstRow="1" w:lastRow="0" w:firstColumn="1" w:lastColumn="0" w:noHBand="0" w:noVBand="1"/>
      </w:tblPr>
      <w:tblGrid>
        <w:gridCol w:w="570"/>
        <w:gridCol w:w="5802"/>
        <w:gridCol w:w="590"/>
        <w:gridCol w:w="510"/>
        <w:gridCol w:w="1314"/>
        <w:gridCol w:w="790"/>
      </w:tblGrid>
      <w:tr w:rsidR="00207D2C" w:rsidRPr="00CF6173" w14:paraId="5D3803BA" w14:textId="77777777" w:rsidTr="00C95BBC">
        <w:tc>
          <w:tcPr>
            <w:tcW w:w="0" w:type="auto"/>
            <w:hideMark/>
          </w:tcPr>
          <w:p w14:paraId="5547D310"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14:paraId="3F78FCFB"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Question</w:t>
            </w:r>
          </w:p>
        </w:tc>
        <w:tc>
          <w:tcPr>
            <w:tcW w:w="0" w:type="auto"/>
            <w:hideMark/>
          </w:tcPr>
          <w:p w14:paraId="1F8DFFCE"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Yes</w:t>
            </w:r>
          </w:p>
        </w:tc>
        <w:tc>
          <w:tcPr>
            <w:tcW w:w="0" w:type="auto"/>
            <w:hideMark/>
          </w:tcPr>
          <w:p w14:paraId="259B346A"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14:paraId="4E369149"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Do Not Know</w:t>
            </w:r>
          </w:p>
        </w:tc>
        <w:tc>
          <w:tcPr>
            <w:tcW w:w="0" w:type="auto"/>
            <w:hideMark/>
          </w:tcPr>
          <w:p w14:paraId="1E708200" w14:textId="77777777" w:rsidR="00207D2C" w:rsidRPr="00CF6173" w:rsidRDefault="00207D2C" w:rsidP="00C95BBC">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Score</w:t>
            </w:r>
          </w:p>
        </w:tc>
      </w:tr>
      <w:tr w:rsidR="00207D2C" w:rsidRPr="00CF6173" w14:paraId="1DFEEC94" w14:textId="77777777" w:rsidTr="00C95BBC">
        <w:tc>
          <w:tcPr>
            <w:tcW w:w="0" w:type="auto"/>
            <w:hideMark/>
          </w:tcPr>
          <w:p w14:paraId="48F3EC95"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c>
          <w:tcPr>
            <w:tcW w:w="0" w:type="auto"/>
            <w:hideMark/>
          </w:tcPr>
          <w:p w14:paraId="50C7ED30"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previous conclusive reports on this reaction?</w:t>
            </w:r>
          </w:p>
        </w:tc>
        <w:tc>
          <w:tcPr>
            <w:tcW w:w="0" w:type="auto"/>
            <w:hideMark/>
          </w:tcPr>
          <w:p w14:paraId="20E33B35"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+1</w:t>
            </w:r>
          </w:p>
        </w:tc>
        <w:tc>
          <w:tcPr>
            <w:tcW w:w="0" w:type="auto"/>
            <w:hideMark/>
          </w:tcPr>
          <w:p w14:paraId="486321E4"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1E18062A"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1AB14709"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207D2C" w:rsidRPr="00CF6173" w14:paraId="748A3A19" w14:textId="77777777" w:rsidTr="00C95BBC">
        <w:tc>
          <w:tcPr>
            <w:tcW w:w="0" w:type="auto"/>
            <w:hideMark/>
          </w:tcPr>
          <w:p w14:paraId="57C6A81B"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c>
          <w:tcPr>
            <w:tcW w:w="0" w:type="auto"/>
            <w:hideMark/>
          </w:tcPr>
          <w:p w14:paraId="7B2BF271"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event appear after the suspected drug was administered?</w:t>
            </w:r>
          </w:p>
        </w:tc>
        <w:tc>
          <w:tcPr>
            <w:tcW w:w="0" w:type="auto"/>
            <w:hideMark/>
          </w:tcPr>
          <w:p w14:paraId="6000C2B3"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2</w:t>
            </w:r>
          </w:p>
        </w:tc>
        <w:tc>
          <w:tcPr>
            <w:tcW w:w="0" w:type="auto"/>
            <w:hideMark/>
          </w:tcPr>
          <w:p w14:paraId="183A2B5D"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0A9E5C90"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7851C89D"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r>
      <w:tr w:rsidR="00207D2C" w:rsidRPr="00CF6173" w14:paraId="4441EC89" w14:textId="77777777" w:rsidTr="00C95BBC">
        <w:tc>
          <w:tcPr>
            <w:tcW w:w="0" w:type="auto"/>
            <w:hideMark/>
          </w:tcPr>
          <w:p w14:paraId="75E3D614"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3</w:t>
            </w:r>
          </w:p>
        </w:tc>
        <w:tc>
          <w:tcPr>
            <w:tcW w:w="0" w:type="auto"/>
            <w:hideMark/>
          </w:tcPr>
          <w:p w14:paraId="4098A6FD"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improve when the drug was discontinued?</w:t>
            </w:r>
          </w:p>
        </w:tc>
        <w:tc>
          <w:tcPr>
            <w:tcW w:w="0" w:type="auto"/>
            <w:hideMark/>
          </w:tcPr>
          <w:p w14:paraId="3B4B1D24" w14:textId="77777777" w:rsidR="00207D2C" w:rsidRPr="00CF6173" w:rsidRDefault="00207D2C" w:rsidP="00C95BBC">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14:paraId="4BA9B0C4"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47EF1C01"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3B12332C"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207D2C" w:rsidRPr="00CF6173" w14:paraId="6D9DAC10" w14:textId="77777777" w:rsidTr="00C95BBC">
        <w:tc>
          <w:tcPr>
            <w:tcW w:w="0" w:type="auto"/>
            <w:hideMark/>
          </w:tcPr>
          <w:p w14:paraId="301C1D89"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w:t>
            </w:r>
          </w:p>
        </w:tc>
        <w:tc>
          <w:tcPr>
            <w:tcW w:w="0" w:type="auto"/>
            <w:hideMark/>
          </w:tcPr>
          <w:p w14:paraId="41A5DB79"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reappear when the drug was re-administered?</w:t>
            </w:r>
          </w:p>
        </w:tc>
        <w:tc>
          <w:tcPr>
            <w:tcW w:w="0" w:type="auto"/>
            <w:hideMark/>
          </w:tcPr>
          <w:p w14:paraId="12E18E78"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14:paraId="72235F71"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521167B0" w14:textId="77777777" w:rsidR="00207D2C" w:rsidRPr="00CF6173" w:rsidRDefault="00207D2C" w:rsidP="00C95BBC">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14:paraId="00C3ABAD"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14:paraId="63DFCF5D" w14:textId="77777777" w:rsidTr="00C95BBC">
        <w:tc>
          <w:tcPr>
            <w:tcW w:w="0" w:type="auto"/>
            <w:hideMark/>
          </w:tcPr>
          <w:p w14:paraId="54DEE610"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5</w:t>
            </w:r>
          </w:p>
        </w:tc>
        <w:tc>
          <w:tcPr>
            <w:tcW w:w="0" w:type="auto"/>
            <w:hideMark/>
          </w:tcPr>
          <w:p w14:paraId="062CC9C2"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alternative causes that could have caused the reaction?</w:t>
            </w:r>
          </w:p>
        </w:tc>
        <w:tc>
          <w:tcPr>
            <w:tcW w:w="0" w:type="auto"/>
            <w:hideMark/>
          </w:tcPr>
          <w:p w14:paraId="7F44D810"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0F21CDAF" w14:textId="77777777" w:rsidR="00207D2C" w:rsidRPr="00CF6173" w:rsidRDefault="00207D2C" w:rsidP="00C95BBC">
            <w:pPr>
              <w:rPr>
                <w:rFonts w:ascii="Times New Roman" w:eastAsia="Times New Roman" w:hAnsi="Times New Roman" w:cs="Times New Roman"/>
                <w:sz w:val="24"/>
                <w:szCs w:val="24"/>
              </w:rPr>
            </w:pPr>
            <w:r>
              <w:rPr>
                <w:rFonts w:ascii="Times New Roman" w:eastAsia="MS Mincho" w:hAnsi="MS Mincho" w:cs="Times New Roman"/>
                <w:sz w:val="24"/>
                <w:szCs w:val="24"/>
              </w:rPr>
              <w:t>2</w:t>
            </w:r>
          </w:p>
        </w:tc>
        <w:tc>
          <w:tcPr>
            <w:tcW w:w="0" w:type="auto"/>
            <w:hideMark/>
          </w:tcPr>
          <w:p w14:paraId="1EDC6D65"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095D85B9"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07D2C" w:rsidRPr="00CF6173" w14:paraId="27C7279E" w14:textId="77777777" w:rsidTr="00C95BBC">
        <w:tc>
          <w:tcPr>
            <w:tcW w:w="0" w:type="auto"/>
            <w:hideMark/>
          </w:tcPr>
          <w:p w14:paraId="1C2315BA"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6</w:t>
            </w:r>
          </w:p>
        </w:tc>
        <w:tc>
          <w:tcPr>
            <w:tcW w:w="0" w:type="auto"/>
            <w:hideMark/>
          </w:tcPr>
          <w:p w14:paraId="09054C7A"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reaction reappear when a placebo was given?</w:t>
            </w:r>
          </w:p>
        </w:tc>
        <w:tc>
          <w:tcPr>
            <w:tcW w:w="0" w:type="auto"/>
            <w:hideMark/>
          </w:tcPr>
          <w:p w14:paraId="2B5397DF"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40F61EA7"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3D02C1F0" w14:textId="77777777" w:rsidR="00207D2C" w:rsidRPr="00CF6173" w:rsidRDefault="00207D2C" w:rsidP="00C95BBC">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14:paraId="2DD6E2CA"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14:paraId="6E0CB926" w14:textId="77777777" w:rsidTr="00C95BBC">
        <w:tc>
          <w:tcPr>
            <w:tcW w:w="0" w:type="auto"/>
            <w:hideMark/>
          </w:tcPr>
          <w:p w14:paraId="1E478FC6"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7</w:t>
            </w:r>
          </w:p>
        </w:tc>
        <w:tc>
          <w:tcPr>
            <w:tcW w:w="0" w:type="auto"/>
            <w:hideMark/>
          </w:tcPr>
          <w:p w14:paraId="3A635B53"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drug detected in blood or other fluids at toxic levels?</w:t>
            </w:r>
          </w:p>
        </w:tc>
        <w:tc>
          <w:tcPr>
            <w:tcW w:w="0" w:type="auto"/>
            <w:hideMark/>
          </w:tcPr>
          <w:p w14:paraId="10B34211"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47FA4185"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66B05FC2"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17568A84"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14:paraId="1DD6CE59" w14:textId="77777777" w:rsidTr="00C95BBC">
        <w:tc>
          <w:tcPr>
            <w:tcW w:w="0" w:type="auto"/>
            <w:hideMark/>
          </w:tcPr>
          <w:p w14:paraId="7927E6C7"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8</w:t>
            </w:r>
          </w:p>
        </w:tc>
        <w:tc>
          <w:tcPr>
            <w:tcW w:w="0" w:type="auto"/>
            <w:hideMark/>
          </w:tcPr>
          <w:p w14:paraId="0ACD69CA"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 xml:space="preserve">Was the reaction more severe with increased dose or less </w:t>
            </w:r>
            <w:r w:rsidRPr="00CF6173">
              <w:rPr>
                <w:rFonts w:ascii="Times New Roman" w:eastAsia="Times New Roman" w:hAnsi="Times New Roman" w:cs="Times New Roman"/>
                <w:sz w:val="24"/>
                <w:szCs w:val="24"/>
              </w:rPr>
              <w:lastRenderedPageBreak/>
              <w:t>severe with decreased dose?</w:t>
            </w:r>
          </w:p>
        </w:tc>
        <w:tc>
          <w:tcPr>
            <w:tcW w:w="0" w:type="auto"/>
            <w:hideMark/>
          </w:tcPr>
          <w:p w14:paraId="056029DA"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0" w:type="auto"/>
            <w:hideMark/>
          </w:tcPr>
          <w:p w14:paraId="55323DE7"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037D991E"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0467D158"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14:paraId="5C2B8AFC" w14:textId="77777777" w:rsidTr="00C95BBC">
        <w:tc>
          <w:tcPr>
            <w:tcW w:w="0" w:type="auto"/>
            <w:hideMark/>
          </w:tcPr>
          <w:p w14:paraId="54B6FAB5"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9</w:t>
            </w:r>
          </w:p>
        </w:tc>
        <w:tc>
          <w:tcPr>
            <w:tcW w:w="0" w:type="auto"/>
            <w:hideMark/>
          </w:tcPr>
          <w:p w14:paraId="0ABCCB72"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patient have a similar reaction to the same or similar drugs previously?</w:t>
            </w:r>
          </w:p>
        </w:tc>
        <w:tc>
          <w:tcPr>
            <w:tcW w:w="0" w:type="auto"/>
            <w:hideMark/>
          </w:tcPr>
          <w:p w14:paraId="07D59827"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14:paraId="283ACB70"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729B5529"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4C1EFF0E"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14:paraId="6E360885" w14:textId="77777777" w:rsidTr="00C95BBC">
        <w:trPr>
          <w:trHeight w:val="658"/>
        </w:trPr>
        <w:tc>
          <w:tcPr>
            <w:tcW w:w="0" w:type="auto"/>
            <w:hideMark/>
          </w:tcPr>
          <w:p w14:paraId="0D7FC9A8"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10</w:t>
            </w:r>
          </w:p>
        </w:tc>
        <w:tc>
          <w:tcPr>
            <w:tcW w:w="0" w:type="auto"/>
            <w:hideMark/>
          </w:tcPr>
          <w:p w14:paraId="7A67D8EA"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adverse event confirmed by any objective evidence? (Lab reports)</w:t>
            </w:r>
          </w:p>
        </w:tc>
        <w:tc>
          <w:tcPr>
            <w:tcW w:w="0" w:type="auto"/>
            <w:hideMark/>
          </w:tcPr>
          <w:p w14:paraId="7CF9939F" w14:textId="77777777" w:rsidR="00207D2C" w:rsidRPr="00CF6173" w:rsidRDefault="00207D2C" w:rsidP="00C95BBC">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14:paraId="0DA13C77"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7D9964E3" w14:textId="77777777" w:rsidR="00207D2C" w:rsidRPr="00CF6173" w:rsidRDefault="00207D2C" w:rsidP="00C95BBC">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14:paraId="00C0597F" w14:textId="77777777" w:rsidR="00207D2C" w:rsidRPr="00CF6173" w:rsidRDefault="00207D2C" w:rsidP="00C95BBC">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bl>
    <w:p w14:paraId="29F1B6AD" w14:textId="77777777" w:rsidR="00207D2C" w:rsidRDefault="00207D2C" w:rsidP="00207D2C">
      <w:pPr>
        <w:pStyle w:val="vineela"/>
        <w:spacing w:before="120" w:after="120"/>
        <w:rPr>
          <w:b/>
          <w:bCs/>
          <w:szCs w:val="22"/>
        </w:rPr>
      </w:pPr>
      <w:r w:rsidRPr="00207D2C">
        <w:rPr>
          <w:b/>
        </w:rPr>
        <w:t>Total Naranjo Score</w:t>
      </w:r>
      <w:r>
        <w:t xml:space="preserve"> = 7</w:t>
      </w:r>
    </w:p>
    <w:p w14:paraId="38F9E07E" w14:textId="77777777" w:rsidR="00207D2C" w:rsidRPr="00207D2C" w:rsidRDefault="00207D2C" w:rsidP="00207D2C">
      <w:pPr>
        <w:pStyle w:val="vineela"/>
        <w:spacing w:after="120"/>
        <w:rPr>
          <w:b/>
          <w:szCs w:val="24"/>
        </w:rPr>
      </w:pPr>
      <w:r w:rsidRPr="00207D2C">
        <w:rPr>
          <w:rStyle w:val="Strong"/>
          <w:bCs w:val="0"/>
          <w:szCs w:val="24"/>
        </w:rPr>
        <w:t xml:space="preserve">Causality Category: </w:t>
      </w:r>
      <w:r w:rsidRPr="00207D2C">
        <w:rPr>
          <w:rStyle w:val="Strong"/>
          <w:b w:val="0"/>
          <w:bCs w:val="0"/>
          <w:szCs w:val="24"/>
        </w:rPr>
        <w:t>P</w:t>
      </w:r>
      <w:r w:rsidR="006A7FFC" w:rsidRPr="00207D2C">
        <w:rPr>
          <w:rStyle w:val="Strong"/>
          <w:b w:val="0"/>
          <w:bCs w:val="0"/>
          <w:szCs w:val="24"/>
        </w:rPr>
        <w:t xml:space="preserve">robable </w:t>
      </w:r>
      <w:r w:rsidRPr="00207D2C">
        <w:rPr>
          <w:rStyle w:val="Strong"/>
          <w:b w:val="0"/>
          <w:bCs w:val="0"/>
          <w:szCs w:val="24"/>
        </w:rPr>
        <w:t>ADR</w:t>
      </w:r>
    </w:p>
    <w:p w14:paraId="65260CDA" w14:textId="77777777" w:rsidR="00207D2C" w:rsidRPr="00207D2C" w:rsidRDefault="00207D2C" w:rsidP="00207D2C">
      <w:pPr>
        <w:pStyle w:val="vineela"/>
        <w:rPr>
          <w:rFonts w:eastAsia="Times New Roman"/>
          <w:i/>
          <w:szCs w:val="24"/>
        </w:rPr>
      </w:pPr>
      <w:r w:rsidRPr="00CF6173">
        <w:rPr>
          <w:rStyle w:val="Emphasis"/>
          <w:i w:val="0"/>
          <w:szCs w:val="24"/>
        </w:rPr>
        <w:t>(Score Interpretation: ≥9 = Definite, 5–8 = Probable, 1–4 = Possible, 0 = Doubtful)</w:t>
      </w:r>
    </w:p>
    <w:p w14:paraId="7FC7E12E" w14:textId="77777777" w:rsidR="002B1EF9" w:rsidRDefault="00660D6E" w:rsidP="00660D6E">
      <w:pPr>
        <w:pStyle w:val="vineela"/>
        <w:rPr>
          <w:b/>
        </w:rPr>
      </w:pPr>
      <w:r w:rsidRPr="00660D6E">
        <w:rPr>
          <w:b/>
        </w:rPr>
        <w:t>Discussion</w:t>
      </w:r>
    </w:p>
    <w:p w14:paraId="3216A7AF" w14:textId="77777777" w:rsidR="00AF534C" w:rsidRDefault="00660D6E" w:rsidP="00C025B6">
      <w:pPr>
        <w:pStyle w:val="vineela"/>
      </w:pPr>
      <w:r w:rsidRPr="00660D6E">
        <w:t>Methimazole has a long half-life and is usually given once daily, making it a commonly used first-line antithyroid medication</w:t>
      </w:r>
      <w:r w:rsidR="00AD25D2">
        <w:t xml:space="preserve"> [</w:t>
      </w:r>
      <w:r w:rsidR="00AD25D2">
        <w:fldChar w:fldCharType="begin"/>
      </w:r>
      <w:r w:rsidR="00AD25D2">
        <w:instrText xml:space="preserve"> REF _Ref215789308 \r \h </w:instrText>
      </w:r>
      <w:r w:rsidR="00AD25D2">
        <w:fldChar w:fldCharType="separate"/>
      </w:r>
      <w:r w:rsidR="00AD25D2">
        <w:t>6</w:t>
      </w:r>
      <w:r w:rsidR="00AD25D2">
        <w:fldChar w:fldCharType="end"/>
      </w:r>
      <w:r w:rsidR="006A7FFC">
        <w:t>]</w:t>
      </w:r>
      <w:r w:rsidRPr="00660D6E">
        <w:t>. However, one of the serious but rare adverse effects of this medication is agranulocytosis, which occurs with an incidence of 0.1–0.5%</w:t>
      </w:r>
      <w:r w:rsidR="00AD25D2">
        <w:t xml:space="preserve"> [</w:t>
      </w:r>
      <w:r w:rsidR="00AD25D2">
        <w:fldChar w:fldCharType="begin"/>
      </w:r>
      <w:r w:rsidR="00AD25D2">
        <w:instrText xml:space="preserve"> REF _Ref215789316 \r \h </w:instrText>
      </w:r>
      <w:r w:rsidR="00AD25D2">
        <w:fldChar w:fldCharType="separate"/>
      </w:r>
      <w:r w:rsidR="00AD25D2">
        <w:t>7</w:t>
      </w:r>
      <w:r w:rsidR="00AD25D2">
        <w:fldChar w:fldCharType="end"/>
      </w:r>
      <w:r w:rsidR="00AD25D2">
        <w:t>,</w:t>
      </w:r>
      <w:r w:rsidR="00AD25D2">
        <w:fldChar w:fldCharType="begin"/>
      </w:r>
      <w:r w:rsidR="00AD25D2">
        <w:instrText xml:space="preserve"> REF _Ref215789323 \r \h </w:instrText>
      </w:r>
      <w:r w:rsidR="00AD25D2">
        <w:fldChar w:fldCharType="separate"/>
      </w:r>
      <w:r w:rsidR="00AD25D2">
        <w:t>8</w:t>
      </w:r>
      <w:r w:rsidR="00AD25D2">
        <w:fldChar w:fldCharType="end"/>
      </w:r>
      <w:r w:rsidR="00B270D4">
        <w:t>]</w:t>
      </w:r>
      <w:r w:rsidR="00C025B6">
        <w:t>. In the case described here</w:t>
      </w:r>
      <w:r w:rsidRPr="00660D6E">
        <w:t>, the patient developed severe agranulocytosis, as evidenced by an absolute neutrophil count below 500/µL, thus confirming the presence of a life-threatening drug-i</w:t>
      </w:r>
      <w:r w:rsidR="00AF534C">
        <w:t xml:space="preserve">nduced hematological reaction. </w:t>
      </w:r>
      <w:r w:rsidRPr="00660D6E">
        <w:t>The exact mechanism of methimazole-induced agranulocytosis remains unknown; it is, however, considered to be associated with the immune-mediated neutrophil destruction and direct bone marrow toxicity</w:t>
      </w:r>
      <w:r w:rsidR="00AD25D2">
        <w:t xml:space="preserve"> [</w:t>
      </w:r>
      <w:r w:rsidR="00AD25D2">
        <w:fldChar w:fldCharType="begin"/>
      </w:r>
      <w:r w:rsidR="00AD25D2">
        <w:instrText xml:space="preserve"> REF _Ref215789332 \r \h </w:instrText>
      </w:r>
      <w:r w:rsidR="00AD25D2">
        <w:fldChar w:fldCharType="separate"/>
      </w:r>
      <w:r w:rsidR="00AD25D2">
        <w:t>9</w:t>
      </w:r>
      <w:r w:rsidR="00AD25D2">
        <w:fldChar w:fldCharType="end"/>
      </w:r>
      <w:r w:rsidR="00B270D4">
        <w:t>]</w:t>
      </w:r>
      <w:r w:rsidRPr="00660D6E">
        <w:t>. Advanced age and higher drug doses are the risk factors. Patients usually present with nonspecific symptoms, such as fever, sore throat, and weakness, which may delay diagnosis. Presentation in our patient was with fever, respiratory symptoms, and markedly raised procalcitonin levels indicating severe infection secondarily to neutropenia.</w:t>
      </w:r>
      <w:r w:rsidR="00AF534C">
        <w:t xml:space="preserve"> </w:t>
      </w:r>
      <w:r w:rsidRPr="00C025B6">
        <w:t xml:space="preserve">The important feature in this case is the simultaneous presence of agranulocytosis and an evolving thyrotoxic crisis. Abrupt discontinuation of antithyroid drugs in uncontrolled hyperthyroidism may exacerbate thyrotoxicosis and result in the development of thyroid storm. </w:t>
      </w:r>
    </w:p>
    <w:p w14:paraId="2A2BB5B9" w14:textId="77777777" w:rsidR="00C025B6" w:rsidRDefault="00660D6E" w:rsidP="00C025B6">
      <w:pPr>
        <w:pStyle w:val="vineela"/>
      </w:pPr>
      <w:r w:rsidRPr="00C025B6">
        <w:t>Management consists of immediate cessation of methimazole, early institution of broad-spectrum antibiotics, and G-CSF administr</w:t>
      </w:r>
      <w:r w:rsidR="00AF534C">
        <w:t>ation. G-CSF has been shown to f</w:t>
      </w:r>
      <w:r w:rsidRPr="00C025B6">
        <w:t>asten neutrophil recovery and thus shorten the duration of hospitalization. Beta-blockers and corticosteroids were given to control the symptoms of thyrotoxicosis and also to inhibit peripheral conversion of T4 to T3. With timely intervention, there was remarkable clinical and hematological improvement in this patient.</w:t>
      </w:r>
      <w:r w:rsidR="00AF534C">
        <w:t xml:space="preserve"> </w:t>
      </w:r>
      <w:r w:rsidR="00C025B6" w:rsidRPr="00C025B6">
        <w:t xml:space="preserve">Re-challenge with methimazole or any other </w:t>
      </w:r>
      <w:proofErr w:type="spellStart"/>
      <w:r w:rsidR="00C025B6" w:rsidRPr="00C025B6">
        <w:t>thionamides</w:t>
      </w:r>
      <w:proofErr w:type="spellEnd"/>
      <w:r w:rsidR="00C025B6" w:rsidRPr="00C025B6">
        <w:t xml:space="preserve"> is not indicated because recurrence can occur. This case underlines the importance of early education of the patient, early recognition of febrile illness while on antithyroid drugs, and timely multidisciplinary management to avoid a potentially fatal outcome</w:t>
      </w:r>
      <w:r w:rsidR="00AD25D2">
        <w:t xml:space="preserve"> [</w:t>
      </w:r>
      <w:r w:rsidR="00AD25D2">
        <w:fldChar w:fldCharType="begin"/>
      </w:r>
      <w:r w:rsidR="00AD25D2">
        <w:instrText xml:space="preserve"> REF _Ref215789342 \r \h </w:instrText>
      </w:r>
      <w:r w:rsidR="00AD25D2">
        <w:fldChar w:fldCharType="separate"/>
      </w:r>
      <w:r w:rsidR="00AD25D2">
        <w:t>10</w:t>
      </w:r>
      <w:r w:rsidR="00AD25D2">
        <w:fldChar w:fldCharType="end"/>
      </w:r>
      <w:r w:rsidR="00B270D4">
        <w:t>]</w:t>
      </w:r>
      <w:r w:rsidR="00C025B6" w:rsidRPr="00C025B6">
        <w:t>.</w:t>
      </w:r>
    </w:p>
    <w:p w14:paraId="69E7492E" w14:textId="77777777" w:rsidR="00DB1FCB" w:rsidRDefault="00DB1FCB" w:rsidP="00C025B6">
      <w:pPr>
        <w:pStyle w:val="vineela"/>
        <w:rPr>
          <w:b/>
        </w:rPr>
      </w:pPr>
      <w:r w:rsidRPr="00DB1FCB">
        <w:rPr>
          <w:b/>
        </w:rPr>
        <w:t xml:space="preserve">Conclusion </w:t>
      </w:r>
    </w:p>
    <w:p w14:paraId="68EF54C8" w14:textId="77777777" w:rsidR="00DB1FCB" w:rsidRDefault="00DB1FCB" w:rsidP="00DB1FCB">
      <w:pPr>
        <w:pStyle w:val="vineela"/>
      </w:pPr>
      <w:r w:rsidRPr="00DB1FCB">
        <w:t xml:space="preserve">Agranulocytosis caused by methimazole is one of the rare and potentially deadly issues requiring a high degree of clinical awareness in order to recognize such patients early in the course of illness. This case demonstrates the vital need for early recognition of febrile illness in </w:t>
      </w:r>
      <w:r w:rsidRPr="00DB1FCB">
        <w:lastRenderedPageBreak/>
        <w:t>antithyr</w:t>
      </w:r>
      <w:r w:rsidR="00375112">
        <w:t>oid-treated patients and immediate</w:t>
      </w:r>
      <w:r w:rsidRPr="00DB1FCB">
        <w:t xml:space="preserve"> discontinuation of the offending medication. Patients with agranulocytosis who subsequently develop a thyrotoxic crisis have an increased risk of complications, which will require that all aspects of their care be coordinated. It is essential to initiate broad-spectrum antibiotic therapy at diagnosis. Granulocyte colo</w:t>
      </w:r>
      <w:r w:rsidR="00375112">
        <w:t>ny-stimulating factor and appropriate</w:t>
      </w:r>
      <w:r w:rsidRPr="00DB1FCB">
        <w:t xml:space="preserve"> treatment of thyrotoxicosis will </w:t>
      </w:r>
      <w:proofErr w:type="spellStart"/>
      <w:r w:rsidRPr="00DB1FCB">
        <w:t>optimise</w:t>
      </w:r>
      <w:proofErr w:type="spellEnd"/>
      <w:r w:rsidRPr="00DB1FCB">
        <w:t xml:space="preserve"> overall patient outcome. Patient education regarding ongoing monitoring and care is also critical in decreasing the possibility of future occurrences and/or severe complications.</w:t>
      </w:r>
    </w:p>
    <w:p w14:paraId="74CCB1A7" w14:textId="77777777" w:rsidR="00EF786B" w:rsidRDefault="00EF786B" w:rsidP="00F40043">
      <w:pPr>
        <w:pStyle w:val="vineela"/>
        <w:rPr>
          <w:b/>
        </w:rPr>
      </w:pPr>
    </w:p>
    <w:p w14:paraId="16FE975D" w14:textId="74F4F7A0" w:rsidR="00375112" w:rsidRPr="00F40043" w:rsidRDefault="00F40043" w:rsidP="00F40043">
      <w:pPr>
        <w:pStyle w:val="vineela"/>
        <w:rPr>
          <w:b/>
        </w:rPr>
      </w:pPr>
      <w:bookmarkStart w:id="2" w:name="_GoBack"/>
      <w:bookmarkEnd w:id="2"/>
      <w:r w:rsidRPr="00F40043">
        <w:rPr>
          <w:b/>
        </w:rPr>
        <w:t>References</w:t>
      </w:r>
    </w:p>
    <w:p w14:paraId="4FA9D84B" w14:textId="1FE076A9" w:rsidR="006E4034" w:rsidRPr="006E4034" w:rsidRDefault="006E4034" w:rsidP="00B270D4">
      <w:pPr>
        <w:pStyle w:val="vineela"/>
        <w:numPr>
          <w:ilvl w:val="0"/>
          <w:numId w:val="4"/>
        </w:numPr>
        <w:rPr>
          <w:bdr w:val="single" w:sz="2" w:space="0" w:color="ECEDEE" w:frame="1"/>
        </w:rPr>
      </w:pPr>
      <w:bookmarkStart w:id="3" w:name="_Ref215789251"/>
      <w:r w:rsidRPr="006E4034">
        <w:t xml:space="preserve">Lee, S. Y., &amp; Pearce, E. N. (2023). Hyperthyroidism: A Review. JAMA, 330(15), 1472-1483. </w:t>
      </w:r>
      <w:hyperlink r:id="rId7" w:history="1">
        <w:r w:rsidRPr="00073379">
          <w:rPr>
            <w:rStyle w:val="Hyperlink"/>
          </w:rPr>
          <w:t>https://doi.org/10.1001/jama.2023.19052</w:t>
        </w:r>
      </w:hyperlink>
    </w:p>
    <w:p w14:paraId="65064DBC" w14:textId="6CFE1A53" w:rsidR="006E4034" w:rsidRPr="006E4034" w:rsidRDefault="006E4034" w:rsidP="00B270D4">
      <w:pPr>
        <w:pStyle w:val="vineela"/>
        <w:numPr>
          <w:ilvl w:val="0"/>
          <w:numId w:val="4"/>
        </w:numPr>
      </w:pPr>
      <w:bookmarkStart w:id="4" w:name="_Ref215789272"/>
      <w:bookmarkEnd w:id="3"/>
      <w:proofErr w:type="spellStart"/>
      <w:r w:rsidRPr="006E4034">
        <w:rPr>
          <w:lang w:val="fr-FR"/>
        </w:rPr>
        <w:t>Wiersinga</w:t>
      </w:r>
      <w:proofErr w:type="spellEnd"/>
      <w:r w:rsidRPr="006E4034">
        <w:rPr>
          <w:lang w:val="fr-FR"/>
        </w:rPr>
        <w:t xml:space="preserve">, W. M., </w:t>
      </w:r>
      <w:proofErr w:type="spellStart"/>
      <w:r w:rsidRPr="006E4034">
        <w:rPr>
          <w:lang w:val="fr-FR"/>
        </w:rPr>
        <w:t>Poppe</w:t>
      </w:r>
      <w:proofErr w:type="spellEnd"/>
      <w:r w:rsidRPr="006E4034">
        <w:rPr>
          <w:lang w:val="fr-FR"/>
        </w:rPr>
        <w:t xml:space="preserve">, K. G., &amp; </w:t>
      </w:r>
      <w:proofErr w:type="spellStart"/>
      <w:r w:rsidRPr="006E4034">
        <w:rPr>
          <w:lang w:val="fr-FR"/>
        </w:rPr>
        <w:t>Effraimidis</w:t>
      </w:r>
      <w:proofErr w:type="spellEnd"/>
      <w:r w:rsidRPr="006E4034">
        <w:rPr>
          <w:lang w:val="fr-FR"/>
        </w:rPr>
        <w:t xml:space="preserve">, G. (2023). </w:t>
      </w:r>
      <w:r w:rsidRPr="006E4034">
        <w:t xml:space="preserve">Hyperthyroidism: </w:t>
      </w:r>
      <w:proofErr w:type="spellStart"/>
      <w:r w:rsidRPr="006E4034">
        <w:t>aetiology</w:t>
      </w:r>
      <w:proofErr w:type="spellEnd"/>
      <w:r w:rsidRPr="006E4034">
        <w:t xml:space="preserve">, pathogenesis, diagnosis, management, complications, and prognosis. </w:t>
      </w:r>
      <w:r w:rsidRPr="006E4034">
        <w:rPr>
          <w:lang w:val="fr-FR"/>
        </w:rPr>
        <w:t xml:space="preserve">The Lancet </w:t>
      </w:r>
      <w:proofErr w:type="spellStart"/>
      <w:r w:rsidRPr="006E4034">
        <w:rPr>
          <w:lang w:val="fr-FR"/>
        </w:rPr>
        <w:t>Diabetes</w:t>
      </w:r>
      <w:proofErr w:type="spellEnd"/>
      <w:r w:rsidRPr="006E4034">
        <w:rPr>
          <w:lang w:val="fr-FR"/>
        </w:rPr>
        <w:t xml:space="preserve"> &amp; </w:t>
      </w:r>
      <w:proofErr w:type="spellStart"/>
      <w:r w:rsidRPr="006E4034">
        <w:rPr>
          <w:lang w:val="fr-FR"/>
        </w:rPr>
        <w:t>Endocrinology</w:t>
      </w:r>
      <w:proofErr w:type="spellEnd"/>
      <w:r w:rsidRPr="006E4034">
        <w:rPr>
          <w:lang w:val="fr-FR"/>
        </w:rPr>
        <w:t xml:space="preserve">. </w:t>
      </w:r>
      <w:hyperlink r:id="rId8" w:history="1">
        <w:r w:rsidRPr="00073379">
          <w:rPr>
            <w:rStyle w:val="Hyperlink"/>
            <w:lang w:val="fr-FR"/>
          </w:rPr>
          <w:t>https://doi.org/10.1016/S2213-8587(23)00005-0</w:t>
        </w:r>
      </w:hyperlink>
    </w:p>
    <w:p w14:paraId="78757997" w14:textId="30FAF8BB" w:rsidR="006E4034" w:rsidRDefault="006E4034" w:rsidP="00B270D4">
      <w:pPr>
        <w:pStyle w:val="vineela"/>
        <w:numPr>
          <w:ilvl w:val="0"/>
          <w:numId w:val="4"/>
        </w:numPr>
      </w:pPr>
      <w:bookmarkStart w:id="5" w:name="_Ref215789281"/>
      <w:bookmarkEnd w:id="4"/>
      <w:r w:rsidRPr="006E4034">
        <w:t xml:space="preserve">Nakamura, H., </w:t>
      </w:r>
      <w:proofErr w:type="spellStart"/>
      <w:r w:rsidRPr="006E4034">
        <w:t>Miyauchi</w:t>
      </w:r>
      <w:proofErr w:type="spellEnd"/>
      <w:r w:rsidRPr="006E4034">
        <w:t xml:space="preserve">, A., Miyawaki, N., &amp; </w:t>
      </w:r>
      <w:proofErr w:type="spellStart"/>
      <w:r w:rsidRPr="006E4034">
        <w:t>Imagawa</w:t>
      </w:r>
      <w:proofErr w:type="spellEnd"/>
      <w:r w:rsidRPr="006E4034">
        <w:t xml:space="preserve">, J. (2013). Analysis of 754 Cases of Antithyroid Drug-Induced Agranulocytosis Over 30 Years in Japan. The Journal of Clinical Endocrinology &amp; Metabolism, 98(12), 4776–4783. </w:t>
      </w:r>
      <w:hyperlink r:id="rId9" w:history="1">
        <w:r w:rsidRPr="00073379">
          <w:rPr>
            <w:rStyle w:val="Hyperlink"/>
          </w:rPr>
          <w:t>https://doi.org/10.1210/jc.2013-2569</w:t>
        </w:r>
      </w:hyperlink>
    </w:p>
    <w:p w14:paraId="1EDC88BB" w14:textId="2933C70B" w:rsidR="006E4034" w:rsidRPr="006E4034" w:rsidRDefault="006E4034" w:rsidP="00B270D4">
      <w:pPr>
        <w:pStyle w:val="vineela"/>
        <w:numPr>
          <w:ilvl w:val="0"/>
          <w:numId w:val="4"/>
        </w:numPr>
        <w:rPr>
          <w:szCs w:val="22"/>
        </w:rPr>
      </w:pPr>
      <w:bookmarkStart w:id="6" w:name="_Ref215789294"/>
      <w:bookmarkEnd w:id="5"/>
      <w:r w:rsidRPr="006E4034">
        <w:t xml:space="preserve">Vyas, A. A., Vyas, P., </w:t>
      </w:r>
      <w:proofErr w:type="spellStart"/>
      <w:r w:rsidRPr="006E4034">
        <w:t>Fillipon</w:t>
      </w:r>
      <w:proofErr w:type="spellEnd"/>
      <w:r w:rsidRPr="006E4034">
        <w:t xml:space="preserve">, N. L., </w:t>
      </w:r>
      <w:proofErr w:type="spellStart"/>
      <w:r w:rsidRPr="006E4034">
        <w:t>Vijayakrishnan</w:t>
      </w:r>
      <w:proofErr w:type="spellEnd"/>
      <w:r w:rsidRPr="006E4034">
        <w:t xml:space="preserve">, R., &amp; Trivedi, N. (2010). Successful treatment of thyroid storm with plasmapheresis in a patient with methimazole-induced agranulocytosis. Endocrine Practice, 16(4), 673–676. </w:t>
      </w:r>
      <w:hyperlink r:id="rId10" w:history="1">
        <w:r w:rsidRPr="00073379">
          <w:rPr>
            <w:rStyle w:val="Hyperlink"/>
          </w:rPr>
          <w:t>https://doi.org/10.4158/EP09265.CR</w:t>
        </w:r>
      </w:hyperlink>
    </w:p>
    <w:p w14:paraId="157A7C91" w14:textId="1A2E17D9" w:rsidR="006E4034" w:rsidRPr="006E4034" w:rsidRDefault="006E4034" w:rsidP="00B270D4">
      <w:pPr>
        <w:pStyle w:val="vineela"/>
        <w:numPr>
          <w:ilvl w:val="0"/>
          <w:numId w:val="4"/>
        </w:numPr>
      </w:pPr>
      <w:bookmarkStart w:id="7" w:name="_Ref215789308"/>
      <w:bookmarkEnd w:id="6"/>
      <w:r w:rsidRPr="006E4034">
        <w:rPr>
          <w:szCs w:val="22"/>
        </w:rPr>
        <w:t xml:space="preserve">Shukla, A. K., </w:t>
      </w:r>
      <w:proofErr w:type="spellStart"/>
      <w:r w:rsidRPr="006E4034">
        <w:rPr>
          <w:szCs w:val="22"/>
        </w:rPr>
        <w:t>Jhaj</w:t>
      </w:r>
      <w:proofErr w:type="spellEnd"/>
      <w:r w:rsidRPr="006E4034">
        <w:rPr>
          <w:szCs w:val="22"/>
        </w:rPr>
        <w:t xml:space="preserve">, R., </w:t>
      </w:r>
      <w:proofErr w:type="spellStart"/>
      <w:r w:rsidRPr="006E4034">
        <w:rPr>
          <w:szCs w:val="22"/>
        </w:rPr>
        <w:t>Misra</w:t>
      </w:r>
      <w:proofErr w:type="spellEnd"/>
      <w:r w:rsidRPr="006E4034">
        <w:rPr>
          <w:szCs w:val="22"/>
        </w:rPr>
        <w:t xml:space="preserve">, S., Ahmed, S. N., Nanda, M., &amp; Chaudhary, D. (2021). Agreement between WHO-UMC causality scale and the Naranjo algorithm for causality assessment of adverse drug reactions. Journal of Family Medicine and Primary Care, 10(9), 3303-3308. </w:t>
      </w:r>
      <w:hyperlink r:id="rId11" w:history="1">
        <w:r w:rsidRPr="00073379">
          <w:rPr>
            <w:rStyle w:val="Hyperlink"/>
            <w:szCs w:val="22"/>
          </w:rPr>
          <w:t>https://doi.org/10.4103/jfmpc.jfmpc_831_21</w:t>
        </w:r>
      </w:hyperlink>
    </w:p>
    <w:p w14:paraId="6F519E2A" w14:textId="7E82F78C" w:rsidR="006E4034" w:rsidRDefault="006E4034" w:rsidP="00B270D4">
      <w:pPr>
        <w:pStyle w:val="vineela"/>
        <w:numPr>
          <w:ilvl w:val="0"/>
          <w:numId w:val="4"/>
        </w:numPr>
      </w:pPr>
      <w:bookmarkStart w:id="8" w:name="_Ref215789316"/>
      <w:bookmarkEnd w:id="7"/>
      <w:r w:rsidRPr="006E4034">
        <w:t xml:space="preserve">Kaur, R., Kaur, L., Sridhar, A., Chaudhary, T., &amp; Patel, N. (2024). 6472 Methimazole induced agranulocytosis: uncommon complication of a common medication. Journal of the Endocrine Society, 8(Supplement_1). </w:t>
      </w:r>
      <w:hyperlink r:id="rId12" w:history="1">
        <w:r w:rsidRPr="00073379">
          <w:rPr>
            <w:rStyle w:val="Hyperlink"/>
          </w:rPr>
          <w:t>https://academic.oup.com/jes/issue/8/Supplement_1</w:t>
        </w:r>
      </w:hyperlink>
    </w:p>
    <w:p w14:paraId="0F016BE1" w14:textId="212797B4" w:rsidR="006E4034" w:rsidRDefault="006E4034" w:rsidP="00B270D4">
      <w:pPr>
        <w:pStyle w:val="vineela"/>
        <w:numPr>
          <w:ilvl w:val="0"/>
          <w:numId w:val="4"/>
        </w:numPr>
      </w:pPr>
      <w:bookmarkStart w:id="9" w:name="_Ref215789323"/>
      <w:bookmarkEnd w:id="8"/>
      <w:proofErr w:type="spellStart"/>
      <w:r w:rsidRPr="006E4034">
        <w:rPr>
          <w:lang w:val="fr-FR"/>
        </w:rPr>
        <w:t>Candoni</w:t>
      </w:r>
      <w:proofErr w:type="spellEnd"/>
      <w:r w:rsidRPr="006E4034">
        <w:rPr>
          <w:lang w:val="fr-FR"/>
        </w:rPr>
        <w:t xml:space="preserve">, A., De </w:t>
      </w:r>
      <w:proofErr w:type="spellStart"/>
      <w:r w:rsidRPr="006E4034">
        <w:rPr>
          <w:lang w:val="fr-FR"/>
        </w:rPr>
        <w:t>Marchi</w:t>
      </w:r>
      <w:proofErr w:type="spellEnd"/>
      <w:r w:rsidRPr="006E4034">
        <w:rPr>
          <w:lang w:val="fr-FR"/>
        </w:rPr>
        <w:t xml:space="preserve">, F., </w:t>
      </w:r>
      <w:proofErr w:type="spellStart"/>
      <w:r w:rsidRPr="006E4034">
        <w:rPr>
          <w:lang w:val="fr-FR"/>
        </w:rPr>
        <w:t>Vescini</w:t>
      </w:r>
      <w:proofErr w:type="spellEnd"/>
      <w:r w:rsidRPr="006E4034">
        <w:rPr>
          <w:lang w:val="fr-FR"/>
        </w:rPr>
        <w:t xml:space="preserve">, F., Mauro, S., Rinaldi, C., </w:t>
      </w:r>
      <w:proofErr w:type="spellStart"/>
      <w:r w:rsidRPr="006E4034">
        <w:rPr>
          <w:lang w:val="fr-FR"/>
        </w:rPr>
        <w:t>Piemonte</w:t>
      </w:r>
      <w:proofErr w:type="spellEnd"/>
      <w:r w:rsidRPr="006E4034">
        <w:rPr>
          <w:lang w:val="fr-FR"/>
        </w:rPr>
        <w:t xml:space="preserve">, M., </w:t>
      </w:r>
      <w:proofErr w:type="spellStart"/>
      <w:r w:rsidRPr="006E4034">
        <w:rPr>
          <w:lang w:val="fr-FR"/>
        </w:rPr>
        <w:t>Rabassi</w:t>
      </w:r>
      <w:proofErr w:type="spellEnd"/>
      <w:r w:rsidRPr="006E4034">
        <w:rPr>
          <w:lang w:val="fr-FR"/>
        </w:rPr>
        <w:t xml:space="preserve">, N., </w:t>
      </w:r>
      <w:proofErr w:type="spellStart"/>
      <w:r w:rsidRPr="006E4034">
        <w:rPr>
          <w:lang w:val="fr-FR"/>
        </w:rPr>
        <w:t>Dubbini</w:t>
      </w:r>
      <w:proofErr w:type="spellEnd"/>
      <w:r w:rsidRPr="006E4034">
        <w:rPr>
          <w:lang w:val="fr-FR"/>
        </w:rPr>
        <w:t xml:space="preserve">, M. V., &amp; </w:t>
      </w:r>
      <w:proofErr w:type="spellStart"/>
      <w:r w:rsidRPr="006E4034">
        <w:rPr>
          <w:lang w:val="fr-FR"/>
        </w:rPr>
        <w:t>Fanin</w:t>
      </w:r>
      <w:proofErr w:type="spellEnd"/>
      <w:r w:rsidRPr="006E4034">
        <w:rPr>
          <w:lang w:val="fr-FR"/>
        </w:rPr>
        <w:t xml:space="preserve">, R. (2017). </w:t>
      </w:r>
      <w:r w:rsidRPr="006E4034">
        <w:t>Graves' disease thyrotoxicosis and propylthiouracil related agranulocytosis successfully treated with therapeutic plasma exchange and g-</w:t>
      </w:r>
      <w:proofErr w:type="spellStart"/>
      <w:r w:rsidRPr="006E4034">
        <w:t>csf</w:t>
      </w:r>
      <w:proofErr w:type="spellEnd"/>
      <w:r w:rsidRPr="006E4034">
        <w:t xml:space="preserve"> followed by total thyroidectomy. Mediterranean Journal of </w:t>
      </w:r>
      <w:r w:rsidRPr="006E4034">
        <w:lastRenderedPageBreak/>
        <w:t xml:space="preserve">Hematology and Infectious Diseases, 9(1), e2017058. </w:t>
      </w:r>
      <w:hyperlink r:id="rId13" w:history="1">
        <w:r w:rsidRPr="00073379">
          <w:rPr>
            <w:rStyle w:val="Hyperlink"/>
          </w:rPr>
          <w:t>https://doi.org/10.4084/mjhid.2017.058</w:t>
        </w:r>
      </w:hyperlink>
    </w:p>
    <w:p w14:paraId="0C41684D" w14:textId="27AC1676" w:rsidR="006E4034" w:rsidRPr="006E4034" w:rsidRDefault="006E4034" w:rsidP="00B270D4">
      <w:pPr>
        <w:pStyle w:val="vineela"/>
        <w:numPr>
          <w:ilvl w:val="0"/>
          <w:numId w:val="4"/>
        </w:numPr>
      </w:pPr>
      <w:bookmarkStart w:id="10" w:name="_Ref215789332"/>
      <w:bookmarkEnd w:id="9"/>
      <w:r w:rsidRPr="006E4034">
        <w:t xml:space="preserve">MacKay, M., </w:t>
      </w:r>
      <w:proofErr w:type="spellStart"/>
      <w:r w:rsidRPr="006E4034">
        <w:t>Clewis</w:t>
      </w:r>
      <w:proofErr w:type="spellEnd"/>
      <w:r w:rsidRPr="006E4034">
        <w:t xml:space="preserve">, M. C., &amp; Sweet, P. (2023). Antithyroid Drug-Induced Agranulocytosis: A Case Report. </w:t>
      </w:r>
      <w:r w:rsidRPr="006E4034">
        <w:rPr>
          <w:lang w:val="pt-BR"/>
        </w:rPr>
        <w:t xml:space="preserve">Cureus, 15(11), e48264. </w:t>
      </w:r>
      <w:r>
        <w:rPr>
          <w:lang w:val="pt-BR"/>
        </w:rPr>
        <w:fldChar w:fldCharType="begin"/>
      </w:r>
      <w:r>
        <w:rPr>
          <w:lang w:val="pt-BR"/>
        </w:rPr>
        <w:instrText xml:space="preserve"> HYPERLINK "</w:instrText>
      </w:r>
      <w:r w:rsidRPr="006E4034">
        <w:rPr>
          <w:lang w:val="pt-BR"/>
        </w:rPr>
        <w:instrText>https://doi.org/10.7759/cureus.48264</w:instrText>
      </w:r>
      <w:r>
        <w:rPr>
          <w:lang w:val="pt-BR"/>
        </w:rPr>
        <w:instrText xml:space="preserve">" </w:instrText>
      </w:r>
      <w:r>
        <w:rPr>
          <w:lang w:val="pt-BR"/>
        </w:rPr>
        <w:fldChar w:fldCharType="separate"/>
      </w:r>
      <w:r w:rsidRPr="00073379">
        <w:rPr>
          <w:rStyle w:val="Hyperlink"/>
          <w:lang w:val="pt-BR"/>
        </w:rPr>
        <w:t>https://doi.org/10.7759/cureus.48264</w:t>
      </w:r>
      <w:r>
        <w:rPr>
          <w:lang w:val="pt-BR"/>
        </w:rPr>
        <w:fldChar w:fldCharType="end"/>
      </w:r>
    </w:p>
    <w:p w14:paraId="0FBA3479" w14:textId="3DAA93A4" w:rsidR="006E4034" w:rsidRPr="006E4034" w:rsidRDefault="006E4034" w:rsidP="00B270D4">
      <w:pPr>
        <w:pStyle w:val="vineela"/>
        <w:numPr>
          <w:ilvl w:val="0"/>
          <w:numId w:val="4"/>
        </w:numPr>
      </w:pPr>
      <w:bookmarkStart w:id="11" w:name="_Ref215789342"/>
      <w:bookmarkEnd w:id="10"/>
      <w:r w:rsidRPr="006E4034">
        <w:t xml:space="preserve">Kobayashi, S., Noh, J. Y., Mukasa, K., Kunii, Y., Watanabe, N., Matsumoto, M., </w:t>
      </w:r>
      <w:proofErr w:type="spellStart"/>
      <w:r w:rsidRPr="006E4034">
        <w:t>Ohye</w:t>
      </w:r>
      <w:proofErr w:type="spellEnd"/>
      <w:r w:rsidRPr="006E4034">
        <w:t xml:space="preserve">, H., Suzuki, M., Yoshihara, A., </w:t>
      </w:r>
      <w:proofErr w:type="spellStart"/>
      <w:r w:rsidRPr="006E4034">
        <w:t>Iwaku</w:t>
      </w:r>
      <w:proofErr w:type="spellEnd"/>
      <w:r w:rsidRPr="006E4034">
        <w:t xml:space="preserve">, K., </w:t>
      </w:r>
      <w:proofErr w:type="spellStart"/>
      <w:r w:rsidRPr="006E4034">
        <w:t>Sugino</w:t>
      </w:r>
      <w:proofErr w:type="spellEnd"/>
      <w:r w:rsidRPr="006E4034">
        <w:t xml:space="preserve">, K., &amp; Ito, K. (2013). Characteristics of agranulocytosis as an adverse effect of antithyroid drugs in the second or later course of treatment. </w:t>
      </w:r>
      <w:r w:rsidRPr="006E4034">
        <w:rPr>
          <w:lang w:val="pt-BR"/>
        </w:rPr>
        <w:t xml:space="preserve">Thyroid, 24(5), 796–801. </w:t>
      </w:r>
      <w:r>
        <w:rPr>
          <w:lang w:val="pt-BR"/>
        </w:rPr>
        <w:fldChar w:fldCharType="begin"/>
      </w:r>
      <w:r>
        <w:rPr>
          <w:lang w:val="pt-BR"/>
        </w:rPr>
        <w:instrText xml:space="preserve"> HYPERLINK "</w:instrText>
      </w:r>
      <w:r w:rsidRPr="006E4034">
        <w:rPr>
          <w:lang w:val="pt-BR"/>
        </w:rPr>
        <w:instrText>https://doi.org/10.1089/thy.2013.0476</w:instrText>
      </w:r>
      <w:r>
        <w:rPr>
          <w:lang w:val="pt-BR"/>
        </w:rPr>
        <w:instrText xml:space="preserve">" </w:instrText>
      </w:r>
      <w:r>
        <w:rPr>
          <w:lang w:val="pt-BR"/>
        </w:rPr>
        <w:fldChar w:fldCharType="separate"/>
      </w:r>
      <w:r w:rsidRPr="00073379">
        <w:rPr>
          <w:rStyle w:val="Hyperlink"/>
          <w:lang w:val="pt-BR"/>
        </w:rPr>
        <w:t>https://doi.org/10.1089/thy.2013.0476</w:t>
      </w:r>
      <w:r>
        <w:rPr>
          <w:lang w:val="pt-BR"/>
        </w:rPr>
        <w:fldChar w:fldCharType="end"/>
      </w:r>
    </w:p>
    <w:bookmarkEnd w:id="11"/>
    <w:p w14:paraId="3CCFA1FE" w14:textId="424FEA8C" w:rsidR="00A10625" w:rsidRPr="006E4034" w:rsidRDefault="006E4034" w:rsidP="006E4034">
      <w:pPr>
        <w:pStyle w:val="vineela"/>
        <w:numPr>
          <w:ilvl w:val="0"/>
          <w:numId w:val="4"/>
        </w:numPr>
      </w:pPr>
      <w:r w:rsidRPr="006E4034">
        <w:rPr>
          <w:lang w:val="pt-BR"/>
        </w:rPr>
        <w:t xml:space="preserve">Gómez, C. G., Navarro, E., Alcázar, V., López-Guzmán, A., Arrieta, F., Anda, E., Biagetti, B., Guerrero-Pérez, F., Villabona, C., Ruiz de Assín Valverde, A., Lamas, C., Lecumberri, B., Rosado Sierra, J. A., Sastre, J., Díez, J. J., &amp; Iglesias, P. (2023). </w:t>
      </w:r>
      <w:r w:rsidRPr="006E4034">
        <w:rPr>
          <w:lang w:val="en-IN"/>
        </w:rPr>
        <w:t xml:space="preserve">Therapeutic Management and Long-Term Outcome of Hyperthyroidism in Patients with Antithyroid-Induced Agranulocytosis: A Retrospective, </w:t>
      </w:r>
      <w:proofErr w:type="spellStart"/>
      <w:r w:rsidRPr="006E4034">
        <w:rPr>
          <w:lang w:val="en-IN"/>
        </w:rPr>
        <w:t>Multicenter</w:t>
      </w:r>
      <w:proofErr w:type="spellEnd"/>
      <w:r w:rsidRPr="006E4034">
        <w:rPr>
          <w:lang w:val="en-IN"/>
        </w:rPr>
        <w:t xml:space="preserve"> Study. </w:t>
      </w:r>
      <w:r w:rsidRPr="006E4034">
        <w:rPr>
          <w:lang w:val="pt-BR"/>
        </w:rPr>
        <w:t xml:space="preserve">Journal of Clinical Medicine, 12(20), 6556. </w:t>
      </w:r>
      <w:hyperlink r:id="rId14" w:history="1">
        <w:r w:rsidRPr="00073379">
          <w:rPr>
            <w:rStyle w:val="Hyperlink"/>
            <w:lang w:val="pt-BR"/>
          </w:rPr>
          <w:t>https://doi.org/10.3390/jcm12206556</w:t>
        </w:r>
      </w:hyperlink>
    </w:p>
    <w:p w14:paraId="222B59D0" w14:textId="77777777" w:rsidR="006E4034" w:rsidRPr="00F40043" w:rsidRDefault="006E4034" w:rsidP="006E4034">
      <w:pPr>
        <w:pStyle w:val="vineela"/>
        <w:ind w:left="720"/>
      </w:pPr>
    </w:p>
    <w:sectPr w:rsidR="006E4034" w:rsidRPr="00F40043" w:rsidSect="00B6145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A407B" w14:textId="77777777" w:rsidR="00474DCD" w:rsidRDefault="00474DCD" w:rsidP="002B1EF9">
      <w:pPr>
        <w:spacing w:after="0" w:line="240" w:lineRule="auto"/>
      </w:pPr>
      <w:r>
        <w:separator/>
      </w:r>
    </w:p>
  </w:endnote>
  <w:endnote w:type="continuationSeparator" w:id="0">
    <w:p w14:paraId="3A00CCB0" w14:textId="77777777" w:rsidR="00474DCD" w:rsidRDefault="00474DCD" w:rsidP="002B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4D29" w14:textId="77777777" w:rsidR="00EF786B" w:rsidRDefault="00EF7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E670" w14:textId="77777777" w:rsidR="00EF786B" w:rsidRDefault="00EF7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D118" w14:textId="77777777" w:rsidR="00EF786B" w:rsidRDefault="00EF7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AB016" w14:textId="77777777" w:rsidR="00474DCD" w:rsidRDefault="00474DCD" w:rsidP="002B1EF9">
      <w:pPr>
        <w:spacing w:after="0" w:line="240" w:lineRule="auto"/>
      </w:pPr>
      <w:r>
        <w:separator/>
      </w:r>
    </w:p>
  </w:footnote>
  <w:footnote w:type="continuationSeparator" w:id="0">
    <w:p w14:paraId="691588C5" w14:textId="77777777" w:rsidR="00474DCD" w:rsidRDefault="00474DCD" w:rsidP="002B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6AFF" w14:textId="4904E30A" w:rsidR="00EF786B" w:rsidRDefault="00EF786B">
    <w:pPr>
      <w:pStyle w:val="Header"/>
    </w:pPr>
    <w:r>
      <w:rPr>
        <w:noProof/>
      </w:rPr>
      <w:pict w14:anchorId="68CE2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D570" w14:textId="67AA7D18" w:rsidR="00EF786B" w:rsidRDefault="00EF786B">
    <w:pPr>
      <w:pStyle w:val="Header"/>
    </w:pPr>
    <w:r>
      <w:rPr>
        <w:noProof/>
      </w:rPr>
      <w:pict w14:anchorId="10C81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D48D0" w14:textId="2B72AE9B" w:rsidR="00EF786B" w:rsidRDefault="00EF786B">
    <w:pPr>
      <w:pStyle w:val="Header"/>
    </w:pPr>
    <w:r>
      <w:rPr>
        <w:noProof/>
      </w:rPr>
      <w:pict w14:anchorId="57928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996"/>
    <w:multiLevelType w:val="hybridMultilevel"/>
    <w:tmpl w:val="D194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6C15"/>
    <w:multiLevelType w:val="hybridMultilevel"/>
    <w:tmpl w:val="6DAA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63080"/>
    <w:multiLevelType w:val="hybridMultilevel"/>
    <w:tmpl w:val="3532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17E43"/>
    <w:multiLevelType w:val="hybridMultilevel"/>
    <w:tmpl w:val="5A0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7A6"/>
    <w:rsid w:val="00007968"/>
    <w:rsid w:val="0017025D"/>
    <w:rsid w:val="00183EC3"/>
    <w:rsid w:val="001D2EF9"/>
    <w:rsid w:val="00207D2C"/>
    <w:rsid w:val="00265201"/>
    <w:rsid w:val="002B1EF9"/>
    <w:rsid w:val="002E2381"/>
    <w:rsid w:val="002F2561"/>
    <w:rsid w:val="003063FE"/>
    <w:rsid w:val="003410ED"/>
    <w:rsid w:val="003719F2"/>
    <w:rsid w:val="00375112"/>
    <w:rsid w:val="00415147"/>
    <w:rsid w:val="00440806"/>
    <w:rsid w:val="00474DCD"/>
    <w:rsid w:val="005477C8"/>
    <w:rsid w:val="005565D1"/>
    <w:rsid w:val="005B2AEA"/>
    <w:rsid w:val="005E0B8F"/>
    <w:rsid w:val="00616A1C"/>
    <w:rsid w:val="00660D6E"/>
    <w:rsid w:val="006A7FFC"/>
    <w:rsid w:val="006E159B"/>
    <w:rsid w:val="006E2E04"/>
    <w:rsid w:val="006E4034"/>
    <w:rsid w:val="006E7CEB"/>
    <w:rsid w:val="00706D0B"/>
    <w:rsid w:val="00804DC3"/>
    <w:rsid w:val="00874DE1"/>
    <w:rsid w:val="008D36A0"/>
    <w:rsid w:val="00A10625"/>
    <w:rsid w:val="00A5060E"/>
    <w:rsid w:val="00A53728"/>
    <w:rsid w:val="00A90804"/>
    <w:rsid w:val="00AC03AA"/>
    <w:rsid w:val="00AD25D2"/>
    <w:rsid w:val="00AF534C"/>
    <w:rsid w:val="00B270D4"/>
    <w:rsid w:val="00B61455"/>
    <w:rsid w:val="00BA6A5E"/>
    <w:rsid w:val="00C025B6"/>
    <w:rsid w:val="00C1389E"/>
    <w:rsid w:val="00C667A6"/>
    <w:rsid w:val="00CB0D33"/>
    <w:rsid w:val="00CC48CD"/>
    <w:rsid w:val="00D50B24"/>
    <w:rsid w:val="00D87006"/>
    <w:rsid w:val="00DB1FCB"/>
    <w:rsid w:val="00DC1D80"/>
    <w:rsid w:val="00EB1BA0"/>
    <w:rsid w:val="00EC2C30"/>
    <w:rsid w:val="00EF786B"/>
    <w:rsid w:val="00F01992"/>
    <w:rsid w:val="00F06A3C"/>
    <w:rsid w:val="00F40043"/>
    <w:rsid w:val="00F40C1D"/>
    <w:rsid w:val="00F938A5"/>
    <w:rsid w:val="00FB31F8"/>
    <w:rsid w:val="00FE04B9"/>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1B550"/>
  <w15:docId w15:val="{A1F5B053-A4FA-48CE-9094-BCCAF5BE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A6"/>
  </w:style>
  <w:style w:type="paragraph" w:styleId="Heading2">
    <w:name w:val="heading 2"/>
    <w:basedOn w:val="Normal"/>
    <w:next w:val="Normal"/>
    <w:link w:val="Heading2Char"/>
    <w:uiPriority w:val="9"/>
    <w:semiHidden/>
    <w:unhideWhenUsed/>
    <w:qFormat/>
    <w:rsid w:val="00547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0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0B8F"/>
    <w:rPr>
      <w:rFonts w:ascii="Times New Roman" w:eastAsia="Times New Roman" w:hAnsi="Times New Roman" w:cs="Times New Roman"/>
      <w:b/>
      <w:bCs/>
      <w:sz w:val="27"/>
      <w:szCs w:val="27"/>
    </w:rPr>
  </w:style>
  <w:style w:type="character" w:styleId="Strong">
    <w:name w:val="Strong"/>
    <w:basedOn w:val="DefaultParagraphFont"/>
    <w:uiPriority w:val="22"/>
    <w:qFormat/>
    <w:rsid w:val="005E0B8F"/>
    <w:rPr>
      <w:b/>
      <w:bCs/>
    </w:rPr>
  </w:style>
  <w:style w:type="paragraph" w:styleId="NormalWeb">
    <w:name w:val="Normal (Web)"/>
    <w:basedOn w:val="Normal"/>
    <w:uiPriority w:val="99"/>
    <w:unhideWhenUsed/>
    <w:rsid w:val="005E0B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477C8"/>
    <w:rPr>
      <w:rFonts w:asciiTheme="majorHAnsi" w:eastAsiaTheme="majorEastAsia" w:hAnsiTheme="majorHAnsi" w:cstheme="majorBidi"/>
      <w:b/>
      <w:bCs/>
      <w:color w:val="4F81BD" w:themeColor="accent1"/>
      <w:sz w:val="26"/>
      <w:szCs w:val="26"/>
    </w:rPr>
  </w:style>
  <w:style w:type="paragraph" w:customStyle="1" w:styleId="vineela">
    <w:name w:val="vineela"/>
    <w:basedOn w:val="Normal"/>
    <w:link w:val="vineelaChar"/>
    <w:qFormat/>
    <w:rsid w:val="005477C8"/>
    <w:pPr>
      <w:jc w:val="both"/>
    </w:pPr>
    <w:rPr>
      <w:rFonts w:ascii="Times New Roman" w:hAnsi="Times New Roman" w:cs="Times New Roman"/>
      <w:sz w:val="24"/>
      <w:szCs w:val="27"/>
      <w:shd w:val="clear" w:color="auto" w:fill="FFFFFF"/>
    </w:rPr>
  </w:style>
  <w:style w:type="character" w:customStyle="1" w:styleId="vineelaChar">
    <w:name w:val="vineela Char"/>
    <w:basedOn w:val="DefaultParagraphFont"/>
    <w:link w:val="vineela"/>
    <w:rsid w:val="005477C8"/>
    <w:rPr>
      <w:rFonts w:ascii="Times New Roman" w:hAnsi="Times New Roman" w:cs="Times New Roman"/>
      <w:sz w:val="24"/>
      <w:szCs w:val="27"/>
    </w:rPr>
  </w:style>
  <w:style w:type="paragraph" w:styleId="Header">
    <w:name w:val="header"/>
    <w:basedOn w:val="Normal"/>
    <w:link w:val="HeaderChar"/>
    <w:uiPriority w:val="99"/>
    <w:unhideWhenUsed/>
    <w:rsid w:val="002B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EF9"/>
  </w:style>
  <w:style w:type="paragraph" w:styleId="Footer">
    <w:name w:val="footer"/>
    <w:basedOn w:val="Normal"/>
    <w:link w:val="FooterChar"/>
    <w:uiPriority w:val="99"/>
    <w:unhideWhenUsed/>
    <w:rsid w:val="002B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EF9"/>
  </w:style>
  <w:style w:type="character" w:customStyle="1" w:styleId="diff-highlight">
    <w:name w:val="diff-highlight"/>
    <w:basedOn w:val="DefaultParagraphFont"/>
    <w:rsid w:val="00440806"/>
  </w:style>
  <w:style w:type="character" w:styleId="Emphasis">
    <w:name w:val="Emphasis"/>
    <w:basedOn w:val="DefaultParagraphFont"/>
    <w:uiPriority w:val="20"/>
    <w:qFormat/>
    <w:rsid w:val="00207D2C"/>
    <w:rPr>
      <w:i/>
      <w:iCs/>
    </w:rPr>
  </w:style>
  <w:style w:type="table" w:styleId="TableGrid">
    <w:name w:val="Table Grid"/>
    <w:basedOn w:val="TableNormal"/>
    <w:uiPriority w:val="59"/>
    <w:rsid w:val="00207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0043"/>
    <w:pPr>
      <w:ind w:left="720"/>
      <w:contextualSpacing/>
    </w:pPr>
  </w:style>
  <w:style w:type="character" w:customStyle="1" w:styleId="url">
    <w:name w:val="url"/>
    <w:basedOn w:val="DefaultParagraphFont"/>
    <w:rsid w:val="00F40043"/>
  </w:style>
  <w:style w:type="character" w:styleId="Hyperlink">
    <w:name w:val="Hyperlink"/>
    <w:basedOn w:val="DefaultParagraphFont"/>
    <w:uiPriority w:val="99"/>
    <w:unhideWhenUsed/>
    <w:rsid w:val="00F40043"/>
    <w:rPr>
      <w:color w:val="0000FF" w:themeColor="hyperlink"/>
      <w:u w:val="single"/>
    </w:rPr>
  </w:style>
  <w:style w:type="character" w:styleId="UnresolvedMention">
    <w:name w:val="Unresolved Mention"/>
    <w:basedOn w:val="DefaultParagraphFont"/>
    <w:uiPriority w:val="99"/>
    <w:semiHidden/>
    <w:unhideWhenUsed/>
    <w:rsid w:val="00EC2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2741">
      <w:bodyDiv w:val="1"/>
      <w:marLeft w:val="0"/>
      <w:marRight w:val="0"/>
      <w:marTop w:val="0"/>
      <w:marBottom w:val="0"/>
      <w:divBdr>
        <w:top w:val="none" w:sz="0" w:space="0" w:color="auto"/>
        <w:left w:val="none" w:sz="0" w:space="0" w:color="auto"/>
        <w:bottom w:val="none" w:sz="0" w:space="0" w:color="auto"/>
        <w:right w:val="none" w:sz="0" w:space="0" w:color="auto"/>
      </w:divBdr>
      <w:divsChild>
        <w:div w:id="831873441">
          <w:marLeft w:val="-720"/>
          <w:marRight w:val="0"/>
          <w:marTop w:val="0"/>
          <w:marBottom w:val="0"/>
          <w:divBdr>
            <w:top w:val="none" w:sz="0" w:space="0" w:color="auto"/>
            <w:left w:val="none" w:sz="0" w:space="0" w:color="auto"/>
            <w:bottom w:val="none" w:sz="0" w:space="0" w:color="auto"/>
            <w:right w:val="none" w:sz="0" w:space="0" w:color="auto"/>
          </w:divBdr>
        </w:div>
      </w:divsChild>
    </w:div>
    <w:div w:id="4069228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678">
          <w:marLeft w:val="-720"/>
          <w:marRight w:val="0"/>
          <w:marTop w:val="0"/>
          <w:marBottom w:val="0"/>
          <w:divBdr>
            <w:top w:val="none" w:sz="0" w:space="0" w:color="auto"/>
            <w:left w:val="none" w:sz="0" w:space="0" w:color="auto"/>
            <w:bottom w:val="none" w:sz="0" w:space="0" w:color="auto"/>
            <w:right w:val="none" w:sz="0" w:space="0" w:color="auto"/>
          </w:divBdr>
        </w:div>
      </w:divsChild>
    </w:div>
    <w:div w:id="630675572">
      <w:bodyDiv w:val="1"/>
      <w:marLeft w:val="0"/>
      <w:marRight w:val="0"/>
      <w:marTop w:val="0"/>
      <w:marBottom w:val="0"/>
      <w:divBdr>
        <w:top w:val="none" w:sz="0" w:space="0" w:color="auto"/>
        <w:left w:val="none" w:sz="0" w:space="0" w:color="auto"/>
        <w:bottom w:val="none" w:sz="0" w:space="0" w:color="auto"/>
        <w:right w:val="none" w:sz="0" w:space="0" w:color="auto"/>
      </w:divBdr>
    </w:div>
    <w:div w:id="824056640">
      <w:bodyDiv w:val="1"/>
      <w:marLeft w:val="0"/>
      <w:marRight w:val="0"/>
      <w:marTop w:val="0"/>
      <w:marBottom w:val="0"/>
      <w:divBdr>
        <w:top w:val="none" w:sz="0" w:space="0" w:color="auto"/>
        <w:left w:val="none" w:sz="0" w:space="0" w:color="auto"/>
        <w:bottom w:val="none" w:sz="0" w:space="0" w:color="auto"/>
        <w:right w:val="none" w:sz="0" w:space="0" w:color="auto"/>
      </w:divBdr>
      <w:divsChild>
        <w:div w:id="883104417">
          <w:marLeft w:val="-720"/>
          <w:marRight w:val="0"/>
          <w:marTop w:val="0"/>
          <w:marBottom w:val="0"/>
          <w:divBdr>
            <w:top w:val="none" w:sz="0" w:space="0" w:color="auto"/>
            <w:left w:val="none" w:sz="0" w:space="0" w:color="auto"/>
            <w:bottom w:val="none" w:sz="0" w:space="0" w:color="auto"/>
            <w:right w:val="none" w:sz="0" w:space="0" w:color="auto"/>
          </w:divBdr>
        </w:div>
      </w:divsChild>
    </w:div>
    <w:div w:id="848786763">
      <w:bodyDiv w:val="1"/>
      <w:marLeft w:val="0"/>
      <w:marRight w:val="0"/>
      <w:marTop w:val="0"/>
      <w:marBottom w:val="0"/>
      <w:divBdr>
        <w:top w:val="none" w:sz="0" w:space="0" w:color="auto"/>
        <w:left w:val="none" w:sz="0" w:space="0" w:color="auto"/>
        <w:bottom w:val="none" w:sz="0" w:space="0" w:color="auto"/>
        <w:right w:val="none" w:sz="0" w:space="0" w:color="auto"/>
      </w:divBdr>
    </w:div>
    <w:div w:id="1364210510">
      <w:bodyDiv w:val="1"/>
      <w:marLeft w:val="0"/>
      <w:marRight w:val="0"/>
      <w:marTop w:val="0"/>
      <w:marBottom w:val="0"/>
      <w:divBdr>
        <w:top w:val="none" w:sz="0" w:space="0" w:color="auto"/>
        <w:left w:val="none" w:sz="0" w:space="0" w:color="auto"/>
        <w:bottom w:val="none" w:sz="0" w:space="0" w:color="auto"/>
        <w:right w:val="none" w:sz="0" w:space="0" w:color="auto"/>
      </w:divBdr>
    </w:div>
    <w:div w:id="1379934711">
      <w:bodyDiv w:val="1"/>
      <w:marLeft w:val="0"/>
      <w:marRight w:val="0"/>
      <w:marTop w:val="0"/>
      <w:marBottom w:val="0"/>
      <w:divBdr>
        <w:top w:val="none" w:sz="0" w:space="0" w:color="auto"/>
        <w:left w:val="none" w:sz="0" w:space="0" w:color="auto"/>
        <w:bottom w:val="none" w:sz="0" w:space="0" w:color="auto"/>
        <w:right w:val="none" w:sz="0" w:space="0" w:color="auto"/>
      </w:divBdr>
    </w:div>
    <w:div w:id="1751463334">
      <w:bodyDiv w:val="1"/>
      <w:marLeft w:val="0"/>
      <w:marRight w:val="0"/>
      <w:marTop w:val="0"/>
      <w:marBottom w:val="0"/>
      <w:divBdr>
        <w:top w:val="none" w:sz="0" w:space="0" w:color="auto"/>
        <w:left w:val="none" w:sz="0" w:space="0" w:color="auto"/>
        <w:bottom w:val="none" w:sz="0" w:space="0" w:color="auto"/>
        <w:right w:val="none" w:sz="0" w:space="0" w:color="auto"/>
      </w:divBdr>
    </w:div>
    <w:div w:id="2137676091">
      <w:bodyDiv w:val="1"/>
      <w:marLeft w:val="0"/>
      <w:marRight w:val="0"/>
      <w:marTop w:val="0"/>
      <w:marBottom w:val="0"/>
      <w:divBdr>
        <w:top w:val="none" w:sz="0" w:space="0" w:color="auto"/>
        <w:left w:val="none" w:sz="0" w:space="0" w:color="auto"/>
        <w:bottom w:val="none" w:sz="0" w:space="0" w:color="auto"/>
        <w:right w:val="none" w:sz="0" w:space="0" w:color="auto"/>
      </w:divBdr>
      <w:divsChild>
        <w:div w:id="15781302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3-8587(23)00005-0" TargetMode="External"/><Relationship Id="rId13" Type="http://schemas.openxmlformats.org/officeDocument/2006/relationships/hyperlink" Target="https://doi.org/10.4084/mjhid.2017.05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1/jama.2023.19052" TargetMode="External"/><Relationship Id="rId12" Type="http://schemas.openxmlformats.org/officeDocument/2006/relationships/hyperlink" Target="https://academic.oup.com/jes/issue/8/Supplement_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fmpc.jfmpc_831_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4158/EP09265.C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210/jc.2013-2569" TargetMode="External"/><Relationship Id="rId14" Type="http://schemas.openxmlformats.org/officeDocument/2006/relationships/hyperlink" Target="https://doi.org/10.3390/jcm1220655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982</TotalTime>
  <Pages>6</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1084</cp:lastModifiedBy>
  <cp:revision>29</cp:revision>
  <dcterms:created xsi:type="dcterms:W3CDTF">2025-11-27T23:34:00Z</dcterms:created>
  <dcterms:modified xsi:type="dcterms:W3CDTF">2025-12-13T09:49:00Z</dcterms:modified>
</cp:coreProperties>
</file>