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4816E" w14:textId="77777777" w:rsidR="00C23D03" w:rsidRPr="00C23D03" w:rsidRDefault="00C23D03" w:rsidP="00C23D03">
      <w:pPr>
        <w:spacing w:after="0" w:line="360" w:lineRule="auto"/>
        <w:jc w:val="center"/>
        <w:rPr>
          <w:rFonts w:asciiTheme="majorBidi" w:hAnsiTheme="majorBidi" w:cstheme="majorBidi"/>
          <w:b/>
          <w:bCs/>
          <w:i/>
          <w:iCs/>
          <w:sz w:val="24"/>
          <w:szCs w:val="24"/>
          <w:u w:val="single"/>
          <w:lang w:val="en-US"/>
        </w:rPr>
      </w:pPr>
      <w:r w:rsidRPr="00C23D03">
        <w:rPr>
          <w:rFonts w:asciiTheme="majorBidi" w:hAnsiTheme="majorBidi" w:cstheme="majorBidi"/>
          <w:b/>
          <w:bCs/>
          <w:i/>
          <w:iCs/>
          <w:sz w:val="24"/>
          <w:szCs w:val="24"/>
          <w:u w:val="single"/>
          <w:lang w:val="en-US"/>
        </w:rPr>
        <w:t>Review Article</w:t>
      </w:r>
    </w:p>
    <w:p w14:paraId="1D9FDF34" w14:textId="77777777" w:rsidR="00C23D03" w:rsidRDefault="00C23D03" w:rsidP="00405A26">
      <w:pPr>
        <w:spacing w:after="0" w:line="360" w:lineRule="auto"/>
        <w:jc w:val="center"/>
        <w:rPr>
          <w:rFonts w:asciiTheme="majorBidi" w:hAnsiTheme="majorBidi" w:cstheme="majorBidi"/>
          <w:b/>
          <w:sz w:val="24"/>
          <w:szCs w:val="24"/>
          <w:lang w:val="en-US"/>
        </w:rPr>
      </w:pPr>
    </w:p>
    <w:p w14:paraId="4006F6E7" w14:textId="719C8B7B" w:rsidR="00A13EBF" w:rsidRDefault="00B23A2D" w:rsidP="00405A26">
      <w:pPr>
        <w:spacing w:after="0" w:line="360" w:lineRule="auto"/>
        <w:jc w:val="center"/>
        <w:rPr>
          <w:rFonts w:asciiTheme="majorBidi" w:hAnsiTheme="majorBidi" w:cstheme="majorBidi"/>
          <w:b/>
          <w:sz w:val="24"/>
          <w:szCs w:val="24"/>
          <w:lang w:val="en-US"/>
        </w:rPr>
      </w:pPr>
      <w:r w:rsidRPr="00C23D03">
        <w:rPr>
          <w:rFonts w:asciiTheme="majorBidi" w:hAnsiTheme="majorBidi" w:cstheme="majorBidi"/>
          <w:b/>
          <w:sz w:val="24"/>
          <w:szCs w:val="24"/>
          <w:lang w:val="en-US"/>
        </w:rPr>
        <w:t>ADVANCES IN THE UNDERSTANDING OF PROTEIN C AND PROTEIN S DEFICIENCIES: FROM MOLECULAR MECHANISMS TO THERAPEUTIC STRATEGIES</w:t>
      </w:r>
    </w:p>
    <w:p w14:paraId="4A3DD686" w14:textId="77777777" w:rsidR="00F41F6A" w:rsidRPr="00C23D03" w:rsidRDefault="00F41F6A" w:rsidP="00405A26">
      <w:pPr>
        <w:spacing w:after="0" w:line="360" w:lineRule="auto"/>
        <w:jc w:val="center"/>
        <w:rPr>
          <w:rFonts w:asciiTheme="majorBidi" w:hAnsiTheme="majorBidi" w:cstheme="majorBidi"/>
          <w:b/>
          <w:sz w:val="24"/>
          <w:szCs w:val="24"/>
          <w:lang w:val="en-US"/>
        </w:rPr>
      </w:pPr>
    </w:p>
    <w:p w14:paraId="2C8F33F4" w14:textId="77777777" w:rsidR="0077082C" w:rsidRDefault="0077082C" w:rsidP="00405A26">
      <w:pPr>
        <w:spacing w:after="0" w:line="360" w:lineRule="auto"/>
        <w:jc w:val="both"/>
        <w:rPr>
          <w:rFonts w:asciiTheme="majorBidi" w:hAnsiTheme="majorBidi" w:cstheme="majorBidi"/>
          <w:b/>
          <w:bCs/>
          <w:sz w:val="24"/>
          <w:szCs w:val="24"/>
          <w:lang w:val="en-US"/>
        </w:rPr>
      </w:pPr>
    </w:p>
    <w:p w14:paraId="7228D907" w14:textId="74EFBF6A" w:rsidR="00DB3B9A" w:rsidRPr="00405A26" w:rsidRDefault="00A13EBF" w:rsidP="00405A26">
      <w:pPr>
        <w:spacing w:after="0"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ABSTRACT</w:t>
      </w:r>
    </w:p>
    <w:p w14:paraId="241ADC34" w14:textId="77777777" w:rsidR="00CE65E7" w:rsidRDefault="00AE0F2E" w:rsidP="00405A26">
      <w:pPr>
        <w:pStyle w:val="NormalWeb"/>
        <w:spacing w:line="360" w:lineRule="auto"/>
        <w:jc w:val="both"/>
        <w:rPr>
          <w:rFonts w:asciiTheme="majorBidi" w:hAnsiTheme="majorBidi" w:cstheme="majorBidi"/>
          <w:b/>
          <w:bCs/>
        </w:rPr>
      </w:pPr>
      <w:r>
        <w:rPr>
          <w:rFonts w:asciiTheme="majorBidi" w:hAnsiTheme="majorBidi" w:cstheme="majorBidi"/>
          <w:b/>
          <w:bCs/>
        </w:rPr>
        <w:t>Background</w:t>
      </w:r>
      <w:r>
        <w:rPr>
          <w:rFonts w:asciiTheme="majorBidi" w:hAnsiTheme="majorBidi" w:cstheme="majorBidi"/>
        </w:rPr>
        <w:t xml:space="preserve">: </w:t>
      </w:r>
      <w:r w:rsidR="00CE65E7" w:rsidRPr="00CE65E7">
        <w:t>Protein C (PC) and Protein S (PS) deficiency, either inherited or acquired, are</w:t>
      </w:r>
      <w:r w:rsidR="00CE65E7" w:rsidRPr="00CE65E7">
        <w:t> </w:t>
      </w:r>
      <w:r w:rsidR="00CE65E7" w:rsidRPr="00CE65E7">
        <w:t>rare but a significant cause for thrombophilia. These vitamin K-dependent plasma glycoproteins collaborate in the anticoagulant pathway to regulate thrombin</w:t>
      </w:r>
      <w:r w:rsidR="00CE65E7" w:rsidRPr="00CE65E7">
        <w:t> </w:t>
      </w:r>
      <w:r w:rsidR="00CE65E7" w:rsidRPr="00CE65E7">
        <w:t>generation and maintain vascular integrity.</w:t>
      </w:r>
    </w:p>
    <w:p w14:paraId="357E77B4" w14:textId="77777777" w:rsidR="00D77A6D" w:rsidRPr="00405A26" w:rsidRDefault="00DB3B9A" w:rsidP="00405A26">
      <w:pPr>
        <w:pStyle w:val="NormalWeb"/>
        <w:spacing w:line="360" w:lineRule="auto"/>
        <w:jc w:val="both"/>
        <w:rPr>
          <w:rFonts w:asciiTheme="majorBidi" w:hAnsiTheme="majorBidi" w:cstheme="majorBidi"/>
        </w:rPr>
      </w:pPr>
      <w:r w:rsidRPr="00CE65E7">
        <w:rPr>
          <w:rFonts w:asciiTheme="majorBidi" w:hAnsiTheme="majorBidi" w:cstheme="majorBidi"/>
          <w:b/>
        </w:rPr>
        <w:t>Objective</w:t>
      </w:r>
      <w:r w:rsidR="00AE0F2E">
        <w:rPr>
          <w:rFonts w:asciiTheme="majorBidi" w:hAnsiTheme="majorBidi" w:cstheme="majorBidi"/>
        </w:rPr>
        <w:t>: T</w:t>
      </w:r>
      <w:r w:rsidR="00AE0F2E" w:rsidRPr="00405A26">
        <w:rPr>
          <w:rFonts w:asciiTheme="majorBidi" w:hAnsiTheme="majorBidi" w:cstheme="majorBidi"/>
        </w:rPr>
        <w:t>o</w:t>
      </w:r>
      <w:r w:rsidR="00D77A6D" w:rsidRPr="00405A26">
        <w:rPr>
          <w:rFonts w:asciiTheme="majorBidi" w:hAnsiTheme="majorBidi" w:cstheme="majorBidi"/>
        </w:rPr>
        <w:t xml:space="preserve"> examine the molecular foundations, physiological processes, disease development, diagnostic methods, and treatment strategies related to Protein C and Protein S deficiencies, highlighting the latest findings on genetic variations, clinical manifestations, and therapeutic options.</w:t>
      </w:r>
    </w:p>
    <w:p w14:paraId="4FC312CD" w14:textId="77777777" w:rsidR="00DB3B9A" w:rsidRPr="00405A26" w:rsidRDefault="00AE0F2E" w:rsidP="00405A26">
      <w:pPr>
        <w:pStyle w:val="NormalWeb"/>
        <w:spacing w:line="360" w:lineRule="auto"/>
        <w:jc w:val="both"/>
        <w:rPr>
          <w:rFonts w:asciiTheme="majorBidi" w:hAnsiTheme="majorBidi" w:cstheme="majorBidi"/>
        </w:rPr>
      </w:pPr>
      <w:r w:rsidRPr="00AE0F2E">
        <w:rPr>
          <w:rFonts w:asciiTheme="majorBidi" w:hAnsiTheme="majorBidi" w:cstheme="majorBidi"/>
          <w:b/>
        </w:rPr>
        <w:t>Methods</w:t>
      </w:r>
      <w:r>
        <w:rPr>
          <w:rFonts w:asciiTheme="majorBidi" w:hAnsiTheme="majorBidi" w:cstheme="majorBidi"/>
        </w:rPr>
        <w:t>: W</w:t>
      </w:r>
      <w:r w:rsidRPr="00405A26">
        <w:rPr>
          <w:rFonts w:asciiTheme="majorBidi" w:hAnsiTheme="majorBidi" w:cstheme="majorBidi"/>
        </w:rPr>
        <w:t>e</w:t>
      </w:r>
      <w:r w:rsidR="00D77A6D" w:rsidRPr="00405A26">
        <w:rPr>
          <w:rFonts w:asciiTheme="majorBidi" w:hAnsiTheme="majorBidi" w:cstheme="majorBidi"/>
        </w:rPr>
        <w:t xml:space="preserve"> conducted a thorough examination of the existing literature, encompassing peer-reviewed studies, clinical case reports, and respected </w:t>
      </w:r>
      <w:r w:rsidR="00405A26" w:rsidRPr="00405A26">
        <w:rPr>
          <w:rFonts w:asciiTheme="majorBidi" w:hAnsiTheme="majorBidi" w:cstheme="majorBidi"/>
        </w:rPr>
        <w:t>haematology</w:t>
      </w:r>
      <w:r w:rsidR="00D77A6D" w:rsidRPr="00405A26">
        <w:rPr>
          <w:rFonts w:asciiTheme="majorBidi" w:hAnsiTheme="majorBidi" w:cstheme="majorBidi"/>
        </w:rPr>
        <w:t xml:space="preserve"> reference materials, concentrating on the genetic characteristics related to PC and PS deficiencies.</w:t>
      </w:r>
    </w:p>
    <w:p w14:paraId="09B51738" w14:textId="77777777" w:rsidR="00D77A6D" w:rsidRDefault="00405A26" w:rsidP="00405A26">
      <w:pPr>
        <w:pStyle w:val="NormalWeb"/>
        <w:spacing w:before="0" w:beforeAutospacing="0" w:after="0" w:afterAutospacing="0" w:line="360" w:lineRule="auto"/>
        <w:jc w:val="both"/>
        <w:rPr>
          <w:rFonts w:asciiTheme="majorBidi" w:hAnsiTheme="majorBidi" w:cstheme="majorBidi"/>
        </w:rPr>
      </w:pPr>
      <w:r w:rsidRPr="00AE0F2E">
        <w:rPr>
          <w:rFonts w:asciiTheme="majorBidi" w:hAnsiTheme="majorBidi" w:cstheme="majorBidi"/>
          <w:b/>
        </w:rPr>
        <w:t>Resul</w:t>
      </w:r>
      <w:r w:rsidR="00AE0F2E" w:rsidRPr="00AE0F2E">
        <w:rPr>
          <w:rFonts w:asciiTheme="majorBidi" w:hAnsiTheme="majorBidi" w:cstheme="majorBidi"/>
          <w:b/>
        </w:rPr>
        <w:t>ts</w:t>
      </w:r>
      <w:r w:rsidR="00AE0F2E">
        <w:rPr>
          <w:rFonts w:asciiTheme="majorBidi" w:hAnsiTheme="majorBidi" w:cstheme="majorBidi"/>
        </w:rPr>
        <w:t xml:space="preserve">: </w:t>
      </w:r>
      <w:r w:rsidR="00D77A6D" w:rsidRPr="00D77A6D">
        <w:rPr>
          <w:rFonts w:asciiTheme="majorBidi" w:hAnsiTheme="majorBidi" w:cstheme="majorBidi"/>
        </w:rPr>
        <w:t>Protein C deficiency primarily results from pathogenic mutations in the PROC gene, while Protein S deficiency is caused by variations in the PROS1 gene. Both deficiencies increase the risk of venous thromboembolism (VTE) and, in severe instances, can lead to purpura fulminans and disseminated intravascular coagulation (DIC). Heterozygous forms exhibit variable penetrance and typically present as recurrent VTE. Confirming the diagnosis requires functional and antigenic assays, as well as molecular testing to detect any underlying mutations. Treatment options include anticoagulation using heparin or direct oral anticoagulants (DOACs), protein replacement therapy, and, in severe cases involving neonates, liver transplantation.</w:t>
      </w:r>
    </w:p>
    <w:p w14:paraId="03488388" w14:textId="77777777" w:rsidR="00D77A6D" w:rsidRDefault="00AE0F2E" w:rsidP="00405A26">
      <w:pPr>
        <w:pStyle w:val="NormalWeb"/>
        <w:spacing w:before="0" w:beforeAutospacing="0" w:after="0" w:afterAutospacing="0" w:line="360" w:lineRule="auto"/>
        <w:jc w:val="both"/>
      </w:pPr>
      <w:r w:rsidRPr="00AE0F2E">
        <w:rPr>
          <w:rFonts w:asciiTheme="majorBidi" w:hAnsiTheme="majorBidi" w:cstheme="majorBidi"/>
          <w:b/>
        </w:rPr>
        <w:t>Conclusion</w:t>
      </w:r>
      <w:r>
        <w:rPr>
          <w:rFonts w:asciiTheme="majorBidi" w:hAnsiTheme="majorBidi" w:cstheme="majorBidi"/>
          <w:b/>
        </w:rPr>
        <w:t xml:space="preserve">: </w:t>
      </w:r>
      <w:r>
        <w:rPr>
          <w:rFonts w:asciiTheme="majorBidi" w:hAnsiTheme="majorBidi" w:cstheme="majorBidi"/>
        </w:rPr>
        <w:t xml:space="preserve"> </w:t>
      </w:r>
      <w:r w:rsidR="00D77A6D" w:rsidRPr="00D77A6D">
        <w:t>Early detection and accurate molecular diagnosis of PC and PS deficiencies are essential for decreasing thrombotic morbidity and mortality. Standardization of</w:t>
      </w:r>
      <w:r w:rsidR="00D77A6D" w:rsidRPr="00D77A6D">
        <w:t> </w:t>
      </w:r>
      <w:r w:rsidR="00D77A6D" w:rsidRPr="00D77A6D">
        <w:t xml:space="preserve">diagnostic </w:t>
      </w:r>
      <w:r w:rsidR="00D77A6D" w:rsidRPr="00D77A6D">
        <w:lastRenderedPageBreak/>
        <w:t>assays and personalized long-term anticoagulation regimens continue to be important factors for optimizing patient care.</w:t>
      </w:r>
    </w:p>
    <w:p w14:paraId="0FEAB720" w14:textId="77777777" w:rsidR="00AE0F2E" w:rsidRDefault="00AE0F2E" w:rsidP="00405A26">
      <w:pPr>
        <w:pStyle w:val="NormalWeb"/>
        <w:spacing w:before="0" w:beforeAutospacing="0" w:after="0" w:afterAutospacing="0" w:line="360" w:lineRule="auto"/>
        <w:jc w:val="both"/>
      </w:pPr>
    </w:p>
    <w:p w14:paraId="3A7FFB61" w14:textId="77777777" w:rsidR="009021C6" w:rsidRPr="009021C6" w:rsidRDefault="00AE0F2E" w:rsidP="00405A26">
      <w:pPr>
        <w:pStyle w:val="NormalWeb"/>
        <w:spacing w:before="0" w:beforeAutospacing="0" w:after="0" w:afterAutospacing="0" w:line="360" w:lineRule="auto"/>
        <w:jc w:val="both"/>
        <w:rPr>
          <w:rFonts w:asciiTheme="majorBidi" w:hAnsiTheme="majorBidi" w:cstheme="majorBidi"/>
          <w:bCs/>
          <w:color w:val="1A1A1A"/>
        </w:rPr>
      </w:pPr>
      <w:r w:rsidRPr="00AE0F2E">
        <w:rPr>
          <w:b/>
        </w:rPr>
        <w:t>Key Words</w:t>
      </w:r>
      <w:r>
        <w:rPr>
          <w:b/>
        </w:rPr>
        <w:t xml:space="preserve">: </w:t>
      </w:r>
      <w:r w:rsidR="009021C6">
        <w:rPr>
          <w:rFonts w:asciiTheme="majorBidi" w:hAnsiTheme="majorBidi" w:cstheme="majorBidi"/>
          <w:bCs/>
          <w:color w:val="1A1A1A"/>
        </w:rPr>
        <w:t xml:space="preserve">Thrombophilia, </w:t>
      </w:r>
      <w:r w:rsidRPr="00A13EBF">
        <w:rPr>
          <w:rFonts w:asciiTheme="majorBidi" w:hAnsiTheme="majorBidi" w:cstheme="majorBidi"/>
        </w:rPr>
        <w:t>Protein C</w:t>
      </w:r>
      <w:r>
        <w:rPr>
          <w:rFonts w:asciiTheme="majorBidi" w:hAnsiTheme="majorBidi" w:cstheme="majorBidi"/>
        </w:rPr>
        <w:t>, Protein S</w:t>
      </w:r>
      <w:r w:rsidR="009021C6">
        <w:rPr>
          <w:rFonts w:asciiTheme="majorBidi" w:hAnsiTheme="majorBidi" w:cstheme="majorBidi"/>
        </w:rPr>
        <w:t>, Purpura</w:t>
      </w:r>
      <w:r>
        <w:rPr>
          <w:rFonts w:asciiTheme="majorBidi" w:hAnsiTheme="majorBidi" w:cstheme="majorBidi"/>
        </w:rPr>
        <w:t xml:space="preserve"> fulminans, </w:t>
      </w:r>
      <w:r w:rsidR="009021C6">
        <w:rPr>
          <w:rFonts w:asciiTheme="majorBidi" w:hAnsiTheme="majorBidi" w:cstheme="majorBidi"/>
          <w:bCs/>
          <w:color w:val="1A1A1A"/>
        </w:rPr>
        <w:t>Vitamin K,</w:t>
      </w:r>
      <w:r w:rsidR="009021C6">
        <w:rPr>
          <w:rFonts w:asciiTheme="majorBidi" w:hAnsiTheme="majorBidi" w:cstheme="majorBidi"/>
        </w:rPr>
        <w:t xml:space="preserve"> V</w:t>
      </w:r>
      <w:r w:rsidR="009021C6" w:rsidRPr="00A13EBF">
        <w:rPr>
          <w:rFonts w:asciiTheme="majorBidi" w:hAnsiTheme="majorBidi" w:cstheme="majorBidi"/>
        </w:rPr>
        <w:t>enous thromboembolism</w:t>
      </w:r>
      <w:r w:rsidR="009021C6">
        <w:rPr>
          <w:rFonts w:asciiTheme="majorBidi" w:hAnsiTheme="majorBidi" w:cstheme="majorBidi"/>
        </w:rPr>
        <w:t xml:space="preserve">, </w:t>
      </w:r>
      <w:r w:rsidR="009021C6">
        <w:rPr>
          <w:rFonts w:asciiTheme="majorBidi" w:hAnsiTheme="majorBidi" w:cstheme="majorBidi"/>
          <w:bCs/>
          <w:color w:val="1A1A1A"/>
        </w:rPr>
        <w:t>Z</w:t>
      </w:r>
      <w:r w:rsidR="009021C6" w:rsidRPr="00A13EBF">
        <w:rPr>
          <w:rFonts w:asciiTheme="majorBidi" w:hAnsiTheme="majorBidi" w:cstheme="majorBidi"/>
          <w:bCs/>
          <w:color w:val="1A1A1A"/>
        </w:rPr>
        <w:t>ymogen</w:t>
      </w:r>
    </w:p>
    <w:p w14:paraId="5ADB7DEC" w14:textId="77777777" w:rsidR="00A13EBF" w:rsidRDefault="00A13EBF" w:rsidP="00A13EBF">
      <w:pPr>
        <w:spacing w:after="0" w:line="360" w:lineRule="auto"/>
        <w:jc w:val="both"/>
        <w:rPr>
          <w:rFonts w:asciiTheme="majorBidi" w:hAnsiTheme="majorBidi" w:cstheme="majorBidi"/>
          <w:b/>
          <w:bCs/>
          <w:sz w:val="24"/>
          <w:szCs w:val="24"/>
          <w:lang w:val="en-US"/>
        </w:rPr>
      </w:pPr>
    </w:p>
    <w:p w14:paraId="317A9DBA" w14:textId="77777777" w:rsidR="009021C6" w:rsidRDefault="009021C6" w:rsidP="00A13EBF">
      <w:pPr>
        <w:spacing w:after="0" w:line="360" w:lineRule="auto"/>
        <w:jc w:val="both"/>
        <w:rPr>
          <w:rFonts w:asciiTheme="majorBidi" w:hAnsiTheme="majorBidi" w:cstheme="majorBidi"/>
          <w:b/>
          <w:bCs/>
          <w:sz w:val="24"/>
          <w:szCs w:val="24"/>
          <w:lang w:val="en-US"/>
        </w:rPr>
      </w:pPr>
    </w:p>
    <w:p w14:paraId="4801BDFD" w14:textId="77777777" w:rsidR="009021C6" w:rsidRDefault="009021C6" w:rsidP="00A13EBF">
      <w:pPr>
        <w:spacing w:after="0" w:line="360" w:lineRule="auto"/>
        <w:jc w:val="both"/>
        <w:rPr>
          <w:rFonts w:asciiTheme="majorBidi" w:hAnsiTheme="majorBidi" w:cstheme="majorBidi"/>
          <w:b/>
          <w:bCs/>
          <w:sz w:val="24"/>
          <w:szCs w:val="24"/>
          <w:lang w:val="en-US"/>
        </w:rPr>
      </w:pPr>
    </w:p>
    <w:p w14:paraId="05E26F73" w14:textId="77777777" w:rsidR="00C46114" w:rsidRPr="00A13EBF" w:rsidRDefault="00C46114" w:rsidP="00A13EBF">
      <w:pPr>
        <w:spacing w:after="0" w:line="360" w:lineRule="auto"/>
        <w:jc w:val="both"/>
        <w:rPr>
          <w:rFonts w:asciiTheme="majorBidi" w:hAnsiTheme="majorBidi" w:cstheme="majorBidi"/>
          <w:b/>
          <w:bCs/>
          <w:sz w:val="24"/>
          <w:szCs w:val="24"/>
          <w:lang w:val="en-US"/>
        </w:rPr>
      </w:pPr>
      <w:r w:rsidRPr="00A13EBF">
        <w:rPr>
          <w:rFonts w:asciiTheme="majorBidi" w:hAnsiTheme="majorBidi" w:cstheme="majorBidi"/>
          <w:b/>
          <w:bCs/>
          <w:sz w:val="24"/>
          <w:szCs w:val="24"/>
          <w:lang w:val="en-US"/>
        </w:rPr>
        <w:t>INTRODUCTION</w:t>
      </w:r>
    </w:p>
    <w:p w14:paraId="5ADA4EC4" w14:textId="77777777" w:rsidR="00C46114" w:rsidRPr="00A13EBF" w:rsidRDefault="00CB2290" w:rsidP="00A13EBF">
      <w:pPr>
        <w:pStyle w:val="NormalWeb"/>
        <w:spacing w:before="0" w:beforeAutospacing="0" w:after="0" w:afterAutospacing="0" w:line="360" w:lineRule="auto"/>
        <w:jc w:val="both"/>
        <w:rPr>
          <w:rFonts w:asciiTheme="majorBidi" w:hAnsiTheme="majorBidi" w:cstheme="majorBidi"/>
          <w:vertAlign w:val="superscript"/>
        </w:rPr>
      </w:pPr>
      <w:r w:rsidRPr="00A13EBF">
        <w:rPr>
          <w:rFonts w:asciiTheme="majorBidi" w:hAnsiTheme="majorBidi" w:cstheme="majorBidi"/>
        </w:rPr>
        <w:t>Protein C (PC) deficiency, whether congenital or acquired,</w:t>
      </w:r>
      <w:r w:rsidR="00E853C4" w:rsidRPr="00A13EBF">
        <w:rPr>
          <w:rFonts w:asciiTheme="majorBidi" w:hAnsiTheme="majorBidi" w:cstheme="majorBidi"/>
        </w:rPr>
        <w:t xml:space="preserve"> is a significant predisposing factor for </w:t>
      </w:r>
      <w:r w:rsidR="00A13EBF" w:rsidRPr="00A13EBF">
        <w:rPr>
          <w:rFonts w:asciiTheme="majorBidi" w:hAnsiTheme="majorBidi" w:cstheme="majorBidi"/>
        </w:rPr>
        <w:t>thrombophilia. Clinical</w:t>
      </w:r>
      <w:r w:rsidRPr="00A13EBF">
        <w:rPr>
          <w:rFonts w:asciiTheme="majorBidi" w:hAnsiTheme="majorBidi" w:cstheme="majorBidi"/>
        </w:rPr>
        <w:t xml:space="preserve"> manifestations range from being asymptomatic to the development of venous thromboembolism and, in severe ca</w:t>
      </w:r>
      <w:r w:rsidR="00405A26">
        <w:rPr>
          <w:rFonts w:asciiTheme="majorBidi" w:hAnsiTheme="majorBidi" w:cstheme="majorBidi"/>
        </w:rPr>
        <w:t xml:space="preserve">ses, neonatal purpura fulminans- </w:t>
      </w:r>
      <w:r w:rsidRPr="00A13EBF">
        <w:rPr>
          <w:rFonts w:asciiTheme="majorBidi" w:hAnsiTheme="majorBidi" w:cstheme="majorBidi"/>
        </w:rPr>
        <w:t xml:space="preserve">a potentially life-threatening </w:t>
      </w:r>
      <w:r w:rsidR="00A13EBF" w:rsidRPr="00A13EBF">
        <w:rPr>
          <w:rFonts w:asciiTheme="majorBidi" w:hAnsiTheme="majorBidi" w:cstheme="majorBidi"/>
        </w:rPr>
        <w:t>condition. Protein</w:t>
      </w:r>
      <w:r w:rsidRPr="00A13EBF">
        <w:rPr>
          <w:rFonts w:asciiTheme="majorBidi" w:hAnsiTheme="majorBidi" w:cstheme="majorBidi"/>
        </w:rPr>
        <w:t xml:space="preserve"> C (PC) is a vitamin K–dependent zymogen that plays a vital role in maintaining </w:t>
      </w:r>
      <w:r w:rsidR="00A13EBF" w:rsidRPr="00A13EBF">
        <w:rPr>
          <w:rFonts w:asciiTheme="majorBidi" w:hAnsiTheme="majorBidi" w:cstheme="majorBidi"/>
        </w:rPr>
        <w:t>haemostatic</w:t>
      </w:r>
      <w:r w:rsidRPr="00A13EBF">
        <w:rPr>
          <w:rFonts w:asciiTheme="majorBidi" w:hAnsiTheme="majorBidi" w:cstheme="majorBidi"/>
        </w:rPr>
        <w:t xml:space="preserve"> balance and preventing thrombosis in humans. It was first isolated and described by Stenflo in 1976. Although severe forms of PC deficiency (homozygous or compound heterozygous) are extremely rare, occurring in roughly 1 in 500,000 to 1 in 750,000 live births, partial (heterozygous) deficiencies are significantly more prevalent, affecting approximately 1 in 200 to 1 in 500 individuals</w:t>
      </w:r>
      <w:r w:rsidR="00A6309F" w:rsidRPr="00A13EBF">
        <w:rPr>
          <w:rFonts w:asciiTheme="majorBidi" w:hAnsiTheme="majorBidi" w:cstheme="majorBidi"/>
        </w:rPr>
        <w:t>.</w:t>
      </w:r>
      <w:r w:rsidR="00A6309F">
        <w:rPr>
          <w:rFonts w:asciiTheme="majorBidi" w:hAnsiTheme="majorBidi" w:cstheme="majorBidi"/>
        </w:rPr>
        <w:t xml:space="preserve"> (</w:t>
      </w:r>
      <w:r w:rsidR="00286B84">
        <w:rPr>
          <w:rFonts w:asciiTheme="majorBidi" w:hAnsiTheme="majorBidi" w:cstheme="majorBidi"/>
        </w:rPr>
        <w:t>Dinarvand &amp; Moser, 2019)</w:t>
      </w:r>
      <w:r w:rsidRPr="00A13EBF">
        <w:rPr>
          <w:rFonts w:asciiTheme="majorBidi" w:hAnsiTheme="majorBidi" w:cstheme="majorBidi"/>
        </w:rPr>
        <w:t xml:space="preserve">The incidence of Protein C deficiency among individuals presenting with clinical symptoms is estimated </w:t>
      </w:r>
      <w:r w:rsidR="00405A26">
        <w:rPr>
          <w:rFonts w:asciiTheme="majorBidi" w:hAnsiTheme="majorBidi" w:cstheme="majorBidi"/>
        </w:rPr>
        <w:t>to be approximately 1 in 20,000.</w:t>
      </w:r>
    </w:p>
    <w:p w14:paraId="040C93B1" w14:textId="77777777" w:rsidR="0047689E" w:rsidRPr="00286B84" w:rsidRDefault="0047689E" w:rsidP="00A13EBF">
      <w:pPr>
        <w:pStyle w:val="NormalWeb"/>
        <w:spacing w:before="0" w:beforeAutospacing="0" w:after="0" w:afterAutospacing="0" w:line="360" w:lineRule="auto"/>
        <w:jc w:val="both"/>
        <w:rPr>
          <w:rFonts w:asciiTheme="majorBidi" w:hAnsiTheme="majorBidi" w:cstheme="majorBidi"/>
        </w:rPr>
      </w:pPr>
      <w:r w:rsidRPr="00A13EBF">
        <w:rPr>
          <w:rFonts w:asciiTheme="majorBidi" w:hAnsiTheme="majorBidi" w:cstheme="majorBidi"/>
        </w:rPr>
        <w:t>Protein S deficiency is an autosomal dominant disorder present in up to 10% of families with congenital thrombophilia. Because heterozygous individuals from these families have an elevated risk of venous thromboembolic events, it is vital to establish a clear and accurate diagnosis.</w:t>
      </w:r>
      <w:r w:rsidR="00286B84">
        <w:rPr>
          <w:rFonts w:asciiTheme="majorBidi" w:hAnsiTheme="majorBidi" w:cstheme="majorBidi"/>
        </w:rPr>
        <w:t>(Comp &amp; Esmon,</w:t>
      </w:r>
      <w:r w:rsidR="009D0786">
        <w:rPr>
          <w:rFonts w:asciiTheme="majorBidi" w:hAnsiTheme="majorBidi" w:cstheme="majorBidi"/>
        </w:rPr>
        <w:t xml:space="preserve"> 1997)</w:t>
      </w:r>
      <w:r w:rsidR="00286B84">
        <w:rPr>
          <w:rFonts w:asciiTheme="majorBidi" w:hAnsiTheme="majorBidi" w:cstheme="majorBidi"/>
        </w:rPr>
        <w:t xml:space="preserve"> </w:t>
      </w:r>
      <w:r w:rsidRPr="00A13EBF">
        <w:rPr>
          <w:rFonts w:asciiTheme="majorBidi" w:hAnsiTheme="majorBidi" w:cstheme="majorBidi"/>
        </w:rPr>
        <w:t>Anticoagulant protein S (PS) was identified in the 1970s as a novel vitamin K–dependent plasma glycoprotein containing γ-carboxyglutamic acid residues. Further investigations showed that protein S (PS) acts as a cofactor for the anticoagulant enzyme activated protein C (APC) i</w:t>
      </w:r>
      <w:r w:rsidR="00AE0F2E">
        <w:rPr>
          <w:rFonts w:asciiTheme="majorBidi" w:hAnsiTheme="majorBidi" w:cstheme="majorBidi"/>
        </w:rPr>
        <w:t xml:space="preserve">n the degradation of factor Va. </w:t>
      </w:r>
      <w:r w:rsidR="00286B84">
        <w:rPr>
          <w:rFonts w:asciiTheme="majorBidi" w:hAnsiTheme="majorBidi" w:cstheme="majorBidi"/>
        </w:rPr>
        <w:t>(Dahlback</w:t>
      </w:r>
      <w:r w:rsidR="003720B5">
        <w:rPr>
          <w:rFonts w:asciiTheme="majorBidi" w:hAnsiTheme="majorBidi" w:cstheme="majorBidi"/>
        </w:rPr>
        <w:t>, 2007)</w:t>
      </w:r>
    </w:p>
    <w:p w14:paraId="718AA2A6" w14:textId="77777777" w:rsidR="00A13EBF" w:rsidRPr="003720B5" w:rsidRDefault="00FE2480" w:rsidP="00090FDC">
      <w:pPr>
        <w:pStyle w:val="NormalWeb"/>
        <w:spacing w:before="0" w:beforeAutospacing="0" w:after="0" w:afterAutospacing="0" w:line="360" w:lineRule="auto"/>
        <w:jc w:val="both"/>
        <w:rPr>
          <w:rFonts w:asciiTheme="majorBidi" w:hAnsiTheme="majorBidi" w:cstheme="majorBidi"/>
        </w:rPr>
      </w:pPr>
      <w:r w:rsidRPr="00A13EBF">
        <w:rPr>
          <w:rFonts w:asciiTheme="majorBidi" w:hAnsiTheme="majorBidi" w:cstheme="majorBidi"/>
        </w:rPr>
        <w:t xml:space="preserve">The exact prevalence and incidence of hereditary protein S deficiency in the general population remains unclear, likely because of its rarity and the difficulty in making a precise </w:t>
      </w:r>
      <w:r w:rsidR="00AE0F2E" w:rsidRPr="00A13EBF">
        <w:rPr>
          <w:rFonts w:asciiTheme="majorBidi" w:hAnsiTheme="majorBidi" w:cstheme="majorBidi"/>
        </w:rPr>
        <w:t>diagnosis</w:t>
      </w:r>
      <w:r w:rsidR="00AE0F2E">
        <w:rPr>
          <w:rFonts w:asciiTheme="majorBidi" w:hAnsiTheme="majorBidi" w:cstheme="majorBidi"/>
        </w:rPr>
        <w:t xml:space="preserve"> (</w:t>
      </w:r>
      <w:r w:rsidR="003720B5">
        <w:rPr>
          <w:rFonts w:asciiTheme="majorBidi" w:hAnsiTheme="majorBidi" w:cstheme="majorBidi"/>
        </w:rPr>
        <w:t xml:space="preserve">Ten </w:t>
      </w:r>
      <w:r w:rsidR="00AE0F2E">
        <w:rPr>
          <w:rFonts w:asciiTheme="majorBidi" w:hAnsiTheme="majorBidi" w:cstheme="majorBidi"/>
        </w:rPr>
        <w:t>Kate</w:t>
      </w:r>
      <w:r w:rsidR="003720B5">
        <w:rPr>
          <w:rFonts w:asciiTheme="majorBidi" w:hAnsiTheme="majorBidi" w:cstheme="majorBidi"/>
        </w:rPr>
        <w:t xml:space="preserve"> &amp; van deer, 2008)</w:t>
      </w:r>
    </w:p>
    <w:p w14:paraId="6E8EA0BB" w14:textId="77777777" w:rsidR="00FE2480" w:rsidRPr="00A13EBF" w:rsidRDefault="00A13EBF" w:rsidP="00A13EBF">
      <w:pPr>
        <w:pStyle w:val="NormalWeb"/>
        <w:spacing w:before="0" w:beforeAutospacing="0" w:after="0" w:afterAutospacing="0" w:line="360" w:lineRule="auto"/>
        <w:jc w:val="both"/>
        <w:rPr>
          <w:rFonts w:asciiTheme="majorBidi" w:hAnsiTheme="majorBidi" w:cstheme="majorBidi"/>
          <w:b/>
          <w:bCs/>
        </w:rPr>
      </w:pPr>
      <w:r w:rsidRPr="00A13EBF">
        <w:rPr>
          <w:rFonts w:asciiTheme="majorBidi" w:hAnsiTheme="majorBidi" w:cstheme="majorBidi"/>
          <w:b/>
          <w:bCs/>
        </w:rPr>
        <w:t>DEFINITION</w:t>
      </w:r>
    </w:p>
    <w:p w14:paraId="70B90B75" w14:textId="77777777" w:rsidR="00FE2480" w:rsidRPr="003720B5" w:rsidRDefault="00FE2480" w:rsidP="00A13EBF">
      <w:pPr>
        <w:pStyle w:val="NormalWeb"/>
        <w:spacing w:before="0" w:beforeAutospacing="0" w:after="0" w:afterAutospacing="0" w:line="360" w:lineRule="auto"/>
        <w:jc w:val="both"/>
        <w:rPr>
          <w:rFonts w:asciiTheme="majorBidi" w:hAnsiTheme="majorBidi" w:cstheme="majorBidi"/>
        </w:rPr>
      </w:pPr>
      <w:r w:rsidRPr="00A13EBF">
        <w:rPr>
          <w:rFonts w:asciiTheme="majorBidi" w:hAnsiTheme="majorBidi" w:cstheme="majorBidi"/>
        </w:rPr>
        <w:t>Protein C deficiency is a rare disorder, characterized by a reduction in the activity of protein C</w:t>
      </w:r>
      <w:r w:rsidR="00586C0A" w:rsidRPr="00A13EBF">
        <w:rPr>
          <w:rFonts w:asciiTheme="majorBidi" w:hAnsiTheme="majorBidi" w:cstheme="majorBidi"/>
        </w:rPr>
        <w:t xml:space="preserve">, A plasma serine protease that plays a key role in blood </w:t>
      </w:r>
      <w:r w:rsidR="009021C6" w:rsidRPr="00A13EBF">
        <w:rPr>
          <w:rFonts w:asciiTheme="majorBidi" w:hAnsiTheme="majorBidi" w:cstheme="majorBidi"/>
        </w:rPr>
        <w:t>coagulation;</w:t>
      </w:r>
      <w:r w:rsidR="00586C0A" w:rsidRPr="00A13EBF">
        <w:rPr>
          <w:rFonts w:asciiTheme="majorBidi" w:hAnsiTheme="majorBidi" w:cstheme="majorBidi"/>
        </w:rPr>
        <w:t xml:space="preserve"> </w:t>
      </w:r>
      <w:r w:rsidR="00A13EBF" w:rsidRPr="00A13EBF">
        <w:rPr>
          <w:rFonts w:asciiTheme="majorBidi" w:hAnsiTheme="majorBidi" w:cstheme="majorBidi"/>
        </w:rPr>
        <w:t>this</w:t>
      </w:r>
      <w:r w:rsidR="00586C0A" w:rsidRPr="00A13EBF">
        <w:rPr>
          <w:rFonts w:asciiTheme="majorBidi" w:hAnsiTheme="majorBidi" w:cstheme="majorBidi"/>
        </w:rPr>
        <w:t xml:space="preserve"> reduced activity </w:t>
      </w:r>
      <w:r w:rsidR="00586C0A" w:rsidRPr="00A13EBF">
        <w:rPr>
          <w:rFonts w:asciiTheme="majorBidi" w:hAnsiTheme="majorBidi" w:cstheme="majorBidi"/>
        </w:rPr>
        <w:lastRenderedPageBreak/>
        <w:t>leads to an increased tendency for abnormal blood clot formation, a condition known as thrombophilia</w:t>
      </w:r>
      <w:r w:rsidR="009021C6" w:rsidRPr="00A13EBF">
        <w:rPr>
          <w:rFonts w:asciiTheme="majorBidi" w:hAnsiTheme="majorBidi" w:cstheme="majorBidi"/>
        </w:rPr>
        <w:t>.</w:t>
      </w:r>
      <w:r w:rsidR="009021C6">
        <w:rPr>
          <w:rFonts w:asciiTheme="majorBidi" w:hAnsiTheme="majorBidi" w:cstheme="majorBidi"/>
        </w:rPr>
        <w:t xml:space="preserve"> (</w:t>
      </w:r>
      <w:r w:rsidR="009021C6" w:rsidRPr="003720B5">
        <w:t>Gupta</w:t>
      </w:r>
      <w:r w:rsidR="009021C6">
        <w:t xml:space="preserve"> &amp;</w:t>
      </w:r>
      <w:r w:rsidR="003720B5">
        <w:t xml:space="preserve"> Patibandla, 2023)</w:t>
      </w:r>
    </w:p>
    <w:p w14:paraId="05F98C81" w14:textId="77777777" w:rsidR="00405A26" w:rsidRPr="009021C6" w:rsidRDefault="00586C0A" w:rsidP="009021C6">
      <w:pPr>
        <w:pStyle w:val="NormalWeb"/>
        <w:spacing w:before="0" w:beforeAutospacing="0" w:after="0" w:afterAutospacing="0" w:line="360" w:lineRule="auto"/>
        <w:jc w:val="both"/>
        <w:rPr>
          <w:rFonts w:asciiTheme="majorBidi" w:hAnsiTheme="majorBidi" w:cstheme="majorBidi"/>
        </w:rPr>
      </w:pPr>
      <w:r w:rsidRPr="00A13EBF">
        <w:rPr>
          <w:rFonts w:asciiTheme="majorBidi" w:hAnsiTheme="majorBidi" w:cstheme="majorBidi"/>
        </w:rPr>
        <w:t>Protein S deficiency is a rare condition, defined by decreased activity of protein S, a plasma serine protease that plays multifaceted roles in coagulation, inflammation, and apoptosis</w:t>
      </w:r>
      <w:r w:rsidR="00561A96" w:rsidRPr="00A13EBF">
        <w:rPr>
          <w:rFonts w:asciiTheme="majorBidi" w:hAnsiTheme="majorBidi" w:cstheme="majorBidi"/>
        </w:rPr>
        <w:t>.it is characterized by a reduced capacity to regulate the coagulation process, which can result in excessive blood clot formation (thrombophilia) and an elevated risk of venous thromboembolism (VTE).</w:t>
      </w:r>
      <w:r w:rsidR="003720B5">
        <w:rPr>
          <w:rFonts w:asciiTheme="majorBidi" w:hAnsiTheme="majorBidi" w:cstheme="majorBidi"/>
        </w:rPr>
        <w:t>(</w:t>
      </w:r>
      <w:r w:rsidR="003720B5" w:rsidRPr="003720B5">
        <w:t xml:space="preserve"> </w:t>
      </w:r>
      <w:r w:rsidR="003720B5" w:rsidRPr="00FF0F09">
        <w:t>Tun</w:t>
      </w:r>
      <w:r w:rsidR="003720B5">
        <w:t xml:space="preserve">, A, Gupta, &amp; Tuma, </w:t>
      </w:r>
      <w:r w:rsidR="003720B5" w:rsidRPr="00FF0F09">
        <w:t>2022</w:t>
      </w:r>
      <w:r w:rsidR="003720B5">
        <w:t>)</w:t>
      </w:r>
    </w:p>
    <w:p w14:paraId="518FF439" w14:textId="77777777" w:rsidR="00C46114" w:rsidRPr="00A13EBF" w:rsidRDefault="00DB3CB2" w:rsidP="00A13EBF">
      <w:pPr>
        <w:spacing w:after="0" w:line="360" w:lineRule="auto"/>
        <w:jc w:val="both"/>
        <w:rPr>
          <w:rFonts w:asciiTheme="majorBidi" w:hAnsiTheme="majorBidi" w:cstheme="majorBidi"/>
          <w:b/>
          <w:bCs/>
          <w:sz w:val="24"/>
          <w:szCs w:val="24"/>
          <w:lang w:val="en-US"/>
        </w:rPr>
      </w:pPr>
      <w:r w:rsidRPr="00A13EBF">
        <w:rPr>
          <w:rFonts w:asciiTheme="majorBidi" w:hAnsiTheme="majorBidi" w:cstheme="majorBidi"/>
          <w:b/>
          <w:bCs/>
          <w:sz w:val="24"/>
          <w:szCs w:val="24"/>
          <w:lang w:val="en-US"/>
        </w:rPr>
        <w:t>EPID</w:t>
      </w:r>
      <w:r w:rsidR="00A13EBF" w:rsidRPr="00A13EBF">
        <w:rPr>
          <w:rFonts w:asciiTheme="majorBidi" w:hAnsiTheme="majorBidi" w:cstheme="majorBidi"/>
          <w:b/>
          <w:bCs/>
          <w:sz w:val="24"/>
          <w:szCs w:val="24"/>
          <w:lang w:val="en-US"/>
        </w:rPr>
        <w:t>E</w:t>
      </w:r>
      <w:r w:rsidRPr="00A13EBF">
        <w:rPr>
          <w:rFonts w:asciiTheme="majorBidi" w:hAnsiTheme="majorBidi" w:cstheme="majorBidi"/>
          <w:b/>
          <w:bCs/>
          <w:sz w:val="24"/>
          <w:szCs w:val="24"/>
          <w:lang w:val="en-US"/>
        </w:rPr>
        <w:t>M</w:t>
      </w:r>
      <w:r w:rsidR="00A13EBF" w:rsidRPr="00A13EBF">
        <w:rPr>
          <w:rFonts w:asciiTheme="majorBidi" w:hAnsiTheme="majorBidi" w:cstheme="majorBidi"/>
          <w:b/>
          <w:bCs/>
          <w:sz w:val="24"/>
          <w:szCs w:val="24"/>
          <w:lang w:val="en-US"/>
        </w:rPr>
        <w:t>I</w:t>
      </w:r>
      <w:r w:rsidRPr="00A13EBF">
        <w:rPr>
          <w:rFonts w:asciiTheme="majorBidi" w:hAnsiTheme="majorBidi" w:cstheme="majorBidi"/>
          <w:b/>
          <w:bCs/>
          <w:sz w:val="24"/>
          <w:szCs w:val="24"/>
          <w:lang w:val="en-US"/>
        </w:rPr>
        <w:t>OLOGY</w:t>
      </w:r>
    </w:p>
    <w:p w14:paraId="1A9913DD" w14:textId="77777777" w:rsidR="00A13EBF" w:rsidRPr="00A13EBF" w:rsidRDefault="00694700" w:rsidP="00090FDC">
      <w:pPr>
        <w:spacing w:after="0" w:line="360" w:lineRule="auto"/>
        <w:jc w:val="both"/>
        <w:rPr>
          <w:rFonts w:asciiTheme="majorBidi" w:hAnsiTheme="majorBidi" w:cstheme="majorBidi"/>
          <w:sz w:val="24"/>
          <w:szCs w:val="24"/>
        </w:rPr>
      </w:pPr>
      <w:r w:rsidRPr="00A13EBF">
        <w:rPr>
          <w:rFonts w:asciiTheme="majorBidi" w:hAnsiTheme="majorBidi" w:cstheme="majorBidi"/>
          <w:sz w:val="24"/>
          <w:szCs w:val="24"/>
        </w:rPr>
        <w:t>The initial case of PC deficiency was reported by</w:t>
      </w:r>
      <w:r w:rsidR="003D12D3" w:rsidRPr="00A13EBF">
        <w:rPr>
          <w:rFonts w:asciiTheme="majorBidi" w:hAnsiTheme="majorBidi" w:cstheme="majorBidi"/>
          <w:sz w:val="24"/>
          <w:szCs w:val="24"/>
        </w:rPr>
        <w:t xml:space="preserve"> Griffin and colleagues in 1981 and PS deficiency was initially documented in 1984 by Comp and </w:t>
      </w:r>
      <w:r w:rsidR="003720B5">
        <w:rPr>
          <w:rFonts w:asciiTheme="majorBidi" w:hAnsiTheme="majorBidi" w:cstheme="majorBidi"/>
          <w:sz w:val="24"/>
          <w:szCs w:val="24"/>
        </w:rPr>
        <w:t xml:space="preserve">Esmon. (Comp &amp; Esmon, 1984) </w:t>
      </w:r>
      <w:r w:rsidR="003D12D3" w:rsidRPr="00A13EBF">
        <w:rPr>
          <w:rFonts w:asciiTheme="majorBidi" w:hAnsiTheme="majorBidi" w:cstheme="majorBidi"/>
          <w:sz w:val="24"/>
          <w:szCs w:val="24"/>
        </w:rPr>
        <w:t>The general population has an unexpectedly high estimated prevalence of PC deficiency, standing at 0.4%. Although the prevalence of PS deficiency appears to be lower, the data remains ambiguous, primarily due to challe</w:t>
      </w:r>
      <w:r w:rsidR="003720B5">
        <w:rPr>
          <w:rFonts w:asciiTheme="majorBidi" w:hAnsiTheme="majorBidi" w:cstheme="majorBidi"/>
          <w:sz w:val="24"/>
          <w:szCs w:val="24"/>
        </w:rPr>
        <w:t>nges in l</w:t>
      </w:r>
      <w:r w:rsidR="003C7554">
        <w:rPr>
          <w:rFonts w:asciiTheme="majorBidi" w:hAnsiTheme="majorBidi" w:cstheme="majorBidi"/>
          <w:sz w:val="24"/>
          <w:szCs w:val="24"/>
        </w:rPr>
        <w:t>aboratory diagnosis</w:t>
      </w:r>
      <w:r w:rsidR="00A6309F">
        <w:rPr>
          <w:rFonts w:asciiTheme="majorBidi" w:hAnsiTheme="majorBidi" w:cstheme="majorBidi"/>
          <w:sz w:val="24"/>
          <w:szCs w:val="24"/>
        </w:rPr>
        <w:t>. (</w:t>
      </w:r>
      <w:r w:rsidR="003C7554">
        <w:rPr>
          <w:rFonts w:asciiTheme="majorBidi" w:hAnsiTheme="majorBidi" w:cstheme="majorBidi"/>
          <w:sz w:val="24"/>
          <w:szCs w:val="24"/>
        </w:rPr>
        <w:t>Tait et al</w:t>
      </w:r>
      <w:r w:rsidR="003720B5">
        <w:rPr>
          <w:rFonts w:asciiTheme="majorBidi" w:hAnsiTheme="majorBidi" w:cstheme="majorBidi"/>
          <w:sz w:val="24"/>
          <w:szCs w:val="24"/>
        </w:rPr>
        <w:t>., 1995)</w:t>
      </w:r>
      <w:r w:rsidR="005D0751" w:rsidRPr="00A13EBF">
        <w:rPr>
          <w:rFonts w:asciiTheme="majorBidi" w:hAnsiTheme="majorBidi" w:cstheme="majorBidi"/>
          <w:sz w:val="24"/>
          <w:szCs w:val="24"/>
        </w:rPr>
        <w:t xml:space="preserve"> The occurrence of PC deficiency among individuals displaying clinical symptoms has been approximated at </w:t>
      </w:r>
      <w:r w:rsidR="003720B5">
        <w:rPr>
          <w:rFonts w:asciiTheme="majorBidi" w:hAnsiTheme="majorBidi" w:cstheme="majorBidi"/>
          <w:sz w:val="24"/>
          <w:szCs w:val="24"/>
        </w:rPr>
        <w:t>1 in 20,000</w:t>
      </w:r>
      <w:r w:rsidR="003720B5" w:rsidRPr="00A13EBF">
        <w:rPr>
          <w:rFonts w:asciiTheme="majorBidi" w:hAnsiTheme="majorBidi" w:cstheme="majorBidi"/>
        </w:rPr>
        <w:t>.</w:t>
      </w:r>
      <w:r w:rsidR="003720B5">
        <w:rPr>
          <w:rFonts w:asciiTheme="majorBidi" w:hAnsiTheme="majorBidi" w:cstheme="majorBidi"/>
        </w:rPr>
        <w:t>(Dinarvand &amp; Moser, 2019).</w:t>
      </w:r>
      <w:r w:rsidR="005D0751" w:rsidRPr="00A13EBF">
        <w:rPr>
          <w:rFonts w:asciiTheme="majorBidi" w:hAnsiTheme="majorBidi" w:cstheme="majorBidi"/>
          <w:sz w:val="24"/>
          <w:szCs w:val="24"/>
        </w:rPr>
        <w:t xml:space="preserve">While the incidence of PS deficiency, while rare in the overall population, is observed in about 2% of unselected individuals and between 1% to 13% of </w:t>
      </w:r>
      <w:r w:rsidR="00A13EBF" w:rsidRPr="00A13EBF">
        <w:rPr>
          <w:rFonts w:asciiTheme="majorBidi" w:hAnsiTheme="majorBidi" w:cstheme="majorBidi"/>
          <w:sz w:val="24"/>
          <w:szCs w:val="24"/>
        </w:rPr>
        <w:t>thrombophilia</w:t>
      </w:r>
      <w:r w:rsidR="005D0751" w:rsidRPr="00A13EBF">
        <w:rPr>
          <w:rFonts w:asciiTheme="majorBidi" w:hAnsiTheme="majorBidi" w:cstheme="majorBidi"/>
          <w:sz w:val="24"/>
          <w:szCs w:val="24"/>
        </w:rPr>
        <w:t xml:space="preserve"> patients experiencing VTE. Moreover, increasing evidence suggests that a deficiency in PS is more common among Japanese and Chinese groups. The estimated occurrence in the overall Japanese population ranges from 1% to 2</w:t>
      </w:r>
      <w:r w:rsidR="00A13EBF" w:rsidRPr="00A13EBF">
        <w:rPr>
          <w:rFonts w:asciiTheme="majorBidi" w:hAnsiTheme="majorBidi" w:cstheme="majorBidi"/>
          <w:sz w:val="24"/>
          <w:szCs w:val="24"/>
        </w:rPr>
        <w:t>%. various</w:t>
      </w:r>
      <w:r w:rsidR="005D0751" w:rsidRPr="00A13EBF">
        <w:rPr>
          <w:rFonts w:asciiTheme="majorBidi" w:hAnsiTheme="majorBidi" w:cstheme="majorBidi"/>
          <w:sz w:val="24"/>
          <w:szCs w:val="24"/>
        </w:rPr>
        <w:t xml:space="preserve"> diagnostic assessments for identifying PS deficiency, or the widespread occurrence of a particular PROS1 mutation limited to a specific </w:t>
      </w:r>
      <w:r w:rsidR="00A13EBF" w:rsidRPr="00A13EBF">
        <w:rPr>
          <w:rFonts w:asciiTheme="majorBidi" w:hAnsiTheme="majorBidi" w:cstheme="majorBidi"/>
          <w:sz w:val="24"/>
          <w:szCs w:val="24"/>
        </w:rPr>
        <w:t>region. (</w:t>
      </w:r>
      <w:r w:rsidR="003720B5">
        <w:rPr>
          <w:rFonts w:asciiTheme="majorBidi" w:hAnsiTheme="majorBidi" w:cstheme="majorBidi"/>
          <w:sz w:val="24"/>
          <w:szCs w:val="24"/>
        </w:rPr>
        <w:t xml:space="preserve">Ten </w:t>
      </w:r>
      <w:r w:rsidR="00A6309F">
        <w:rPr>
          <w:rFonts w:asciiTheme="majorBidi" w:hAnsiTheme="majorBidi" w:cstheme="majorBidi"/>
          <w:sz w:val="24"/>
          <w:szCs w:val="24"/>
        </w:rPr>
        <w:t>Kate</w:t>
      </w:r>
      <w:r w:rsidR="003720B5">
        <w:rPr>
          <w:rFonts w:asciiTheme="majorBidi" w:hAnsiTheme="majorBidi" w:cstheme="majorBidi"/>
          <w:sz w:val="24"/>
          <w:szCs w:val="24"/>
        </w:rPr>
        <w:t xml:space="preserve"> &amp; Van der, 2008)</w:t>
      </w:r>
    </w:p>
    <w:p w14:paraId="7D9BC100" w14:textId="77777777" w:rsidR="00A65B3E" w:rsidRPr="00A13EBF" w:rsidRDefault="00A65B3E" w:rsidP="00A13EBF">
      <w:pPr>
        <w:pStyle w:val="NoSpacing"/>
        <w:spacing w:line="360" w:lineRule="auto"/>
        <w:jc w:val="both"/>
        <w:rPr>
          <w:rFonts w:asciiTheme="majorBidi" w:hAnsiTheme="majorBidi" w:cstheme="majorBidi"/>
          <w:b/>
          <w:bCs/>
          <w:sz w:val="24"/>
          <w:szCs w:val="24"/>
          <w:lang w:val="en-US"/>
        </w:rPr>
      </w:pPr>
      <w:r w:rsidRPr="00A13EBF">
        <w:rPr>
          <w:rFonts w:asciiTheme="majorBidi" w:hAnsiTheme="majorBidi" w:cstheme="majorBidi"/>
          <w:b/>
          <w:bCs/>
          <w:sz w:val="24"/>
          <w:szCs w:val="24"/>
          <w:lang w:val="en-US"/>
        </w:rPr>
        <w:t xml:space="preserve">CLASSIFICATION </w:t>
      </w:r>
      <w:r w:rsidR="00DB3CB2" w:rsidRPr="00A13EBF">
        <w:rPr>
          <w:rFonts w:asciiTheme="majorBidi" w:hAnsiTheme="majorBidi" w:cstheme="majorBidi"/>
          <w:b/>
          <w:bCs/>
          <w:sz w:val="24"/>
          <w:szCs w:val="24"/>
          <w:lang w:val="en-US"/>
        </w:rPr>
        <w:t xml:space="preserve">OF PROTEIN C AND PROTEIN S ON </w:t>
      </w:r>
      <w:r w:rsidRPr="00A13EBF">
        <w:rPr>
          <w:rFonts w:asciiTheme="majorBidi" w:hAnsiTheme="majorBidi" w:cstheme="majorBidi"/>
          <w:b/>
          <w:bCs/>
          <w:sz w:val="24"/>
          <w:szCs w:val="24"/>
          <w:lang w:val="en-US"/>
        </w:rPr>
        <w:t>GENETIC BASIS</w:t>
      </w:r>
    </w:p>
    <w:p w14:paraId="5B481449" w14:textId="77777777" w:rsidR="002A2597" w:rsidRPr="00A13EBF" w:rsidRDefault="00407AB6" w:rsidP="00A13EBF">
      <w:pPr>
        <w:spacing w:after="0" w:line="360" w:lineRule="auto"/>
        <w:jc w:val="both"/>
        <w:rPr>
          <w:rFonts w:asciiTheme="majorBidi" w:hAnsiTheme="majorBidi" w:cstheme="majorBidi"/>
          <w:color w:val="333333"/>
          <w:sz w:val="24"/>
          <w:szCs w:val="24"/>
          <w:shd w:val="clear" w:color="auto" w:fill="FFFFFF"/>
        </w:rPr>
      </w:pPr>
      <w:r w:rsidRPr="00A13EBF">
        <w:rPr>
          <w:rFonts w:asciiTheme="majorBidi" w:hAnsiTheme="majorBidi" w:cstheme="majorBidi"/>
          <w:sz w:val="24"/>
          <w:szCs w:val="24"/>
        </w:rPr>
        <w:t xml:space="preserve">Protein C deficiency is an uncommon genetic condition resulting from changes in the PROC gene found on chromosome 2q14.3. </w:t>
      </w:r>
      <w:r w:rsidRPr="009021C6">
        <w:rPr>
          <w:rFonts w:asciiTheme="majorBidi" w:hAnsiTheme="majorBidi" w:cstheme="majorBidi"/>
          <w:sz w:val="24"/>
          <w:szCs w:val="24"/>
        </w:rPr>
        <w:t xml:space="preserve">Both dominant and recessive autosomal inheritance patterns can result in the onset of diseases. The occurrence of protein C deficiency varies between 1 in 40,000 and 1 in 250,000 </w:t>
      </w:r>
      <w:r w:rsidR="003720B5" w:rsidRPr="009021C6">
        <w:rPr>
          <w:rFonts w:asciiTheme="majorBidi" w:hAnsiTheme="majorBidi" w:cstheme="majorBidi"/>
          <w:sz w:val="24"/>
          <w:szCs w:val="24"/>
        </w:rPr>
        <w:t>individuals</w:t>
      </w:r>
      <w:r w:rsidR="00A6309F">
        <w:rPr>
          <w:rFonts w:asciiTheme="majorBidi" w:hAnsiTheme="majorBidi" w:cstheme="majorBidi"/>
          <w:color w:val="333333"/>
          <w:sz w:val="24"/>
          <w:szCs w:val="24"/>
          <w:shd w:val="clear" w:color="auto" w:fill="FFFFFF"/>
        </w:rPr>
        <w:t>. (</w:t>
      </w:r>
      <w:r w:rsidR="00A6309F" w:rsidRPr="003720B5">
        <w:rPr>
          <w:rFonts w:ascii="Times New Roman" w:hAnsi="Times New Roman" w:cs="Times New Roman"/>
          <w:sz w:val="24"/>
          <w:szCs w:val="24"/>
        </w:rPr>
        <w:t>Ryu</w:t>
      </w:r>
      <w:r w:rsidR="003720B5">
        <w:rPr>
          <w:rFonts w:ascii="Times New Roman" w:hAnsi="Times New Roman" w:cs="Times New Roman"/>
          <w:sz w:val="24"/>
          <w:szCs w:val="24"/>
        </w:rPr>
        <w:t xml:space="preserve"> &amp; Hong, </w:t>
      </w:r>
      <w:r w:rsidR="003720B5" w:rsidRPr="00FF0F09">
        <w:rPr>
          <w:rFonts w:ascii="Times New Roman" w:hAnsi="Times New Roman" w:cs="Times New Roman"/>
          <w:sz w:val="24"/>
          <w:szCs w:val="24"/>
        </w:rPr>
        <w:t>2021).</w:t>
      </w:r>
    </w:p>
    <w:p w14:paraId="773F14F3" w14:textId="77777777" w:rsidR="00407AB6" w:rsidRPr="00A13EBF" w:rsidRDefault="00407AB6" w:rsidP="00A13EBF">
      <w:pPr>
        <w:spacing w:after="0" w:line="360" w:lineRule="auto"/>
        <w:jc w:val="both"/>
        <w:rPr>
          <w:rFonts w:asciiTheme="majorBidi" w:hAnsiTheme="majorBidi" w:cstheme="majorBidi"/>
          <w:color w:val="333333"/>
          <w:sz w:val="24"/>
          <w:szCs w:val="24"/>
          <w:shd w:val="clear" w:color="auto" w:fill="FFFFFF"/>
        </w:rPr>
      </w:pPr>
      <w:r w:rsidRPr="00A13EBF">
        <w:rPr>
          <w:rFonts w:asciiTheme="majorBidi" w:hAnsiTheme="majorBidi" w:cstheme="majorBidi"/>
          <w:sz w:val="24"/>
          <w:szCs w:val="24"/>
        </w:rPr>
        <w:t xml:space="preserve">The rare and severe form of Protein C deficiency, which is autosomal recessive, has an incidence rate of 1 in 4 </w:t>
      </w:r>
      <w:r w:rsidR="00A13EBF" w:rsidRPr="00A13EBF">
        <w:rPr>
          <w:rFonts w:asciiTheme="majorBidi" w:hAnsiTheme="majorBidi" w:cstheme="majorBidi"/>
          <w:sz w:val="24"/>
          <w:szCs w:val="24"/>
        </w:rPr>
        <w:t>million (</w:t>
      </w:r>
      <w:r w:rsidR="003720B5">
        <w:rPr>
          <w:rFonts w:asciiTheme="majorBidi" w:hAnsiTheme="majorBidi" w:cstheme="majorBidi"/>
          <w:sz w:val="24"/>
          <w:szCs w:val="24"/>
        </w:rPr>
        <w:t>Nou</w:t>
      </w:r>
      <w:r w:rsidR="003C7554">
        <w:rPr>
          <w:rFonts w:asciiTheme="majorBidi" w:hAnsiTheme="majorBidi" w:cstheme="majorBidi"/>
          <w:sz w:val="24"/>
          <w:szCs w:val="24"/>
        </w:rPr>
        <w:t>rbaksh et al</w:t>
      </w:r>
      <w:r w:rsidRPr="00A13EBF">
        <w:rPr>
          <w:rFonts w:asciiTheme="majorBidi" w:hAnsiTheme="majorBidi" w:cstheme="majorBidi"/>
          <w:sz w:val="24"/>
          <w:szCs w:val="24"/>
        </w:rPr>
        <w:t>.</w:t>
      </w:r>
      <w:r w:rsidR="003C7554">
        <w:rPr>
          <w:rFonts w:asciiTheme="majorBidi" w:hAnsiTheme="majorBidi" w:cstheme="majorBidi"/>
          <w:sz w:val="24"/>
          <w:szCs w:val="24"/>
        </w:rPr>
        <w:t>, 2023)</w:t>
      </w:r>
    </w:p>
    <w:p w14:paraId="4A13A5B6" w14:textId="77777777" w:rsidR="002A2597" w:rsidRPr="00A13EBF" w:rsidRDefault="00407AB6" w:rsidP="00A13EBF">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lang w:val="en-US"/>
        </w:rPr>
        <w:t>Hereditary PC deficiency is an autosomal dominant condition linked to a significant risk</w:t>
      </w:r>
      <w:r w:rsidR="003C7554">
        <w:rPr>
          <w:rFonts w:asciiTheme="majorBidi" w:hAnsiTheme="majorBidi" w:cstheme="majorBidi"/>
          <w:sz w:val="24"/>
          <w:szCs w:val="24"/>
          <w:lang w:val="en-US"/>
        </w:rPr>
        <w:t xml:space="preserve"> of venous thromboembolism VTE</w:t>
      </w:r>
      <w:r w:rsidR="00A6309F">
        <w:rPr>
          <w:rFonts w:asciiTheme="majorBidi" w:hAnsiTheme="majorBidi" w:cstheme="majorBidi"/>
          <w:sz w:val="24"/>
          <w:szCs w:val="24"/>
          <w:lang w:val="en-US"/>
        </w:rPr>
        <w:t>. (</w:t>
      </w:r>
      <w:r w:rsidR="00A6309F" w:rsidRPr="003C7554">
        <w:rPr>
          <w:rFonts w:ascii="Times New Roman" w:hAnsi="Times New Roman" w:cs="Times New Roman"/>
          <w:sz w:val="24"/>
          <w:szCs w:val="24"/>
        </w:rPr>
        <w:t>Xie</w:t>
      </w:r>
      <w:r w:rsidR="00A6309F">
        <w:rPr>
          <w:rFonts w:ascii="Times New Roman" w:hAnsi="Times New Roman" w:cs="Times New Roman"/>
          <w:sz w:val="24"/>
          <w:szCs w:val="24"/>
        </w:rPr>
        <w:t xml:space="preserve"> &amp;</w:t>
      </w:r>
      <w:r w:rsidR="003C7554">
        <w:rPr>
          <w:rFonts w:ascii="Times New Roman" w:hAnsi="Times New Roman" w:cs="Times New Roman"/>
          <w:sz w:val="24"/>
          <w:szCs w:val="24"/>
        </w:rPr>
        <w:t xml:space="preserve"> Chen, </w:t>
      </w:r>
      <w:r w:rsidR="003C7554" w:rsidRPr="00FF0F09">
        <w:rPr>
          <w:rFonts w:ascii="Times New Roman" w:hAnsi="Times New Roman" w:cs="Times New Roman"/>
          <w:sz w:val="24"/>
          <w:szCs w:val="24"/>
        </w:rPr>
        <w:t>2017</w:t>
      </w:r>
      <w:r w:rsidR="002A2597" w:rsidRPr="00A13EBF">
        <w:rPr>
          <w:rFonts w:asciiTheme="majorBidi" w:hAnsiTheme="majorBidi" w:cstheme="majorBidi"/>
          <w:sz w:val="24"/>
          <w:szCs w:val="24"/>
          <w:lang w:val="en-US"/>
        </w:rPr>
        <w:t>)</w:t>
      </w:r>
      <w:r w:rsidRPr="00A13EBF">
        <w:rPr>
          <w:rFonts w:asciiTheme="majorBidi" w:hAnsiTheme="majorBidi" w:cstheme="majorBidi"/>
          <w:sz w:val="24"/>
          <w:szCs w:val="24"/>
          <w:lang w:val="en-US"/>
        </w:rPr>
        <w:t>.</w:t>
      </w:r>
    </w:p>
    <w:p w14:paraId="6EC925A2" w14:textId="77777777" w:rsidR="00407AB6" w:rsidRPr="00A13EBF" w:rsidRDefault="00407AB6" w:rsidP="00A13EBF">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rPr>
        <w:t xml:space="preserve">whereas PS deficiency type 1 is </w:t>
      </w:r>
      <w:r w:rsidR="00A13EBF" w:rsidRPr="00A13EBF">
        <w:rPr>
          <w:rFonts w:asciiTheme="majorBidi" w:hAnsiTheme="majorBidi" w:cstheme="majorBidi"/>
          <w:sz w:val="24"/>
          <w:szCs w:val="24"/>
        </w:rPr>
        <w:t>a monogenic</w:t>
      </w:r>
      <w:r w:rsidRPr="00A13EBF">
        <w:rPr>
          <w:rFonts w:asciiTheme="majorBidi" w:hAnsiTheme="majorBidi" w:cstheme="majorBidi"/>
          <w:sz w:val="24"/>
          <w:szCs w:val="24"/>
        </w:rPr>
        <w:t xml:space="preserve"> condition caused by variations in PROS 1 </w:t>
      </w:r>
      <w:r w:rsidR="00A13EBF" w:rsidRPr="00A13EBF">
        <w:rPr>
          <w:rFonts w:asciiTheme="majorBidi" w:hAnsiTheme="majorBidi" w:cstheme="majorBidi"/>
          <w:sz w:val="24"/>
          <w:szCs w:val="24"/>
        </w:rPr>
        <w:t>gene, while</w:t>
      </w:r>
      <w:r w:rsidRPr="00A13EBF">
        <w:rPr>
          <w:rFonts w:asciiTheme="majorBidi" w:hAnsiTheme="majorBidi" w:cstheme="majorBidi"/>
          <w:sz w:val="24"/>
          <w:szCs w:val="24"/>
        </w:rPr>
        <w:t xml:space="preserve"> PS deficiency type III probably represents a more complex or diverse </w:t>
      </w:r>
      <w:r w:rsidR="00A13EBF" w:rsidRPr="00A13EBF">
        <w:rPr>
          <w:rFonts w:asciiTheme="majorBidi" w:hAnsiTheme="majorBidi" w:cstheme="majorBidi"/>
          <w:sz w:val="24"/>
          <w:szCs w:val="24"/>
        </w:rPr>
        <w:t>condition. (</w:t>
      </w:r>
      <w:r w:rsidR="003C7554">
        <w:rPr>
          <w:rFonts w:asciiTheme="majorBidi" w:hAnsiTheme="majorBidi" w:cstheme="majorBidi"/>
          <w:sz w:val="24"/>
          <w:szCs w:val="24"/>
        </w:rPr>
        <w:t xml:space="preserve">Ten </w:t>
      </w:r>
      <w:r w:rsidR="00A6309F">
        <w:rPr>
          <w:rFonts w:asciiTheme="majorBidi" w:hAnsiTheme="majorBidi" w:cstheme="majorBidi"/>
          <w:sz w:val="24"/>
          <w:szCs w:val="24"/>
        </w:rPr>
        <w:t>Kate</w:t>
      </w:r>
      <w:r w:rsidR="003C7554">
        <w:rPr>
          <w:rFonts w:asciiTheme="majorBidi" w:hAnsiTheme="majorBidi" w:cstheme="majorBidi"/>
          <w:sz w:val="24"/>
          <w:szCs w:val="24"/>
        </w:rPr>
        <w:t xml:space="preserve"> et al., 2006</w:t>
      </w:r>
      <w:r w:rsidR="002A2597" w:rsidRPr="00A13EBF">
        <w:rPr>
          <w:rFonts w:asciiTheme="majorBidi" w:hAnsiTheme="majorBidi" w:cstheme="majorBidi"/>
          <w:sz w:val="24"/>
          <w:szCs w:val="24"/>
        </w:rPr>
        <w:t>)</w:t>
      </w:r>
    </w:p>
    <w:p w14:paraId="35B5B4FC" w14:textId="77777777" w:rsidR="00407AB6" w:rsidRPr="00A13EBF" w:rsidRDefault="00407AB6" w:rsidP="00A13EBF">
      <w:pPr>
        <w:spacing w:after="0" w:line="360" w:lineRule="auto"/>
        <w:jc w:val="both"/>
        <w:rPr>
          <w:rFonts w:asciiTheme="majorBidi" w:hAnsiTheme="majorBidi" w:cstheme="majorBidi"/>
          <w:sz w:val="24"/>
          <w:szCs w:val="24"/>
        </w:rPr>
      </w:pPr>
      <w:r w:rsidRPr="00A13EBF">
        <w:rPr>
          <w:rFonts w:asciiTheme="majorBidi" w:hAnsiTheme="majorBidi" w:cstheme="majorBidi"/>
          <w:sz w:val="24"/>
          <w:szCs w:val="24"/>
        </w:rPr>
        <w:lastRenderedPageBreak/>
        <w:t xml:space="preserve">Protein S is produced by the active PROS 1 gene located on chromosome 3, while there is also an inactive pseudogene, PROS 2, found on the same chromosome. However, PROS 2 is not transcribed and shares a 97% similarity with PROS 1, differing mainly due to the lack of exon 1 and the presence of stop codons within the sequence. It can be anticipated that mutations leading to defects in protein S will be found within the PROS 1 </w:t>
      </w:r>
      <w:r w:rsidR="00A13EBF" w:rsidRPr="00A13EBF">
        <w:rPr>
          <w:rFonts w:asciiTheme="majorBidi" w:hAnsiTheme="majorBidi" w:cstheme="majorBidi"/>
          <w:sz w:val="24"/>
          <w:szCs w:val="24"/>
        </w:rPr>
        <w:t>gene. (</w:t>
      </w:r>
      <w:r w:rsidR="003C7554">
        <w:rPr>
          <w:rFonts w:ascii="Times New Roman" w:hAnsi="Times New Roman" w:cs="Times New Roman"/>
          <w:sz w:val="24"/>
          <w:szCs w:val="24"/>
        </w:rPr>
        <w:t xml:space="preserve">Xie, Liu, Chen, </w:t>
      </w:r>
      <w:r w:rsidR="003C7554" w:rsidRPr="00FF0F09">
        <w:rPr>
          <w:rFonts w:ascii="Times New Roman" w:hAnsi="Times New Roman" w:cs="Times New Roman"/>
          <w:sz w:val="24"/>
          <w:szCs w:val="24"/>
        </w:rPr>
        <w:t>2017</w:t>
      </w:r>
      <w:r w:rsidR="002A2597" w:rsidRPr="00A13EBF">
        <w:rPr>
          <w:rFonts w:asciiTheme="majorBidi" w:hAnsiTheme="majorBidi" w:cstheme="majorBidi"/>
          <w:sz w:val="24"/>
          <w:szCs w:val="24"/>
        </w:rPr>
        <w:t>)</w:t>
      </w:r>
    </w:p>
    <w:p w14:paraId="16ECE836" w14:textId="77777777" w:rsidR="00A13EBF" w:rsidRPr="00A13EBF" w:rsidRDefault="00407AB6" w:rsidP="00090FDC">
      <w:pPr>
        <w:spacing w:after="0" w:line="360" w:lineRule="auto"/>
        <w:jc w:val="both"/>
        <w:rPr>
          <w:rFonts w:asciiTheme="majorBidi" w:hAnsiTheme="majorBidi" w:cstheme="majorBidi"/>
          <w:sz w:val="24"/>
          <w:szCs w:val="24"/>
        </w:rPr>
      </w:pPr>
      <w:r w:rsidRPr="00A13EBF">
        <w:rPr>
          <w:rFonts w:asciiTheme="majorBidi" w:hAnsiTheme="majorBidi" w:cstheme="majorBidi"/>
          <w:sz w:val="24"/>
          <w:szCs w:val="24"/>
        </w:rPr>
        <w:t>According to the Human Gene Mutation Database, 450 mutations in the PROS1 gene have been identified as contributors to protein S deficiency, with a majority being missense or nonsense mutations (56%</w:t>
      </w:r>
      <w:r w:rsidR="00A13EBF" w:rsidRPr="00A13EBF">
        <w:rPr>
          <w:rFonts w:asciiTheme="majorBidi" w:hAnsiTheme="majorBidi" w:cstheme="majorBidi"/>
          <w:sz w:val="24"/>
          <w:szCs w:val="24"/>
        </w:rPr>
        <w:t>). (</w:t>
      </w:r>
      <w:r w:rsidR="003C7554">
        <w:rPr>
          <w:rFonts w:ascii="Times New Roman" w:hAnsi="Times New Roman" w:cs="Times New Roman"/>
          <w:sz w:val="24"/>
          <w:szCs w:val="24"/>
        </w:rPr>
        <w:t>Mustafa et al., 1995)</w:t>
      </w:r>
      <w:r w:rsidR="003C7554" w:rsidRPr="00FF0F09">
        <w:rPr>
          <w:rFonts w:ascii="Times New Roman" w:hAnsi="Times New Roman" w:cs="Times New Roman"/>
          <w:sz w:val="24"/>
          <w:szCs w:val="24"/>
        </w:rPr>
        <w:t xml:space="preserve"> </w:t>
      </w:r>
    </w:p>
    <w:p w14:paraId="19953018" w14:textId="77777777" w:rsidR="002A2597" w:rsidRPr="00A13EBF" w:rsidRDefault="00A65B3E" w:rsidP="00A13EBF">
      <w:pPr>
        <w:pStyle w:val="Heading1"/>
        <w:spacing w:before="0" w:line="360" w:lineRule="auto"/>
        <w:jc w:val="both"/>
        <w:rPr>
          <w:rFonts w:asciiTheme="majorBidi" w:hAnsiTheme="majorBidi"/>
          <w:bCs w:val="0"/>
          <w:color w:val="auto"/>
          <w:sz w:val="24"/>
          <w:szCs w:val="24"/>
        </w:rPr>
      </w:pPr>
      <w:r w:rsidRPr="00A13EBF">
        <w:rPr>
          <w:rFonts w:asciiTheme="majorBidi" w:hAnsiTheme="majorBidi"/>
          <w:bCs w:val="0"/>
          <w:color w:val="auto"/>
          <w:sz w:val="24"/>
          <w:szCs w:val="24"/>
        </w:rPr>
        <w:t>PHYSIOLOGY</w:t>
      </w:r>
      <w:r w:rsidRPr="00A13EBF">
        <w:rPr>
          <w:rFonts w:asciiTheme="majorBidi" w:hAnsiTheme="majorBidi"/>
          <w:bCs w:val="0"/>
          <w:color w:val="auto"/>
          <w:spacing w:val="-3"/>
          <w:sz w:val="24"/>
          <w:szCs w:val="24"/>
        </w:rPr>
        <w:t xml:space="preserve"> </w:t>
      </w:r>
      <w:r w:rsidRPr="00A13EBF">
        <w:rPr>
          <w:rFonts w:asciiTheme="majorBidi" w:hAnsiTheme="majorBidi"/>
          <w:bCs w:val="0"/>
          <w:color w:val="auto"/>
          <w:sz w:val="24"/>
          <w:szCs w:val="24"/>
        </w:rPr>
        <w:t>OF</w:t>
      </w:r>
      <w:r w:rsidRPr="00A13EBF">
        <w:rPr>
          <w:rFonts w:asciiTheme="majorBidi" w:hAnsiTheme="majorBidi"/>
          <w:bCs w:val="0"/>
          <w:color w:val="auto"/>
          <w:spacing w:val="-2"/>
          <w:sz w:val="24"/>
          <w:szCs w:val="24"/>
        </w:rPr>
        <w:t xml:space="preserve"> </w:t>
      </w:r>
      <w:r w:rsidRPr="00A13EBF">
        <w:rPr>
          <w:rFonts w:asciiTheme="majorBidi" w:hAnsiTheme="majorBidi"/>
          <w:bCs w:val="0"/>
          <w:color w:val="auto"/>
          <w:sz w:val="24"/>
          <w:szCs w:val="24"/>
        </w:rPr>
        <w:t>PROTEIN</w:t>
      </w:r>
      <w:r w:rsidRPr="00A13EBF">
        <w:rPr>
          <w:rFonts w:asciiTheme="majorBidi" w:hAnsiTheme="majorBidi"/>
          <w:bCs w:val="0"/>
          <w:color w:val="auto"/>
          <w:spacing w:val="-2"/>
          <w:sz w:val="24"/>
          <w:szCs w:val="24"/>
        </w:rPr>
        <w:t xml:space="preserve"> </w:t>
      </w:r>
      <w:r w:rsidRPr="00A13EBF">
        <w:rPr>
          <w:rFonts w:asciiTheme="majorBidi" w:hAnsiTheme="majorBidi"/>
          <w:bCs w:val="0"/>
          <w:color w:val="auto"/>
          <w:sz w:val="24"/>
          <w:szCs w:val="24"/>
        </w:rPr>
        <w:t>C</w:t>
      </w:r>
      <w:r w:rsidRPr="00A13EBF">
        <w:rPr>
          <w:rFonts w:asciiTheme="majorBidi" w:hAnsiTheme="majorBidi"/>
          <w:bCs w:val="0"/>
          <w:color w:val="auto"/>
          <w:spacing w:val="-4"/>
          <w:sz w:val="24"/>
          <w:szCs w:val="24"/>
        </w:rPr>
        <w:t xml:space="preserve"> </w:t>
      </w:r>
      <w:r w:rsidRPr="00A13EBF">
        <w:rPr>
          <w:rFonts w:asciiTheme="majorBidi" w:hAnsiTheme="majorBidi"/>
          <w:bCs w:val="0"/>
          <w:color w:val="auto"/>
          <w:sz w:val="24"/>
          <w:szCs w:val="24"/>
        </w:rPr>
        <w:t>AND</w:t>
      </w:r>
      <w:r w:rsidRPr="00A13EBF">
        <w:rPr>
          <w:rFonts w:asciiTheme="majorBidi" w:hAnsiTheme="majorBidi"/>
          <w:bCs w:val="0"/>
          <w:color w:val="auto"/>
          <w:spacing w:val="-2"/>
          <w:sz w:val="24"/>
          <w:szCs w:val="24"/>
        </w:rPr>
        <w:t xml:space="preserve"> </w:t>
      </w:r>
      <w:r w:rsidRPr="00A13EBF">
        <w:rPr>
          <w:rFonts w:asciiTheme="majorBidi" w:hAnsiTheme="majorBidi"/>
          <w:bCs w:val="0"/>
          <w:color w:val="auto"/>
          <w:sz w:val="24"/>
          <w:szCs w:val="24"/>
        </w:rPr>
        <w:t>PROTEIN</w:t>
      </w:r>
      <w:r w:rsidRPr="00A13EBF">
        <w:rPr>
          <w:rFonts w:asciiTheme="majorBidi" w:hAnsiTheme="majorBidi"/>
          <w:bCs w:val="0"/>
          <w:color w:val="auto"/>
          <w:spacing w:val="-1"/>
          <w:sz w:val="24"/>
          <w:szCs w:val="24"/>
        </w:rPr>
        <w:t xml:space="preserve"> </w:t>
      </w:r>
      <w:r w:rsidRPr="00A13EBF">
        <w:rPr>
          <w:rFonts w:asciiTheme="majorBidi" w:hAnsiTheme="majorBidi"/>
          <w:bCs w:val="0"/>
          <w:color w:val="auto"/>
          <w:spacing w:val="-10"/>
          <w:sz w:val="24"/>
          <w:szCs w:val="24"/>
        </w:rPr>
        <w:t>S</w:t>
      </w:r>
    </w:p>
    <w:p w14:paraId="0B62BF58" w14:textId="77777777" w:rsidR="002A2597" w:rsidRPr="00A13EBF" w:rsidRDefault="002A2597" w:rsidP="00A13EBF">
      <w:pPr>
        <w:pStyle w:val="ListParagraph"/>
        <w:widowControl w:val="0"/>
        <w:tabs>
          <w:tab w:val="left" w:pos="203"/>
        </w:tabs>
        <w:autoSpaceDE w:val="0"/>
        <w:autoSpaceDN w:val="0"/>
        <w:spacing w:after="0" w:line="360" w:lineRule="auto"/>
        <w:ind w:left="0"/>
        <w:jc w:val="both"/>
        <w:rPr>
          <w:rFonts w:asciiTheme="majorBidi" w:hAnsiTheme="majorBidi" w:cstheme="majorBidi"/>
          <w:b/>
          <w:bCs/>
          <w:sz w:val="24"/>
          <w:szCs w:val="24"/>
        </w:rPr>
      </w:pPr>
      <w:r w:rsidRPr="00A13EBF">
        <w:rPr>
          <w:rFonts w:asciiTheme="majorBidi" w:hAnsiTheme="majorBidi" w:cstheme="majorBidi"/>
          <w:b/>
          <w:bCs/>
          <w:sz w:val="24"/>
          <w:szCs w:val="24"/>
        </w:rPr>
        <w:t>Synthesis</w:t>
      </w:r>
      <w:r w:rsidRPr="00A13EBF">
        <w:rPr>
          <w:rFonts w:asciiTheme="majorBidi" w:hAnsiTheme="majorBidi" w:cstheme="majorBidi"/>
          <w:b/>
          <w:bCs/>
          <w:spacing w:val="-2"/>
          <w:sz w:val="24"/>
          <w:szCs w:val="24"/>
        </w:rPr>
        <w:t xml:space="preserve"> </w:t>
      </w:r>
      <w:r w:rsidRPr="00A13EBF">
        <w:rPr>
          <w:rFonts w:asciiTheme="majorBidi" w:hAnsiTheme="majorBidi" w:cstheme="majorBidi"/>
          <w:b/>
          <w:bCs/>
          <w:sz w:val="24"/>
          <w:szCs w:val="24"/>
        </w:rPr>
        <w:t>(liver,</w:t>
      </w:r>
      <w:r w:rsidRPr="00A13EBF">
        <w:rPr>
          <w:rFonts w:asciiTheme="majorBidi" w:hAnsiTheme="majorBidi" w:cstheme="majorBidi"/>
          <w:b/>
          <w:bCs/>
          <w:spacing w:val="-2"/>
          <w:sz w:val="24"/>
          <w:szCs w:val="24"/>
        </w:rPr>
        <w:t xml:space="preserve"> </w:t>
      </w:r>
      <w:r w:rsidRPr="00A13EBF">
        <w:rPr>
          <w:rFonts w:asciiTheme="majorBidi" w:hAnsiTheme="majorBidi" w:cstheme="majorBidi"/>
          <w:b/>
          <w:bCs/>
          <w:sz w:val="24"/>
          <w:szCs w:val="24"/>
        </w:rPr>
        <w:t>vitamin</w:t>
      </w:r>
      <w:r w:rsidRPr="00A13EBF">
        <w:rPr>
          <w:rFonts w:asciiTheme="majorBidi" w:hAnsiTheme="majorBidi" w:cstheme="majorBidi"/>
          <w:b/>
          <w:bCs/>
          <w:spacing w:val="-3"/>
          <w:sz w:val="24"/>
          <w:szCs w:val="24"/>
        </w:rPr>
        <w:t xml:space="preserve"> </w:t>
      </w:r>
      <w:r w:rsidRPr="00A13EBF">
        <w:rPr>
          <w:rFonts w:asciiTheme="majorBidi" w:hAnsiTheme="majorBidi" w:cstheme="majorBidi"/>
          <w:b/>
          <w:bCs/>
          <w:sz w:val="24"/>
          <w:szCs w:val="24"/>
        </w:rPr>
        <w:t>K</w:t>
      </w:r>
      <w:r w:rsidRPr="00A13EBF">
        <w:rPr>
          <w:rFonts w:asciiTheme="majorBidi" w:hAnsiTheme="majorBidi" w:cstheme="majorBidi"/>
          <w:b/>
          <w:bCs/>
          <w:spacing w:val="-1"/>
          <w:sz w:val="24"/>
          <w:szCs w:val="24"/>
        </w:rPr>
        <w:t xml:space="preserve"> </w:t>
      </w:r>
      <w:r w:rsidRPr="00A13EBF">
        <w:rPr>
          <w:rFonts w:asciiTheme="majorBidi" w:hAnsiTheme="majorBidi" w:cstheme="majorBidi"/>
          <w:b/>
          <w:bCs/>
          <w:spacing w:val="-2"/>
          <w:sz w:val="24"/>
          <w:szCs w:val="24"/>
        </w:rPr>
        <w:t>dependency)</w:t>
      </w:r>
    </w:p>
    <w:p w14:paraId="66535667" w14:textId="77777777" w:rsidR="002A2597" w:rsidRPr="00A13EBF" w:rsidRDefault="002A2597" w:rsidP="00A13EBF">
      <w:pPr>
        <w:pStyle w:val="BodyText"/>
        <w:spacing w:line="360" w:lineRule="auto"/>
        <w:ind w:left="0"/>
        <w:jc w:val="both"/>
        <w:rPr>
          <w:rFonts w:asciiTheme="majorBidi" w:hAnsiTheme="majorBidi" w:cstheme="majorBidi"/>
        </w:rPr>
      </w:pPr>
      <w:r w:rsidRPr="00A13EBF">
        <w:rPr>
          <w:rFonts w:asciiTheme="majorBidi" w:hAnsiTheme="majorBidi" w:cstheme="majorBidi"/>
          <w:spacing w:val="-2"/>
        </w:rPr>
        <w:t>Protein</w:t>
      </w:r>
      <w:r w:rsidRPr="00A13EBF">
        <w:rPr>
          <w:rFonts w:asciiTheme="majorBidi" w:hAnsiTheme="majorBidi" w:cstheme="majorBidi"/>
          <w:spacing w:val="-25"/>
        </w:rPr>
        <w:t xml:space="preserve"> </w:t>
      </w:r>
      <w:r w:rsidRPr="00A13EBF">
        <w:rPr>
          <w:rFonts w:asciiTheme="majorBidi" w:hAnsiTheme="majorBidi" w:cstheme="majorBidi"/>
          <w:spacing w:val="-2"/>
        </w:rPr>
        <w:t>C</w:t>
      </w:r>
      <w:r w:rsidRPr="00A13EBF">
        <w:rPr>
          <w:rFonts w:asciiTheme="majorBidi" w:hAnsiTheme="majorBidi" w:cstheme="majorBidi"/>
          <w:spacing w:val="-24"/>
        </w:rPr>
        <w:t xml:space="preserve"> </w:t>
      </w:r>
      <w:r w:rsidRPr="00A13EBF">
        <w:rPr>
          <w:rFonts w:asciiTheme="majorBidi" w:hAnsiTheme="majorBidi" w:cstheme="majorBidi"/>
          <w:spacing w:val="-2"/>
        </w:rPr>
        <w:t>and</w:t>
      </w:r>
      <w:r w:rsidRPr="00A13EBF">
        <w:rPr>
          <w:rFonts w:asciiTheme="majorBidi" w:hAnsiTheme="majorBidi" w:cstheme="majorBidi"/>
          <w:spacing w:val="-23"/>
        </w:rPr>
        <w:t xml:space="preserve"> </w:t>
      </w:r>
      <w:r w:rsidRPr="00A13EBF">
        <w:rPr>
          <w:rFonts w:asciiTheme="majorBidi" w:hAnsiTheme="majorBidi" w:cstheme="majorBidi"/>
          <w:spacing w:val="-2"/>
        </w:rPr>
        <w:t>Protein</w:t>
      </w:r>
      <w:r w:rsidRPr="00A13EBF">
        <w:rPr>
          <w:rFonts w:asciiTheme="majorBidi" w:hAnsiTheme="majorBidi" w:cstheme="majorBidi"/>
          <w:spacing w:val="-25"/>
        </w:rPr>
        <w:t xml:space="preserve"> </w:t>
      </w:r>
      <w:r w:rsidRPr="00A13EBF">
        <w:rPr>
          <w:rFonts w:asciiTheme="majorBidi" w:hAnsiTheme="majorBidi" w:cstheme="majorBidi"/>
          <w:spacing w:val="-2"/>
        </w:rPr>
        <w:t>S</w:t>
      </w:r>
      <w:r w:rsidRPr="00A13EBF">
        <w:rPr>
          <w:rFonts w:asciiTheme="majorBidi" w:hAnsiTheme="majorBidi" w:cstheme="majorBidi"/>
          <w:spacing w:val="-24"/>
        </w:rPr>
        <w:t xml:space="preserve"> </w:t>
      </w:r>
      <w:r w:rsidRPr="00A13EBF">
        <w:rPr>
          <w:rFonts w:asciiTheme="majorBidi" w:hAnsiTheme="majorBidi" w:cstheme="majorBidi"/>
          <w:spacing w:val="-2"/>
        </w:rPr>
        <w:t>are</w:t>
      </w:r>
      <w:r w:rsidRPr="00A13EBF">
        <w:rPr>
          <w:rFonts w:asciiTheme="majorBidi" w:hAnsiTheme="majorBidi" w:cstheme="majorBidi"/>
          <w:spacing w:val="-25"/>
        </w:rPr>
        <w:t xml:space="preserve"> </w:t>
      </w:r>
      <w:r w:rsidRPr="00A13EBF">
        <w:rPr>
          <w:rFonts w:asciiTheme="majorBidi" w:hAnsiTheme="majorBidi" w:cstheme="majorBidi"/>
          <w:spacing w:val="-2"/>
        </w:rPr>
        <w:t>glycoproteins</w:t>
      </w:r>
      <w:r w:rsidRPr="00A13EBF">
        <w:rPr>
          <w:rFonts w:asciiTheme="majorBidi" w:hAnsiTheme="majorBidi" w:cstheme="majorBidi"/>
          <w:spacing w:val="-25"/>
        </w:rPr>
        <w:t xml:space="preserve"> </w:t>
      </w:r>
      <w:r w:rsidRPr="00A13EBF">
        <w:rPr>
          <w:rFonts w:asciiTheme="majorBidi" w:hAnsiTheme="majorBidi" w:cstheme="majorBidi"/>
          <w:spacing w:val="-2"/>
        </w:rPr>
        <w:t>that</w:t>
      </w:r>
      <w:r w:rsidRPr="00A13EBF">
        <w:rPr>
          <w:rFonts w:asciiTheme="majorBidi" w:hAnsiTheme="majorBidi" w:cstheme="majorBidi"/>
          <w:spacing w:val="-21"/>
        </w:rPr>
        <w:t xml:space="preserve"> </w:t>
      </w:r>
      <w:r w:rsidRPr="00A13EBF">
        <w:rPr>
          <w:rFonts w:asciiTheme="majorBidi" w:hAnsiTheme="majorBidi" w:cstheme="majorBidi"/>
          <w:spacing w:val="-2"/>
        </w:rPr>
        <w:t>depend</w:t>
      </w:r>
      <w:r w:rsidRPr="00A13EBF">
        <w:rPr>
          <w:rFonts w:asciiTheme="majorBidi" w:hAnsiTheme="majorBidi" w:cstheme="majorBidi"/>
          <w:spacing w:val="-23"/>
        </w:rPr>
        <w:t xml:space="preserve"> </w:t>
      </w:r>
      <w:r w:rsidRPr="00A13EBF">
        <w:rPr>
          <w:rFonts w:asciiTheme="majorBidi" w:hAnsiTheme="majorBidi" w:cstheme="majorBidi"/>
          <w:spacing w:val="-2"/>
        </w:rPr>
        <w:t>on</w:t>
      </w:r>
      <w:r w:rsidRPr="00A13EBF">
        <w:rPr>
          <w:rFonts w:asciiTheme="majorBidi" w:hAnsiTheme="majorBidi" w:cstheme="majorBidi"/>
          <w:spacing w:val="-25"/>
        </w:rPr>
        <w:t xml:space="preserve"> </w:t>
      </w:r>
      <w:r w:rsidRPr="00A13EBF">
        <w:rPr>
          <w:rFonts w:asciiTheme="majorBidi" w:hAnsiTheme="majorBidi" w:cstheme="majorBidi"/>
          <w:spacing w:val="-2"/>
        </w:rPr>
        <w:t>vitamin</w:t>
      </w:r>
      <w:r w:rsidRPr="00A13EBF">
        <w:rPr>
          <w:rFonts w:asciiTheme="majorBidi" w:hAnsiTheme="majorBidi" w:cstheme="majorBidi"/>
          <w:spacing w:val="-25"/>
        </w:rPr>
        <w:t xml:space="preserve"> </w:t>
      </w:r>
      <w:r w:rsidRPr="00A13EBF">
        <w:rPr>
          <w:rFonts w:asciiTheme="majorBidi" w:hAnsiTheme="majorBidi" w:cstheme="majorBidi"/>
          <w:spacing w:val="-2"/>
        </w:rPr>
        <w:t>K</w:t>
      </w:r>
      <w:r w:rsidRPr="00A13EBF">
        <w:rPr>
          <w:rFonts w:asciiTheme="majorBidi" w:hAnsiTheme="majorBidi" w:cstheme="majorBidi"/>
          <w:spacing w:val="-25"/>
        </w:rPr>
        <w:t xml:space="preserve"> </w:t>
      </w:r>
      <w:r w:rsidRPr="00A13EBF">
        <w:rPr>
          <w:rFonts w:asciiTheme="majorBidi" w:hAnsiTheme="majorBidi" w:cstheme="majorBidi"/>
          <w:spacing w:val="-2"/>
        </w:rPr>
        <w:t>and</w:t>
      </w:r>
      <w:r w:rsidRPr="00A13EBF">
        <w:rPr>
          <w:rFonts w:asciiTheme="majorBidi" w:hAnsiTheme="majorBidi" w:cstheme="majorBidi"/>
          <w:spacing w:val="-23"/>
        </w:rPr>
        <w:t xml:space="preserve"> </w:t>
      </w:r>
      <w:r w:rsidRPr="00A13EBF">
        <w:rPr>
          <w:rFonts w:asciiTheme="majorBidi" w:hAnsiTheme="majorBidi" w:cstheme="majorBidi"/>
          <w:spacing w:val="-2"/>
        </w:rPr>
        <w:t>are</w:t>
      </w:r>
      <w:r w:rsidRPr="00A13EBF">
        <w:rPr>
          <w:rFonts w:asciiTheme="majorBidi" w:hAnsiTheme="majorBidi" w:cstheme="majorBidi"/>
          <w:spacing w:val="-25"/>
        </w:rPr>
        <w:t xml:space="preserve"> </w:t>
      </w:r>
      <w:r w:rsidRPr="00A13EBF">
        <w:rPr>
          <w:rFonts w:asciiTheme="majorBidi" w:hAnsiTheme="majorBidi" w:cstheme="majorBidi"/>
          <w:spacing w:val="-2"/>
        </w:rPr>
        <w:t xml:space="preserve">primarily </w:t>
      </w:r>
      <w:r w:rsidRPr="00A13EBF">
        <w:rPr>
          <w:rFonts w:asciiTheme="majorBidi" w:hAnsiTheme="majorBidi" w:cstheme="majorBidi"/>
          <w:spacing w:val="-4"/>
        </w:rPr>
        <w:t>produced</w:t>
      </w:r>
      <w:r w:rsidRPr="00A13EBF">
        <w:rPr>
          <w:rFonts w:asciiTheme="majorBidi" w:hAnsiTheme="majorBidi" w:cstheme="majorBidi"/>
          <w:spacing w:val="-22"/>
        </w:rPr>
        <w:t xml:space="preserve"> </w:t>
      </w:r>
      <w:r w:rsidRPr="00A13EBF">
        <w:rPr>
          <w:rFonts w:asciiTheme="majorBidi" w:hAnsiTheme="majorBidi" w:cstheme="majorBidi"/>
          <w:spacing w:val="-4"/>
        </w:rPr>
        <w:t>in</w:t>
      </w:r>
      <w:r w:rsidRPr="00A13EBF">
        <w:rPr>
          <w:rFonts w:asciiTheme="majorBidi" w:hAnsiTheme="majorBidi" w:cstheme="majorBidi"/>
          <w:spacing w:val="-24"/>
        </w:rPr>
        <w:t xml:space="preserve"> </w:t>
      </w:r>
      <w:r w:rsidRPr="00A13EBF">
        <w:rPr>
          <w:rFonts w:asciiTheme="majorBidi" w:hAnsiTheme="majorBidi" w:cstheme="majorBidi"/>
          <w:spacing w:val="-4"/>
        </w:rPr>
        <w:t>the</w:t>
      </w:r>
      <w:r w:rsidRPr="00A13EBF">
        <w:rPr>
          <w:rFonts w:asciiTheme="majorBidi" w:hAnsiTheme="majorBidi" w:cstheme="majorBidi"/>
          <w:spacing w:val="-24"/>
        </w:rPr>
        <w:t xml:space="preserve"> </w:t>
      </w:r>
      <w:r w:rsidRPr="00A13EBF">
        <w:rPr>
          <w:rFonts w:asciiTheme="majorBidi" w:hAnsiTheme="majorBidi" w:cstheme="majorBidi"/>
          <w:spacing w:val="-4"/>
        </w:rPr>
        <w:t>liver.</w:t>
      </w:r>
      <w:r w:rsidRPr="00A13EBF">
        <w:rPr>
          <w:rFonts w:asciiTheme="majorBidi" w:hAnsiTheme="majorBidi" w:cstheme="majorBidi"/>
          <w:spacing w:val="-21"/>
        </w:rPr>
        <w:t xml:space="preserve"> </w:t>
      </w:r>
      <w:r w:rsidRPr="00A13EBF">
        <w:rPr>
          <w:rFonts w:asciiTheme="majorBidi" w:hAnsiTheme="majorBidi" w:cstheme="majorBidi"/>
          <w:spacing w:val="-4"/>
        </w:rPr>
        <w:t>Vitamin</w:t>
      </w:r>
      <w:r w:rsidRPr="00A13EBF">
        <w:rPr>
          <w:rFonts w:asciiTheme="majorBidi" w:hAnsiTheme="majorBidi" w:cstheme="majorBidi"/>
          <w:spacing w:val="-24"/>
        </w:rPr>
        <w:t xml:space="preserve"> </w:t>
      </w:r>
      <w:r w:rsidRPr="00A13EBF">
        <w:rPr>
          <w:rFonts w:asciiTheme="majorBidi" w:hAnsiTheme="majorBidi" w:cstheme="majorBidi"/>
          <w:spacing w:val="-4"/>
        </w:rPr>
        <w:t>K</w:t>
      </w:r>
      <w:r w:rsidRPr="00A13EBF">
        <w:rPr>
          <w:rFonts w:asciiTheme="majorBidi" w:hAnsiTheme="majorBidi" w:cstheme="majorBidi"/>
          <w:spacing w:val="-24"/>
        </w:rPr>
        <w:t xml:space="preserve"> </w:t>
      </w:r>
      <w:r w:rsidRPr="00A13EBF">
        <w:rPr>
          <w:rFonts w:asciiTheme="majorBidi" w:hAnsiTheme="majorBidi" w:cstheme="majorBidi"/>
          <w:spacing w:val="-4"/>
        </w:rPr>
        <w:t>serves</w:t>
      </w:r>
      <w:r w:rsidRPr="00A13EBF">
        <w:rPr>
          <w:rFonts w:asciiTheme="majorBidi" w:hAnsiTheme="majorBidi" w:cstheme="majorBidi"/>
          <w:spacing w:val="-24"/>
        </w:rPr>
        <w:t xml:space="preserve"> </w:t>
      </w:r>
      <w:r w:rsidRPr="00A13EBF">
        <w:rPr>
          <w:rFonts w:asciiTheme="majorBidi" w:hAnsiTheme="majorBidi" w:cstheme="majorBidi"/>
          <w:spacing w:val="-4"/>
        </w:rPr>
        <w:t>as</w:t>
      </w:r>
      <w:r w:rsidRPr="00A13EBF">
        <w:rPr>
          <w:rFonts w:asciiTheme="majorBidi" w:hAnsiTheme="majorBidi" w:cstheme="majorBidi"/>
          <w:spacing w:val="-24"/>
        </w:rPr>
        <w:t xml:space="preserve"> </w:t>
      </w:r>
      <w:r w:rsidRPr="00A13EBF">
        <w:rPr>
          <w:rFonts w:asciiTheme="majorBidi" w:hAnsiTheme="majorBidi" w:cstheme="majorBidi"/>
          <w:spacing w:val="-4"/>
        </w:rPr>
        <w:t>a</w:t>
      </w:r>
      <w:r w:rsidRPr="00A13EBF">
        <w:rPr>
          <w:rFonts w:asciiTheme="majorBidi" w:hAnsiTheme="majorBidi" w:cstheme="majorBidi"/>
          <w:spacing w:val="-20"/>
        </w:rPr>
        <w:t xml:space="preserve"> </w:t>
      </w:r>
      <w:r w:rsidRPr="00A13EBF">
        <w:rPr>
          <w:rFonts w:asciiTheme="majorBidi" w:hAnsiTheme="majorBidi" w:cstheme="majorBidi"/>
          <w:spacing w:val="-4"/>
        </w:rPr>
        <w:t>cofactor</w:t>
      </w:r>
      <w:r w:rsidRPr="00A13EBF">
        <w:rPr>
          <w:rFonts w:asciiTheme="majorBidi" w:hAnsiTheme="majorBidi" w:cstheme="majorBidi"/>
          <w:spacing w:val="-22"/>
        </w:rPr>
        <w:t xml:space="preserve"> </w:t>
      </w:r>
      <w:r w:rsidRPr="00A13EBF">
        <w:rPr>
          <w:rFonts w:asciiTheme="majorBidi" w:hAnsiTheme="majorBidi" w:cstheme="majorBidi"/>
          <w:spacing w:val="-4"/>
        </w:rPr>
        <w:t>for</w:t>
      </w:r>
      <w:r w:rsidRPr="00A13EBF">
        <w:rPr>
          <w:rFonts w:asciiTheme="majorBidi" w:hAnsiTheme="majorBidi" w:cstheme="majorBidi"/>
          <w:spacing w:val="-22"/>
        </w:rPr>
        <w:t xml:space="preserve"> </w:t>
      </w:r>
      <w:r w:rsidRPr="00A13EBF">
        <w:rPr>
          <w:rFonts w:asciiTheme="majorBidi" w:hAnsiTheme="majorBidi" w:cstheme="majorBidi"/>
          <w:spacing w:val="-4"/>
        </w:rPr>
        <w:t>the</w:t>
      </w:r>
      <w:r w:rsidRPr="00A13EBF">
        <w:rPr>
          <w:rFonts w:asciiTheme="majorBidi" w:hAnsiTheme="majorBidi" w:cstheme="majorBidi"/>
          <w:spacing w:val="-16"/>
        </w:rPr>
        <w:t xml:space="preserve"> </w:t>
      </w:r>
      <w:r w:rsidRPr="00A13EBF">
        <w:rPr>
          <w:rFonts w:asciiTheme="majorBidi" w:hAnsiTheme="majorBidi" w:cstheme="majorBidi"/>
          <w:spacing w:val="-4"/>
        </w:rPr>
        <w:t>γ-carboxylation</w:t>
      </w:r>
      <w:r w:rsidRPr="00A13EBF">
        <w:rPr>
          <w:rFonts w:asciiTheme="majorBidi" w:hAnsiTheme="majorBidi" w:cstheme="majorBidi"/>
          <w:spacing w:val="-24"/>
        </w:rPr>
        <w:t xml:space="preserve"> </w:t>
      </w:r>
      <w:r w:rsidRPr="00A13EBF">
        <w:rPr>
          <w:rFonts w:asciiTheme="majorBidi" w:hAnsiTheme="majorBidi" w:cstheme="majorBidi"/>
          <w:spacing w:val="-4"/>
        </w:rPr>
        <w:t>of</w:t>
      </w:r>
      <w:r w:rsidRPr="00A13EBF">
        <w:rPr>
          <w:rFonts w:asciiTheme="majorBidi" w:hAnsiTheme="majorBidi" w:cstheme="majorBidi"/>
          <w:spacing w:val="-19"/>
        </w:rPr>
        <w:t xml:space="preserve"> </w:t>
      </w:r>
      <w:r w:rsidRPr="00A13EBF">
        <w:rPr>
          <w:rFonts w:asciiTheme="majorBidi" w:hAnsiTheme="majorBidi" w:cstheme="majorBidi"/>
          <w:spacing w:val="-4"/>
        </w:rPr>
        <w:t xml:space="preserve">glutamic </w:t>
      </w:r>
      <w:r w:rsidRPr="00A13EBF">
        <w:rPr>
          <w:rFonts w:asciiTheme="majorBidi" w:hAnsiTheme="majorBidi" w:cstheme="majorBidi"/>
          <w:spacing w:val="-2"/>
        </w:rPr>
        <w:t>acid</w:t>
      </w:r>
      <w:r w:rsidRPr="00A13EBF">
        <w:rPr>
          <w:rFonts w:asciiTheme="majorBidi" w:hAnsiTheme="majorBidi" w:cstheme="majorBidi"/>
          <w:spacing w:val="-20"/>
        </w:rPr>
        <w:t xml:space="preserve"> </w:t>
      </w:r>
      <w:r w:rsidRPr="00A13EBF">
        <w:rPr>
          <w:rFonts w:asciiTheme="majorBidi" w:hAnsiTheme="majorBidi" w:cstheme="majorBidi"/>
          <w:spacing w:val="-2"/>
        </w:rPr>
        <w:t>residues</w:t>
      </w:r>
      <w:r w:rsidRPr="00A13EBF">
        <w:rPr>
          <w:rFonts w:asciiTheme="majorBidi" w:hAnsiTheme="majorBidi" w:cstheme="majorBidi"/>
          <w:spacing w:val="-22"/>
        </w:rPr>
        <w:t xml:space="preserve"> </w:t>
      </w:r>
      <w:r w:rsidRPr="00A13EBF">
        <w:rPr>
          <w:rFonts w:asciiTheme="majorBidi" w:hAnsiTheme="majorBidi" w:cstheme="majorBidi"/>
          <w:spacing w:val="-2"/>
        </w:rPr>
        <w:t>on</w:t>
      </w:r>
      <w:r w:rsidRPr="00A13EBF">
        <w:rPr>
          <w:rFonts w:asciiTheme="majorBidi" w:hAnsiTheme="majorBidi" w:cstheme="majorBidi"/>
          <w:spacing w:val="-22"/>
        </w:rPr>
        <w:t xml:space="preserve"> </w:t>
      </w:r>
      <w:r w:rsidRPr="00A13EBF">
        <w:rPr>
          <w:rFonts w:asciiTheme="majorBidi" w:hAnsiTheme="majorBidi" w:cstheme="majorBidi"/>
          <w:spacing w:val="-2"/>
        </w:rPr>
        <w:t>these</w:t>
      </w:r>
      <w:r w:rsidRPr="00A13EBF">
        <w:rPr>
          <w:rFonts w:asciiTheme="majorBidi" w:hAnsiTheme="majorBidi" w:cstheme="majorBidi"/>
          <w:spacing w:val="-22"/>
        </w:rPr>
        <w:t xml:space="preserve"> </w:t>
      </w:r>
      <w:r w:rsidRPr="00A13EBF">
        <w:rPr>
          <w:rFonts w:asciiTheme="majorBidi" w:hAnsiTheme="majorBidi" w:cstheme="majorBidi"/>
          <w:spacing w:val="-2"/>
        </w:rPr>
        <w:t>proteins,</w:t>
      </w:r>
      <w:r w:rsidRPr="00A13EBF">
        <w:rPr>
          <w:rFonts w:asciiTheme="majorBidi" w:hAnsiTheme="majorBidi" w:cstheme="majorBidi"/>
          <w:spacing w:val="-19"/>
        </w:rPr>
        <w:t xml:space="preserve"> </w:t>
      </w:r>
      <w:r w:rsidRPr="00A13EBF">
        <w:rPr>
          <w:rFonts w:asciiTheme="majorBidi" w:hAnsiTheme="majorBidi" w:cstheme="majorBidi"/>
          <w:spacing w:val="-2"/>
        </w:rPr>
        <w:t>a</w:t>
      </w:r>
      <w:r w:rsidRPr="00A13EBF">
        <w:rPr>
          <w:rFonts w:asciiTheme="majorBidi" w:hAnsiTheme="majorBidi" w:cstheme="majorBidi"/>
          <w:spacing w:val="-18"/>
        </w:rPr>
        <w:t xml:space="preserve"> </w:t>
      </w:r>
      <w:r w:rsidRPr="00A13EBF">
        <w:rPr>
          <w:rFonts w:asciiTheme="majorBidi" w:hAnsiTheme="majorBidi" w:cstheme="majorBidi"/>
          <w:spacing w:val="-2"/>
        </w:rPr>
        <w:t>crucial</w:t>
      </w:r>
      <w:r w:rsidRPr="00A13EBF">
        <w:rPr>
          <w:rFonts w:asciiTheme="majorBidi" w:hAnsiTheme="majorBidi" w:cstheme="majorBidi"/>
          <w:spacing w:val="-23"/>
        </w:rPr>
        <w:t xml:space="preserve"> </w:t>
      </w:r>
      <w:r w:rsidRPr="00A13EBF">
        <w:rPr>
          <w:rFonts w:asciiTheme="majorBidi" w:hAnsiTheme="majorBidi" w:cstheme="majorBidi"/>
          <w:spacing w:val="-2"/>
        </w:rPr>
        <w:t>step</w:t>
      </w:r>
      <w:r w:rsidRPr="00A13EBF">
        <w:rPr>
          <w:rFonts w:asciiTheme="majorBidi" w:hAnsiTheme="majorBidi" w:cstheme="majorBidi"/>
          <w:spacing w:val="-20"/>
        </w:rPr>
        <w:t xml:space="preserve"> </w:t>
      </w:r>
      <w:r w:rsidRPr="00A13EBF">
        <w:rPr>
          <w:rFonts w:asciiTheme="majorBidi" w:hAnsiTheme="majorBidi" w:cstheme="majorBidi"/>
          <w:spacing w:val="-2"/>
        </w:rPr>
        <w:t>for</w:t>
      </w:r>
      <w:r w:rsidRPr="00A13EBF">
        <w:rPr>
          <w:rFonts w:asciiTheme="majorBidi" w:hAnsiTheme="majorBidi" w:cstheme="majorBidi"/>
          <w:spacing w:val="-20"/>
        </w:rPr>
        <w:t xml:space="preserve"> </w:t>
      </w:r>
      <w:r w:rsidRPr="00A13EBF">
        <w:rPr>
          <w:rFonts w:asciiTheme="majorBidi" w:hAnsiTheme="majorBidi" w:cstheme="majorBidi"/>
          <w:spacing w:val="-2"/>
        </w:rPr>
        <w:t>their</w:t>
      </w:r>
      <w:r w:rsidRPr="00A13EBF">
        <w:rPr>
          <w:rFonts w:asciiTheme="majorBidi" w:hAnsiTheme="majorBidi" w:cstheme="majorBidi"/>
          <w:spacing w:val="-20"/>
        </w:rPr>
        <w:t xml:space="preserve"> </w:t>
      </w:r>
      <w:r w:rsidRPr="00A13EBF">
        <w:rPr>
          <w:rFonts w:asciiTheme="majorBidi" w:hAnsiTheme="majorBidi" w:cstheme="majorBidi"/>
          <w:spacing w:val="-2"/>
        </w:rPr>
        <w:t>ability</w:t>
      </w:r>
      <w:r w:rsidRPr="00A13EBF">
        <w:rPr>
          <w:rFonts w:asciiTheme="majorBidi" w:hAnsiTheme="majorBidi" w:cstheme="majorBidi"/>
          <w:spacing w:val="-19"/>
        </w:rPr>
        <w:t xml:space="preserve"> </w:t>
      </w:r>
      <w:r w:rsidRPr="00A13EBF">
        <w:rPr>
          <w:rFonts w:asciiTheme="majorBidi" w:hAnsiTheme="majorBidi" w:cstheme="majorBidi"/>
          <w:spacing w:val="-2"/>
        </w:rPr>
        <w:t>to</w:t>
      </w:r>
      <w:r w:rsidRPr="00A13EBF">
        <w:rPr>
          <w:rFonts w:asciiTheme="majorBidi" w:hAnsiTheme="majorBidi" w:cstheme="majorBidi"/>
          <w:spacing w:val="-22"/>
        </w:rPr>
        <w:t xml:space="preserve"> </w:t>
      </w:r>
      <w:r w:rsidRPr="00A13EBF">
        <w:rPr>
          <w:rFonts w:asciiTheme="majorBidi" w:hAnsiTheme="majorBidi" w:cstheme="majorBidi"/>
          <w:spacing w:val="-2"/>
        </w:rPr>
        <w:t>bind</w:t>
      </w:r>
      <w:r w:rsidRPr="00A13EBF">
        <w:rPr>
          <w:rFonts w:asciiTheme="majorBidi" w:hAnsiTheme="majorBidi" w:cstheme="majorBidi"/>
          <w:spacing w:val="-20"/>
        </w:rPr>
        <w:t xml:space="preserve"> </w:t>
      </w:r>
      <w:r w:rsidRPr="00A13EBF">
        <w:rPr>
          <w:rFonts w:asciiTheme="majorBidi" w:hAnsiTheme="majorBidi" w:cstheme="majorBidi"/>
          <w:spacing w:val="-2"/>
        </w:rPr>
        <w:t>calcium</w:t>
      </w:r>
      <w:r w:rsidRPr="00A13EBF">
        <w:rPr>
          <w:rFonts w:asciiTheme="majorBidi" w:hAnsiTheme="majorBidi" w:cstheme="majorBidi"/>
          <w:spacing w:val="-20"/>
        </w:rPr>
        <w:t xml:space="preserve"> </w:t>
      </w:r>
      <w:r w:rsidRPr="00A13EBF">
        <w:rPr>
          <w:rFonts w:asciiTheme="majorBidi" w:hAnsiTheme="majorBidi" w:cstheme="majorBidi"/>
          <w:spacing w:val="-2"/>
        </w:rPr>
        <w:t xml:space="preserve">and </w:t>
      </w:r>
      <w:r w:rsidRPr="00A13EBF">
        <w:rPr>
          <w:rFonts w:asciiTheme="majorBidi" w:hAnsiTheme="majorBidi" w:cstheme="majorBidi"/>
          <w:spacing w:val="-4"/>
        </w:rPr>
        <w:t>phospholipids</w:t>
      </w:r>
      <w:r w:rsidRPr="00A13EBF">
        <w:rPr>
          <w:rFonts w:asciiTheme="majorBidi" w:hAnsiTheme="majorBidi" w:cstheme="majorBidi"/>
          <w:spacing w:val="-22"/>
        </w:rPr>
        <w:t xml:space="preserve"> </w:t>
      </w:r>
      <w:r w:rsidRPr="00A13EBF">
        <w:rPr>
          <w:rFonts w:asciiTheme="majorBidi" w:hAnsiTheme="majorBidi" w:cstheme="majorBidi"/>
          <w:spacing w:val="-4"/>
        </w:rPr>
        <w:t>—</w:t>
      </w:r>
      <w:r w:rsidRPr="00A13EBF">
        <w:rPr>
          <w:rFonts w:asciiTheme="majorBidi" w:hAnsiTheme="majorBidi" w:cstheme="majorBidi"/>
          <w:spacing w:val="-24"/>
        </w:rPr>
        <w:t xml:space="preserve"> </w:t>
      </w:r>
      <w:r w:rsidRPr="00A13EBF">
        <w:rPr>
          <w:rFonts w:asciiTheme="majorBidi" w:hAnsiTheme="majorBidi" w:cstheme="majorBidi"/>
          <w:spacing w:val="-4"/>
        </w:rPr>
        <w:t>vital</w:t>
      </w:r>
      <w:r w:rsidRPr="00A13EBF">
        <w:rPr>
          <w:rFonts w:asciiTheme="majorBidi" w:hAnsiTheme="majorBidi" w:cstheme="majorBidi"/>
          <w:spacing w:val="-26"/>
        </w:rPr>
        <w:t xml:space="preserve"> </w:t>
      </w:r>
      <w:r w:rsidRPr="00A13EBF">
        <w:rPr>
          <w:rFonts w:asciiTheme="majorBidi" w:hAnsiTheme="majorBidi" w:cstheme="majorBidi"/>
          <w:spacing w:val="-4"/>
        </w:rPr>
        <w:t>for</w:t>
      </w:r>
      <w:r w:rsidRPr="00A13EBF">
        <w:rPr>
          <w:rFonts w:asciiTheme="majorBidi" w:hAnsiTheme="majorBidi" w:cstheme="majorBidi"/>
          <w:spacing w:val="-23"/>
        </w:rPr>
        <w:t xml:space="preserve"> </w:t>
      </w:r>
      <w:r w:rsidRPr="00A13EBF">
        <w:rPr>
          <w:rFonts w:asciiTheme="majorBidi" w:hAnsiTheme="majorBidi" w:cstheme="majorBidi"/>
          <w:spacing w:val="-4"/>
        </w:rPr>
        <w:t>their</w:t>
      </w:r>
      <w:r w:rsidRPr="00A13EBF">
        <w:rPr>
          <w:rFonts w:asciiTheme="majorBidi" w:hAnsiTheme="majorBidi" w:cstheme="majorBidi"/>
          <w:spacing w:val="-23"/>
        </w:rPr>
        <w:t xml:space="preserve"> </w:t>
      </w:r>
      <w:r w:rsidRPr="00A13EBF">
        <w:rPr>
          <w:rFonts w:asciiTheme="majorBidi" w:hAnsiTheme="majorBidi" w:cstheme="majorBidi"/>
          <w:spacing w:val="-4"/>
        </w:rPr>
        <w:t>role</w:t>
      </w:r>
      <w:r w:rsidRPr="00A13EBF">
        <w:rPr>
          <w:rFonts w:asciiTheme="majorBidi" w:hAnsiTheme="majorBidi" w:cstheme="majorBidi"/>
          <w:spacing w:val="-19"/>
        </w:rPr>
        <w:t xml:space="preserve"> </w:t>
      </w:r>
      <w:r w:rsidRPr="00A13EBF">
        <w:rPr>
          <w:rFonts w:asciiTheme="majorBidi" w:hAnsiTheme="majorBidi" w:cstheme="majorBidi"/>
          <w:spacing w:val="-4"/>
        </w:rPr>
        <w:t>in</w:t>
      </w:r>
      <w:r w:rsidRPr="00A13EBF">
        <w:rPr>
          <w:rFonts w:asciiTheme="majorBidi" w:hAnsiTheme="majorBidi" w:cstheme="majorBidi"/>
          <w:spacing w:val="-25"/>
        </w:rPr>
        <w:t xml:space="preserve"> </w:t>
      </w:r>
      <w:r w:rsidRPr="00A13EBF">
        <w:rPr>
          <w:rFonts w:asciiTheme="majorBidi" w:hAnsiTheme="majorBidi" w:cstheme="majorBidi"/>
          <w:spacing w:val="-4"/>
        </w:rPr>
        <w:t>anticoagulation</w:t>
      </w:r>
      <w:r w:rsidRPr="00A13EBF">
        <w:rPr>
          <w:rFonts w:asciiTheme="majorBidi" w:hAnsiTheme="majorBidi" w:cstheme="majorBidi"/>
          <w:spacing w:val="-25"/>
        </w:rPr>
        <w:t xml:space="preserve"> </w:t>
      </w:r>
      <w:r w:rsidR="00EC500A" w:rsidRPr="00A13EBF">
        <w:rPr>
          <w:rFonts w:asciiTheme="majorBidi" w:hAnsiTheme="majorBidi" w:cstheme="majorBidi"/>
          <w:spacing w:val="-4"/>
        </w:rPr>
        <w:t>(15</w:t>
      </w:r>
      <w:r w:rsidRPr="00A13EBF">
        <w:rPr>
          <w:rFonts w:asciiTheme="majorBidi" w:hAnsiTheme="majorBidi" w:cstheme="majorBidi"/>
          <w:spacing w:val="-4"/>
        </w:rPr>
        <w:t>,</w:t>
      </w:r>
      <w:r w:rsidRPr="00A13EBF">
        <w:rPr>
          <w:rFonts w:asciiTheme="majorBidi" w:hAnsiTheme="majorBidi" w:cstheme="majorBidi"/>
          <w:spacing w:val="-22"/>
        </w:rPr>
        <w:t xml:space="preserve"> </w:t>
      </w:r>
      <w:r w:rsidR="00EC500A" w:rsidRPr="00A13EBF">
        <w:rPr>
          <w:rFonts w:asciiTheme="majorBidi" w:hAnsiTheme="majorBidi" w:cstheme="majorBidi"/>
          <w:spacing w:val="-4"/>
        </w:rPr>
        <w:t>16</w:t>
      </w:r>
      <w:r w:rsidRPr="00A13EBF">
        <w:rPr>
          <w:rFonts w:asciiTheme="majorBidi" w:hAnsiTheme="majorBidi" w:cstheme="majorBidi"/>
          <w:spacing w:val="-4"/>
        </w:rPr>
        <w:t>).</w:t>
      </w:r>
      <w:r w:rsidRPr="00A13EBF">
        <w:rPr>
          <w:rFonts w:asciiTheme="majorBidi" w:hAnsiTheme="majorBidi" w:cstheme="majorBidi"/>
          <w:spacing w:val="-22"/>
        </w:rPr>
        <w:t xml:space="preserve"> </w:t>
      </w:r>
      <w:r w:rsidRPr="00A13EBF">
        <w:rPr>
          <w:rFonts w:asciiTheme="majorBidi" w:hAnsiTheme="majorBidi" w:cstheme="majorBidi"/>
          <w:spacing w:val="-4"/>
        </w:rPr>
        <w:t>Both</w:t>
      </w:r>
      <w:r w:rsidRPr="00A13EBF">
        <w:rPr>
          <w:rFonts w:asciiTheme="majorBidi" w:hAnsiTheme="majorBidi" w:cstheme="majorBidi"/>
          <w:spacing w:val="-25"/>
        </w:rPr>
        <w:t xml:space="preserve"> </w:t>
      </w:r>
      <w:r w:rsidRPr="00A13EBF">
        <w:rPr>
          <w:rFonts w:asciiTheme="majorBidi" w:hAnsiTheme="majorBidi" w:cstheme="majorBidi"/>
          <w:spacing w:val="-4"/>
        </w:rPr>
        <w:t>proteins</w:t>
      </w:r>
      <w:r w:rsidRPr="00A13EBF">
        <w:rPr>
          <w:rFonts w:asciiTheme="majorBidi" w:hAnsiTheme="majorBidi" w:cstheme="majorBidi"/>
          <w:spacing w:val="-25"/>
        </w:rPr>
        <w:t xml:space="preserve"> </w:t>
      </w:r>
      <w:r w:rsidRPr="00A13EBF">
        <w:rPr>
          <w:rFonts w:asciiTheme="majorBidi" w:hAnsiTheme="majorBidi" w:cstheme="majorBidi"/>
          <w:spacing w:val="-4"/>
        </w:rPr>
        <w:t>are</w:t>
      </w:r>
      <w:r w:rsidRPr="00A13EBF">
        <w:rPr>
          <w:rFonts w:asciiTheme="majorBidi" w:hAnsiTheme="majorBidi" w:cstheme="majorBidi"/>
          <w:spacing w:val="-25"/>
        </w:rPr>
        <w:t xml:space="preserve"> </w:t>
      </w:r>
      <w:r w:rsidRPr="00A13EBF">
        <w:rPr>
          <w:rFonts w:asciiTheme="majorBidi" w:hAnsiTheme="majorBidi" w:cstheme="majorBidi"/>
          <w:spacing w:val="-4"/>
        </w:rPr>
        <w:t>present</w:t>
      </w:r>
      <w:r w:rsidRPr="00A13EBF">
        <w:rPr>
          <w:rFonts w:asciiTheme="majorBidi" w:hAnsiTheme="majorBidi" w:cstheme="majorBidi"/>
          <w:spacing w:val="-21"/>
        </w:rPr>
        <w:t xml:space="preserve"> </w:t>
      </w:r>
      <w:r w:rsidRPr="00A13EBF">
        <w:rPr>
          <w:rFonts w:asciiTheme="majorBidi" w:hAnsiTheme="majorBidi" w:cstheme="majorBidi"/>
          <w:spacing w:val="-4"/>
        </w:rPr>
        <w:t xml:space="preserve">in </w:t>
      </w:r>
      <w:r w:rsidRPr="00A13EBF">
        <w:rPr>
          <w:rFonts w:asciiTheme="majorBidi" w:hAnsiTheme="majorBidi" w:cstheme="majorBidi"/>
          <w:spacing w:val="-2"/>
        </w:rPr>
        <w:t>the</w:t>
      </w:r>
      <w:r w:rsidRPr="00A13EBF">
        <w:rPr>
          <w:rFonts w:asciiTheme="majorBidi" w:hAnsiTheme="majorBidi" w:cstheme="majorBidi"/>
          <w:spacing w:val="-21"/>
        </w:rPr>
        <w:t xml:space="preserve"> </w:t>
      </w:r>
      <w:r w:rsidRPr="00A13EBF">
        <w:rPr>
          <w:rFonts w:asciiTheme="majorBidi" w:hAnsiTheme="majorBidi" w:cstheme="majorBidi"/>
          <w:spacing w:val="-2"/>
        </w:rPr>
        <w:t>plasma:</w:t>
      </w:r>
      <w:r w:rsidRPr="00A13EBF">
        <w:rPr>
          <w:rFonts w:asciiTheme="majorBidi" w:hAnsiTheme="majorBidi" w:cstheme="majorBidi"/>
          <w:spacing w:val="-23"/>
        </w:rPr>
        <w:t xml:space="preserve"> </w:t>
      </w:r>
      <w:r w:rsidRPr="00A13EBF">
        <w:rPr>
          <w:rFonts w:asciiTheme="majorBidi" w:hAnsiTheme="majorBidi" w:cstheme="majorBidi"/>
          <w:spacing w:val="-2"/>
        </w:rPr>
        <w:t>Protein</w:t>
      </w:r>
      <w:r w:rsidRPr="00A13EBF">
        <w:rPr>
          <w:rFonts w:asciiTheme="majorBidi" w:hAnsiTheme="majorBidi" w:cstheme="majorBidi"/>
          <w:spacing w:val="-21"/>
        </w:rPr>
        <w:t xml:space="preserve"> </w:t>
      </w:r>
      <w:r w:rsidRPr="00A13EBF">
        <w:rPr>
          <w:rFonts w:asciiTheme="majorBidi" w:hAnsiTheme="majorBidi" w:cstheme="majorBidi"/>
          <w:spacing w:val="-2"/>
        </w:rPr>
        <w:t>C</w:t>
      </w:r>
      <w:r w:rsidRPr="00A13EBF">
        <w:rPr>
          <w:rFonts w:asciiTheme="majorBidi" w:hAnsiTheme="majorBidi" w:cstheme="majorBidi"/>
          <w:spacing w:val="-19"/>
        </w:rPr>
        <w:t xml:space="preserve"> </w:t>
      </w:r>
      <w:r w:rsidRPr="00A13EBF">
        <w:rPr>
          <w:rFonts w:asciiTheme="majorBidi" w:hAnsiTheme="majorBidi" w:cstheme="majorBidi"/>
          <w:spacing w:val="-2"/>
        </w:rPr>
        <w:t>exists</w:t>
      </w:r>
      <w:r w:rsidRPr="00A13EBF">
        <w:rPr>
          <w:rFonts w:asciiTheme="majorBidi" w:hAnsiTheme="majorBidi" w:cstheme="majorBidi"/>
          <w:spacing w:val="-21"/>
        </w:rPr>
        <w:t xml:space="preserve"> </w:t>
      </w:r>
      <w:r w:rsidRPr="00A13EBF">
        <w:rPr>
          <w:rFonts w:asciiTheme="majorBidi" w:hAnsiTheme="majorBidi" w:cstheme="majorBidi"/>
          <w:spacing w:val="-2"/>
        </w:rPr>
        <w:t>as</w:t>
      </w:r>
      <w:r w:rsidRPr="00A13EBF">
        <w:rPr>
          <w:rFonts w:asciiTheme="majorBidi" w:hAnsiTheme="majorBidi" w:cstheme="majorBidi"/>
          <w:spacing w:val="-21"/>
        </w:rPr>
        <w:t xml:space="preserve"> </w:t>
      </w:r>
      <w:r w:rsidRPr="00A13EBF">
        <w:rPr>
          <w:rFonts w:asciiTheme="majorBidi" w:hAnsiTheme="majorBidi" w:cstheme="majorBidi"/>
          <w:spacing w:val="-2"/>
        </w:rPr>
        <w:t>an</w:t>
      </w:r>
      <w:r w:rsidRPr="00A13EBF">
        <w:rPr>
          <w:rFonts w:asciiTheme="majorBidi" w:hAnsiTheme="majorBidi" w:cstheme="majorBidi"/>
          <w:spacing w:val="-21"/>
        </w:rPr>
        <w:t xml:space="preserve"> </w:t>
      </w:r>
      <w:r w:rsidRPr="00A13EBF">
        <w:rPr>
          <w:rFonts w:asciiTheme="majorBidi" w:hAnsiTheme="majorBidi" w:cstheme="majorBidi"/>
          <w:spacing w:val="-2"/>
        </w:rPr>
        <w:t>inactive</w:t>
      </w:r>
      <w:r w:rsidRPr="00A13EBF">
        <w:rPr>
          <w:rFonts w:asciiTheme="majorBidi" w:hAnsiTheme="majorBidi" w:cstheme="majorBidi"/>
          <w:spacing w:val="-21"/>
        </w:rPr>
        <w:t xml:space="preserve"> </w:t>
      </w:r>
      <w:r w:rsidRPr="00A13EBF">
        <w:rPr>
          <w:rFonts w:asciiTheme="majorBidi" w:hAnsiTheme="majorBidi" w:cstheme="majorBidi"/>
          <w:spacing w:val="-2"/>
        </w:rPr>
        <w:t>zymogen,</w:t>
      </w:r>
      <w:r w:rsidRPr="00A13EBF">
        <w:rPr>
          <w:rFonts w:asciiTheme="majorBidi" w:hAnsiTheme="majorBidi" w:cstheme="majorBidi"/>
          <w:spacing w:val="-17"/>
        </w:rPr>
        <w:t xml:space="preserve"> </w:t>
      </w:r>
      <w:r w:rsidRPr="00A13EBF">
        <w:rPr>
          <w:rFonts w:asciiTheme="majorBidi" w:hAnsiTheme="majorBidi" w:cstheme="majorBidi"/>
          <w:spacing w:val="-2"/>
        </w:rPr>
        <w:t>while</w:t>
      </w:r>
      <w:r w:rsidRPr="00A13EBF">
        <w:rPr>
          <w:rFonts w:asciiTheme="majorBidi" w:hAnsiTheme="majorBidi" w:cstheme="majorBidi"/>
          <w:spacing w:val="-21"/>
        </w:rPr>
        <w:t xml:space="preserve"> </w:t>
      </w:r>
      <w:r w:rsidRPr="00A13EBF">
        <w:rPr>
          <w:rFonts w:asciiTheme="majorBidi" w:hAnsiTheme="majorBidi" w:cstheme="majorBidi"/>
          <w:spacing w:val="-2"/>
        </w:rPr>
        <w:t>Protein</w:t>
      </w:r>
      <w:r w:rsidRPr="00A13EBF">
        <w:rPr>
          <w:rFonts w:asciiTheme="majorBidi" w:hAnsiTheme="majorBidi" w:cstheme="majorBidi"/>
          <w:spacing w:val="-21"/>
        </w:rPr>
        <w:t xml:space="preserve"> </w:t>
      </w:r>
      <w:r w:rsidRPr="00A13EBF">
        <w:rPr>
          <w:rFonts w:asciiTheme="majorBidi" w:hAnsiTheme="majorBidi" w:cstheme="majorBidi"/>
          <w:spacing w:val="-2"/>
        </w:rPr>
        <w:t>S</w:t>
      </w:r>
      <w:r w:rsidRPr="00A13EBF">
        <w:rPr>
          <w:rFonts w:asciiTheme="majorBidi" w:hAnsiTheme="majorBidi" w:cstheme="majorBidi"/>
          <w:spacing w:val="-19"/>
        </w:rPr>
        <w:t xml:space="preserve"> </w:t>
      </w:r>
      <w:r w:rsidRPr="00A13EBF">
        <w:rPr>
          <w:rFonts w:asciiTheme="majorBidi" w:hAnsiTheme="majorBidi" w:cstheme="majorBidi"/>
          <w:spacing w:val="-2"/>
        </w:rPr>
        <w:t>is</w:t>
      </w:r>
      <w:r w:rsidRPr="00A13EBF">
        <w:rPr>
          <w:rFonts w:asciiTheme="majorBidi" w:hAnsiTheme="majorBidi" w:cstheme="majorBidi"/>
          <w:spacing w:val="-21"/>
        </w:rPr>
        <w:t xml:space="preserve"> </w:t>
      </w:r>
      <w:r w:rsidRPr="00A13EBF">
        <w:rPr>
          <w:rFonts w:asciiTheme="majorBidi" w:hAnsiTheme="majorBidi" w:cstheme="majorBidi"/>
          <w:spacing w:val="-2"/>
        </w:rPr>
        <w:t>found</w:t>
      </w:r>
      <w:r w:rsidRPr="00A13EBF">
        <w:rPr>
          <w:rFonts w:asciiTheme="majorBidi" w:hAnsiTheme="majorBidi" w:cstheme="majorBidi"/>
          <w:spacing w:val="-12"/>
        </w:rPr>
        <w:t xml:space="preserve"> </w:t>
      </w:r>
      <w:r w:rsidRPr="00A13EBF">
        <w:rPr>
          <w:rFonts w:asciiTheme="majorBidi" w:hAnsiTheme="majorBidi" w:cstheme="majorBidi"/>
          <w:spacing w:val="-2"/>
        </w:rPr>
        <w:t>in</w:t>
      </w:r>
      <w:r w:rsidRPr="00A13EBF">
        <w:rPr>
          <w:rFonts w:asciiTheme="majorBidi" w:hAnsiTheme="majorBidi" w:cstheme="majorBidi"/>
          <w:spacing w:val="-21"/>
        </w:rPr>
        <w:t xml:space="preserve"> </w:t>
      </w:r>
      <w:r w:rsidRPr="00A13EBF">
        <w:rPr>
          <w:rFonts w:asciiTheme="majorBidi" w:hAnsiTheme="majorBidi" w:cstheme="majorBidi"/>
          <w:spacing w:val="-2"/>
        </w:rPr>
        <w:t xml:space="preserve">both </w:t>
      </w:r>
      <w:r w:rsidRPr="00A13EBF">
        <w:rPr>
          <w:rFonts w:asciiTheme="majorBidi" w:hAnsiTheme="majorBidi" w:cstheme="majorBidi"/>
          <w:spacing w:val="-6"/>
        </w:rPr>
        <w:t>free</w:t>
      </w:r>
      <w:r w:rsidRPr="00A13EBF">
        <w:rPr>
          <w:rFonts w:asciiTheme="majorBidi" w:hAnsiTheme="majorBidi" w:cstheme="majorBidi"/>
          <w:spacing w:val="-18"/>
        </w:rPr>
        <w:t xml:space="preserve"> </w:t>
      </w:r>
      <w:r w:rsidRPr="00A13EBF">
        <w:rPr>
          <w:rFonts w:asciiTheme="majorBidi" w:hAnsiTheme="majorBidi" w:cstheme="majorBidi"/>
          <w:spacing w:val="-6"/>
        </w:rPr>
        <w:t>(active)</w:t>
      </w:r>
      <w:r w:rsidRPr="00A13EBF">
        <w:rPr>
          <w:rFonts w:asciiTheme="majorBidi" w:hAnsiTheme="majorBidi" w:cstheme="majorBidi"/>
          <w:spacing w:val="-16"/>
        </w:rPr>
        <w:t xml:space="preserve"> </w:t>
      </w:r>
      <w:r w:rsidRPr="00A13EBF">
        <w:rPr>
          <w:rFonts w:asciiTheme="majorBidi" w:hAnsiTheme="majorBidi" w:cstheme="majorBidi"/>
          <w:spacing w:val="-6"/>
        </w:rPr>
        <w:t>and</w:t>
      </w:r>
      <w:r w:rsidRPr="00A13EBF">
        <w:rPr>
          <w:rFonts w:asciiTheme="majorBidi" w:hAnsiTheme="majorBidi" w:cstheme="majorBidi"/>
          <w:spacing w:val="-16"/>
        </w:rPr>
        <w:t xml:space="preserve"> </w:t>
      </w:r>
      <w:r w:rsidRPr="00A13EBF">
        <w:rPr>
          <w:rFonts w:asciiTheme="majorBidi" w:hAnsiTheme="majorBidi" w:cstheme="majorBidi"/>
          <w:spacing w:val="-6"/>
        </w:rPr>
        <w:t>bound</w:t>
      </w:r>
      <w:r w:rsidRPr="00A13EBF">
        <w:rPr>
          <w:rFonts w:asciiTheme="majorBidi" w:hAnsiTheme="majorBidi" w:cstheme="majorBidi"/>
          <w:spacing w:val="-16"/>
        </w:rPr>
        <w:t xml:space="preserve"> </w:t>
      </w:r>
      <w:r w:rsidRPr="00A13EBF">
        <w:rPr>
          <w:rFonts w:asciiTheme="majorBidi" w:hAnsiTheme="majorBidi" w:cstheme="majorBidi"/>
          <w:spacing w:val="-6"/>
        </w:rPr>
        <w:t>(inactive)</w:t>
      </w:r>
      <w:r w:rsidRPr="00A13EBF">
        <w:rPr>
          <w:rFonts w:asciiTheme="majorBidi" w:hAnsiTheme="majorBidi" w:cstheme="majorBidi"/>
          <w:spacing w:val="-16"/>
        </w:rPr>
        <w:t xml:space="preserve"> </w:t>
      </w:r>
      <w:r w:rsidRPr="00A13EBF">
        <w:rPr>
          <w:rFonts w:asciiTheme="majorBidi" w:hAnsiTheme="majorBidi" w:cstheme="majorBidi"/>
          <w:spacing w:val="-6"/>
        </w:rPr>
        <w:t>forms,</w:t>
      </w:r>
      <w:r w:rsidRPr="00A13EBF">
        <w:rPr>
          <w:rFonts w:asciiTheme="majorBidi" w:hAnsiTheme="majorBidi" w:cstheme="majorBidi"/>
          <w:spacing w:val="-15"/>
        </w:rPr>
        <w:t xml:space="preserve"> </w:t>
      </w:r>
      <w:r w:rsidRPr="00A13EBF">
        <w:rPr>
          <w:rFonts w:asciiTheme="majorBidi" w:hAnsiTheme="majorBidi" w:cstheme="majorBidi"/>
          <w:spacing w:val="-6"/>
        </w:rPr>
        <w:t>with</w:t>
      </w:r>
      <w:r w:rsidRPr="00A13EBF">
        <w:rPr>
          <w:rFonts w:asciiTheme="majorBidi" w:hAnsiTheme="majorBidi" w:cstheme="majorBidi"/>
          <w:spacing w:val="-18"/>
        </w:rPr>
        <w:t xml:space="preserve"> </w:t>
      </w:r>
      <w:r w:rsidRPr="00A13EBF">
        <w:rPr>
          <w:rFonts w:asciiTheme="majorBidi" w:hAnsiTheme="majorBidi" w:cstheme="majorBidi"/>
          <w:spacing w:val="-6"/>
        </w:rPr>
        <w:t>approximately</w:t>
      </w:r>
      <w:r w:rsidRPr="00A13EBF">
        <w:rPr>
          <w:rFonts w:asciiTheme="majorBidi" w:hAnsiTheme="majorBidi" w:cstheme="majorBidi"/>
          <w:spacing w:val="-15"/>
        </w:rPr>
        <w:t xml:space="preserve"> </w:t>
      </w:r>
      <w:r w:rsidRPr="00A13EBF">
        <w:rPr>
          <w:rFonts w:asciiTheme="majorBidi" w:hAnsiTheme="majorBidi" w:cstheme="majorBidi"/>
          <w:spacing w:val="-6"/>
        </w:rPr>
        <w:t>40%</w:t>
      </w:r>
      <w:r w:rsidRPr="00A13EBF">
        <w:rPr>
          <w:rFonts w:asciiTheme="majorBidi" w:hAnsiTheme="majorBidi" w:cstheme="majorBidi"/>
          <w:spacing w:val="-15"/>
        </w:rPr>
        <w:t xml:space="preserve"> </w:t>
      </w:r>
      <w:r w:rsidRPr="00A13EBF">
        <w:rPr>
          <w:rFonts w:asciiTheme="majorBidi" w:hAnsiTheme="majorBidi" w:cstheme="majorBidi"/>
          <w:spacing w:val="-6"/>
        </w:rPr>
        <w:t>in</w:t>
      </w:r>
      <w:r w:rsidRPr="00A13EBF">
        <w:rPr>
          <w:rFonts w:asciiTheme="majorBidi" w:hAnsiTheme="majorBidi" w:cstheme="majorBidi"/>
          <w:spacing w:val="-18"/>
        </w:rPr>
        <w:t xml:space="preserve"> </w:t>
      </w:r>
      <w:r w:rsidRPr="00A13EBF">
        <w:rPr>
          <w:rFonts w:asciiTheme="majorBidi" w:hAnsiTheme="majorBidi" w:cstheme="majorBidi"/>
          <w:spacing w:val="-6"/>
        </w:rPr>
        <w:t>the</w:t>
      </w:r>
      <w:r w:rsidRPr="00A13EBF">
        <w:rPr>
          <w:rFonts w:asciiTheme="majorBidi" w:hAnsiTheme="majorBidi" w:cstheme="majorBidi"/>
          <w:spacing w:val="-18"/>
        </w:rPr>
        <w:t xml:space="preserve"> </w:t>
      </w:r>
      <w:r w:rsidRPr="00A13EBF">
        <w:rPr>
          <w:rFonts w:asciiTheme="majorBidi" w:hAnsiTheme="majorBidi" w:cstheme="majorBidi"/>
          <w:spacing w:val="-6"/>
        </w:rPr>
        <w:t>active</w:t>
      </w:r>
      <w:r w:rsidRPr="00A13EBF">
        <w:rPr>
          <w:rFonts w:asciiTheme="majorBidi" w:hAnsiTheme="majorBidi" w:cstheme="majorBidi"/>
          <w:spacing w:val="-18"/>
        </w:rPr>
        <w:t xml:space="preserve"> </w:t>
      </w:r>
      <w:r w:rsidRPr="00A13EBF">
        <w:rPr>
          <w:rFonts w:asciiTheme="majorBidi" w:hAnsiTheme="majorBidi" w:cstheme="majorBidi"/>
          <w:spacing w:val="-6"/>
        </w:rPr>
        <w:t>free</w:t>
      </w:r>
      <w:r w:rsidRPr="00A13EBF">
        <w:rPr>
          <w:rFonts w:asciiTheme="majorBidi" w:hAnsiTheme="majorBidi" w:cstheme="majorBidi"/>
          <w:spacing w:val="-18"/>
        </w:rPr>
        <w:t xml:space="preserve"> </w:t>
      </w:r>
      <w:r w:rsidRPr="00A13EBF">
        <w:rPr>
          <w:rFonts w:asciiTheme="majorBidi" w:hAnsiTheme="majorBidi" w:cstheme="majorBidi"/>
          <w:spacing w:val="-6"/>
        </w:rPr>
        <w:t xml:space="preserve">form </w:t>
      </w:r>
      <w:r w:rsidR="003C7554">
        <w:rPr>
          <w:rFonts w:asciiTheme="majorBidi" w:hAnsiTheme="majorBidi" w:cstheme="majorBidi"/>
        </w:rPr>
        <w:t>(Wypasel et al., 2021</w:t>
      </w:r>
      <w:r w:rsidRPr="00A13EBF">
        <w:rPr>
          <w:rFonts w:asciiTheme="majorBidi" w:hAnsiTheme="majorBidi" w:cstheme="majorBidi"/>
        </w:rPr>
        <w:t>).</w:t>
      </w:r>
    </w:p>
    <w:p w14:paraId="2626998B" w14:textId="77777777" w:rsidR="002A2597" w:rsidRPr="00A13EBF" w:rsidRDefault="002A2597" w:rsidP="00A13EBF">
      <w:pPr>
        <w:pStyle w:val="ListParagraph"/>
        <w:widowControl w:val="0"/>
        <w:tabs>
          <w:tab w:val="left" w:pos="221"/>
        </w:tabs>
        <w:autoSpaceDE w:val="0"/>
        <w:autoSpaceDN w:val="0"/>
        <w:spacing w:after="0" w:line="360" w:lineRule="auto"/>
        <w:ind w:left="0"/>
        <w:jc w:val="both"/>
        <w:rPr>
          <w:rFonts w:asciiTheme="majorBidi" w:hAnsiTheme="majorBidi" w:cstheme="majorBidi"/>
          <w:b/>
          <w:bCs/>
          <w:sz w:val="24"/>
          <w:szCs w:val="24"/>
        </w:rPr>
      </w:pPr>
      <w:r w:rsidRPr="00A13EBF">
        <w:rPr>
          <w:rFonts w:asciiTheme="majorBidi" w:hAnsiTheme="majorBidi" w:cstheme="majorBidi"/>
          <w:b/>
          <w:bCs/>
          <w:spacing w:val="-8"/>
          <w:sz w:val="24"/>
          <w:szCs w:val="24"/>
        </w:rPr>
        <w:t>Role</w:t>
      </w:r>
      <w:r w:rsidRPr="00A13EBF">
        <w:rPr>
          <w:rFonts w:asciiTheme="majorBidi" w:hAnsiTheme="majorBidi" w:cstheme="majorBidi"/>
          <w:b/>
          <w:bCs/>
          <w:spacing w:val="-14"/>
          <w:sz w:val="24"/>
          <w:szCs w:val="24"/>
        </w:rPr>
        <w:t xml:space="preserve"> </w:t>
      </w:r>
      <w:r w:rsidRPr="00A13EBF">
        <w:rPr>
          <w:rFonts w:asciiTheme="majorBidi" w:hAnsiTheme="majorBidi" w:cstheme="majorBidi"/>
          <w:b/>
          <w:bCs/>
          <w:spacing w:val="-8"/>
          <w:sz w:val="24"/>
          <w:szCs w:val="24"/>
        </w:rPr>
        <w:t>in</w:t>
      </w:r>
      <w:r w:rsidRPr="00A13EBF">
        <w:rPr>
          <w:rFonts w:asciiTheme="majorBidi" w:hAnsiTheme="majorBidi" w:cstheme="majorBidi"/>
          <w:b/>
          <w:bCs/>
          <w:spacing w:val="-14"/>
          <w:sz w:val="24"/>
          <w:szCs w:val="24"/>
        </w:rPr>
        <w:t xml:space="preserve"> </w:t>
      </w:r>
      <w:r w:rsidRPr="00A13EBF">
        <w:rPr>
          <w:rFonts w:asciiTheme="majorBidi" w:hAnsiTheme="majorBidi" w:cstheme="majorBidi"/>
          <w:b/>
          <w:bCs/>
          <w:spacing w:val="-8"/>
          <w:sz w:val="24"/>
          <w:szCs w:val="24"/>
        </w:rPr>
        <w:t>the</w:t>
      </w:r>
      <w:r w:rsidRPr="00A13EBF">
        <w:rPr>
          <w:rFonts w:asciiTheme="majorBidi" w:hAnsiTheme="majorBidi" w:cstheme="majorBidi"/>
          <w:b/>
          <w:bCs/>
          <w:spacing w:val="-14"/>
          <w:sz w:val="24"/>
          <w:szCs w:val="24"/>
        </w:rPr>
        <w:t xml:space="preserve"> </w:t>
      </w:r>
      <w:r w:rsidRPr="00A13EBF">
        <w:rPr>
          <w:rFonts w:asciiTheme="majorBidi" w:hAnsiTheme="majorBidi" w:cstheme="majorBidi"/>
          <w:b/>
          <w:bCs/>
          <w:spacing w:val="-8"/>
          <w:sz w:val="24"/>
          <w:szCs w:val="24"/>
        </w:rPr>
        <w:t>Anticoagulant Pathway</w:t>
      </w:r>
      <w:r w:rsidRPr="00A13EBF">
        <w:rPr>
          <w:rFonts w:asciiTheme="majorBidi" w:hAnsiTheme="majorBidi" w:cstheme="majorBidi"/>
          <w:b/>
          <w:bCs/>
          <w:spacing w:val="-4"/>
          <w:sz w:val="24"/>
          <w:szCs w:val="24"/>
        </w:rPr>
        <w:t xml:space="preserve"> </w:t>
      </w:r>
      <w:r w:rsidRPr="00A13EBF">
        <w:rPr>
          <w:rFonts w:asciiTheme="majorBidi" w:hAnsiTheme="majorBidi" w:cstheme="majorBidi"/>
          <w:b/>
          <w:bCs/>
          <w:spacing w:val="-8"/>
          <w:sz w:val="24"/>
          <w:szCs w:val="24"/>
        </w:rPr>
        <w:t>(protein</w:t>
      </w:r>
      <w:r w:rsidRPr="00A13EBF">
        <w:rPr>
          <w:rFonts w:asciiTheme="majorBidi" w:hAnsiTheme="majorBidi" w:cstheme="majorBidi"/>
          <w:b/>
          <w:bCs/>
          <w:spacing w:val="-14"/>
          <w:sz w:val="24"/>
          <w:szCs w:val="24"/>
        </w:rPr>
        <w:t xml:space="preserve"> </w:t>
      </w:r>
      <w:r w:rsidRPr="00A13EBF">
        <w:rPr>
          <w:rFonts w:asciiTheme="majorBidi" w:hAnsiTheme="majorBidi" w:cstheme="majorBidi"/>
          <w:b/>
          <w:bCs/>
          <w:spacing w:val="-8"/>
          <w:sz w:val="24"/>
          <w:szCs w:val="24"/>
        </w:rPr>
        <w:t>c</w:t>
      </w:r>
      <w:r w:rsidR="00A13EBF" w:rsidRPr="00A13EBF">
        <w:rPr>
          <w:rFonts w:asciiTheme="majorBidi" w:hAnsiTheme="majorBidi" w:cstheme="majorBidi"/>
          <w:b/>
          <w:bCs/>
          <w:spacing w:val="-8"/>
          <w:sz w:val="24"/>
          <w:szCs w:val="24"/>
        </w:rPr>
        <w:t>)</w:t>
      </w:r>
    </w:p>
    <w:p w14:paraId="31DD2118" w14:textId="77777777" w:rsidR="00DB3CB2" w:rsidRPr="00A13EBF" w:rsidRDefault="002A2597" w:rsidP="00A13EBF">
      <w:pPr>
        <w:pStyle w:val="NoSpacing"/>
        <w:spacing w:line="360" w:lineRule="auto"/>
        <w:jc w:val="both"/>
        <w:rPr>
          <w:rFonts w:asciiTheme="majorBidi" w:hAnsiTheme="majorBidi" w:cstheme="majorBidi"/>
          <w:sz w:val="24"/>
          <w:szCs w:val="24"/>
        </w:rPr>
      </w:pPr>
      <w:r w:rsidRPr="00A13EBF">
        <w:rPr>
          <w:rFonts w:asciiTheme="majorBidi" w:hAnsiTheme="majorBidi" w:cstheme="majorBidi"/>
          <w:sz w:val="24"/>
          <w:szCs w:val="24"/>
        </w:rPr>
        <w:t xml:space="preserve">Activation of Protein C helps to regulate blood coagulation and protect endothelial cells. This process begins when thrombin binds to thrombomodulin on the endothelial surface, forming a complex that alters thrombin’s role from a procoagulant enzyme to one that activates the anticoagulant Protein </w:t>
      </w:r>
      <w:r w:rsidR="00A13EBF" w:rsidRPr="00A13EBF">
        <w:rPr>
          <w:rFonts w:asciiTheme="majorBidi" w:hAnsiTheme="majorBidi" w:cstheme="majorBidi"/>
          <w:sz w:val="24"/>
          <w:szCs w:val="24"/>
        </w:rPr>
        <w:t>C. (</w:t>
      </w:r>
      <w:r w:rsidR="003C7554">
        <w:rPr>
          <w:rFonts w:ascii="Times New Roman" w:hAnsi="Times New Roman" w:cs="Times New Roman"/>
          <w:sz w:val="24"/>
          <w:szCs w:val="24"/>
        </w:rPr>
        <w:t>Gierula &amp; Ahnström, 2020)</w:t>
      </w:r>
    </w:p>
    <w:p w14:paraId="0B4B6705" w14:textId="77777777" w:rsidR="00DB3CB2" w:rsidRPr="00A13EBF" w:rsidRDefault="002A2597" w:rsidP="00A13EBF">
      <w:pPr>
        <w:pStyle w:val="NoSpacing"/>
        <w:spacing w:line="360" w:lineRule="auto"/>
        <w:jc w:val="both"/>
        <w:rPr>
          <w:rFonts w:asciiTheme="majorBidi" w:hAnsiTheme="majorBidi" w:cstheme="majorBidi"/>
          <w:sz w:val="24"/>
          <w:szCs w:val="24"/>
        </w:rPr>
      </w:pPr>
      <w:r w:rsidRPr="00A13EBF">
        <w:rPr>
          <w:rFonts w:asciiTheme="majorBidi" w:hAnsiTheme="majorBidi" w:cstheme="majorBidi"/>
          <w:sz w:val="24"/>
          <w:szCs w:val="24"/>
        </w:rPr>
        <w:t>This activated protein c (</w:t>
      </w:r>
      <w:r w:rsidR="00A13EBF" w:rsidRPr="00A13EBF">
        <w:rPr>
          <w:rFonts w:asciiTheme="majorBidi" w:hAnsiTheme="majorBidi" w:cstheme="majorBidi"/>
          <w:sz w:val="24"/>
          <w:szCs w:val="24"/>
        </w:rPr>
        <w:t>APC)</w:t>
      </w:r>
      <w:r w:rsidRPr="00A13EBF">
        <w:rPr>
          <w:rFonts w:asciiTheme="majorBidi" w:hAnsiTheme="majorBidi" w:cstheme="majorBidi"/>
          <w:sz w:val="24"/>
          <w:szCs w:val="24"/>
        </w:rPr>
        <w:t xml:space="preserve"> inactivates coagulation Factors Va and VIIIa, which are essential cofactors for generating </w:t>
      </w:r>
      <w:r w:rsidR="00A13EBF" w:rsidRPr="00A13EBF">
        <w:rPr>
          <w:rFonts w:asciiTheme="majorBidi" w:hAnsiTheme="majorBidi" w:cstheme="majorBidi"/>
          <w:sz w:val="24"/>
          <w:szCs w:val="24"/>
        </w:rPr>
        <w:t>thrombin. By</w:t>
      </w:r>
      <w:r w:rsidRPr="00A13EBF">
        <w:rPr>
          <w:rFonts w:asciiTheme="majorBidi" w:hAnsiTheme="majorBidi" w:cstheme="majorBidi"/>
          <w:sz w:val="24"/>
          <w:szCs w:val="24"/>
        </w:rPr>
        <w:t xml:space="preserve"> degrading these factors, APC reduces thrombin formation and slows down the clot amplification and aids in maintaining blood </w:t>
      </w:r>
      <w:r w:rsidR="00A13EBF" w:rsidRPr="00A13EBF">
        <w:rPr>
          <w:rFonts w:asciiTheme="majorBidi" w:hAnsiTheme="majorBidi" w:cstheme="majorBidi"/>
          <w:sz w:val="24"/>
          <w:szCs w:val="24"/>
        </w:rPr>
        <w:t>fluidity. (</w:t>
      </w:r>
      <w:r w:rsidR="00801C2C">
        <w:rPr>
          <w:rFonts w:ascii="Times New Roman" w:hAnsi="Times New Roman" w:cs="Times New Roman"/>
          <w:sz w:val="24"/>
          <w:szCs w:val="24"/>
        </w:rPr>
        <w:t>Dahlbäck, 1999</w:t>
      </w:r>
      <w:r w:rsidR="00EC500A" w:rsidRPr="00A13EBF">
        <w:rPr>
          <w:rFonts w:asciiTheme="majorBidi" w:hAnsiTheme="majorBidi" w:cstheme="majorBidi"/>
          <w:sz w:val="24"/>
          <w:szCs w:val="24"/>
        </w:rPr>
        <w:t>)</w:t>
      </w:r>
      <w:r w:rsidR="009021C6">
        <w:rPr>
          <w:rFonts w:asciiTheme="majorBidi" w:hAnsiTheme="majorBidi" w:cstheme="majorBidi"/>
          <w:sz w:val="24"/>
          <w:szCs w:val="24"/>
        </w:rPr>
        <w:t>, (</w:t>
      </w:r>
      <w:r w:rsidR="009021C6" w:rsidRPr="00801C2C">
        <w:rPr>
          <w:rFonts w:ascii="Times New Roman" w:hAnsi="Times New Roman" w:cs="Times New Roman"/>
          <w:sz w:val="24"/>
          <w:szCs w:val="24"/>
        </w:rPr>
        <w:t>Dahlbäck</w:t>
      </w:r>
      <w:r w:rsidR="00801C2C">
        <w:rPr>
          <w:rFonts w:ascii="Times New Roman" w:hAnsi="Times New Roman" w:cs="Times New Roman"/>
          <w:sz w:val="24"/>
          <w:szCs w:val="24"/>
        </w:rPr>
        <w:t xml:space="preserve"> &amp; Villoutreix, </w:t>
      </w:r>
      <w:r w:rsidR="00801C2C" w:rsidRPr="00FF0F09">
        <w:rPr>
          <w:rFonts w:ascii="Times New Roman" w:hAnsi="Times New Roman" w:cs="Times New Roman"/>
          <w:sz w:val="24"/>
          <w:szCs w:val="24"/>
        </w:rPr>
        <w:t>2005).</w:t>
      </w:r>
    </w:p>
    <w:p w14:paraId="66BBE15D" w14:textId="77777777" w:rsidR="002A2597" w:rsidRPr="00A13EBF" w:rsidRDefault="002A2597" w:rsidP="00A13EBF">
      <w:pPr>
        <w:pStyle w:val="NoSpacing"/>
        <w:spacing w:line="360" w:lineRule="auto"/>
        <w:jc w:val="both"/>
        <w:rPr>
          <w:rFonts w:asciiTheme="majorBidi" w:hAnsiTheme="majorBidi" w:cstheme="majorBidi"/>
          <w:sz w:val="24"/>
          <w:szCs w:val="24"/>
        </w:rPr>
      </w:pPr>
      <w:r w:rsidRPr="00A13EBF">
        <w:rPr>
          <w:rFonts w:asciiTheme="majorBidi" w:hAnsiTheme="majorBidi" w:cstheme="majorBidi"/>
          <w:sz w:val="24"/>
          <w:szCs w:val="24"/>
        </w:rPr>
        <w:t xml:space="preserve">While the Protein S serves as a non-enzymatic cofactor for Activated Protein C (APC), significantly enhancing APC’s ability to inactivate coagulation Factors Va and VIIIa. In addition to this cofactor function, Protein S directly contributes to anticoagulation by assisting the Tissue Factor Pathway Inhibitor (TFPI) and by modestly inhibiting the tenase and prothrombinase </w:t>
      </w:r>
      <w:r w:rsidR="00A13EBF" w:rsidRPr="00A13EBF">
        <w:rPr>
          <w:rFonts w:asciiTheme="majorBidi" w:hAnsiTheme="majorBidi" w:cstheme="majorBidi"/>
          <w:sz w:val="24"/>
          <w:szCs w:val="24"/>
        </w:rPr>
        <w:t>complexes. (</w:t>
      </w:r>
      <w:r w:rsidR="00801C2C">
        <w:rPr>
          <w:rFonts w:asciiTheme="majorBidi" w:hAnsiTheme="majorBidi" w:cstheme="majorBidi"/>
          <w:sz w:val="24"/>
          <w:szCs w:val="24"/>
        </w:rPr>
        <w:t>Esmon, 2003)</w:t>
      </w:r>
    </w:p>
    <w:p w14:paraId="50C18F9D" w14:textId="77777777" w:rsidR="002A2597" w:rsidRPr="00A13EBF" w:rsidRDefault="002A2597" w:rsidP="00A13EBF">
      <w:pPr>
        <w:pStyle w:val="NoSpacing"/>
        <w:spacing w:line="360" w:lineRule="auto"/>
        <w:jc w:val="both"/>
        <w:rPr>
          <w:rFonts w:asciiTheme="majorBidi" w:hAnsiTheme="majorBidi" w:cstheme="majorBidi"/>
          <w:sz w:val="24"/>
          <w:szCs w:val="24"/>
        </w:rPr>
      </w:pPr>
      <w:r w:rsidRPr="00A13EBF">
        <w:rPr>
          <w:rFonts w:asciiTheme="majorBidi" w:hAnsiTheme="majorBidi" w:cstheme="majorBidi"/>
          <w:sz w:val="24"/>
          <w:szCs w:val="24"/>
        </w:rPr>
        <w:t>Approximately 40% of circulating Protein S exists in a free, active form, while the remaining portion is bound to C4b-binding protein and is therefore inactive</w:t>
      </w:r>
    </w:p>
    <w:p w14:paraId="2CAF6A47" w14:textId="77777777" w:rsidR="00A13EBF" w:rsidRPr="009021C6" w:rsidRDefault="002A2597" w:rsidP="009021C6">
      <w:pPr>
        <w:pStyle w:val="NoSpacing"/>
        <w:spacing w:line="360" w:lineRule="auto"/>
        <w:jc w:val="both"/>
        <w:rPr>
          <w:rFonts w:asciiTheme="majorBidi" w:hAnsiTheme="majorBidi" w:cstheme="majorBidi"/>
          <w:sz w:val="24"/>
          <w:szCs w:val="24"/>
        </w:rPr>
      </w:pPr>
      <w:r w:rsidRPr="00A13EBF">
        <w:rPr>
          <w:rFonts w:asciiTheme="majorBidi" w:hAnsiTheme="majorBidi" w:cstheme="majorBidi"/>
          <w:sz w:val="24"/>
          <w:szCs w:val="24"/>
        </w:rPr>
        <w:lastRenderedPageBreak/>
        <w:t xml:space="preserve">Deficiencies or dysfunction in these Protein C, Protein S, or their receptors can disturb regulatory </w:t>
      </w:r>
      <w:r w:rsidR="00A13EBF" w:rsidRPr="00A13EBF">
        <w:rPr>
          <w:rFonts w:asciiTheme="majorBidi" w:hAnsiTheme="majorBidi" w:cstheme="majorBidi"/>
          <w:sz w:val="24"/>
          <w:szCs w:val="24"/>
        </w:rPr>
        <w:t>pathway. This</w:t>
      </w:r>
      <w:r w:rsidRPr="00A13EBF">
        <w:rPr>
          <w:rFonts w:asciiTheme="majorBidi" w:hAnsiTheme="majorBidi" w:cstheme="majorBidi"/>
          <w:sz w:val="24"/>
          <w:szCs w:val="24"/>
        </w:rPr>
        <w:t xml:space="preserve"> leads to excess thrombin generation, predisposing to venous thrombosis, disseminated intravascular coagulation</w:t>
      </w:r>
      <w:r w:rsidR="00EC500A" w:rsidRPr="00A13EBF">
        <w:rPr>
          <w:rFonts w:asciiTheme="majorBidi" w:hAnsiTheme="majorBidi" w:cstheme="majorBidi"/>
          <w:sz w:val="24"/>
          <w:szCs w:val="24"/>
        </w:rPr>
        <w:t xml:space="preserve"> </w:t>
      </w:r>
      <w:r w:rsidR="008745D6" w:rsidRPr="00A13EBF">
        <w:rPr>
          <w:rFonts w:asciiTheme="majorBidi" w:hAnsiTheme="majorBidi" w:cstheme="majorBidi"/>
          <w:sz w:val="24"/>
          <w:szCs w:val="24"/>
        </w:rPr>
        <w:t xml:space="preserve">(DIC), or purpura </w:t>
      </w:r>
      <w:r w:rsidR="00A13EBF" w:rsidRPr="00A13EBF">
        <w:rPr>
          <w:rFonts w:asciiTheme="majorBidi" w:hAnsiTheme="majorBidi" w:cstheme="majorBidi"/>
          <w:sz w:val="24"/>
          <w:szCs w:val="24"/>
        </w:rPr>
        <w:t>fulminans (</w:t>
      </w:r>
      <w:r w:rsidR="00801C2C">
        <w:rPr>
          <w:rFonts w:asciiTheme="majorBidi" w:hAnsiTheme="majorBidi" w:cstheme="majorBidi"/>
          <w:sz w:val="24"/>
          <w:szCs w:val="24"/>
        </w:rPr>
        <w:t>Rezaie, 2010</w:t>
      </w:r>
      <w:r w:rsidR="008745D6" w:rsidRPr="00A13EBF">
        <w:rPr>
          <w:rFonts w:asciiTheme="majorBidi" w:hAnsiTheme="majorBidi" w:cstheme="majorBidi"/>
          <w:sz w:val="24"/>
          <w:szCs w:val="24"/>
        </w:rPr>
        <w:t xml:space="preserve">) </w:t>
      </w:r>
    </w:p>
    <w:p w14:paraId="608D0360" w14:textId="77777777" w:rsidR="00A13EBF" w:rsidRPr="00A13EBF" w:rsidRDefault="008745D6" w:rsidP="00090FDC">
      <w:pPr>
        <w:spacing w:after="0" w:line="360" w:lineRule="auto"/>
        <w:jc w:val="both"/>
        <w:rPr>
          <w:rFonts w:asciiTheme="majorBidi" w:hAnsiTheme="majorBidi" w:cstheme="majorBidi"/>
          <w:b/>
          <w:sz w:val="24"/>
          <w:szCs w:val="24"/>
          <w:lang w:val="en-US"/>
        </w:rPr>
      </w:pPr>
      <w:r w:rsidRPr="00A13EBF">
        <w:rPr>
          <w:rFonts w:asciiTheme="majorBidi" w:hAnsiTheme="majorBidi" w:cstheme="majorBidi"/>
          <w:b/>
          <w:sz w:val="24"/>
          <w:szCs w:val="24"/>
          <w:lang w:val="en-US"/>
        </w:rPr>
        <w:t>PATHOGENESIS OF PROTIEN C &amp; PROTIEN S DEFICIENCY</w:t>
      </w:r>
    </w:p>
    <w:p w14:paraId="1CC7750F" w14:textId="77777777" w:rsidR="008745D6" w:rsidRPr="00A13EBF" w:rsidRDefault="00A13EBF" w:rsidP="00A13EBF">
      <w:pPr>
        <w:spacing w:after="0"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A. </w:t>
      </w:r>
      <w:r w:rsidR="00DB3CB2" w:rsidRPr="00A13EBF">
        <w:rPr>
          <w:rFonts w:asciiTheme="majorBidi" w:hAnsiTheme="majorBidi" w:cstheme="majorBidi"/>
          <w:b/>
          <w:bCs/>
          <w:sz w:val="24"/>
          <w:szCs w:val="24"/>
          <w:lang w:val="en-US"/>
        </w:rPr>
        <w:t>PATHOGENESIS OF PROTIEN C</w:t>
      </w:r>
    </w:p>
    <w:p w14:paraId="2AE28B9B" w14:textId="77777777" w:rsidR="008745D6" w:rsidRPr="00A13EBF" w:rsidRDefault="008745D6" w:rsidP="00A13EBF">
      <w:pPr>
        <w:shd w:val="clear" w:color="auto" w:fill="FFFFFF"/>
        <w:spacing w:after="0" w:line="360" w:lineRule="auto"/>
        <w:jc w:val="both"/>
        <w:textAlignment w:val="baseline"/>
        <w:rPr>
          <w:rFonts w:asciiTheme="majorBidi" w:eastAsia="Times New Roman" w:hAnsiTheme="majorBidi" w:cstheme="majorBidi"/>
          <w:b/>
          <w:bCs/>
          <w:color w:val="1A1A1A"/>
          <w:sz w:val="24"/>
          <w:szCs w:val="24"/>
          <w:lang w:eastAsia="en-IN"/>
        </w:rPr>
      </w:pPr>
      <w:r w:rsidRPr="00A13EBF">
        <w:rPr>
          <w:rFonts w:asciiTheme="majorBidi" w:eastAsia="Times New Roman" w:hAnsiTheme="majorBidi" w:cstheme="majorBidi"/>
          <w:b/>
          <w:bCs/>
          <w:color w:val="1A1A1A"/>
          <w:sz w:val="24"/>
          <w:szCs w:val="24"/>
          <w:lang w:eastAsia="en-IN"/>
        </w:rPr>
        <w:t>1</w:t>
      </w:r>
      <w:r w:rsidR="00DB3CB2" w:rsidRPr="00A13EBF">
        <w:rPr>
          <w:rFonts w:asciiTheme="majorBidi" w:eastAsia="Times New Roman" w:hAnsiTheme="majorBidi" w:cstheme="majorBidi"/>
          <w:b/>
          <w:bCs/>
          <w:color w:val="1A1A1A"/>
          <w:sz w:val="24"/>
          <w:szCs w:val="24"/>
          <w:lang w:eastAsia="en-IN"/>
        </w:rPr>
        <w:t xml:space="preserve">. SYNTHESIS BY HEPATOCYTES: </w:t>
      </w:r>
    </w:p>
    <w:p w14:paraId="501273E7" w14:textId="77777777" w:rsidR="008745D6" w:rsidRPr="00A13EBF" w:rsidRDefault="008745D6" w:rsidP="00A13EBF">
      <w:pPr>
        <w:shd w:val="clear" w:color="auto" w:fill="FFFFFF"/>
        <w:spacing w:after="0" w:line="360" w:lineRule="auto"/>
        <w:jc w:val="both"/>
        <w:textAlignment w:val="baseline"/>
        <w:rPr>
          <w:rFonts w:asciiTheme="majorBidi" w:eastAsia="Times New Roman" w:hAnsiTheme="majorBidi" w:cstheme="majorBidi"/>
          <w:bCs/>
          <w:color w:val="1A1A1A"/>
          <w:sz w:val="24"/>
          <w:szCs w:val="24"/>
          <w:lang w:eastAsia="en-IN"/>
        </w:rPr>
      </w:pPr>
      <w:r w:rsidRPr="00A13EBF">
        <w:rPr>
          <w:rFonts w:asciiTheme="majorBidi" w:eastAsia="Times New Roman" w:hAnsiTheme="majorBidi" w:cstheme="majorBidi"/>
          <w:bCs/>
          <w:color w:val="1A1A1A"/>
          <w:sz w:val="24"/>
          <w:szCs w:val="24"/>
          <w:lang w:eastAsia="en-IN"/>
        </w:rPr>
        <w:t>The liver (especially hepatocytes) generates Protein C and releases it into the bloodstream in an inactive form known as a zymogen.</w:t>
      </w:r>
    </w:p>
    <w:p w14:paraId="6EF54067" w14:textId="77777777" w:rsidR="008745D6" w:rsidRPr="00A13EBF" w:rsidRDefault="008745D6" w:rsidP="00A13EBF">
      <w:pPr>
        <w:shd w:val="clear" w:color="auto" w:fill="FFFFFF"/>
        <w:spacing w:after="0" w:line="360" w:lineRule="auto"/>
        <w:jc w:val="both"/>
        <w:textAlignment w:val="baseline"/>
        <w:rPr>
          <w:rFonts w:asciiTheme="majorBidi" w:eastAsia="Times New Roman" w:hAnsiTheme="majorBidi" w:cstheme="majorBidi"/>
          <w:b/>
          <w:color w:val="1A1A1A"/>
          <w:sz w:val="24"/>
          <w:szCs w:val="24"/>
          <w:lang w:eastAsia="en-IN"/>
        </w:rPr>
      </w:pPr>
      <w:r w:rsidRPr="00A13EBF">
        <w:rPr>
          <w:rFonts w:asciiTheme="majorBidi" w:eastAsia="Times New Roman" w:hAnsiTheme="majorBidi" w:cstheme="majorBidi"/>
          <w:b/>
          <w:color w:val="1A1A1A"/>
          <w:sz w:val="24"/>
          <w:szCs w:val="24"/>
          <w:lang w:eastAsia="en-IN"/>
        </w:rPr>
        <w:t xml:space="preserve">2. </w:t>
      </w:r>
      <w:r w:rsidR="00DB3CB2" w:rsidRPr="00A13EBF">
        <w:rPr>
          <w:rFonts w:asciiTheme="majorBidi" w:eastAsia="Times New Roman" w:hAnsiTheme="majorBidi" w:cstheme="majorBidi"/>
          <w:b/>
          <w:color w:val="1A1A1A"/>
          <w:sz w:val="24"/>
          <w:szCs w:val="24"/>
          <w:lang w:eastAsia="en-IN"/>
        </w:rPr>
        <w:t xml:space="preserve">PRESENCE IN </w:t>
      </w:r>
      <w:r w:rsidR="00A13EBF" w:rsidRPr="00A13EBF">
        <w:rPr>
          <w:rFonts w:asciiTheme="majorBidi" w:eastAsia="Times New Roman" w:hAnsiTheme="majorBidi" w:cstheme="majorBidi"/>
          <w:b/>
          <w:color w:val="1A1A1A"/>
          <w:sz w:val="24"/>
          <w:szCs w:val="24"/>
          <w:lang w:eastAsia="en-IN"/>
        </w:rPr>
        <w:t>PLASMA:</w:t>
      </w:r>
    </w:p>
    <w:p w14:paraId="51B4A74D" w14:textId="77777777" w:rsidR="008745D6" w:rsidRPr="00A13EBF" w:rsidRDefault="008745D6" w:rsidP="00A13EBF">
      <w:pPr>
        <w:shd w:val="clear" w:color="auto" w:fill="FFFFFF"/>
        <w:spacing w:after="0" w:line="360" w:lineRule="auto"/>
        <w:jc w:val="both"/>
        <w:textAlignment w:val="baseline"/>
        <w:rPr>
          <w:rFonts w:asciiTheme="majorBidi" w:eastAsia="Times New Roman" w:hAnsiTheme="majorBidi" w:cstheme="majorBidi"/>
          <w:bCs/>
          <w:color w:val="1A1A1A"/>
          <w:sz w:val="24"/>
          <w:szCs w:val="24"/>
          <w:lang w:eastAsia="en-IN"/>
        </w:rPr>
      </w:pPr>
      <w:r w:rsidRPr="00A13EBF">
        <w:rPr>
          <w:rFonts w:asciiTheme="majorBidi" w:eastAsia="Times New Roman" w:hAnsiTheme="majorBidi" w:cstheme="majorBidi"/>
          <w:bCs/>
          <w:color w:val="1A1A1A"/>
          <w:sz w:val="24"/>
          <w:szCs w:val="24"/>
          <w:lang w:eastAsia="en-IN"/>
        </w:rPr>
        <w:t>Inactive Protein C circulates through the plasma as a molecule composed of two chains (light and heavy chains).</w:t>
      </w:r>
    </w:p>
    <w:p w14:paraId="1A8326CB" w14:textId="77777777" w:rsidR="008745D6" w:rsidRPr="00A13EBF" w:rsidRDefault="008745D6" w:rsidP="00A13EBF">
      <w:pPr>
        <w:shd w:val="clear" w:color="auto" w:fill="FFFFFF"/>
        <w:spacing w:after="0" w:line="360" w:lineRule="auto"/>
        <w:jc w:val="both"/>
        <w:textAlignment w:val="baseline"/>
        <w:rPr>
          <w:rFonts w:asciiTheme="majorBidi" w:eastAsia="Times New Roman" w:hAnsiTheme="majorBidi" w:cstheme="majorBidi"/>
          <w:b/>
          <w:color w:val="1A1A1A"/>
          <w:sz w:val="24"/>
          <w:szCs w:val="24"/>
          <w:lang w:eastAsia="en-IN"/>
        </w:rPr>
      </w:pPr>
      <w:r w:rsidRPr="00A13EBF">
        <w:rPr>
          <w:rFonts w:asciiTheme="majorBidi" w:eastAsia="Times New Roman" w:hAnsiTheme="majorBidi" w:cstheme="majorBidi"/>
          <w:b/>
          <w:color w:val="1A1A1A"/>
          <w:sz w:val="24"/>
          <w:szCs w:val="24"/>
          <w:lang w:eastAsia="en-IN"/>
        </w:rPr>
        <w:t xml:space="preserve">3. </w:t>
      </w:r>
      <w:r w:rsidR="00DB3CB2" w:rsidRPr="00A13EBF">
        <w:rPr>
          <w:rFonts w:asciiTheme="majorBidi" w:eastAsia="Times New Roman" w:hAnsiTheme="majorBidi" w:cstheme="majorBidi"/>
          <w:b/>
          <w:color w:val="1A1A1A"/>
          <w:sz w:val="24"/>
          <w:szCs w:val="24"/>
          <w:lang w:eastAsia="en-IN"/>
        </w:rPr>
        <w:t xml:space="preserve">ACTIVATION ON ENDOTHELIAL </w:t>
      </w:r>
      <w:r w:rsidR="00A13EBF" w:rsidRPr="00A13EBF">
        <w:rPr>
          <w:rFonts w:asciiTheme="majorBidi" w:eastAsia="Times New Roman" w:hAnsiTheme="majorBidi" w:cstheme="majorBidi"/>
          <w:b/>
          <w:color w:val="1A1A1A"/>
          <w:sz w:val="24"/>
          <w:szCs w:val="24"/>
          <w:lang w:eastAsia="en-IN"/>
        </w:rPr>
        <w:t>SURFACE:</w:t>
      </w:r>
    </w:p>
    <w:p w14:paraId="3473E9DA" w14:textId="77777777" w:rsidR="008745D6" w:rsidRPr="00A13EBF" w:rsidRDefault="008745D6" w:rsidP="00A13EBF">
      <w:pPr>
        <w:shd w:val="clear" w:color="auto" w:fill="FFFFFF"/>
        <w:spacing w:after="0" w:line="360" w:lineRule="auto"/>
        <w:jc w:val="both"/>
        <w:textAlignment w:val="baseline"/>
        <w:rPr>
          <w:rFonts w:asciiTheme="majorBidi" w:eastAsia="Times New Roman" w:hAnsiTheme="majorBidi" w:cstheme="majorBidi"/>
          <w:bCs/>
          <w:color w:val="1A1A1A"/>
          <w:sz w:val="24"/>
          <w:szCs w:val="24"/>
          <w:lang w:eastAsia="en-IN"/>
        </w:rPr>
      </w:pPr>
      <w:r w:rsidRPr="00A13EBF">
        <w:rPr>
          <w:rFonts w:asciiTheme="majorBidi" w:eastAsia="Times New Roman" w:hAnsiTheme="majorBidi" w:cstheme="majorBidi"/>
          <w:bCs/>
          <w:color w:val="1A1A1A"/>
          <w:sz w:val="24"/>
          <w:szCs w:val="24"/>
          <w:lang w:eastAsia="en-IN"/>
        </w:rPr>
        <w:t>When thrombin interacts with the endothelial receptor thrombomodulin (TM), it switches from being pro-coagulant to an activator of Protein C. The endothelial Protein C receptor (EPCR) also binds to Protein C, enhancing the rate at which it is converted to activated Protein C (APC).</w:t>
      </w:r>
    </w:p>
    <w:p w14:paraId="5DDF1B32" w14:textId="77777777" w:rsidR="008745D6" w:rsidRPr="00A13EBF" w:rsidRDefault="008745D6" w:rsidP="00A13EBF">
      <w:pPr>
        <w:shd w:val="clear" w:color="auto" w:fill="FFFFFF"/>
        <w:spacing w:after="0" w:line="360" w:lineRule="auto"/>
        <w:jc w:val="both"/>
        <w:textAlignment w:val="baseline"/>
        <w:rPr>
          <w:rFonts w:asciiTheme="majorBidi" w:eastAsia="Times New Roman" w:hAnsiTheme="majorBidi" w:cstheme="majorBidi"/>
          <w:b/>
          <w:color w:val="1A1A1A"/>
          <w:sz w:val="24"/>
          <w:szCs w:val="24"/>
          <w:lang w:eastAsia="en-IN"/>
        </w:rPr>
      </w:pPr>
      <w:r w:rsidRPr="00A13EBF">
        <w:rPr>
          <w:rFonts w:asciiTheme="majorBidi" w:eastAsia="Times New Roman" w:hAnsiTheme="majorBidi" w:cstheme="majorBidi"/>
          <w:b/>
          <w:color w:val="1A1A1A"/>
          <w:sz w:val="24"/>
          <w:szCs w:val="24"/>
          <w:lang w:eastAsia="en-IN"/>
        </w:rPr>
        <w:t xml:space="preserve">4. </w:t>
      </w:r>
      <w:r w:rsidR="00DB3CB2" w:rsidRPr="00A13EBF">
        <w:rPr>
          <w:rFonts w:asciiTheme="majorBidi" w:eastAsia="Times New Roman" w:hAnsiTheme="majorBidi" w:cstheme="majorBidi"/>
          <w:b/>
          <w:color w:val="1A1A1A"/>
          <w:sz w:val="24"/>
          <w:szCs w:val="24"/>
          <w:lang w:eastAsia="en-IN"/>
        </w:rPr>
        <w:t>FORMATION OF ACTIVATED PROTEIN C (APC</w:t>
      </w:r>
      <w:r w:rsidR="00A13EBF" w:rsidRPr="00A13EBF">
        <w:rPr>
          <w:rFonts w:asciiTheme="majorBidi" w:eastAsia="Times New Roman" w:hAnsiTheme="majorBidi" w:cstheme="majorBidi"/>
          <w:b/>
          <w:color w:val="1A1A1A"/>
          <w:sz w:val="24"/>
          <w:szCs w:val="24"/>
          <w:lang w:eastAsia="en-IN"/>
        </w:rPr>
        <w:t>):</w:t>
      </w:r>
    </w:p>
    <w:p w14:paraId="5323468C" w14:textId="77777777" w:rsidR="008745D6" w:rsidRPr="00A13EBF" w:rsidRDefault="008745D6" w:rsidP="00A13EBF">
      <w:pPr>
        <w:shd w:val="clear" w:color="auto" w:fill="FFFFFF"/>
        <w:spacing w:after="0" w:line="360" w:lineRule="auto"/>
        <w:jc w:val="both"/>
        <w:textAlignment w:val="baseline"/>
        <w:rPr>
          <w:rFonts w:asciiTheme="majorBidi" w:eastAsia="Times New Roman" w:hAnsiTheme="majorBidi" w:cstheme="majorBidi"/>
          <w:bCs/>
          <w:color w:val="1A1A1A"/>
          <w:sz w:val="24"/>
          <w:szCs w:val="24"/>
          <w:lang w:eastAsia="en-IN"/>
        </w:rPr>
      </w:pPr>
      <w:r w:rsidRPr="00A13EBF">
        <w:rPr>
          <w:rFonts w:asciiTheme="majorBidi" w:eastAsia="Times New Roman" w:hAnsiTheme="majorBidi" w:cstheme="majorBidi"/>
          <w:bCs/>
          <w:color w:val="1A1A1A"/>
          <w:sz w:val="24"/>
          <w:szCs w:val="24"/>
          <w:lang w:eastAsia="en-IN"/>
        </w:rPr>
        <w:t>The thrombin–thrombomodulin complex, along with EPCR, converts Protein C into APC.</w:t>
      </w:r>
    </w:p>
    <w:p w14:paraId="0B564C98" w14:textId="77777777" w:rsidR="008745D6" w:rsidRPr="00A13EBF" w:rsidRDefault="008745D6" w:rsidP="00A13EBF">
      <w:pPr>
        <w:shd w:val="clear" w:color="auto" w:fill="FFFFFF"/>
        <w:spacing w:after="0" w:line="360" w:lineRule="auto"/>
        <w:jc w:val="both"/>
        <w:textAlignment w:val="baseline"/>
        <w:rPr>
          <w:rFonts w:asciiTheme="majorBidi" w:eastAsia="Times New Roman" w:hAnsiTheme="majorBidi" w:cstheme="majorBidi"/>
          <w:b/>
          <w:color w:val="1A1A1A"/>
          <w:sz w:val="24"/>
          <w:szCs w:val="24"/>
          <w:lang w:eastAsia="en-IN"/>
        </w:rPr>
      </w:pPr>
      <w:r w:rsidRPr="00A13EBF">
        <w:rPr>
          <w:rFonts w:asciiTheme="majorBidi" w:eastAsia="Times New Roman" w:hAnsiTheme="majorBidi" w:cstheme="majorBidi"/>
          <w:b/>
          <w:color w:val="1A1A1A"/>
          <w:sz w:val="24"/>
          <w:szCs w:val="24"/>
          <w:lang w:eastAsia="en-IN"/>
        </w:rPr>
        <w:t xml:space="preserve">5. </w:t>
      </w:r>
      <w:r w:rsidR="00DB3CB2" w:rsidRPr="00A13EBF">
        <w:rPr>
          <w:rFonts w:asciiTheme="majorBidi" w:eastAsia="Times New Roman" w:hAnsiTheme="majorBidi" w:cstheme="majorBidi"/>
          <w:b/>
          <w:color w:val="1A1A1A"/>
          <w:sz w:val="24"/>
          <w:szCs w:val="24"/>
          <w:lang w:eastAsia="en-IN"/>
        </w:rPr>
        <w:t xml:space="preserve">KEY FUNCTIONS OF </w:t>
      </w:r>
      <w:r w:rsidR="00A13EBF" w:rsidRPr="00A13EBF">
        <w:rPr>
          <w:rFonts w:asciiTheme="majorBidi" w:eastAsia="Times New Roman" w:hAnsiTheme="majorBidi" w:cstheme="majorBidi"/>
          <w:b/>
          <w:color w:val="1A1A1A"/>
          <w:sz w:val="24"/>
          <w:szCs w:val="24"/>
          <w:lang w:eastAsia="en-IN"/>
        </w:rPr>
        <w:t>APC:</w:t>
      </w:r>
    </w:p>
    <w:p w14:paraId="08C50DA2" w14:textId="77777777" w:rsidR="008745D6" w:rsidRPr="00A13EBF" w:rsidRDefault="008745D6" w:rsidP="00A13EBF">
      <w:pPr>
        <w:shd w:val="clear" w:color="auto" w:fill="FFFFFF"/>
        <w:spacing w:after="0" w:line="360" w:lineRule="auto"/>
        <w:jc w:val="both"/>
        <w:textAlignment w:val="baseline"/>
        <w:rPr>
          <w:rFonts w:asciiTheme="majorBidi" w:eastAsia="Times New Roman" w:hAnsiTheme="majorBidi" w:cstheme="majorBidi"/>
          <w:bCs/>
          <w:color w:val="1A1A1A"/>
          <w:sz w:val="24"/>
          <w:szCs w:val="24"/>
          <w:lang w:eastAsia="en-IN"/>
        </w:rPr>
      </w:pPr>
      <w:r w:rsidRPr="00A13EBF">
        <w:rPr>
          <w:rFonts w:asciiTheme="majorBidi" w:eastAsia="Times New Roman" w:hAnsiTheme="majorBidi" w:cstheme="majorBidi"/>
          <w:bCs/>
          <w:color w:val="1A1A1A"/>
          <w:sz w:val="24"/>
          <w:szCs w:val="24"/>
          <w:lang w:eastAsia="en-IN"/>
        </w:rPr>
        <w:t>a. Anticoagulant function:</w:t>
      </w:r>
    </w:p>
    <w:p w14:paraId="0AA8ABFD" w14:textId="77777777" w:rsidR="008745D6" w:rsidRPr="00A13EBF" w:rsidRDefault="008745D6" w:rsidP="00A13EBF">
      <w:pPr>
        <w:shd w:val="clear" w:color="auto" w:fill="FFFFFF"/>
        <w:spacing w:after="0" w:line="360" w:lineRule="auto"/>
        <w:jc w:val="both"/>
        <w:textAlignment w:val="baseline"/>
        <w:rPr>
          <w:rFonts w:asciiTheme="majorBidi" w:eastAsia="Times New Roman" w:hAnsiTheme="majorBidi" w:cstheme="majorBidi"/>
          <w:bCs/>
          <w:color w:val="1A1A1A"/>
          <w:sz w:val="24"/>
          <w:szCs w:val="24"/>
          <w:lang w:eastAsia="en-IN"/>
        </w:rPr>
      </w:pPr>
      <w:r w:rsidRPr="00A13EBF">
        <w:rPr>
          <w:rFonts w:asciiTheme="majorBidi" w:eastAsia="Times New Roman" w:hAnsiTheme="majorBidi" w:cstheme="majorBidi"/>
          <w:bCs/>
          <w:color w:val="1A1A1A"/>
          <w:sz w:val="24"/>
          <w:szCs w:val="24"/>
          <w:lang w:eastAsia="en-IN"/>
        </w:rPr>
        <w:t>Inactivates Factors Va and VIIIa, which slows down the generation of thrombin and the formation of clots.</w:t>
      </w:r>
    </w:p>
    <w:p w14:paraId="03DABBDE" w14:textId="77777777" w:rsidR="008745D6" w:rsidRPr="00A13EBF" w:rsidRDefault="008745D6" w:rsidP="00A13EBF">
      <w:pPr>
        <w:shd w:val="clear" w:color="auto" w:fill="FFFFFF"/>
        <w:spacing w:after="0" w:line="360" w:lineRule="auto"/>
        <w:jc w:val="both"/>
        <w:textAlignment w:val="baseline"/>
        <w:rPr>
          <w:rFonts w:asciiTheme="majorBidi" w:eastAsia="Times New Roman" w:hAnsiTheme="majorBidi" w:cstheme="majorBidi"/>
          <w:bCs/>
          <w:color w:val="1A1A1A"/>
          <w:sz w:val="24"/>
          <w:szCs w:val="24"/>
          <w:lang w:eastAsia="en-IN"/>
        </w:rPr>
      </w:pPr>
      <w:r w:rsidRPr="00A13EBF">
        <w:rPr>
          <w:rFonts w:asciiTheme="majorBidi" w:eastAsia="Times New Roman" w:hAnsiTheme="majorBidi" w:cstheme="majorBidi"/>
          <w:bCs/>
          <w:color w:val="1A1A1A"/>
          <w:sz w:val="24"/>
          <w:szCs w:val="24"/>
          <w:lang w:eastAsia="en-IN"/>
        </w:rPr>
        <w:t>b. Promotion of fibrinolysis:</w:t>
      </w:r>
    </w:p>
    <w:p w14:paraId="7965D48A" w14:textId="77777777" w:rsidR="008745D6" w:rsidRPr="00A13EBF" w:rsidRDefault="008745D6" w:rsidP="00A13EBF">
      <w:pPr>
        <w:shd w:val="clear" w:color="auto" w:fill="FFFFFF"/>
        <w:spacing w:after="0" w:line="360" w:lineRule="auto"/>
        <w:jc w:val="both"/>
        <w:textAlignment w:val="baseline"/>
        <w:rPr>
          <w:rFonts w:asciiTheme="majorBidi" w:eastAsia="Times New Roman" w:hAnsiTheme="majorBidi" w:cstheme="majorBidi"/>
          <w:bCs/>
          <w:color w:val="1A1A1A"/>
          <w:sz w:val="24"/>
          <w:szCs w:val="24"/>
          <w:lang w:eastAsia="en-IN"/>
        </w:rPr>
      </w:pPr>
      <w:r w:rsidRPr="00A13EBF">
        <w:rPr>
          <w:rFonts w:asciiTheme="majorBidi" w:eastAsia="Times New Roman" w:hAnsiTheme="majorBidi" w:cstheme="majorBidi"/>
          <w:bCs/>
          <w:color w:val="1A1A1A"/>
          <w:sz w:val="24"/>
          <w:szCs w:val="24"/>
          <w:lang w:eastAsia="en-IN"/>
        </w:rPr>
        <w:t>Interacts with plasminogen-activator inhibitor-1 (PAI-1), boosting the activity of tissue plasminogen activator (tPA), which aids in the breakdown of clots.</w:t>
      </w:r>
    </w:p>
    <w:p w14:paraId="5297A85E" w14:textId="77777777" w:rsidR="008745D6" w:rsidRPr="00A13EBF" w:rsidRDefault="008745D6" w:rsidP="00A13EBF">
      <w:pPr>
        <w:shd w:val="clear" w:color="auto" w:fill="FFFFFF"/>
        <w:spacing w:after="0" w:line="360" w:lineRule="auto"/>
        <w:jc w:val="both"/>
        <w:textAlignment w:val="baseline"/>
        <w:rPr>
          <w:rFonts w:asciiTheme="majorBidi" w:eastAsia="Times New Roman" w:hAnsiTheme="majorBidi" w:cstheme="majorBidi"/>
          <w:bCs/>
          <w:color w:val="1A1A1A"/>
          <w:sz w:val="24"/>
          <w:szCs w:val="24"/>
          <w:lang w:eastAsia="en-IN"/>
        </w:rPr>
      </w:pPr>
      <w:r w:rsidRPr="00A13EBF">
        <w:rPr>
          <w:rFonts w:asciiTheme="majorBidi" w:eastAsia="Times New Roman" w:hAnsiTheme="majorBidi" w:cstheme="majorBidi"/>
          <w:bCs/>
          <w:color w:val="1A1A1A"/>
          <w:sz w:val="24"/>
          <w:szCs w:val="24"/>
          <w:lang w:eastAsia="en-IN"/>
        </w:rPr>
        <w:t>c. Anti-inflammatory &amp; protective roles:</w:t>
      </w:r>
    </w:p>
    <w:p w14:paraId="1F231044" w14:textId="77777777" w:rsidR="008745D6" w:rsidRPr="00A13EBF" w:rsidRDefault="008745D6" w:rsidP="00A13EBF">
      <w:pPr>
        <w:shd w:val="clear" w:color="auto" w:fill="FFFFFF"/>
        <w:spacing w:after="0" w:line="360" w:lineRule="auto"/>
        <w:jc w:val="both"/>
        <w:textAlignment w:val="baseline"/>
        <w:rPr>
          <w:rFonts w:asciiTheme="majorBidi" w:eastAsia="Times New Roman" w:hAnsiTheme="majorBidi" w:cstheme="majorBidi"/>
          <w:bCs/>
          <w:color w:val="1A1A1A"/>
          <w:sz w:val="24"/>
          <w:szCs w:val="24"/>
          <w:lang w:eastAsia="en-IN"/>
        </w:rPr>
      </w:pPr>
      <w:r w:rsidRPr="00A13EBF">
        <w:rPr>
          <w:rFonts w:asciiTheme="majorBidi" w:eastAsia="Times New Roman" w:hAnsiTheme="majorBidi" w:cstheme="majorBidi"/>
          <w:bCs/>
          <w:color w:val="1A1A1A"/>
          <w:sz w:val="24"/>
          <w:szCs w:val="24"/>
          <w:lang w:eastAsia="en-IN"/>
        </w:rPr>
        <w:t>Engages with the PAR-1 receptor via EPCR, helping to stabilize the endothelium and mitigate inflammation.</w:t>
      </w:r>
    </w:p>
    <w:p w14:paraId="1F33CCAF" w14:textId="77777777" w:rsidR="008745D6" w:rsidRPr="00A13EBF" w:rsidRDefault="008745D6" w:rsidP="00A13EBF">
      <w:pPr>
        <w:shd w:val="clear" w:color="auto" w:fill="FFFFFF"/>
        <w:spacing w:after="0" w:line="360" w:lineRule="auto"/>
        <w:jc w:val="both"/>
        <w:textAlignment w:val="baseline"/>
        <w:rPr>
          <w:rFonts w:asciiTheme="majorBidi" w:eastAsia="Times New Roman" w:hAnsiTheme="majorBidi" w:cstheme="majorBidi"/>
          <w:b/>
          <w:color w:val="1A1A1A"/>
          <w:sz w:val="24"/>
          <w:szCs w:val="24"/>
          <w:lang w:eastAsia="en-IN"/>
        </w:rPr>
      </w:pPr>
      <w:r w:rsidRPr="00A13EBF">
        <w:rPr>
          <w:rFonts w:asciiTheme="majorBidi" w:eastAsia="Times New Roman" w:hAnsiTheme="majorBidi" w:cstheme="majorBidi"/>
          <w:b/>
          <w:color w:val="1A1A1A"/>
          <w:sz w:val="24"/>
          <w:szCs w:val="24"/>
          <w:lang w:eastAsia="en-IN"/>
        </w:rPr>
        <w:t xml:space="preserve">6. </w:t>
      </w:r>
      <w:r w:rsidR="00DB3CB2" w:rsidRPr="00A13EBF">
        <w:rPr>
          <w:rFonts w:asciiTheme="majorBidi" w:eastAsia="Times New Roman" w:hAnsiTheme="majorBidi" w:cstheme="majorBidi"/>
          <w:b/>
          <w:color w:val="1A1A1A"/>
          <w:sz w:val="24"/>
          <w:szCs w:val="24"/>
          <w:lang w:eastAsia="en-IN"/>
        </w:rPr>
        <w:t xml:space="preserve">TYPICAL </w:t>
      </w:r>
      <w:r w:rsidR="00A13EBF" w:rsidRPr="00A13EBF">
        <w:rPr>
          <w:rFonts w:asciiTheme="majorBidi" w:eastAsia="Times New Roman" w:hAnsiTheme="majorBidi" w:cstheme="majorBidi"/>
          <w:b/>
          <w:color w:val="1A1A1A"/>
          <w:sz w:val="24"/>
          <w:szCs w:val="24"/>
          <w:lang w:eastAsia="en-IN"/>
        </w:rPr>
        <w:t>OUTCOME:</w:t>
      </w:r>
    </w:p>
    <w:p w14:paraId="21401018" w14:textId="77777777" w:rsidR="008745D6" w:rsidRPr="00A13EBF" w:rsidRDefault="008745D6" w:rsidP="00A13EBF">
      <w:pPr>
        <w:shd w:val="clear" w:color="auto" w:fill="FFFFFF"/>
        <w:spacing w:after="0" w:line="360" w:lineRule="auto"/>
        <w:jc w:val="both"/>
        <w:textAlignment w:val="baseline"/>
        <w:rPr>
          <w:rFonts w:asciiTheme="majorBidi" w:eastAsia="Times New Roman" w:hAnsiTheme="majorBidi" w:cstheme="majorBidi"/>
          <w:bCs/>
          <w:color w:val="1A1A1A"/>
          <w:sz w:val="24"/>
          <w:szCs w:val="24"/>
          <w:lang w:eastAsia="en-IN"/>
        </w:rPr>
      </w:pPr>
      <w:r w:rsidRPr="00A13EBF">
        <w:rPr>
          <w:rFonts w:asciiTheme="majorBidi" w:eastAsia="Times New Roman" w:hAnsiTheme="majorBidi" w:cstheme="majorBidi"/>
          <w:bCs/>
          <w:color w:val="1A1A1A"/>
          <w:sz w:val="24"/>
          <w:szCs w:val="24"/>
          <w:lang w:eastAsia="en-IN"/>
        </w:rPr>
        <w:t xml:space="preserve">A well-regulated anticoagulant and fibrinolytic system </w:t>
      </w:r>
      <w:r w:rsidR="00A13EBF" w:rsidRPr="00A13EBF">
        <w:rPr>
          <w:rFonts w:asciiTheme="majorBidi" w:eastAsia="Times New Roman" w:hAnsiTheme="majorBidi" w:cstheme="majorBidi"/>
          <w:bCs/>
          <w:color w:val="1A1A1A"/>
          <w:sz w:val="24"/>
          <w:szCs w:val="24"/>
          <w:lang w:eastAsia="en-IN"/>
        </w:rPr>
        <w:t>prevent</w:t>
      </w:r>
      <w:r w:rsidRPr="00A13EBF">
        <w:rPr>
          <w:rFonts w:asciiTheme="majorBidi" w:eastAsia="Times New Roman" w:hAnsiTheme="majorBidi" w:cstheme="majorBidi"/>
          <w:bCs/>
          <w:color w:val="1A1A1A"/>
          <w:sz w:val="24"/>
          <w:szCs w:val="24"/>
          <w:lang w:eastAsia="en-IN"/>
        </w:rPr>
        <w:t xml:space="preserve"> unnecessary clot formation while ensuring hemostasis.</w:t>
      </w:r>
    </w:p>
    <w:p w14:paraId="31B63D3D" w14:textId="77777777" w:rsidR="00A13EBF" w:rsidRDefault="008745D6" w:rsidP="00A13EBF">
      <w:pPr>
        <w:shd w:val="clear" w:color="auto" w:fill="FFFFFF"/>
        <w:spacing w:after="0" w:line="360" w:lineRule="auto"/>
        <w:jc w:val="both"/>
        <w:textAlignment w:val="baseline"/>
        <w:rPr>
          <w:rFonts w:asciiTheme="majorBidi" w:eastAsia="Times New Roman" w:hAnsiTheme="majorBidi" w:cstheme="majorBidi"/>
          <w:bCs/>
          <w:color w:val="1A1A1A"/>
          <w:sz w:val="24"/>
          <w:szCs w:val="24"/>
          <w:lang w:eastAsia="en-IN"/>
        </w:rPr>
      </w:pPr>
      <w:r w:rsidRPr="00A13EBF">
        <w:rPr>
          <w:rFonts w:asciiTheme="majorBidi" w:eastAsia="Times New Roman" w:hAnsiTheme="majorBidi" w:cstheme="majorBidi"/>
          <w:b/>
          <w:color w:val="1A1A1A"/>
          <w:sz w:val="24"/>
          <w:szCs w:val="24"/>
          <w:lang w:eastAsia="en-IN"/>
        </w:rPr>
        <w:t xml:space="preserve">7. </w:t>
      </w:r>
      <w:r w:rsidR="00DB3CB2" w:rsidRPr="00A13EBF">
        <w:rPr>
          <w:rFonts w:asciiTheme="majorBidi" w:eastAsia="Times New Roman" w:hAnsiTheme="majorBidi" w:cstheme="majorBidi"/>
          <w:b/>
          <w:color w:val="1A1A1A"/>
          <w:sz w:val="24"/>
          <w:szCs w:val="24"/>
          <w:lang w:eastAsia="en-IN"/>
        </w:rPr>
        <w:t xml:space="preserve">IN CASES OF PROTEIN C </w:t>
      </w:r>
      <w:r w:rsidR="00A13EBF" w:rsidRPr="00A13EBF">
        <w:rPr>
          <w:rFonts w:asciiTheme="majorBidi" w:eastAsia="Times New Roman" w:hAnsiTheme="majorBidi" w:cstheme="majorBidi"/>
          <w:b/>
          <w:color w:val="1A1A1A"/>
          <w:sz w:val="24"/>
          <w:szCs w:val="24"/>
          <w:lang w:eastAsia="en-IN"/>
        </w:rPr>
        <w:t>DEFICIENCY</w:t>
      </w:r>
      <w:r w:rsidR="00A13EBF" w:rsidRPr="00A13EBF">
        <w:rPr>
          <w:rFonts w:asciiTheme="majorBidi" w:eastAsia="Times New Roman" w:hAnsiTheme="majorBidi" w:cstheme="majorBidi"/>
          <w:bCs/>
          <w:color w:val="1A1A1A"/>
          <w:sz w:val="24"/>
          <w:szCs w:val="24"/>
          <w:lang w:eastAsia="en-IN"/>
        </w:rPr>
        <w:t>:</w:t>
      </w:r>
    </w:p>
    <w:p w14:paraId="375822CE" w14:textId="77777777" w:rsidR="008745D6" w:rsidRPr="00A13EBF" w:rsidRDefault="008745D6" w:rsidP="00A13EBF">
      <w:pPr>
        <w:shd w:val="clear" w:color="auto" w:fill="FFFFFF"/>
        <w:spacing w:after="0" w:line="360" w:lineRule="auto"/>
        <w:jc w:val="both"/>
        <w:textAlignment w:val="baseline"/>
        <w:rPr>
          <w:rFonts w:asciiTheme="majorBidi" w:eastAsia="Times New Roman" w:hAnsiTheme="majorBidi" w:cstheme="majorBidi"/>
          <w:bCs/>
          <w:color w:val="1A1A1A"/>
          <w:sz w:val="24"/>
          <w:szCs w:val="24"/>
          <w:lang w:eastAsia="en-IN"/>
        </w:rPr>
      </w:pPr>
      <w:r w:rsidRPr="00A13EBF">
        <w:rPr>
          <w:rFonts w:asciiTheme="majorBidi" w:eastAsia="Times New Roman" w:hAnsiTheme="majorBidi" w:cstheme="majorBidi"/>
          <w:bCs/>
          <w:color w:val="1A1A1A"/>
          <w:sz w:val="24"/>
          <w:szCs w:val="24"/>
          <w:lang w:eastAsia="en-IN"/>
        </w:rPr>
        <w:t>Resulting from mutations in the PROC gene located on chromosome 2q14.3</w:t>
      </w:r>
    </w:p>
    <w:p w14:paraId="4B3C03EA" w14:textId="77777777" w:rsidR="008745D6" w:rsidRPr="00A13EBF" w:rsidRDefault="008745D6" w:rsidP="00A13EBF">
      <w:pPr>
        <w:shd w:val="clear" w:color="auto" w:fill="FFFFFF"/>
        <w:spacing w:after="0" w:line="360" w:lineRule="auto"/>
        <w:jc w:val="both"/>
        <w:textAlignment w:val="baseline"/>
        <w:rPr>
          <w:rFonts w:asciiTheme="majorBidi" w:eastAsia="Times New Roman" w:hAnsiTheme="majorBidi" w:cstheme="majorBidi"/>
          <w:bCs/>
          <w:color w:val="1A1A1A"/>
          <w:sz w:val="24"/>
          <w:szCs w:val="24"/>
          <w:lang w:eastAsia="en-IN"/>
        </w:rPr>
      </w:pPr>
      <w:r w:rsidRPr="00A13EBF">
        <w:rPr>
          <w:rFonts w:asciiTheme="majorBidi" w:eastAsia="Times New Roman" w:hAnsiTheme="majorBidi" w:cstheme="majorBidi"/>
          <w:bCs/>
          <w:color w:val="1A1A1A"/>
          <w:sz w:val="24"/>
          <w:szCs w:val="24"/>
          <w:lang w:eastAsia="en-IN"/>
        </w:rPr>
        <w:lastRenderedPageBreak/>
        <w:t>More than 160 genetic variants have been identified</w:t>
      </w:r>
    </w:p>
    <w:p w14:paraId="586F01FF" w14:textId="77777777" w:rsidR="008745D6" w:rsidRPr="00A13EBF" w:rsidRDefault="008745D6" w:rsidP="00A13EBF">
      <w:pPr>
        <w:shd w:val="clear" w:color="auto" w:fill="FFFFFF"/>
        <w:spacing w:after="0" w:line="360" w:lineRule="auto"/>
        <w:jc w:val="both"/>
        <w:textAlignment w:val="baseline"/>
        <w:rPr>
          <w:rFonts w:asciiTheme="majorBidi" w:eastAsia="Times New Roman" w:hAnsiTheme="majorBidi" w:cstheme="majorBidi"/>
          <w:bCs/>
          <w:color w:val="1A1A1A"/>
          <w:sz w:val="24"/>
          <w:szCs w:val="24"/>
          <w:lang w:eastAsia="en-IN"/>
        </w:rPr>
      </w:pPr>
      <w:r w:rsidRPr="00A13EBF">
        <w:rPr>
          <w:rFonts w:asciiTheme="majorBidi" w:eastAsia="Times New Roman" w:hAnsiTheme="majorBidi" w:cstheme="majorBidi"/>
          <w:bCs/>
          <w:color w:val="1A1A1A"/>
          <w:sz w:val="24"/>
          <w:szCs w:val="24"/>
          <w:lang w:eastAsia="en-IN"/>
        </w:rPr>
        <w:t>Leads to inadequate or dysfunctional Protein C</w:t>
      </w:r>
    </w:p>
    <w:p w14:paraId="35AC733F" w14:textId="77777777" w:rsidR="008745D6" w:rsidRPr="00A13EBF" w:rsidRDefault="008745D6" w:rsidP="00A13EBF">
      <w:pPr>
        <w:shd w:val="clear" w:color="auto" w:fill="FFFFFF"/>
        <w:spacing w:after="0" w:line="360" w:lineRule="auto"/>
        <w:jc w:val="both"/>
        <w:textAlignment w:val="baseline"/>
        <w:rPr>
          <w:rFonts w:asciiTheme="majorBidi" w:eastAsia="Times New Roman" w:hAnsiTheme="majorBidi" w:cstheme="majorBidi"/>
          <w:bCs/>
          <w:color w:val="1A1A1A"/>
          <w:sz w:val="24"/>
          <w:szCs w:val="24"/>
          <w:lang w:eastAsia="en-IN"/>
        </w:rPr>
      </w:pPr>
      <w:r w:rsidRPr="00A13EBF">
        <w:rPr>
          <w:rFonts w:asciiTheme="majorBidi" w:eastAsia="Times New Roman" w:hAnsiTheme="majorBidi" w:cstheme="majorBidi"/>
          <w:bCs/>
          <w:color w:val="1A1A1A"/>
          <w:sz w:val="24"/>
          <w:szCs w:val="24"/>
          <w:lang w:eastAsia="en-IN"/>
        </w:rPr>
        <w:t>Ineffective in deactivating Factors Va and VIIIa</w:t>
      </w:r>
    </w:p>
    <w:p w14:paraId="33CE0909" w14:textId="77777777" w:rsidR="008745D6" w:rsidRPr="00A13EBF" w:rsidRDefault="008745D6" w:rsidP="00A13EBF">
      <w:pPr>
        <w:shd w:val="clear" w:color="auto" w:fill="FFFFFF"/>
        <w:spacing w:after="0" w:line="360" w:lineRule="auto"/>
        <w:jc w:val="both"/>
        <w:textAlignment w:val="baseline"/>
        <w:rPr>
          <w:rFonts w:asciiTheme="majorBidi" w:eastAsia="Times New Roman" w:hAnsiTheme="majorBidi" w:cstheme="majorBidi"/>
          <w:bCs/>
          <w:color w:val="1A1A1A"/>
          <w:sz w:val="24"/>
          <w:szCs w:val="24"/>
          <w:lang w:eastAsia="en-IN"/>
        </w:rPr>
      </w:pPr>
      <w:r w:rsidRPr="00A13EBF">
        <w:rPr>
          <w:rFonts w:asciiTheme="majorBidi" w:eastAsia="Times New Roman" w:hAnsiTheme="majorBidi" w:cstheme="majorBidi"/>
          <w:bCs/>
          <w:color w:val="1A1A1A"/>
          <w:sz w:val="24"/>
          <w:szCs w:val="24"/>
          <w:lang w:eastAsia="en-IN"/>
        </w:rPr>
        <w:t>Causes increased thrombin production</w:t>
      </w:r>
    </w:p>
    <w:p w14:paraId="023D6D40" w14:textId="77777777" w:rsidR="00A13EBF" w:rsidRPr="00A13EBF" w:rsidRDefault="008745D6" w:rsidP="00090FDC">
      <w:pPr>
        <w:shd w:val="clear" w:color="auto" w:fill="FFFFFF"/>
        <w:spacing w:after="0" w:line="360" w:lineRule="auto"/>
        <w:jc w:val="both"/>
        <w:textAlignment w:val="baseline"/>
        <w:rPr>
          <w:rFonts w:asciiTheme="majorBidi" w:eastAsia="Times New Roman" w:hAnsiTheme="majorBidi" w:cstheme="majorBidi"/>
          <w:bCs/>
          <w:color w:val="1A1A1A"/>
          <w:sz w:val="24"/>
          <w:szCs w:val="24"/>
          <w:lang w:eastAsia="en-IN"/>
        </w:rPr>
      </w:pPr>
      <w:r w:rsidRPr="00A13EBF">
        <w:rPr>
          <w:rFonts w:asciiTheme="majorBidi" w:eastAsia="Times New Roman" w:hAnsiTheme="majorBidi" w:cstheme="majorBidi"/>
          <w:bCs/>
          <w:color w:val="1A1A1A"/>
          <w:sz w:val="24"/>
          <w:szCs w:val="24"/>
          <w:lang w:eastAsia="en-IN"/>
        </w:rPr>
        <w:t xml:space="preserve">Results in a hypercoagulable condition and a heightened risk of </w:t>
      </w:r>
      <w:r w:rsidR="00A13EBF" w:rsidRPr="00A13EBF">
        <w:rPr>
          <w:rFonts w:asciiTheme="majorBidi" w:eastAsia="Times New Roman" w:hAnsiTheme="majorBidi" w:cstheme="majorBidi"/>
          <w:bCs/>
          <w:color w:val="1A1A1A"/>
          <w:sz w:val="24"/>
          <w:szCs w:val="24"/>
          <w:lang w:eastAsia="en-IN"/>
        </w:rPr>
        <w:t>thrombosis. (</w:t>
      </w:r>
      <w:r w:rsidR="00801C2C">
        <w:rPr>
          <w:rFonts w:ascii="Times New Roman" w:hAnsi="Times New Roman" w:cs="Times New Roman"/>
          <w:sz w:val="24"/>
          <w:szCs w:val="24"/>
        </w:rPr>
        <w:t>Dinarvand &amp; Moser, 2019)</w:t>
      </w:r>
    </w:p>
    <w:p w14:paraId="0994CE9A" w14:textId="77777777" w:rsidR="008745D6" w:rsidRPr="00A13EBF" w:rsidRDefault="00A13EBF" w:rsidP="00A13EBF">
      <w:pPr>
        <w:spacing w:after="0"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B. </w:t>
      </w:r>
      <w:r w:rsidR="00DB3CB2" w:rsidRPr="00A13EBF">
        <w:rPr>
          <w:rFonts w:asciiTheme="majorBidi" w:hAnsiTheme="majorBidi" w:cstheme="majorBidi"/>
          <w:b/>
          <w:bCs/>
          <w:sz w:val="24"/>
          <w:szCs w:val="24"/>
          <w:lang w:val="en-US"/>
        </w:rPr>
        <w:t>PATHOGENISIS OF PROTIEN S</w:t>
      </w:r>
    </w:p>
    <w:p w14:paraId="2CC68CB7" w14:textId="77777777" w:rsidR="008745D6" w:rsidRPr="00A13EBF" w:rsidRDefault="008745D6" w:rsidP="00A13EBF">
      <w:pPr>
        <w:spacing w:after="0" w:line="360" w:lineRule="auto"/>
        <w:jc w:val="both"/>
        <w:rPr>
          <w:rFonts w:asciiTheme="majorBidi" w:hAnsiTheme="majorBidi" w:cstheme="majorBidi"/>
          <w:b/>
          <w:bCs/>
          <w:sz w:val="24"/>
          <w:szCs w:val="24"/>
          <w:lang w:val="en-US"/>
        </w:rPr>
      </w:pPr>
      <w:r w:rsidRPr="00A13EBF">
        <w:rPr>
          <w:rFonts w:asciiTheme="majorBidi" w:hAnsiTheme="majorBidi" w:cstheme="majorBidi"/>
          <w:b/>
          <w:bCs/>
          <w:sz w:val="24"/>
          <w:szCs w:val="24"/>
          <w:lang w:val="en-US"/>
        </w:rPr>
        <w:t xml:space="preserve">1. </w:t>
      </w:r>
      <w:r w:rsidR="00DB3CB2" w:rsidRPr="00A13EBF">
        <w:rPr>
          <w:rFonts w:asciiTheme="majorBidi" w:hAnsiTheme="majorBidi" w:cstheme="majorBidi"/>
          <w:b/>
          <w:bCs/>
          <w:sz w:val="24"/>
          <w:szCs w:val="24"/>
          <w:lang w:val="en-US"/>
        </w:rPr>
        <w:t>SITE OF SYNTHESIS:</w:t>
      </w:r>
    </w:p>
    <w:p w14:paraId="58111DBD" w14:textId="77777777" w:rsidR="008745D6" w:rsidRPr="00A13EBF" w:rsidRDefault="008745D6" w:rsidP="00A13EBF">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lang w:val="en-US"/>
        </w:rPr>
        <w:t>Protein S is predominantly synthesized in the liver by hepatocytes, but it is also produced by endothelial cells, megakaryocytes, osteoblasts, Leydig cells, and vascular smooth muscle cells.</w:t>
      </w:r>
    </w:p>
    <w:p w14:paraId="23AEC161" w14:textId="77777777" w:rsidR="008745D6" w:rsidRPr="00A13EBF" w:rsidRDefault="008745D6" w:rsidP="00A13EBF">
      <w:pPr>
        <w:spacing w:after="0" w:line="360" w:lineRule="auto"/>
        <w:jc w:val="both"/>
        <w:rPr>
          <w:rFonts w:asciiTheme="majorBidi" w:hAnsiTheme="majorBidi" w:cstheme="majorBidi"/>
          <w:b/>
          <w:bCs/>
          <w:sz w:val="24"/>
          <w:szCs w:val="24"/>
          <w:lang w:val="en-US"/>
        </w:rPr>
      </w:pPr>
      <w:r w:rsidRPr="00A13EBF">
        <w:rPr>
          <w:rFonts w:asciiTheme="majorBidi" w:hAnsiTheme="majorBidi" w:cstheme="majorBidi"/>
          <w:b/>
          <w:bCs/>
          <w:sz w:val="24"/>
          <w:szCs w:val="24"/>
          <w:lang w:val="en-US"/>
        </w:rPr>
        <w:t xml:space="preserve">2. </w:t>
      </w:r>
      <w:r w:rsidR="00DB3CB2" w:rsidRPr="00A13EBF">
        <w:rPr>
          <w:rFonts w:asciiTheme="majorBidi" w:hAnsiTheme="majorBidi" w:cstheme="majorBidi"/>
          <w:b/>
          <w:bCs/>
          <w:sz w:val="24"/>
          <w:szCs w:val="24"/>
          <w:lang w:val="en-US"/>
        </w:rPr>
        <w:t>PRESENCE IN PLASMA :</w:t>
      </w:r>
    </w:p>
    <w:p w14:paraId="023D5CA4" w14:textId="77777777" w:rsidR="008745D6" w:rsidRPr="00A13EBF" w:rsidRDefault="008745D6" w:rsidP="00A13EBF">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lang w:val="en-US"/>
        </w:rPr>
        <w:t>Protein S is present in plasma at concentrations of approximately 20–25 mg/L, with about 60% bound to complement component C4b-binding protein (C4BP) and the remaining portion existing as free and biologically active.</w:t>
      </w:r>
    </w:p>
    <w:p w14:paraId="0717AE1D" w14:textId="77777777" w:rsidR="008745D6" w:rsidRPr="00A13EBF" w:rsidRDefault="008745D6" w:rsidP="00A13EBF">
      <w:pPr>
        <w:spacing w:after="0" w:line="360" w:lineRule="auto"/>
        <w:jc w:val="both"/>
        <w:rPr>
          <w:rFonts w:asciiTheme="majorBidi" w:hAnsiTheme="majorBidi" w:cstheme="majorBidi"/>
          <w:b/>
          <w:bCs/>
          <w:sz w:val="24"/>
          <w:szCs w:val="24"/>
          <w:lang w:val="en-US"/>
        </w:rPr>
      </w:pPr>
      <w:r w:rsidRPr="00A13EBF">
        <w:rPr>
          <w:rFonts w:asciiTheme="majorBidi" w:hAnsiTheme="majorBidi" w:cstheme="majorBidi"/>
          <w:b/>
          <w:bCs/>
          <w:sz w:val="24"/>
          <w:szCs w:val="24"/>
          <w:lang w:val="en-US"/>
        </w:rPr>
        <w:t xml:space="preserve">3. </w:t>
      </w:r>
      <w:r w:rsidR="00DB3CB2" w:rsidRPr="00A13EBF">
        <w:rPr>
          <w:rFonts w:asciiTheme="majorBidi" w:hAnsiTheme="majorBidi" w:cstheme="majorBidi"/>
          <w:b/>
          <w:bCs/>
          <w:sz w:val="24"/>
          <w:szCs w:val="24"/>
          <w:lang w:val="en-US"/>
        </w:rPr>
        <w:t xml:space="preserve">KEY FUNCTIONS OF PS:  </w:t>
      </w:r>
    </w:p>
    <w:p w14:paraId="327F3A4C" w14:textId="77777777" w:rsidR="008745D6" w:rsidRPr="00A13EBF" w:rsidRDefault="008745D6" w:rsidP="00A13EBF">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lang w:val="en-US"/>
        </w:rPr>
        <w:t xml:space="preserve">Protein S performs two primary anticoagulant functions:  </w:t>
      </w:r>
    </w:p>
    <w:p w14:paraId="55EC4313" w14:textId="77777777" w:rsidR="008745D6" w:rsidRPr="00A13EBF" w:rsidRDefault="008745D6" w:rsidP="00A13EBF">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lang w:val="en-US"/>
        </w:rPr>
        <w:t xml:space="preserve">• APC-dependent (serves as a cofactor for Activated Protein C)  </w:t>
      </w:r>
    </w:p>
    <w:p w14:paraId="63D619D0" w14:textId="77777777" w:rsidR="008745D6" w:rsidRPr="00A13EBF" w:rsidRDefault="008745D6" w:rsidP="00A13EBF">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lang w:val="en-US"/>
        </w:rPr>
        <w:t>• APC-independent (acts directly on clotting factors)</w:t>
      </w:r>
    </w:p>
    <w:p w14:paraId="27A923EB" w14:textId="77777777" w:rsidR="008745D6" w:rsidRPr="00A13EBF" w:rsidRDefault="008745D6" w:rsidP="00A13EBF">
      <w:pPr>
        <w:spacing w:after="0" w:line="360" w:lineRule="auto"/>
        <w:jc w:val="both"/>
        <w:rPr>
          <w:rFonts w:asciiTheme="majorBidi" w:hAnsiTheme="majorBidi" w:cstheme="majorBidi"/>
          <w:b/>
          <w:bCs/>
          <w:sz w:val="24"/>
          <w:szCs w:val="24"/>
          <w:lang w:val="en-US"/>
        </w:rPr>
      </w:pPr>
      <w:r w:rsidRPr="00A13EBF">
        <w:rPr>
          <w:rFonts w:asciiTheme="majorBidi" w:hAnsiTheme="majorBidi" w:cstheme="majorBidi"/>
          <w:b/>
          <w:bCs/>
          <w:sz w:val="24"/>
          <w:szCs w:val="24"/>
          <w:lang w:val="en-US"/>
        </w:rPr>
        <w:t xml:space="preserve">4. </w:t>
      </w:r>
      <w:r w:rsidR="00DB3CB2" w:rsidRPr="00A13EBF">
        <w:rPr>
          <w:rFonts w:asciiTheme="majorBidi" w:hAnsiTheme="majorBidi" w:cstheme="majorBidi"/>
          <w:b/>
          <w:bCs/>
          <w:sz w:val="24"/>
          <w:szCs w:val="24"/>
          <w:lang w:val="en-US"/>
        </w:rPr>
        <w:t>APC-DEPENDENT PATHWAY:</w:t>
      </w:r>
    </w:p>
    <w:p w14:paraId="1ED3C2AB" w14:textId="77777777" w:rsidR="008745D6" w:rsidRPr="00A13EBF" w:rsidRDefault="008745D6" w:rsidP="00A13EBF">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lang w:val="en-US"/>
        </w:rPr>
        <w:t xml:space="preserve">a. Protein S serves as a cofactor for Activated Protein C (APC)  </w:t>
      </w:r>
    </w:p>
    <w:p w14:paraId="3CDFDADC" w14:textId="77777777" w:rsidR="008745D6" w:rsidRPr="00A13EBF" w:rsidRDefault="008745D6" w:rsidP="00A13EBF">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lang w:val="en-US"/>
        </w:rPr>
        <w:t xml:space="preserve">Together, they inactivate Factors Va and VIIIa, thereby reducing thrombin production.  </w:t>
      </w:r>
    </w:p>
    <w:p w14:paraId="72DC015C" w14:textId="77777777" w:rsidR="008745D6" w:rsidRPr="00A13EBF" w:rsidRDefault="008745D6" w:rsidP="00A13EBF">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lang w:val="en-US"/>
        </w:rPr>
        <w:t xml:space="preserve">b. The PS–C4BP complex also assists APC in degrading Factor Va (although less efficiently than free PS, it remains functional).  </w:t>
      </w:r>
    </w:p>
    <w:p w14:paraId="7D2D25A6" w14:textId="77777777" w:rsidR="008745D6" w:rsidRPr="00A13EBF" w:rsidRDefault="008745D6" w:rsidP="00A13EBF">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lang w:val="en-US"/>
        </w:rPr>
        <w:t>c. It enhances fibrinolysis by facilitating the APC-mediated neutralization of plasminogen activator inhibitor 1 (PAI-1), which promotes the breakdown of clots.</w:t>
      </w:r>
    </w:p>
    <w:p w14:paraId="480A3BA1" w14:textId="77777777" w:rsidR="008745D6" w:rsidRPr="00A13EBF" w:rsidRDefault="008745D6" w:rsidP="00A13EBF">
      <w:pPr>
        <w:spacing w:after="0" w:line="360" w:lineRule="auto"/>
        <w:jc w:val="both"/>
        <w:rPr>
          <w:rFonts w:asciiTheme="majorBidi" w:hAnsiTheme="majorBidi" w:cstheme="majorBidi"/>
          <w:b/>
          <w:bCs/>
          <w:sz w:val="24"/>
          <w:szCs w:val="24"/>
          <w:lang w:val="en-US"/>
        </w:rPr>
      </w:pPr>
      <w:r w:rsidRPr="00A13EBF">
        <w:rPr>
          <w:rFonts w:asciiTheme="majorBidi" w:hAnsiTheme="majorBidi" w:cstheme="majorBidi"/>
          <w:b/>
          <w:bCs/>
          <w:sz w:val="24"/>
          <w:szCs w:val="24"/>
          <w:lang w:val="en-US"/>
        </w:rPr>
        <w:t xml:space="preserve">5. </w:t>
      </w:r>
      <w:r w:rsidR="00DB3CB2" w:rsidRPr="00A13EBF">
        <w:rPr>
          <w:rFonts w:asciiTheme="majorBidi" w:hAnsiTheme="majorBidi" w:cstheme="majorBidi"/>
          <w:b/>
          <w:bCs/>
          <w:sz w:val="24"/>
          <w:szCs w:val="24"/>
          <w:lang w:val="en-US"/>
        </w:rPr>
        <w:t>APC-INDEPENDENT PATHWAY</w:t>
      </w:r>
      <w:r w:rsidRPr="00A13EBF">
        <w:rPr>
          <w:rFonts w:asciiTheme="majorBidi" w:hAnsiTheme="majorBidi" w:cstheme="majorBidi"/>
          <w:b/>
          <w:bCs/>
          <w:sz w:val="24"/>
          <w:szCs w:val="24"/>
          <w:lang w:val="en-US"/>
        </w:rPr>
        <w:t>:</w:t>
      </w:r>
    </w:p>
    <w:p w14:paraId="4B9E5FBC" w14:textId="77777777" w:rsidR="008745D6" w:rsidRPr="00A13EBF" w:rsidRDefault="008745D6" w:rsidP="00A13EBF">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lang w:val="en-US"/>
        </w:rPr>
        <w:t xml:space="preserve">a. Protein S inhibits the tenase and prothrombinase complexes directly, leading to a decrease in early thrombin generation.  </w:t>
      </w:r>
    </w:p>
    <w:p w14:paraId="15CB9DBE" w14:textId="77777777" w:rsidR="008745D6" w:rsidRPr="00A13EBF" w:rsidRDefault="008745D6" w:rsidP="00A13EBF">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lang w:val="en-US"/>
        </w:rPr>
        <w:t>b.</w:t>
      </w:r>
      <w:r w:rsidR="00A13EBF">
        <w:rPr>
          <w:rFonts w:asciiTheme="majorBidi" w:hAnsiTheme="majorBidi" w:cstheme="majorBidi"/>
          <w:sz w:val="24"/>
          <w:szCs w:val="24"/>
          <w:lang w:val="en-US"/>
        </w:rPr>
        <w:t xml:space="preserve"> </w:t>
      </w:r>
      <w:r w:rsidRPr="00A13EBF">
        <w:rPr>
          <w:rFonts w:asciiTheme="majorBidi" w:hAnsiTheme="majorBidi" w:cstheme="majorBidi"/>
          <w:sz w:val="24"/>
          <w:szCs w:val="24"/>
          <w:lang w:val="en-US"/>
        </w:rPr>
        <w:t xml:space="preserve">It limits the activation of thrombin-activatable fibrinolysis inhibitor (TAFI), which promotes the breakdown of fibrin.  </w:t>
      </w:r>
    </w:p>
    <w:p w14:paraId="3F6F51D3" w14:textId="77777777" w:rsidR="008745D6" w:rsidRPr="00A13EBF" w:rsidRDefault="008745D6" w:rsidP="00A13EBF">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lang w:val="en-US"/>
        </w:rPr>
        <w:t>c. Protein S acts as a cofactor for tissue factor pathway inhibitor (TFPI), hindering tissue factor–induced coagulation by enhancing the interaction between TFPI and FXa.</w:t>
      </w:r>
    </w:p>
    <w:p w14:paraId="2CA2D04A" w14:textId="77777777" w:rsidR="008745D6" w:rsidRPr="00A13EBF" w:rsidRDefault="008745D6" w:rsidP="00A13EBF">
      <w:pPr>
        <w:spacing w:after="0" w:line="360" w:lineRule="auto"/>
        <w:jc w:val="both"/>
        <w:rPr>
          <w:rFonts w:asciiTheme="majorBidi" w:hAnsiTheme="majorBidi" w:cstheme="majorBidi"/>
          <w:b/>
          <w:bCs/>
          <w:sz w:val="24"/>
          <w:szCs w:val="24"/>
          <w:lang w:val="en-US"/>
        </w:rPr>
      </w:pPr>
      <w:r w:rsidRPr="00A13EBF">
        <w:rPr>
          <w:rFonts w:asciiTheme="majorBidi" w:hAnsiTheme="majorBidi" w:cstheme="majorBidi"/>
          <w:b/>
          <w:bCs/>
          <w:sz w:val="24"/>
          <w:szCs w:val="24"/>
          <w:lang w:val="en-US"/>
        </w:rPr>
        <w:t xml:space="preserve">6. </w:t>
      </w:r>
      <w:r w:rsidR="00DB3CB2" w:rsidRPr="00A13EBF">
        <w:rPr>
          <w:rFonts w:asciiTheme="majorBidi" w:hAnsiTheme="majorBidi" w:cstheme="majorBidi"/>
          <w:b/>
          <w:bCs/>
          <w:sz w:val="24"/>
          <w:szCs w:val="24"/>
          <w:lang w:val="en-US"/>
        </w:rPr>
        <w:t>OVERALL EFFECT:</w:t>
      </w:r>
    </w:p>
    <w:p w14:paraId="7D1D690B" w14:textId="77777777" w:rsidR="008745D6" w:rsidRPr="00A13EBF" w:rsidRDefault="008745D6" w:rsidP="00A13EBF">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lang w:val="en-US"/>
        </w:rPr>
        <w:lastRenderedPageBreak/>
        <w:t xml:space="preserve">Protein S sustains a balanced hemostatic environment by:  </w:t>
      </w:r>
    </w:p>
    <w:p w14:paraId="6C53B3BE" w14:textId="77777777" w:rsidR="008745D6" w:rsidRPr="00A13EBF" w:rsidRDefault="008745D6" w:rsidP="00A13EBF">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lang w:val="en-US"/>
        </w:rPr>
        <w:t xml:space="preserve">• Regulating thrombin production  </w:t>
      </w:r>
    </w:p>
    <w:p w14:paraId="62237DD4" w14:textId="77777777" w:rsidR="008745D6" w:rsidRPr="00A13EBF" w:rsidRDefault="008745D6" w:rsidP="00A13EBF">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lang w:val="en-US"/>
        </w:rPr>
        <w:t xml:space="preserve">• Promoting the breakdown of clots (fibrinolysis)  </w:t>
      </w:r>
    </w:p>
    <w:p w14:paraId="069F06F6" w14:textId="77777777" w:rsidR="008745D6" w:rsidRPr="00A13EBF" w:rsidRDefault="008745D6" w:rsidP="00A13EBF">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lang w:val="en-US"/>
        </w:rPr>
        <w:t>• Preventing unnecessary thrombosis</w:t>
      </w:r>
    </w:p>
    <w:p w14:paraId="1DDAAFC9" w14:textId="77777777" w:rsidR="008745D6" w:rsidRPr="00A13EBF" w:rsidRDefault="008745D6" w:rsidP="00A13EBF">
      <w:pPr>
        <w:spacing w:after="0" w:line="360" w:lineRule="auto"/>
        <w:jc w:val="both"/>
        <w:rPr>
          <w:rFonts w:asciiTheme="majorBidi" w:hAnsiTheme="majorBidi" w:cstheme="majorBidi"/>
          <w:b/>
          <w:bCs/>
          <w:sz w:val="24"/>
          <w:szCs w:val="24"/>
          <w:lang w:val="en-US"/>
        </w:rPr>
      </w:pPr>
      <w:r w:rsidRPr="00A13EBF">
        <w:rPr>
          <w:rFonts w:asciiTheme="majorBidi" w:hAnsiTheme="majorBidi" w:cstheme="majorBidi"/>
          <w:b/>
          <w:bCs/>
          <w:sz w:val="24"/>
          <w:szCs w:val="24"/>
          <w:lang w:val="en-US"/>
        </w:rPr>
        <w:t>7</w:t>
      </w:r>
      <w:r w:rsidR="00DB3CB2" w:rsidRPr="00A13EBF">
        <w:rPr>
          <w:rFonts w:asciiTheme="majorBidi" w:eastAsia="Times New Roman" w:hAnsiTheme="majorBidi" w:cstheme="majorBidi"/>
          <w:b/>
          <w:bCs/>
          <w:color w:val="1A1A1A"/>
          <w:sz w:val="24"/>
          <w:szCs w:val="24"/>
          <w:lang w:eastAsia="en-IN"/>
        </w:rPr>
        <w:t>.</w:t>
      </w:r>
      <w:r w:rsidR="00A13EBF" w:rsidRPr="00A13EBF">
        <w:rPr>
          <w:rFonts w:asciiTheme="majorBidi" w:eastAsia="Times New Roman" w:hAnsiTheme="majorBidi" w:cstheme="majorBidi"/>
          <w:b/>
          <w:bCs/>
          <w:color w:val="1A1A1A"/>
          <w:sz w:val="24"/>
          <w:szCs w:val="24"/>
          <w:lang w:eastAsia="en-IN"/>
        </w:rPr>
        <w:t xml:space="preserve"> </w:t>
      </w:r>
      <w:r w:rsidR="00DB3CB2" w:rsidRPr="00A13EBF">
        <w:rPr>
          <w:rFonts w:asciiTheme="majorBidi" w:eastAsia="Times New Roman" w:hAnsiTheme="majorBidi" w:cstheme="majorBidi"/>
          <w:b/>
          <w:bCs/>
          <w:color w:val="1A1A1A"/>
          <w:sz w:val="24"/>
          <w:szCs w:val="24"/>
          <w:lang w:eastAsia="en-IN"/>
        </w:rPr>
        <w:t>IN CASES OF PROTEIN S DEFICIENCY:</w:t>
      </w:r>
    </w:p>
    <w:p w14:paraId="69967022" w14:textId="77777777" w:rsidR="008745D6" w:rsidRPr="00A13EBF" w:rsidRDefault="008745D6" w:rsidP="00A13EBF">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lang w:val="en-US"/>
        </w:rPr>
        <w:t xml:space="preserve">Protein S deficiency may be:  </w:t>
      </w:r>
    </w:p>
    <w:p w14:paraId="4B58B872" w14:textId="77777777" w:rsidR="008745D6" w:rsidRPr="00A13EBF" w:rsidRDefault="008745D6" w:rsidP="00A13EBF">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lang w:val="en-US"/>
        </w:rPr>
        <w:t xml:space="preserve">• Inherited (resulting from genetic mutations)  </w:t>
      </w:r>
    </w:p>
    <w:p w14:paraId="25A8BD11" w14:textId="77777777" w:rsidR="008745D6" w:rsidRPr="00A13EBF" w:rsidRDefault="008745D6" w:rsidP="00A13EBF">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lang w:val="en-US"/>
        </w:rPr>
        <w:t>• Acquired (due to factors such as vitamin K antagonists, oral contraceptives, pregnancy, liver disease, nephrotic syndrome, disseminated intravascular coagulation (DIC), or c</w:t>
      </w:r>
      <w:r w:rsidR="00801C2C">
        <w:rPr>
          <w:rFonts w:asciiTheme="majorBidi" w:hAnsiTheme="majorBidi" w:cstheme="majorBidi"/>
          <w:sz w:val="24"/>
          <w:szCs w:val="24"/>
          <w:lang w:val="en-US"/>
        </w:rPr>
        <w:t xml:space="preserve">hronic infections like HIV). (Ten </w:t>
      </w:r>
      <w:r w:rsidR="00A6309F">
        <w:rPr>
          <w:rFonts w:asciiTheme="majorBidi" w:hAnsiTheme="majorBidi" w:cstheme="majorBidi"/>
          <w:sz w:val="24"/>
          <w:szCs w:val="24"/>
          <w:lang w:val="en-US"/>
        </w:rPr>
        <w:t>Kate</w:t>
      </w:r>
      <w:r w:rsidR="00801C2C">
        <w:rPr>
          <w:rFonts w:asciiTheme="majorBidi" w:hAnsiTheme="majorBidi" w:cstheme="majorBidi"/>
          <w:sz w:val="24"/>
          <w:szCs w:val="24"/>
          <w:lang w:val="en-US"/>
        </w:rPr>
        <w:t xml:space="preserve"> et al., 2008)</w:t>
      </w:r>
    </w:p>
    <w:p w14:paraId="5569EBDF" w14:textId="77777777" w:rsidR="00405A26" w:rsidRDefault="00405A26" w:rsidP="00A13EBF">
      <w:pPr>
        <w:spacing w:after="0" w:line="360" w:lineRule="auto"/>
        <w:jc w:val="both"/>
        <w:rPr>
          <w:rFonts w:asciiTheme="majorBidi" w:hAnsiTheme="majorBidi" w:cstheme="majorBidi"/>
          <w:b/>
          <w:sz w:val="24"/>
          <w:szCs w:val="24"/>
        </w:rPr>
      </w:pPr>
    </w:p>
    <w:p w14:paraId="5B8ABAC7" w14:textId="77777777" w:rsidR="00DB3CB2" w:rsidRPr="00A13EBF" w:rsidRDefault="003A6FB5" w:rsidP="00A13EBF">
      <w:pPr>
        <w:spacing w:after="0" w:line="360" w:lineRule="auto"/>
        <w:jc w:val="both"/>
        <w:rPr>
          <w:rFonts w:asciiTheme="majorBidi" w:hAnsiTheme="majorBidi" w:cstheme="majorBidi"/>
          <w:b/>
          <w:sz w:val="24"/>
          <w:szCs w:val="24"/>
        </w:rPr>
      </w:pPr>
      <w:r w:rsidRPr="00A13EBF">
        <w:rPr>
          <w:rFonts w:asciiTheme="majorBidi" w:hAnsiTheme="majorBidi" w:cstheme="majorBidi"/>
          <w:b/>
          <w:sz w:val="24"/>
          <w:szCs w:val="24"/>
        </w:rPr>
        <w:t xml:space="preserve">CLINICAL </w:t>
      </w:r>
      <w:r w:rsidR="00DB3CB2" w:rsidRPr="00A13EBF">
        <w:rPr>
          <w:rFonts w:asciiTheme="majorBidi" w:hAnsiTheme="majorBidi" w:cstheme="majorBidi"/>
          <w:b/>
          <w:sz w:val="24"/>
          <w:szCs w:val="24"/>
        </w:rPr>
        <w:t>MANIFESTATIONS</w:t>
      </w:r>
    </w:p>
    <w:p w14:paraId="742C4C4A" w14:textId="77777777" w:rsidR="003A6FB5" w:rsidRPr="00801C2C" w:rsidRDefault="003A6FB5" w:rsidP="00801C2C">
      <w:pPr>
        <w:shd w:val="clear" w:color="auto" w:fill="FFFFFF"/>
        <w:spacing w:after="0" w:line="360" w:lineRule="auto"/>
        <w:jc w:val="both"/>
        <w:textAlignment w:val="baseline"/>
        <w:rPr>
          <w:rFonts w:asciiTheme="majorBidi" w:eastAsia="Times New Roman" w:hAnsiTheme="majorBidi" w:cstheme="majorBidi"/>
          <w:bCs/>
          <w:color w:val="1A1A1A"/>
          <w:sz w:val="24"/>
          <w:szCs w:val="24"/>
          <w:lang w:eastAsia="en-IN"/>
        </w:rPr>
      </w:pPr>
      <w:r w:rsidRPr="00A13EBF">
        <w:rPr>
          <w:rFonts w:asciiTheme="majorBidi" w:hAnsiTheme="majorBidi" w:cstheme="majorBidi"/>
          <w:sz w:val="24"/>
          <w:szCs w:val="24"/>
        </w:rPr>
        <w:t xml:space="preserve">The cause of PC deficiency might be inherited (congenital) or acquired. Congenital diseases can be heterozygous or homozygous. The majority of patients with PC deficiency have heterozygous deficit. The presentation of heterozygous PC deficiency ranges from asymptomatic to problems such as venous thromboembolism (VTE) and pulmonary embolism. Heterozygous PC-deficient patients who develop VTE may have additional acquired risk factors, such as immobilisation, surgery, drugs, or </w:t>
      </w:r>
      <w:r w:rsidR="00A6309F" w:rsidRPr="00A13EBF">
        <w:rPr>
          <w:rFonts w:asciiTheme="majorBidi" w:hAnsiTheme="majorBidi" w:cstheme="majorBidi"/>
          <w:sz w:val="24"/>
          <w:szCs w:val="24"/>
        </w:rPr>
        <w:t>pregnancy, which</w:t>
      </w:r>
      <w:r w:rsidRPr="00A13EBF">
        <w:rPr>
          <w:rFonts w:asciiTheme="majorBidi" w:hAnsiTheme="majorBidi" w:cstheme="majorBidi"/>
          <w:sz w:val="24"/>
          <w:szCs w:val="24"/>
        </w:rPr>
        <w:t xml:space="preserve"> contribute to </w:t>
      </w:r>
      <w:r w:rsidR="00801C2C">
        <w:rPr>
          <w:rFonts w:asciiTheme="majorBidi" w:hAnsiTheme="majorBidi" w:cstheme="majorBidi"/>
          <w:sz w:val="24"/>
          <w:szCs w:val="24"/>
        </w:rPr>
        <w:t xml:space="preserve">VTE. </w:t>
      </w:r>
      <w:r w:rsidR="00801C2C" w:rsidRPr="00A13EBF">
        <w:rPr>
          <w:rFonts w:asciiTheme="majorBidi" w:eastAsia="Times New Roman" w:hAnsiTheme="majorBidi" w:cstheme="majorBidi"/>
          <w:bCs/>
          <w:color w:val="1A1A1A"/>
          <w:sz w:val="24"/>
          <w:szCs w:val="24"/>
          <w:lang w:eastAsia="en-IN"/>
        </w:rPr>
        <w:t>(</w:t>
      </w:r>
      <w:r w:rsidR="00801C2C">
        <w:rPr>
          <w:rFonts w:ascii="Times New Roman" w:hAnsi="Times New Roman" w:cs="Times New Roman"/>
          <w:sz w:val="24"/>
          <w:szCs w:val="24"/>
        </w:rPr>
        <w:t>Dinarvand &amp; Moser, 2019)</w:t>
      </w:r>
      <w:r w:rsidR="00A13EBF" w:rsidRPr="00A13EBF">
        <w:rPr>
          <w:rFonts w:asciiTheme="majorBidi" w:hAnsiTheme="majorBidi" w:cstheme="majorBidi"/>
          <w:sz w:val="24"/>
          <w:szCs w:val="24"/>
        </w:rPr>
        <w:t xml:space="preserve"> this</w:t>
      </w:r>
      <w:r w:rsidRPr="00A13EBF">
        <w:rPr>
          <w:rFonts w:asciiTheme="majorBidi" w:hAnsiTheme="majorBidi" w:cstheme="majorBidi"/>
          <w:sz w:val="24"/>
          <w:szCs w:val="24"/>
        </w:rPr>
        <w:t xml:space="preserve"> indicates that DVT or PE will occur in roughly one out of every 100 to 500 patients with one of these deficits each year. Less common symptoms of PC/PS insufficiency include superficial, cerebral, visceral, or axillary vei</w:t>
      </w:r>
      <w:r w:rsidR="00AC5153" w:rsidRPr="00A13EBF">
        <w:rPr>
          <w:rFonts w:asciiTheme="majorBidi" w:hAnsiTheme="majorBidi" w:cstheme="majorBidi"/>
          <w:sz w:val="24"/>
          <w:szCs w:val="24"/>
        </w:rPr>
        <w:t>n </w:t>
      </w:r>
      <w:r w:rsidR="00801C2C">
        <w:rPr>
          <w:rFonts w:asciiTheme="majorBidi" w:hAnsiTheme="majorBidi" w:cstheme="majorBidi"/>
          <w:sz w:val="24"/>
          <w:szCs w:val="24"/>
        </w:rPr>
        <w:t>thrombosis</w:t>
      </w:r>
      <w:r w:rsidR="009021C6">
        <w:rPr>
          <w:rFonts w:asciiTheme="majorBidi" w:hAnsiTheme="majorBidi" w:cstheme="majorBidi"/>
          <w:sz w:val="24"/>
          <w:szCs w:val="24"/>
        </w:rPr>
        <w:t>. (</w:t>
      </w:r>
      <w:r w:rsidR="00801C2C">
        <w:rPr>
          <w:rFonts w:ascii="Times New Roman" w:hAnsi="Times New Roman" w:cs="Times New Roman"/>
          <w:sz w:val="24"/>
          <w:szCs w:val="24"/>
        </w:rPr>
        <w:t xml:space="preserve">Wypasek &amp; Undas, </w:t>
      </w:r>
      <w:r w:rsidR="00801C2C" w:rsidRPr="00DE3F83">
        <w:rPr>
          <w:rFonts w:ascii="Times New Roman" w:hAnsi="Times New Roman" w:cs="Times New Roman"/>
          <w:sz w:val="24"/>
          <w:szCs w:val="24"/>
        </w:rPr>
        <w:t>2013).</w:t>
      </w:r>
    </w:p>
    <w:p w14:paraId="6277B794" w14:textId="77777777" w:rsidR="003A6FB5" w:rsidRPr="00A13EBF" w:rsidRDefault="003A6FB5" w:rsidP="00A13EBF">
      <w:pPr>
        <w:spacing w:after="0" w:line="360" w:lineRule="auto"/>
        <w:jc w:val="both"/>
        <w:rPr>
          <w:rFonts w:asciiTheme="majorBidi" w:hAnsiTheme="majorBidi" w:cstheme="majorBidi"/>
          <w:sz w:val="24"/>
          <w:szCs w:val="24"/>
        </w:rPr>
      </w:pPr>
      <w:r w:rsidRPr="00A13EBF">
        <w:rPr>
          <w:rFonts w:asciiTheme="majorBidi" w:hAnsiTheme="majorBidi" w:cstheme="majorBidi"/>
          <w:sz w:val="24"/>
          <w:szCs w:val="24"/>
        </w:rPr>
        <w:t xml:space="preserve">Homozygous PC deficiency is uncommon, with an estimated prevalence of 1 in 500,000 to 1 in 750,000. It appears 2 hours to months after birth, or with delayed symptoms, with potentially fatal thrombosis involving the central nervous system, eyes, kidneys, and skin (purpura fulminans). Non-reactive pupils, leukocoria, chemosis, periorbital edema, shallow anterior chamber, dilated iris vessels, posterior synechia, retinal artery and vein blockage, retinal dysplasia and microphthalmos are some of the ophthalmic signs. Purpura fulminans, hematomas, epistaxis, prolonged bleeding, hydrocephalus, subarachnoid haemorrhage, pulmonary embolism, thrombotic </w:t>
      </w:r>
      <w:r w:rsidR="00A13EBF" w:rsidRPr="00A13EBF">
        <w:rPr>
          <w:rFonts w:asciiTheme="majorBidi" w:hAnsiTheme="majorBidi" w:cstheme="majorBidi"/>
          <w:sz w:val="24"/>
          <w:szCs w:val="24"/>
        </w:rPr>
        <w:t>haemorrhagic</w:t>
      </w:r>
      <w:r w:rsidRPr="00A13EBF">
        <w:rPr>
          <w:rFonts w:asciiTheme="majorBidi" w:hAnsiTheme="majorBidi" w:cstheme="majorBidi"/>
          <w:sz w:val="24"/>
          <w:szCs w:val="24"/>
        </w:rPr>
        <w:t xml:space="preserve"> gastrointestinal and genitourinary mucosal infarctions of renal and deep vein thrombosis alongside the pulmonary embolism, and candida sepsis are examples of systemic </w:t>
      </w:r>
      <w:r w:rsidR="00A13EBF" w:rsidRPr="00A13EBF">
        <w:rPr>
          <w:rFonts w:asciiTheme="majorBidi" w:hAnsiTheme="majorBidi" w:cstheme="majorBidi"/>
          <w:sz w:val="24"/>
          <w:szCs w:val="24"/>
        </w:rPr>
        <w:t>manifestations. (</w:t>
      </w:r>
      <w:r w:rsidR="000D1CBD">
        <w:rPr>
          <w:rFonts w:asciiTheme="majorBidi" w:hAnsiTheme="majorBidi" w:cstheme="majorBidi"/>
          <w:sz w:val="24"/>
          <w:szCs w:val="24"/>
        </w:rPr>
        <w:t>Ghasssemi et al., 2020)</w:t>
      </w:r>
    </w:p>
    <w:p w14:paraId="25CA9CFB" w14:textId="77777777" w:rsidR="005768E6" w:rsidRPr="00A13EBF" w:rsidRDefault="003A6FB5" w:rsidP="00A13EBF">
      <w:pPr>
        <w:spacing w:after="0" w:line="360" w:lineRule="auto"/>
        <w:jc w:val="both"/>
        <w:rPr>
          <w:rFonts w:asciiTheme="majorBidi" w:hAnsiTheme="majorBidi" w:cstheme="majorBidi"/>
          <w:sz w:val="24"/>
          <w:szCs w:val="24"/>
        </w:rPr>
      </w:pPr>
      <w:r w:rsidRPr="00A13EBF">
        <w:rPr>
          <w:rFonts w:asciiTheme="majorBidi" w:hAnsiTheme="majorBidi" w:cstheme="majorBidi"/>
          <w:sz w:val="24"/>
          <w:szCs w:val="24"/>
        </w:rPr>
        <w:t xml:space="preserve">Protein S usually affects young patients who have venous thrombosis in the deep veins of the lower limbs, sometimes involving axillary, mesenteric or cerebral veins. Recently, a young </w:t>
      </w:r>
      <w:r w:rsidRPr="00A13EBF">
        <w:rPr>
          <w:rFonts w:asciiTheme="majorBidi" w:hAnsiTheme="majorBidi" w:cstheme="majorBidi"/>
          <w:sz w:val="24"/>
          <w:szCs w:val="24"/>
        </w:rPr>
        <w:lastRenderedPageBreak/>
        <w:t xml:space="preserve">man with protein S deficiency was reported to have a central retinal artery </w:t>
      </w:r>
      <w:r w:rsidR="000D1CBD">
        <w:rPr>
          <w:rFonts w:asciiTheme="majorBidi" w:hAnsiTheme="majorBidi" w:cstheme="majorBidi"/>
          <w:sz w:val="24"/>
          <w:szCs w:val="24"/>
        </w:rPr>
        <w:t>blockage. (Greven et al., 1991</w:t>
      </w:r>
      <w:r w:rsidR="00A13EBF" w:rsidRPr="00A13EBF">
        <w:rPr>
          <w:rFonts w:asciiTheme="majorBidi" w:hAnsiTheme="majorBidi" w:cstheme="majorBidi"/>
          <w:sz w:val="24"/>
          <w:szCs w:val="24"/>
        </w:rPr>
        <w:t>) Although</w:t>
      </w:r>
      <w:r w:rsidRPr="00A13EBF">
        <w:rPr>
          <w:rFonts w:asciiTheme="majorBidi" w:hAnsiTheme="majorBidi" w:cstheme="majorBidi"/>
          <w:sz w:val="24"/>
          <w:szCs w:val="24"/>
        </w:rPr>
        <w:t xml:space="preserve"> extremely unusual, homozygous or compound heterozygous PS deficiency is characterised by severe VTE or purpura fulminans at birth. Without treatment, this will most likely be fatal. However, in some infants, severe retinopathy of prematurity may be the primary initial sign.</w:t>
      </w:r>
    </w:p>
    <w:p w14:paraId="68F51875" w14:textId="77777777" w:rsidR="003A6FB5" w:rsidRPr="00A13EBF" w:rsidRDefault="003A6FB5" w:rsidP="00A13EBF">
      <w:pPr>
        <w:spacing w:after="0" w:line="360" w:lineRule="auto"/>
        <w:jc w:val="both"/>
        <w:rPr>
          <w:rFonts w:asciiTheme="majorBidi" w:hAnsiTheme="majorBidi" w:cstheme="majorBidi"/>
          <w:sz w:val="24"/>
          <w:szCs w:val="24"/>
        </w:rPr>
      </w:pPr>
      <w:r w:rsidRPr="00A13EBF">
        <w:rPr>
          <w:rFonts w:asciiTheme="majorBidi" w:hAnsiTheme="majorBidi" w:cstheme="majorBidi"/>
          <w:sz w:val="24"/>
          <w:szCs w:val="24"/>
        </w:rPr>
        <w:t>Heterozygous PS deficiency is a known risk factor for VTE, but its penetrance is incomplete and varied, and symptoms usually appear before the age of 50. However, due to the use of oral contraceptives and pregnancy or puerperium, PS-deficient women appear to be at a higher risk of developing VTE early in life (&lt;30 years) than PS-deficient </w:t>
      </w:r>
      <w:r w:rsidR="00A13EBF" w:rsidRPr="00A13EBF">
        <w:rPr>
          <w:rFonts w:asciiTheme="majorBidi" w:hAnsiTheme="majorBidi" w:cstheme="majorBidi"/>
          <w:sz w:val="24"/>
          <w:szCs w:val="24"/>
        </w:rPr>
        <w:t>men. (</w:t>
      </w:r>
      <w:r w:rsidR="000D1CBD">
        <w:rPr>
          <w:rFonts w:asciiTheme="majorBidi" w:hAnsiTheme="majorBidi" w:cstheme="majorBidi"/>
          <w:sz w:val="24"/>
          <w:szCs w:val="24"/>
        </w:rPr>
        <w:t xml:space="preserve">Ten </w:t>
      </w:r>
      <w:r w:rsidR="009021C6">
        <w:rPr>
          <w:rFonts w:asciiTheme="majorBidi" w:hAnsiTheme="majorBidi" w:cstheme="majorBidi"/>
          <w:sz w:val="24"/>
          <w:szCs w:val="24"/>
        </w:rPr>
        <w:t>Kate</w:t>
      </w:r>
      <w:r w:rsidR="000D1CBD">
        <w:rPr>
          <w:rFonts w:asciiTheme="majorBidi" w:hAnsiTheme="majorBidi" w:cstheme="majorBidi"/>
          <w:sz w:val="24"/>
          <w:szCs w:val="24"/>
        </w:rPr>
        <w:t xml:space="preserve"> et al., 2008)</w:t>
      </w:r>
    </w:p>
    <w:p w14:paraId="1DB82117" w14:textId="77777777" w:rsidR="005768E6" w:rsidRPr="00A13EBF" w:rsidRDefault="005768E6" w:rsidP="00A13EBF">
      <w:pPr>
        <w:spacing w:after="0" w:line="360" w:lineRule="auto"/>
        <w:jc w:val="both"/>
        <w:rPr>
          <w:rFonts w:asciiTheme="majorBidi" w:hAnsiTheme="majorBidi" w:cstheme="majorBidi"/>
          <w:b/>
          <w:sz w:val="24"/>
          <w:szCs w:val="24"/>
          <w:lang w:val="en-US"/>
        </w:rPr>
      </w:pPr>
      <w:r w:rsidRPr="00A13EBF">
        <w:rPr>
          <w:rFonts w:asciiTheme="majorBidi" w:hAnsiTheme="majorBidi" w:cstheme="majorBidi"/>
          <w:b/>
          <w:sz w:val="24"/>
          <w:szCs w:val="24"/>
          <w:lang w:val="en-US"/>
        </w:rPr>
        <w:t>PROGNOSIS</w:t>
      </w:r>
    </w:p>
    <w:p w14:paraId="3BDA2800" w14:textId="77777777" w:rsidR="00080DC6" w:rsidRPr="00A13EBF" w:rsidRDefault="005768E6" w:rsidP="00A13EBF">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rPr>
        <w:t xml:space="preserve">There are limited studies on the long-term outcomes for individuals with severe protein C deficiency. However, maintaining long-term anticoagulation therapy places patients at risk for bleeding </w:t>
      </w:r>
      <w:r w:rsidR="00A13EBF" w:rsidRPr="00A13EBF">
        <w:rPr>
          <w:rFonts w:asciiTheme="majorBidi" w:hAnsiTheme="majorBidi" w:cstheme="majorBidi"/>
          <w:sz w:val="24"/>
          <w:szCs w:val="24"/>
        </w:rPr>
        <w:t>incidents.</w:t>
      </w:r>
      <w:r w:rsidR="00A13EBF" w:rsidRPr="00A13EBF">
        <w:rPr>
          <w:rFonts w:asciiTheme="majorBidi" w:hAnsiTheme="majorBidi" w:cstheme="majorBidi"/>
          <w:sz w:val="24"/>
          <w:szCs w:val="24"/>
          <w:lang w:val="en-US"/>
        </w:rPr>
        <w:t xml:space="preserve"> It</w:t>
      </w:r>
      <w:r w:rsidRPr="00A13EBF">
        <w:rPr>
          <w:rFonts w:asciiTheme="majorBidi" w:hAnsiTheme="majorBidi" w:cstheme="majorBidi"/>
          <w:sz w:val="24"/>
          <w:szCs w:val="24"/>
          <w:lang w:val="en-US"/>
        </w:rPr>
        <w:t xml:space="preserve"> has been observed that patients undergoing liver transplants to treat PC deficiency had long-term survival free of thrombotic problems and without the need for PC replacement or anticoagulation</w:t>
      </w:r>
      <w:r w:rsidR="00A6309F" w:rsidRPr="00A13EBF">
        <w:rPr>
          <w:rFonts w:asciiTheme="majorBidi" w:hAnsiTheme="majorBidi" w:cstheme="majorBidi"/>
          <w:sz w:val="24"/>
          <w:szCs w:val="24"/>
          <w:lang w:val="en-US"/>
        </w:rPr>
        <w:t>.</w:t>
      </w:r>
      <w:r w:rsidR="00A6309F">
        <w:rPr>
          <w:rFonts w:asciiTheme="majorBidi" w:hAnsiTheme="majorBidi" w:cstheme="majorBidi"/>
        </w:rPr>
        <w:t xml:space="preserve"> (</w:t>
      </w:r>
      <w:r w:rsidR="000D1CBD" w:rsidRPr="009021C6">
        <w:rPr>
          <w:rFonts w:asciiTheme="majorBidi" w:hAnsiTheme="majorBidi" w:cstheme="majorBidi"/>
          <w:sz w:val="24"/>
          <w:szCs w:val="24"/>
          <w:lang w:val="en-US"/>
        </w:rPr>
        <w:t>Dinarvand &amp; Moser</w:t>
      </w:r>
      <w:r w:rsidR="000D1CBD">
        <w:rPr>
          <w:rFonts w:asciiTheme="majorBidi" w:hAnsiTheme="majorBidi" w:cstheme="majorBidi"/>
        </w:rPr>
        <w:t>, 2019)</w:t>
      </w:r>
    </w:p>
    <w:p w14:paraId="3B3D6E21" w14:textId="77777777" w:rsidR="005768E6" w:rsidRPr="00A13EBF" w:rsidRDefault="005768E6" w:rsidP="00A13EBF">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lang w:val="en-US"/>
        </w:rPr>
        <w:t xml:space="preserve">Utilizing home INR monitors and swiftly addressing low INR levels with short-term heparin treatment or protein C replacement can successfully avert severe clotting issues like VTE (venous thromboembolism), DIC (disseminated intravascular coagulation), and purpura fulminans. This strategy enables numerous patients to avoid frequent hospital visits. Individuals with milder (heterozygous) protein C deficiency may suffer from recurrent DVTs and develop post-thrombotic syndrome (PTS), leading to painful, </w:t>
      </w:r>
      <w:r w:rsidR="009021C6" w:rsidRPr="00A13EBF">
        <w:rPr>
          <w:rFonts w:asciiTheme="majorBidi" w:hAnsiTheme="majorBidi" w:cstheme="majorBidi"/>
          <w:sz w:val="24"/>
          <w:szCs w:val="24"/>
          <w:lang w:val="en-US"/>
        </w:rPr>
        <w:t>and slow</w:t>
      </w:r>
      <w:r w:rsidRPr="00A13EBF">
        <w:rPr>
          <w:rFonts w:asciiTheme="majorBidi" w:hAnsiTheme="majorBidi" w:cstheme="majorBidi"/>
          <w:sz w:val="24"/>
          <w:szCs w:val="24"/>
          <w:lang w:val="en-US"/>
        </w:rPr>
        <w:t>-healing leg ulcers</w:t>
      </w:r>
      <w:r w:rsidR="009021C6">
        <w:rPr>
          <w:rFonts w:asciiTheme="majorBidi" w:hAnsiTheme="majorBidi" w:cstheme="majorBidi"/>
          <w:sz w:val="24"/>
          <w:szCs w:val="24"/>
          <w:lang w:val="en-US"/>
        </w:rPr>
        <w:t>. (</w:t>
      </w:r>
      <w:r w:rsidR="000D1CBD">
        <w:rPr>
          <w:rFonts w:asciiTheme="majorBidi" w:hAnsiTheme="majorBidi" w:cstheme="majorBidi"/>
          <w:sz w:val="24"/>
          <w:szCs w:val="24"/>
          <w:lang w:val="en-US"/>
        </w:rPr>
        <w:t>Gold et al., 2008</w:t>
      </w:r>
      <w:r w:rsidR="00080DC6" w:rsidRPr="00A13EBF">
        <w:rPr>
          <w:rFonts w:asciiTheme="majorBidi" w:hAnsiTheme="majorBidi" w:cstheme="majorBidi"/>
          <w:sz w:val="24"/>
          <w:szCs w:val="24"/>
          <w:lang w:val="en-US"/>
        </w:rPr>
        <w:t>)</w:t>
      </w:r>
    </w:p>
    <w:p w14:paraId="3EB6B191" w14:textId="77777777" w:rsidR="00080DC6" w:rsidRPr="00A13EBF" w:rsidRDefault="005768E6" w:rsidP="00090FDC">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lang w:val="en-US"/>
        </w:rPr>
        <w:t>Patients exhibiting low levels of protein C following an acute stroke generally have a poorer outcome, experiencing more severe disabilities and a higher rate of death within six months compared to those with normal protein C levels. Conversely, low levels of free protein S, though observed in a considerable number of patients, seem to be temporary. These fluctuations in protein S do not correlate with the severity of the stroke or the mortality rate. In contrast, stroke patients with reduced protein C levels face a worse prognosis, whereas low protein S levels appear to have minimal influence on the outcome</w:t>
      </w:r>
      <w:r w:rsidR="009021C6" w:rsidRPr="00A13EBF">
        <w:rPr>
          <w:rFonts w:asciiTheme="majorBidi" w:hAnsiTheme="majorBidi" w:cstheme="majorBidi"/>
          <w:sz w:val="24"/>
          <w:szCs w:val="24"/>
          <w:lang w:val="en-US"/>
        </w:rPr>
        <w:t>.</w:t>
      </w:r>
      <w:r w:rsidR="009021C6">
        <w:rPr>
          <w:rFonts w:asciiTheme="majorBidi" w:hAnsiTheme="majorBidi" w:cstheme="majorBidi"/>
          <w:sz w:val="24"/>
          <w:szCs w:val="24"/>
          <w:lang w:val="en-US"/>
        </w:rPr>
        <w:t xml:space="preserve"> (</w:t>
      </w:r>
      <w:r w:rsidR="000D1CBD">
        <w:rPr>
          <w:rFonts w:asciiTheme="majorBidi" w:hAnsiTheme="majorBidi" w:cstheme="majorBidi"/>
          <w:sz w:val="24"/>
          <w:szCs w:val="24"/>
          <w:lang w:val="en-US"/>
        </w:rPr>
        <w:t>Anzola et at., 1993</w:t>
      </w:r>
      <w:r w:rsidR="00080DC6" w:rsidRPr="00A13EBF">
        <w:rPr>
          <w:rFonts w:asciiTheme="majorBidi" w:hAnsiTheme="majorBidi" w:cstheme="majorBidi"/>
          <w:sz w:val="24"/>
          <w:szCs w:val="24"/>
          <w:lang w:val="en-US"/>
        </w:rPr>
        <w:t>)</w:t>
      </w:r>
    </w:p>
    <w:p w14:paraId="01C6EFC1" w14:textId="77777777" w:rsidR="005768E6" w:rsidRPr="00A13EBF" w:rsidRDefault="005768E6" w:rsidP="00A13EBF">
      <w:pPr>
        <w:spacing w:after="0" w:line="360" w:lineRule="auto"/>
        <w:jc w:val="both"/>
        <w:rPr>
          <w:rFonts w:asciiTheme="majorBidi" w:hAnsiTheme="majorBidi" w:cstheme="majorBidi"/>
          <w:b/>
          <w:sz w:val="24"/>
          <w:szCs w:val="24"/>
          <w:lang w:val="en-US"/>
        </w:rPr>
      </w:pPr>
      <w:r w:rsidRPr="00A13EBF">
        <w:rPr>
          <w:rFonts w:asciiTheme="majorBidi" w:hAnsiTheme="majorBidi" w:cstheme="majorBidi"/>
          <w:b/>
          <w:sz w:val="24"/>
          <w:szCs w:val="24"/>
          <w:lang w:val="en-US"/>
        </w:rPr>
        <w:t>DIAGNOSTIC APPROACH</w:t>
      </w:r>
    </w:p>
    <w:p w14:paraId="47E87E0E" w14:textId="77777777" w:rsidR="005768E6" w:rsidRPr="00A13EBF" w:rsidRDefault="005768E6" w:rsidP="00A13EBF">
      <w:pPr>
        <w:spacing w:after="0" w:line="360" w:lineRule="auto"/>
        <w:jc w:val="both"/>
        <w:rPr>
          <w:rFonts w:asciiTheme="majorBidi" w:hAnsiTheme="majorBidi" w:cstheme="majorBidi"/>
          <w:sz w:val="24"/>
          <w:szCs w:val="24"/>
        </w:rPr>
      </w:pPr>
      <w:r w:rsidRPr="00A13EBF">
        <w:rPr>
          <w:rFonts w:asciiTheme="majorBidi" w:hAnsiTheme="majorBidi" w:cstheme="majorBidi"/>
          <w:sz w:val="24"/>
          <w:szCs w:val="24"/>
        </w:rPr>
        <w:t xml:space="preserve">As both PC and PS deficiencies can be acquired. Given that various mutation sites in the PROC and PROS1 genes have been identified, and no specific "hot spot" has been found within these genes, DNA sequencing is considered the most dependable approach for making </w:t>
      </w:r>
      <w:r w:rsidRPr="00A13EBF">
        <w:rPr>
          <w:rFonts w:asciiTheme="majorBidi" w:hAnsiTheme="majorBidi" w:cstheme="majorBidi"/>
          <w:sz w:val="24"/>
          <w:szCs w:val="24"/>
        </w:rPr>
        <w:lastRenderedPageBreak/>
        <w:t xml:space="preserve">a genetic </w:t>
      </w:r>
      <w:r w:rsidR="00A13EBF" w:rsidRPr="00A13EBF">
        <w:rPr>
          <w:rFonts w:asciiTheme="majorBidi" w:hAnsiTheme="majorBidi" w:cstheme="majorBidi"/>
          <w:sz w:val="24"/>
          <w:szCs w:val="24"/>
        </w:rPr>
        <w:t>diagnosis. (</w:t>
      </w:r>
      <w:r w:rsidR="000D1CBD">
        <w:rPr>
          <w:rFonts w:asciiTheme="majorBidi" w:hAnsiTheme="majorBidi" w:cstheme="majorBidi"/>
          <w:sz w:val="24"/>
          <w:szCs w:val="24"/>
        </w:rPr>
        <w:t>Yin et al., 2007</w:t>
      </w:r>
      <w:r w:rsidR="00080DC6" w:rsidRPr="00A13EBF">
        <w:rPr>
          <w:rFonts w:asciiTheme="majorBidi" w:hAnsiTheme="majorBidi" w:cstheme="majorBidi"/>
          <w:sz w:val="24"/>
          <w:szCs w:val="24"/>
        </w:rPr>
        <w:t>)</w:t>
      </w:r>
      <w:r w:rsidR="006056E2" w:rsidRPr="00A13EBF">
        <w:rPr>
          <w:rFonts w:asciiTheme="majorBidi" w:hAnsiTheme="majorBidi" w:cstheme="majorBidi"/>
          <w:sz w:val="24"/>
          <w:szCs w:val="24"/>
        </w:rPr>
        <w:t xml:space="preserve"> DNA sequencing for genetic analysis serves as a crucial method for diagnosing deficiencies in PC and PS. The existence of the PS pseudogene necessitates meticulous primer design to prevent the amplification of fragments from the </w:t>
      </w:r>
      <w:r w:rsidR="00A13EBF" w:rsidRPr="00A13EBF">
        <w:rPr>
          <w:rFonts w:asciiTheme="majorBidi" w:hAnsiTheme="majorBidi" w:cstheme="majorBidi"/>
          <w:sz w:val="24"/>
          <w:szCs w:val="24"/>
        </w:rPr>
        <w:t>pseudogene. (</w:t>
      </w:r>
      <w:r w:rsidR="000D1CBD">
        <w:rPr>
          <w:rFonts w:asciiTheme="majorBidi" w:hAnsiTheme="majorBidi" w:cstheme="majorBidi"/>
          <w:sz w:val="24"/>
          <w:szCs w:val="24"/>
        </w:rPr>
        <w:t>Garcia et al., 2007)</w:t>
      </w:r>
    </w:p>
    <w:p w14:paraId="3D38A8BE" w14:textId="77777777" w:rsidR="005768E6" w:rsidRPr="00A13EBF" w:rsidRDefault="005768E6" w:rsidP="00A13EBF">
      <w:pPr>
        <w:spacing w:after="0" w:line="360" w:lineRule="auto"/>
        <w:jc w:val="both"/>
        <w:rPr>
          <w:rFonts w:asciiTheme="majorBidi" w:hAnsiTheme="majorBidi" w:cstheme="majorBidi"/>
          <w:sz w:val="24"/>
          <w:szCs w:val="24"/>
        </w:rPr>
      </w:pPr>
      <w:r w:rsidRPr="00A13EBF">
        <w:rPr>
          <w:rFonts w:asciiTheme="majorBidi" w:hAnsiTheme="majorBidi" w:cstheme="majorBidi"/>
          <w:sz w:val="24"/>
          <w:szCs w:val="24"/>
        </w:rPr>
        <w:t xml:space="preserve">In mutational analysis, testing for PROC1 mutations is performed after preliminary tests suggest a possible protein C deficiency. This testing can aid in offering genetic </w:t>
      </w:r>
      <w:r w:rsidR="00A13EBF" w:rsidRPr="00A13EBF">
        <w:rPr>
          <w:rFonts w:asciiTheme="majorBidi" w:hAnsiTheme="majorBidi" w:cstheme="majorBidi"/>
          <w:sz w:val="24"/>
          <w:szCs w:val="24"/>
        </w:rPr>
        <w:t>counselling</w:t>
      </w:r>
      <w:r w:rsidRPr="00A13EBF">
        <w:rPr>
          <w:rFonts w:asciiTheme="majorBidi" w:hAnsiTheme="majorBidi" w:cstheme="majorBidi"/>
          <w:sz w:val="24"/>
          <w:szCs w:val="24"/>
        </w:rPr>
        <w:t xml:space="preserve"> to patients and improving the understanding of the disease’s natural </w:t>
      </w:r>
      <w:r w:rsidR="00A13EBF" w:rsidRPr="00A13EBF">
        <w:rPr>
          <w:rFonts w:asciiTheme="majorBidi" w:hAnsiTheme="majorBidi" w:cstheme="majorBidi"/>
          <w:sz w:val="24"/>
          <w:szCs w:val="24"/>
        </w:rPr>
        <w:t>progression. (</w:t>
      </w:r>
      <w:r w:rsidR="000D1CBD">
        <w:rPr>
          <w:rFonts w:asciiTheme="majorBidi" w:hAnsiTheme="majorBidi" w:cstheme="majorBidi"/>
          <w:sz w:val="24"/>
          <w:szCs w:val="24"/>
        </w:rPr>
        <w:t xml:space="preserve">Padda et al., 2025) </w:t>
      </w:r>
    </w:p>
    <w:p w14:paraId="41AE60B5" w14:textId="77777777" w:rsidR="005768E6" w:rsidRPr="00A13EBF" w:rsidRDefault="005768E6" w:rsidP="00A13EBF">
      <w:pPr>
        <w:spacing w:after="0" w:line="360" w:lineRule="auto"/>
        <w:jc w:val="both"/>
        <w:rPr>
          <w:rFonts w:asciiTheme="majorBidi" w:hAnsiTheme="majorBidi" w:cstheme="majorBidi"/>
          <w:sz w:val="24"/>
          <w:szCs w:val="24"/>
        </w:rPr>
      </w:pPr>
      <w:r w:rsidRPr="00A13EBF">
        <w:rPr>
          <w:rFonts w:asciiTheme="majorBidi" w:hAnsiTheme="majorBidi" w:cstheme="majorBidi"/>
          <w:sz w:val="24"/>
          <w:szCs w:val="24"/>
        </w:rPr>
        <w:t xml:space="preserve">Plasma levels of </w:t>
      </w:r>
      <w:r w:rsidR="00A13EBF" w:rsidRPr="00A13EBF">
        <w:rPr>
          <w:rFonts w:asciiTheme="majorBidi" w:hAnsiTheme="majorBidi" w:cstheme="majorBidi"/>
          <w:sz w:val="24"/>
          <w:szCs w:val="24"/>
        </w:rPr>
        <w:t>Protein</w:t>
      </w:r>
      <w:r w:rsidRPr="00A13EBF">
        <w:rPr>
          <w:rFonts w:asciiTheme="majorBidi" w:hAnsiTheme="majorBidi" w:cstheme="majorBidi"/>
          <w:sz w:val="24"/>
          <w:szCs w:val="24"/>
        </w:rPr>
        <w:t xml:space="preserve"> C activity can be assessed using either a clotting-based assay or a chromogenic (amidolytic) assay and Plasma levels of </w:t>
      </w:r>
      <w:r w:rsidR="00A13EBF" w:rsidRPr="00A13EBF">
        <w:rPr>
          <w:rFonts w:asciiTheme="majorBidi" w:hAnsiTheme="majorBidi" w:cstheme="majorBidi"/>
          <w:sz w:val="24"/>
          <w:szCs w:val="24"/>
        </w:rPr>
        <w:t>Protein</w:t>
      </w:r>
      <w:r w:rsidRPr="00A13EBF">
        <w:rPr>
          <w:rFonts w:asciiTheme="majorBidi" w:hAnsiTheme="majorBidi" w:cstheme="majorBidi"/>
          <w:sz w:val="24"/>
          <w:szCs w:val="24"/>
        </w:rPr>
        <w:t xml:space="preserve"> S can be assessed using both immunologic (antigen-focused) and functional (activity-focused) assays. Initially, total PS was analyzed through complex techniques like PEG precipitation to isolate free PS (the active variant). Currently, ELISA tests, particularly monoclonal free PS ELISAs, are widely used </w:t>
      </w:r>
      <w:r w:rsidR="00080DC6" w:rsidRPr="00A13EBF">
        <w:rPr>
          <w:rFonts w:asciiTheme="majorBidi" w:hAnsiTheme="majorBidi" w:cstheme="majorBidi"/>
          <w:sz w:val="24"/>
          <w:szCs w:val="24"/>
        </w:rPr>
        <w:t xml:space="preserve">and provide greater </w:t>
      </w:r>
      <w:r w:rsidR="000D1CBD">
        <w:rPr>
          <w:rFonts w:asciiTheme="majorBidi" w:hAnsiTheme="majorBidi" w:cstheme="majorBidi"/>
          <w:sz w:val="24"/>
          <w:szCs w:val="24"/>
        </w:rPr>
        <w:t>accuracy</w:t>
      </w:r>
      <w:r w:rsidR="009021C6">
        <w:rPr>
          <w:rFonts w:asciiTheme="majorBidi" w:hAnsiTheme="majorBidi" w:cstheme="majorBidi"/>
          <w:sz w:val="24"/>
          <w:szCs w:val="24"/>
        </w:rPr>
        <w:t>.</w:t>
      </w:r>
      <w:r w:rsidR="009021C6">
        <w:rPr>
          <w:rFonts w:ascii="Times New Roman" w:hAnsi="Times New Roman" w:cs="Times New Roman"/>
          <w:sz w:val="24"/>
          <w:szCs w:val="24"/>
        </w:rPr>
        <w:t xml:space="preserve"> (Marlar &amp;</w:t>
      </w:r>
      <w:r w:rsidR="000D1CBD">
        <w:rPr>
          <w:rFonts w:ascii="Times New Roman" w:hAnsi="Times New Roman" w:cs="Times New Roman"/>
          <w:sz w:val="24"/>
          <w:szCs w:val="24"/>
        </w:rPr>
        <w:t xml:space="preserve"> Gausman, 2014)</w:t>
      </w:r>
    </w:p>
    <w:p w14:paraId="59C0D7DE" w14:textId="77777777" w:rsidR="005768E6" w:rsidRPr="00A13EBF" w:rsidRDefault="005768E6" w:rsidP="00A13EBF">
      <w:pPr>
        <w:spacing w:after="0" w:line="360" w:lineRule="auto"/>
        <w:jc w:val="both"/>
        <w:rPr>
          <w:rFonts w:asciiTheme="majorBidi" w:hAnsiTheme="majorBidi" w:cstheme="majorBidi"/>
          <w:sz w:val="24"/>
          <w:szCs w:val="24"/>
        </w:rPr>
      </w:pPr>
      <w:r w:rsidRPr="00A13EBF">
        <w:rPr>
          <w:rFonts w:asciiTheme="majorBidi" w:hAnsiTheme="majorBidi" w:cstheme="majorBidi"/>
          <w:sz w:val="24"/>
          <w:szCs w:val="24"/>
        </w:rPr>
        <w:t>The chromogenic assay of PC involves adding a chromogenic substrate to the APC produced in the diluted plasma sample. This assay specifically evaluates two functional domains of PC:</w:t>
      </w:r>
      <w:r w:rsidR="00080DC6" w:rsidRPr="00A13EBF">
        <w:rPr>
          <w:rFonts w:asciiTheme="majorBidi" w:hAnsiTheme="majorBidi" w:cstheme="majorBidi"/>
          <w:sz w:val="24"/>
          <w:szCs w:val="24"/>
        </w:rPr>
        <w:t xml:space="preserve"> its activation and active </w:t>
      </w:r>
      <w:r w:rsidR="000D1CBD">
        <w:rPr>
          <w:rFonts w:asciiTheme="majorBidi" w:hAnsiTheme="majorBidi" w:cstheme="majorBidi"/>
          <w:sz w:val="24"/>
          <w:szCs w:val="24"/>
        </w:rPr>
        <w:t>site. (Angelo et al., 1989</w:t>
      </w:r>
      <w:r w:rsidR="00080DC6" w:rsidRPr="00A13EBF">
        <w:rPr>
          <w:rFonts w:asciiTheme="majorBidi" w:hAnsiTheme="majorBidi" w:cstheme="majorBidi"/>
          <w:sz w:val="24"/>
          <w:szCs w:val="24"/>
        </w:rPr>
        <w:t>)</w:t>
      </w:r>
    </w:p>
    <w:p w14:paraId="562650DD" w14:textId="77777777" w:rsidR="005768E6" w:rsidRPr="00A13EBF" w:rsidRDefault="005768E6" w:rsidP="00A13EBF">
      <w:pPr>
        <w:spacing w:after="0" w:line="360" w:lineRule="auto"/>
        <w:jc w:val="both"/>
        <w:rPr>
          <w:rFonts w:asciiTheme="majorBidi" w:hAnsiTheme="majorBidi" w:cstheme="majorBidi"/>
          <w:sz w:val="24"/>
          <w:szCs w:val="24"/>
        </w:rPr>
      </w:pPr>
      <w:r w:rsidRPr="00A13EBF">
        <w:rPr>
          <w:rFonts w:asciiTheme="majorBidi" w:hAnsiTheme="majorBidi" w:cstheme="majorBidi"/>
          <w:sz w:val="24"/>
          <w:szCs w:val="24"/>
        </w:rPr>
        <w:t xml:space="preserve">Clotting-based tests primarily use the PTT, assays utilizing the PT or RVVT have been created. whereas higher levels of PS can result in an overestimation of the PC value in </w:t>
      </w:r>
      <w:r w:rsidR="00A13EBF" w:rsidRPr="00A13EBF">
        <w:rPr>
          <w:rFonts w:asciiTheme="majorBidi" w:hAnsiTheme="majorBidi" w:cstheme="majorBidi"/>
          <w:sz w:val="24"/>
          <w:szCs w:val="24"/>
        </w:rPr>
        <w:t>plasma, this</w:t>
      </w:r>
      <w:r w:rsidRPr="00A13EBF">
        <w:rPr>
          <w:rFonts w:asciiTheme="majorBidi" w:hAnsiTheme="majorBidi" w:cstheme="majorBidi"/>
          <w:sz w:val="24"/>
          <w:szCs w:val="24"/>
        </w:rPr>
        <w:t xml:space="preserve"> diminishes the lower threshold for PC detection and raises the cost of the assay.</w:t>
      </w:r>
    </w:p>
    <w:p w14:paraId="16F919BC" w14:textId="77777777" w:rsidR="005768E6" w:rsidRPr="00A13EBF" w:rsidRDefault="00A13EBF" w:rsidP="00A13EBF">
      <w:pPr>
        <w:spacing w:after="0" w:line="360" w:lineRule="auto"/>
        <w:jc w:val="both"/>
        <w:rPr>
          <w:rFonts w:asciiTheme="majorBidi" w:hAnsiTheme="majorBidi" w:cstheme="majorBidi"/>
          <w:sz w:val="24"/>
          <w:szCs w:val="24"/>
        </w:rPr>
      </w:pPr>
      <w:r w:rsidRPr="00A13EBF">
        <w:rPr>
          <w:rFonts w:asciiTheme="majorBidi" w:hAnsiTheme="majorBidi" w:cstheme="majorBidi"/>
          <w:sz w:val="24"/>
          <w:szCs w:val="24"/>
        </w:rPr>
        <w:t>Protein</w:t>
      </w:r>
      <w:r w:rsidR="005768E6" w:rsidRPr="00A13EBF">
        <w:rPr>
          <w:rFonts w:asciiTheme="majorBidi" w:hAnsiTheme="majorBidi" w:cstheme="majorBidi"/>
          <w:sz w:val="24"/>
          <w:szCs w:val="24"/>
        </w:rPr>
        <w:t xml:space="preserve"> c antigenic assays identify the presence of PC molecules but do not assess their function or activity. The purpose of the PC antigen test is to differentiate between Type I and Type II deficiencies. Tests for PC antigen, both commercially available and those developed in laboratories, utilize methodologies such as ELISA or radial immun</w:t>
      </w:r>
      <w:r w:rsidR="000D1CBD">
        <w:rPr>
          <w:rFonts w:asciiTheme="majorBidi" w:hAnsiTheme="majorBidi" w:cstheme="majorBidi"/>
          <w:sz w:val="24"/>
          <w:szCs w:val="24"/>
        </w:rPr>
        <w:t>odiffusion (RID) (Mackie et al., 2013)</w:t>
      </w:r>
    </w:p>
    <w:p w14:paraId="6D5D06E7" w14:textId="77777777" w:rsidR="005768E6" w:rsidRPr="00A13EBF" w:rsidRDefault="005768E6" w:rsidP="00A13EBF">
      <w:pPr>
        <w:spacing w:after="0" w:line="360" w:lineRule="auto"/>
        <w:jc w:val="both"/>
        <w:rPr>
          <w:rFonts w:asciiTheme="majorBidi" w:hAnsiTheme="majorBidi" w:cstheme="majorBidi"/>
          <w:sz w:val="24"/>
          <w:szCs w:val="24"/>
        </w:rPr>
      </w:pPr>
      <w:r w:rsidRPr="00A13EBF">
        <w:rPr>
          <w:rFonts w:asciiTheme="majorBidi" w:hAnsiTheme="majorBidi" w:cstheme="majorBidi"/>
          <w:sz w:val="24"/>
          <w:szCs w:val="24"/>
        </w:rPr>
        <w:t xml:space="preserve">Whereas the </w:t>
      </w:r>
      <w:r w:rsidR="00A13EBF" w:rsidRPr="00A13EBF">
        <w:rPr>
          <w:rFonts w:asciiTheme="majorBidi" w:hAnsiTheme="majorBidi" w:cstheme="majorBidi"/>
          <w:sz w:val="24"/>
          <w:szCs w:val="24"/>
        </w:rPr>
        <w:t>to</w:t>
      </w:r>
      <w:r w:rsidRPr="00A13EBF">
        <w:rPr>
          <w:rFonts w:asciiTheme="majorBidi" w:hAnsiTheme="majorBidi" w:cstheme="majorBidi"/>
          <w:sz w:val="24"/>
          <w:szCs w:val="24"/>
        </w:rPr>
        <w:t xml:space="preserve"> assess for PS deficiency, compare the patient's results to the reference ranges that are suitable for their age and gender based on the specific PS assay used. PS assays should be avoided during pregnancy, hormone treatments, or when the patient is taking vitamin K antagonists (VKA) or direct </w:t>
      </w:r>
      <w:r w:rsidR="00676747" w:rsidRPr="00A13EBF">
        <w:rPr>
          <w:rFonts w:asciiTheme="majorBidi" w:hAnsiTheme="majorBidi" w:cstheme="majorBidi"/>
          <w:sz w:val="24"/>
          <w:szCs w:val="24"/>
        </w:rPr>
        <w:t>oral anticoagulants (DOAC</w:t>
      </w:r>
      <w:r w:rsidR="000D1CBD">
        <w:rPr>
          <w:rFonts w:asciiTheme="majorBidi" w:hAnsiTheme="majorBidi" w:cstheme="majorBidi"/>
          <w:sz w:val="24"/>
          <w:szCs w:val="24"/>
        </w:rPr>
        <w:t>).</w:t>
      </w:r>
      <w:r w:rsidR="000D1CBD">
        <w:rPr>
          <w:rFonts w:ascii="Times New Roman" w:hAnsi="Times New Roman" w:cs="Times New Roman"/>
          <w:sz w:val="24"/>
          <w:szCs w:val="24"/>
        </w:rPr>
        <w:t>(Marlar  &amp; Gausman, 2014)</w:t>
      </w:r>
    </w:p>
    <w:p w14:paraId="24DEC24F" w14:textId="77777777" w:rsidR="005768E6" w:rsidRPr="00A13EBF" w:rsidRDefault="00A13EBF" w:rsidP="00A13EBF">
      <w:pPr>
        <w:spacing w:after="0" w:line="360" w:lineRule="auto"/>
        <w:jc w:val="both"/>
        <w:rPr>
          <w:rFonts w:asciiTheme="majorBidi" w:hAnsiTheme="majorBidi" w:cstheme="majorBidi"/>
          <w:sz w:val="24"/>
          <w:szCs w:val="24"/>
        </w:rPr>
      </w:pPr>
      <w:r w:rsidRPr="00A13EBF">
        <w:rPr>
          <w:rFonts w:asciiTheme="majorBidi" w:hAnsiTheme="majorBidi" w:cstheme="majorBidi"/>
          <w:sz w:val="24"/>
          <w:szCs w:val="24"/>
        </w:rPr>
        <w:t>Protein</w:t>
      </w:r>
      <w:r w:rsidR="005768E6" w:rsidRPr="00A13EBF">
        <w:rPr>
          <w:rFonts w:asciiTheme="majorBidi" w:hAnsiTheme="majorBidi" w:cstheme="majorBidi"/>
          <w:sz w:val="24"/>
          <w:szCs w:val="24"/>
        </w:rPr>
        <w:t xml:space="preserve"> S antigenic assays determine the existence of PS molecules in the plasma. By utilizing free PS antigen as a proxy to evaluate PS activity, most cases of PS deficiency (Types I and III) can be </w:t>
      </w:r>
      <w:r w:rsidRPr="00A13EBF">
        <w:rPr>
          <w:rFonts w:asciiTheme="majorBidi" w:hAnsiTheme="majorBidi" w:cstheme="majorBidi"/>
          <w:sz w:val="24"/>
          <w:szCs w:val="24"/>
        </w:rPr>
        <w:t>diagnosed, numerous</w:t>
      </w:r>
      <w:r w:rsidR="005768E6" w:rsidRPr="00A13EBF">
        <w:rPr>
          <w:rFonts w:asciiTheme="majorBidi" w:hAnsiTheme="majorBidi" w:cstheme="majorBidi"/>
          <w:sz w:val="24"/>
          <w:szCs w:val="24"/>
        </w:rPr>
        <w:t xml:space="preserve"> laboratories choose not to conduct this assay because it increases costs while providing minimal clinical insights for managing patients </w:t>
      </w:r>
      <w:r w:rsidR="005768E6" w:rsidRPr="00A13EBF">
        <w:rPr>
          <w:rFonts w:asciiTheme="majorBidi" w:hAnsiTheme="majorBidi" w:cstheme="majorBidi"/>
          <w:sz w:val="24"/>
          <w:szCs w:val="24"/>
        </w:rPr>
        <w:lastRenderedPageBreak/>
        <w:t xml:space="preserve">with PS deficiency. Both commercial assays and laboratory-developed tests for PS antigen have been created, such as the ELISA or latex particle turbidimetric assay. These assays for activity and antigen levels are utilized to differentiate between Type I and Type III or Type II </w:t>
      </w:r>
      <w:r w:rsidR="009D0786">
        <w:rPr>
          <w:rFonts w:asciiTheme="majorBidi" w:hAnsiTheme="majorBidi" w:cstheme="majorBidi"/>
          <w:sz w:val="24"/>
          <w:szCs w:val="24"/>
        </w:rPr>
        <w:t>defects</w:t>
      </w:r>
      <w:r w:rsidR="009021C6">
        <w:rPr>
          <w:rFonts w:asciiTheme="majorBidi" w:hAnsiTheme="majorBidi" w:cstheme="majorBidi"/>
          <w:sz w:val="24"/>
          <w:szCs w:val="24"/>
        </w:rPr>
        <w:t>. (</w:t>
      </w:r>
      <w:r w:rsidR="009D0786">
        <w:rPr>
          <w:rFonts w:asciiTheme="majorBidi" w:hAnsiTheme="majorBidi" w:cstheme="majorBidi"/>
          <w:sz w:val="24"/>
          <w:szCs w:val="24"/>
        </w:rPr>
        <w:t>Mackie et al., 2013)</w:t>
      </w:r>
    </w:p>
    <w:p w14:paraId="10D103E1" w14:textId="77777777" w:rsidR="005768E6" w:rsidRPr="00A13EBF" w:rsidRDefault="005768E6" w:rsidP="00A13EBF">
      <w:pPr>
        <w:spacing w:after="0" w:line="360" w:lineRule="auto"/>
        <w:jc w:val="center"/>
        <w:rPr>
          <w:rFonts w:asciiTheme="majorBidi" w:hAnsiTheme="majorBidi" w:cstheme="majorBidi"/>
          <w:noProof/>
          <w:sz w:val="24"/>
          <w:szCs w:val="24"/>
          <w:lang w:eastAsia="en-IN"/>
        </w:rPr>
      </w:pPr>
      <w:r w:rsidRPr="00A13EBF">
        <w:rPr>
          <w:rFonts w:asciiTheme="majorBidi" w:hAnsiTheme="majorBidi" w:cstheme="majorBidi"/>
          <w:b/>
          <w:bCs/>
          <w:color w:val="000000"/>
          <w:sz w:val="24"/>
          <w:szCs w:val="24"/>
          <w:shd w:val="clear" w:color="auto" w:fill="FFFFFF"/>
        </w:rPr>
        <w:t xml:space="preserve">Table </w:t>
      </w:r>
      <w:r w:rsidR="00A13EBF" w:rsidRPr="00A13EBF">
        <w:rPr>
          <w:rFonts w:asciiTheme="majorBidi" w:hAnsiTheme="majorBidi" w:cstheme="majorBidi"/>
          <w:b/>
          <w:bCs/>
          <w:color w:val="000000"/>
          <w:sz w:val="24"/>
          <w:szCs w:val="24"/>
          <w:shd w:val="clear" w:color="auto" w:fill="FFFFFF"/>
        </w:rPr>
        <w:t>1:</w:t>
      </w:r>
      <w:r w:rsidRPr="00A13EBF">
        <w:rPr>
          <w:rFonts w:asciiTheme="majorBidi" w:hAnsiTheme="majorBidi" w:cstheme="majorBidi"/>
          <w:b/>
          <w:bCs/>
          <w:color w:val="000000"/>
          <w:sz w:val="24"/>
          <w:szCs w:val="24"/>
          <w:shd w:val="clear" w:color="auto" w:fill="FFFFFF"/>
        </w:rPr>
        <w:t xml:space="preserve"> Recommended tests for protein C, protein S, and antithrombi</w:t>
      </w:r>
      <w:r w:rsidR="00676747" w:rsidRPr="00A13EBF">
        <w:rPr>
          <w:rFonts w:asciiTheme="majorBidi" w:hAnsiTheme="majorBidi" w:cstheme="majorBidi"/>
          <w:b/>
          <w:bCs/>
          <w:color w:val="000000"/>
          <w:sz w:val="24"/>
          <w:szCs w:val="24"/>
          <w:shd w:val="clear" w:color="auto" w:fill="FFFFFF"/>
        </w:rPr>
        <w:t xml:space="preserve">n in the thrombophilia </w:t>
      </w:r>
      <w:r w:rsidR="00A6309F" w:rsidRPr="00A13EBF">
        <w:rPr>
          <w:rFonts w:asciiTheme="majorBidi" w:hAnsiTheme="majorBidi" w:cstheme="majorBidi"/>
          <w:b/>
          <w:bCs/>
          <w:color w:val="000000"/>
          <w:sz w:val="24"/>
          <w:szCs w:val="24"/>
          <w:shd w:val="clear" w:color="auto" w:fill="FFFFFF"/>
        </w:rPr>
        <w:t>panel</w:t>
      </w:r>
      <w:r w:rsidR="00A6309F">
        <w:rPr>
          <w:rFonts w:asciiTheme="majorBidi" w:hAnsiTheme="majorBidi" w:cstheme="majorBidi"/>
          <w:color w:val="000000"/>
          <w:sz w:val="24"/>
          <w:szCs w:val="24"/>
          <w:shd w:val="clear" w:color="auto" w:fill="FFFFFF"/>
          <w:vertAlign w:val="superscript"/>
        </w:rPr>
        <w:t xml:space="preserve"> </w:t>
      </w:r>
      <w:r w:rsidR="00A6309F">
        <w:rPr>
          <w:rFonts w:asciiTheme="majorBidi" w:hAnsiTheme="majorBidi" w:cstheme="majorBidi"/>
          <w:color w:val="000000"/>
          <w:sz w:val="24"/>
          <w:szCs w:val="24"/>
          <w:shd w:val="clear" w:color="auto" w:fill="FFFFFF"/>
        </w:rPr>
        <w:t>(</w:t>
      </w:r>
      <w:r w:rsidR="009D0786">
        <w:rPr>
          <w:rFonts w:asciiTheme="majorBidi" w:hAnsiTheme="majorBidi" w:cstheme="majorBidi"/>
          <w:noProof/>
          <w:sz w:val="24"/>
          <w:szCs w:val="24"/>
          <w:lang w:eastAsia="en-IN"/>
        </w:rPr>
        <w:t>Marlar &amp; Gausman, 2014)</w:t>
      </w:r>
      <w:r w:rsidR="00676747" w:rsidRPr="00A13EBF">
        <w:rPr>
          <w:rFonts w:asciiTheme="majorBidi" w:hAnsiTheme="majorBidi" w:cstheme="majorBidi"/>
          <w:noProof/>
          <w:sz w:val="24"/>
          <w:szCs w:val="24"/>
          <w:lang w:eastAsia="en-IN"/>
        </w:rPr>
        <w:t xml:space="preserve"> </w:t>
      </w:r>
      <w:r w:rsidRPr="00A13EBF">
        <w:rPr>
          <w:rFonts w:asciiTheme="majorBidi" w:hAnsiTheme="majorBidi" w:cstheme="majorBidi"/>
          <w:noProof/>
          <w:sz w:val="24"/>
          <w:szCs w:val="24"/>
          <w:lang w:eastAsia="en-IN"/>
        </w:rPr>
        <w:drawing>
          <wp:inline distT="0" distB="0" distL="0" distR="0" wp14:anchorId="19AE2BFB" wp14:editId="49DA0A42">
            <wp:extent cx="5734050" cy="27901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ort.jpeg"/>
                    <pic:cNvPicPr/>
                  </pic:nvPicPr>
                  <pic:blipFill>
                    <a:blip r:embed="rId8">
                      <a:extLst>
                        <a:ext uri="{28A0092B-C50C-407E-A947-70E740481C1C}">
                          <a14:useLocalDpi xmlns:a14="http://schemas.microsoft.com/office/drawing/2010/main" val="0"/>
                        </a:ext>
                      </a:extLst>
                    </a:blip>
                    <a:stretch>
                      <a:fillRect/>
                    </a:stretch>
                  </pic:blipFill>
                  <pic:spPr>
                    <a:xfrm>
                      <a:off x="0" y="0"/>
                      <a:ext cx="5734050" cy="2790190"/>
                    </a:xfrm>
                    <a:prstGeom prst="rect">
                      <a:avLst/>
                    </a:prstGeom>
                  </pic:spPr>
                </pic:pic>
              </a:graphicData>
            </a:graphic>
          </wp:inline>
        </w:drawing>
      </w:r>
    </w:p>
    <w:p w14:paraId="3D8E848A" w14:textId="77777777" w:rsidR="000D77A4" w:rsidRPr="00A13EBF" w:rsidRDefault="001B47F1" w:rsidP="00A13EBF">
      <w:pPr>
        <w:spacing w:after="0" w:line="360" w:lineRule="auto"/>
        <w:jc w:val="both"/>
        <w:rPr>
          <w:rFonts w:asciiTheme="majorBidi" w:hAnsiTheme="majorBidi" w:cstheme="majorBidi"/>
          <w:b/>
          <w:sz w:val="24"/>
          <w:szCs w:val="24"/>
          <w:lang w:val="en-US"/>
        </w:rPr>
      </w:pPr>
      <w:r w:rsidRPr="00A13EBF">
        <w:rPr>
          <w:rFonts w:asciiTheme="majorBidi" w:hAnsiTheme="majorBidi" w:cstheme="majorBidi"/>
          <w:b/>
          <w:sz w:val="24"/>
          <w:szCs w:val="24"/>
          <w:lang w:val="en-US"/>
        </w:rPr>
        <w:t>MANAGEMENT</w:t>
      </w:r>
    </w:p>
    <w:p w14:paraId="1F7F65A5" w14:textId="77777777" w:rsidR="000D77A4" w:rsidRPr="00A13EBF" w:rsidRDefault="001B47F1" w:rsidP="00A13EBF">
      <w:pPr>
        <w:spacing w:after="0" w:line="360" w:lineRule="auto"/>
        <w:jc w:val="both"/>
        <w:rPr>
          <w:rFonts w:asciiTheme="majorBidi" w:hAnsiTheme="majorBidi" w:cstheme="majorBidi"/>
          <w:b/>
          <w:bCs/>
          <w:sz w:val="24"/>
          <w:szCs w:val="24"/>
          <w:lang w:val="en-US"/>
        </w:rPr>
      </w:pPr>
      <w:r w:rsidRPr="00A13EBF">
        <w:rPr>
          <w:rFonts w:asciiTheme="majorBidi" w:hAnsiTheme="majorBidi" w:cstheme="majorBidi"/>
          <w:b/>
          <w:bCs/>
          <w:sz w:val="24"/>
          <w:szCs w:val="24"/>
          <w:lang w:val="en-US"/>
        </w:rPr>
        <w:t>CLINICAL MANAGEMENT OF PC DEFIENCY</w:t>
      </w:r>
    </w:p>
    <w:p w14:paraId="756B37AA" w14:textId="77777777" w:rsidR="000D77A4" w:rsidRPr="00A13EBF" w:rsidRDefault="000D77A4" w:rsidP="00A13EBF">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lang w:val="en-US"/>
        </w:rPr>
        <w:t xml:space="preserve">Monitoring neonatal PF can only be done through PC replacement using either fresh frozen plasma (FFP) or a human plasma-derived, viral inactivated PC concentrate (Ceprotin). Infants who are most affected have been treated with long-term secondary prophylaxis using PC concentrate or therapeutic anticoagulation, which may include either low-molecular-weight heparin (LMWH) or high-intensity </w:t>
      </w:r>
      <w:r w:rsidR="00A13EBF" w:rsidRPr="00A13EBF">
        <w:rPr>
          <w:rFonts w:asciiTheme="majorBidi" w:hAnsiTheme="majorBidi" w:cstheme="majorBidi"/>
          <w:sz w:val="24"/>
          <w:szCs w:val="24"/>
          <w:lang w:val="en-US"/>
        </w:rPr>
        <w:t>warfarin. Assessing</w:t>
      </w:r>
      <w:r w:rsidRPr="00A13EBF">
        <w:rPr>
          <w:rFonts w:asciiTheme="majorBidi" w:hAnsiTheme="majorBidi" w:cstheme="majorBidi"/>
          <w:sz w:val="24"/>
          <w:szCs w:val="24"/>
          <w:lang w:val="en-US"/>
        </w:rPr>
        <w:t xml:space="preserve"> D-dimer levels for indications of coagulation activation is beneficial to verify sufficient replacement o</w:t>
      </w:r>
      <w:r w:rsidR="009D0786">
        <w:rPr>
          <w:rFonts w:asciiTheme="majorBidi" w:hAnsiTheme="majorBidi" w:cstheme="majorBidi"/>
          <w:sz w:val="24"/>
          <w:szCs w:val="24"/>
          <w:lang w:val="en-US"/>
        </w:rPr>
        <w:t>r anticoagulation treatment</w:t>
      </w:r>
      <w:r w:rsidR="009021C6">
        <w:rPr>
          <w:rFonts w:asciiTheme="majorBidi" w:hAnsiTheme="majorBidi" w:cstheme="majorBidi"/>
          <w:sz w:val="24"/>
          <w:szCs w:val="24"/>
          <w:lang w:val="en-US"/>
        </w:rPr>
        <w:t>. (</w:t>
      </w:r>
      <w:r w:rsidR="009D0786">
        <w:rPr>
          <w:rFonts w:asciiTheme="majorBidi" w:hAnsiTheme="majorBidi" w:cstheme="majorBidi"/>
          <w:sz w:val="24"/>
          <w:szCs w:val="24"/>
          <w:lang w:val="en-US"/>
        </w:rPr>
        <w:t>Gold et al., 2008)</w:t>
      </w:r>
    </w:p>
    <w:p w14:paraId="2D4374F6" w14:textId="77777777" w:rsidR="000D77A4" w:rsidRPr="00A13EBF" w:rsidRDefault="000D77A4" w:rsidP="00A13EBF">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lang w:val="en-US"/>
        </w:rPr>
        <w:t xml:space="preserve">Patients diagnosed with venous thrombosis, including deep vein thrombosis (DVT) or pulmonary embolism, are typically commenced with </w:t>
      </w:r>
      <w:r w:rsidR="00A6309F" w:rsidRPr="00A13EBF">
        <w:rPr>
          <w:rFonts w:asciiTheme="majorBidi" w:hAnsiTheme="majorBidi" w:cstheme="majorBidi"/>
          <w:sz w:val="24"/>
          <w:szCs w:val="24"/>
          <w:lang w:val="en-US"/>
        </w:rPr>
        <w:t>acute</w:t>
      </w:r>
      <w:r w:rsidRPr="00A13EBF">
        <w:rPr>
          <w:rFonts w:asciiTheme="majorBidi" w:hAnsiTheme="majorBidi" w:cstheme="majorBidi"/>
          <w:sz w:val="24"/>
          <w:szCs w:val="24"/>
          <w:lang w:val="en-US"/>
        </w:rPr>
        <w:t xml:space="preserve"> management on heparin treatment, while oral anticoagulants like Heparin and warfarin ar</w:t>
      </w:r>
      <w:r w:rsidR="009D0786">
        <w:rPr>
          <w:rFonts w:asciiTheme="majorBidi" w:hAnsiTheme="majorBidi" w:cstheme="majorBidi"/>
          <w:sz w:val="24"/>
          <w:szCs w:val="24"/>
          <w:lang w:val="en-US"/>
        </w:rPr>
        <w:t>e progressively introduced. (Brummel et al., 2012)</w:t>
      </w:r>
    </w:p>
    <w:p w14:paraId="0FEAD31E" w14:textId="77777777" w:rsidR="000D77A4" w:rsidRPr="00A13EBF" w:rsidRDefault="000D77A4" w:rsidP="00A13EBF">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lang w:val="en-US"/>
        </w:rPr>
        <w:t xml:space="preserve">Long-term management of PC deficiency, whether in a heterozygous or homozygous state, generally involves oral anticoagulation. Replacement therapy using PCC can be beneficial, although it may exacerbate the patients’ symptoms and worsen the condition due to the presence of procoagulants. Low-molecular-weight heparin (LMWH) is an effective and </w:t>
      </w:r>
      <w:r w:rsidRPr="00A13EBF">
        <w:rPr>
          <w:rFonts w:asciiTheme="majorBidi" w:hAnsiTheme="majorBidi" w:cstheme="majorBidi"/>
          <w:sz w:val="24"/>
          <w:szCs w:val="24"/>
          <w:lang w:val="en-US"/>
        </w:rPr>
        <w:lastRenderedPageBreak/>
        <w:t>valuable treatment option since it is relatively safe and the subcutaneous formulation is easy to use. It does not necessitate frequent monitoring and lowers the risk of undesirable bleeding incidents, although it can be quite expensive. A potential risk associated with prolonged LMWH use is the development of osteoporosis, which is particu</w:t>
      </w:r>
      <w:r w:rsidR="009D0786">
        <w:rPr>
          <w:rFonts w:asciiTheme="majorBidi" w:hAnsiTheme="majorBidi" w:cstheme="majorBidi"/>
          <w:sz w:val="24"/>
          <w:szCs w:val="24"/>
          <w:lang w:val="en-US"/>
        </w:rPr>
        <w:t>larly concerning in infants</w:t>
      </w:r>
      <w:r w:rsidR="00A6309F">
        <w:rPr>
          <w:rFonts w:asciiTheme="majorBidi" w:hAnsiTheme="majorBidi" w:cstheme="majorBidi"/>
          <w:sz w:val="24"/>
          <w:szCs w:val="24"/>
          <w:lang w:val="en-US"/>
        </w:rPr>
        <w:t>. (</w:t>
      </w:r>
      <w:r w:rsidR="009D0786">
        <w:rPr>
          <w:rFonts w:asciiTheme="majorBidi" w:hAnsiTheme="majorBidi" w:cstheme="majorBidi"/>
          <w:sz w:val="24"/>
          <w:szCs w:val="24"/>
          <w:lang w:val="en-US"/>
        </w:rPr>
        <w:t>Dreyfus, 2003)</w:t>
      </w:r>
    </w:p>
    <w:p w14:paraId="3EB1DFE5" w14:textId="77777777" w:rsidR="000D77A4" w:rsidRPr="00A13EBF" w:rsidRDefault="000D77A4" w:rsidP="00A13EBF">
      <w:pPr>
        <w:spacing w:after="0" w:line="360" w:lineRule="auto"/>
        <w:jc w:val="both"/>
        <w:rPr>
          <w:rFonts w:asciiTheme="majorBidi" w:hAnsiTheme="majorBidi" w:cstheme="majorBidi"/>
          <w:sz w:val="24"/>
          <w:szCs w:val="24"/>
        </w:rPr>
      </w:pPr>
      <w:r w:rsidRPr="00A13EBF">
        <w:rPr>
          <w:rFonts w:asciiTheme="majorBidi" w:hAnsiTheme="majorBidi" w:cstheme="majorBidi"/>
          <w:sz w:val="24"/>
          <w:szCs w:val="24"/>
        </w:rPr>
        <w:t xml:space="preserve">The administration of heparin or oral anticoagulants in the management of protein C deficiency carries potential complications. Although adverse events are relatively uncommon, they can result in significant morbidity and mortality. The pathogenesis of coumarin-induced skin necrosis (CISN) remains incompletely understood; however, it is believed to arise from a transient hypercoagulable or inflammatory state that develops as protein C levels further decline following the initiation of coumarin </w:t>
      </w:r>
      <w:r w:rsidR="00A13EBF" w:rsidRPr="00A13EBF">
        <w:rPr>
          <w:rFonts w:asciiTheme="majorBidi" w:hAnsiTheme="majorBidi" w:cstheme="majorBidi"/>
          <w:sz w:val="24"/>
          <w:szCs w:val="24"/>
        </w:rPr>
        <w:t>therapy. (</w:t>
      </w:r>
      <w:r w:rsidR="009D0786">
        <w:rPr>
          <w:rFonts w:asciiTheme="majorBidi" w:hAnsiTheme="majorBidi" w:cstheme="majorBidi"/>
          <w:sz w:val="24"/>
          <w:szCs w:val="24"/>
        </w:rPr>
        <w:t>Garcia de frutos et al., 2007</w:t>
      </w:r>
      <w:r w:rsidRPr="00A13EBF">
        <w:rPr>
          <w:rFonts w:asciiTheme="majorBidi" w:hAnsiTheme="majorBidi" w:cstheme="majorBidi"/>
          <w:sz w:val="24"/>
          <w:szCs w:val="24"/>
        </w:rPr>
        <w:t>)</w:t>
      </w:r>
    </w:p>
    <w:p w14:paraId="48E71E4C" w14:textId="77777777" w:rsidR="00191C98" w:rsidRPr="00A13EBF" w:rsidRDefault="00191C98" w:rsidP="00A13EBF">
      <w:pPr>
        <w:spacing w:after="0" w:line="360" w:lineRule="auto"/>
        <w:jc w:val="both"/>
        <w:rPr>
          <w:rFonts w:asciiTheme="majorBidi" w:hAnsiTheme="majorBidi" w:cstheme="majorBidi"/>
          <w:sz w:val="24"/>
          <w:szCs w:val="24"/>
        </w:rPr>
      </w:pPr>
    </w:p>
    <w:p w14:paraId="658215BC" w14:textId="77777777" w:rsidR="00191C98" w:rsidRPr="00A13EBF" w:rsidRDefault="00191C98" w:rsidP="00A13EBF">
      <w:pPr>
        <w:spacing w:after="0" w:line="360" w:lineRule="auto"/>
        <w:jc w:val="both"/>
        <w:rPr>
          <w:rFonts w:asciiTheme="majorBidi" w:hAnsiTheme="majorBidi" w:cstheme="majorBidi"/>
          <w:b/>
          <w:bCs/>
          <w:sz w:val="24"/>
          <w:szCs w:val="24"/>
          <w:lang w:val="en-US"/>
        </w:rPr>
      </w:pPr>
      <w:r w:rsidRPr="00A13EBF">
        <w:rPr>
          <w:rFonts w:asciiTheme="majorBidi" w:hAnsiTheme="majorBidi" w:cstheme="majorBidi"/>
          <w:b/>
          <w:bCs/>
          <w:sz w:val="24"/>
          <w:szCs w:val="24"/>
          <w:lang w:val="en-US"/>
        </w:rPr>
        <w:t>CLINICAL MANAGEMENT OF PS DEFIENCY</w:t>
      </w:r>
    </w:p>
    <w:p w14:paraId="4A88BC1E" w14:textId="77777777" w:rsidR="00191C98" w:rsidRPr="00A13EBF" w:rsidRDefault="00191C98" w:rsidP="00A13EBF">
      <w:pPr>
        <w:pStyle w:val="NormalWeb"/>
        <w:spacing w:before="0" w:beforeAutospacing="0" w:after="0" w:afterAutospacing="0" w:line="360" w:lineRule="auto"/>
        <w:jc w:val="both"/>
        <w:rPr>
          <w:rFonts w:asciiTheme="majorBidi" w:hAnsiTheme="majorBidi" w:cstheme="majorBidi"/>
        </w:rPr>
      </w:pPr>
      <w:r w:rsidRPr="00A13EBF">
        <w:rPr>
          <w:rFonts w:asciiTheme="majorBidi" w:hAnsiTheme="majorBidi" w:cstheme="majorBidi"/>
        </w:rPr>
        <w:t>Management of venous thromboembolism in patients with protein S deficiency is not substantially different from that in</w:t>
      </w:r>
      <w:r w:rsidRPr="00A13EBF">
        <w:rPr>
          <w:rFonts w:asciiTheme="majorBidi" w:hAnsiTheme="majorBidi" w:cstheme="majorBidi"/>
        </w:rPr>
        <w:t> </w:t>
      </w:r>
      <w:r w:rsidRPr="00A13EBF">
        <w:rPr>
          <w:rFonts w:asciiTheme="majorBidi" w:hAnsiTheme="majorBidi" w:cstheme="majorBidi"/>
        </w:rPr>
        <w:t>those who have no known thrombophilia, except for the duration of anticoagulation. Treatment with intravenous unfractionated heparin or LMWH</w:t>
      </w:r>
      <w:r w:rsidRPr="00A13EBF">
        <w:rPr>
          <w:rFonts w:asciiTheme="majorBidi" w:hAnsiTheme="majorBidi" w:cstheme="majorBidi"/>
        </w:rPr>
        <w:t> </w:t>
      </w:r>
      <w:r w:rsidRPr="00A13EBF">
        <w:rPr>
          <w:rFonts w:asciiTheme="majorBidi" w:hAnsiTheme="majorBidi" w:cstheme="majorBidi"/>
        </w:rPr>
        <w:t>+ warfarin is initiated, until an INR of 2.0–3.0 is reached over 2 days. Heparin should be administered for a minimum of 5 days to avoid skin necrosis, an uncommon side effect reported in early warfarin-treated patients with PS and</w:t>
      </w:r>
      <w:r w:rsidRPr="00A13EBF">
        <w:rPr>
          <w:rFonts w:asciiTheme="majorBidi" w:hAnsiTheme="majorBidi" w:cstheme="majorBidi"/>
        </w:rPr>
        <w:t> </w:t>
      </w:r>
      <w:r w:rsidRPr="00A13EBF">
        <w:rPr>
          <w:rFonts w:asciiTheme="majorBidi" w:hAnsiTheme="majorBidi" w:cstheme="majorBidi"/>
        </w:rPr>
        <w:t>PC deficiency. Warfarin</w:t>
      </w:r>
      <w:r w:rsidRPr="00A13EBF">
        <w:rPr>
          <w:rFonts w:asciiTheme="majorBidi" w:hAnsiTheme="majorBidi" w:cstheme="majorBidi"/>
        </w:rPr>
        <w:t> </w:t>
      </w:r>
      <w:r w:rsidRPr="00A13EBF">
        <w:rPr>
          <w:rFonts w:asciiTheme="majorBidi" w:hAnsiTheme="majorBidi" w:cstheme="majorBidi"/>
        </w:rPr>
        <w:t xml:space="preserve">can be given for 2 years or more if there are other thrombophilic defects, but in the absence of any that period generally averages 3–6 months after provoked first </w:t>
      </w:r>
      <w:r w:rsidR="00A13EBF" w:rsidRPr="00A13EBF">
        <w:rPr>
          <w:rFonts w:asciiTheme="majorBidi" w:hAnsiTheme="majorBidi" w:cstheme="majorBidi"/>
        </w:rPr>
        <w:t>VTE. (</w:t>
      </w:r>
      <w:r w:rsidR="009D0786">
        <w:rPr>
          <w:rFonts w:asciiTheme="majorBidi" w:hAnsiTheme="majorBidi" w:cstheme="majorBidi"/>
        </w:rPr>
        <w:t>Pilli et al., 2018)</w:t>
      </w:r>
    </w:p>
    <w:p w14:paraId="7AA5972C" w14:textId="77777777" w:rsidR="00191C98" w:rsidRPr="00A13EBF" w:rsidRDefault="00191C98" w:rsidP="00A13EBF">
      <w:pPr>
        <w:spacing w:after="0" w:line="360" w:lineRule="auto"/>
        <w:jc w:val="both"/>
        <w:rPr>
          <w:rFonts w:asciiTheme="majorBidi" w:eastAsia="Times New Roman" w:hAnsiTheme="majorBidi" w:cstheme="majorBidi"/>
          <w:sz w:val="24"/>
          <w:szCs w:val="24"/>
          <w:lang w:eastAsia="en-IN"/>
        </w:rPr>
      </w:pPr>
      <w:r w:rsidRPr="00A13EBF">
        <w:rPr>
          <w:rFonts w:asciiTheme="majorBidi" w:eastAsia="Times New Roman" w:hAnsiTheme="majorBidi" w:cstheme="majorBidi"/>
          <w:sz w:val="24"/>
          <w:szCs w:val="24"/>
          <w:lang w:eastAsia="en-IN"/>
        </w:rPr>
        <w:t xml:space="preserve">Oral anticoagulants are an effective therapy for heterozygous and protein S deficiencies; however, skin necrosis is a possible side effect, particularly in those with protein-C </w:t>
      </w:r>
      <w:r w:rsidR="009D0786">
        <w:rPr>
          <w:rFonts w:asciiTheme="majorBidi" w:eastAsia="Times New Roman" w:hAnsiTheme="majorBidi" w:cstheme="majorBidi"/>
          <w:sz w:val="24"/>
          <w:szCs w:val="24"/>
          <w:lang w:eastAsia="en-IN"/>
        </w:rPr>
        <w:t>deficiency</w:t>
      </w:r>
      <w:r w:rsidR="009021C6">
        <w:rPr>
          <w:rFonts w:asciiTheme="majorBidi" w:eastAsia="Times New Roman" w:hAnsiTheme="majorBidi" w:cstheme="majorBidi"/>
          <w:sz w:val="24"/>
          <w:szCs w:val="24"/>
          <w:lang w:eastAsia="en-IN"/>
        </w:rPr>
        <w:t>.</w:t>
      </w:r>
      <w:r w:rsidR="009021C6" w:rsidRPr="00A13EBF">
        <w:rPr>
          <w:rFonts w:asciiTheme="majorBidi" w:hAnsiTheme="majorBidi" w:cstheme="majorBidi"/>
          <w:sz w:val="24"/>
          <w:szCs w:val="24"/>
        </w:rPr>
        <w:t xml:space="preserve"> (</w:t>
      </w:r>
      <w:r w:rsidR="009D0786">
        <w:rPr>
          <w:rFonts w:asciiTheme="majorBidi" w:hAnsiTheme="majorBidi" w:cstheme="majorBidi"/>
          <w:sz w:val="24"/>
          <w:szCs w:val="24"/>
        </w:rPr>
        <w:t>Garcia de frutos et al., 2007</w:t>
      </w:r>
      <w:r w:rsidR="009D0786" w:rsidRPr="00A13EBF">
        <w:rPr>
          <w:rFonts w:asciiTheme="majorBidi" w:hAnsiTheme="majorBidi" w:cstheme="majorBidi"/>
          <w:sz w:val="24"/>
          <w:szCs w:val="24"/>
        </w:rPr>
        <w:t>)</w:t>
      </w:r>
    </w:p>
    <w:p w14:paraId="3DA56FBE" w14:textId="77777777" w:rsidR="00191C98" w:rsidRPr="00A13EBF" w:rsidRDefault="00191C98" w:rsidP="00A13EBF">
      <w:pPr>
        <w:spacing w:after="0" w:line="360" w:lineRule="auto"/>
        <w:jc w:val="both"/>
        <w:rPr>
          <w:rFonts w:asciiTheme="majorBidi" w:hAnsiTheme="majorBidi" w:cstheme="majorBidi"/>
          <w:sz w:val="24"/>
          <w:szCs w:val="24"/>
        </w:rPr>
      </w:pPr>
      <w:r w:rsidRPr="00A13EBF">
        <w:rPr>
          <w:rFonts w:asciiTheme="majorBidi" w:hAnsiTheme="majorBidi" w:cstheme="majorBidi"/>
          <w:sz w:val="24"/>
          <w:szCs w:val="24"/>
        </w:rPr>
        <w:t xml:space="preserve">A lower level of PS seems to be related to lifestyle changes aimed at addressing obesity and insulin resistance, even though there is a general decrease in thrombophilia with a reduction in prothrombotic factors. It is important to remember that hypoxia can lead to a deficiency in </w:t>
      </w:r>
      <w:r w:rsidR="009D0786">
        <w:rPr>
          <w:rFonts w:asciiTheme="majorBidi" w:hAnsiTheme="majorBidi" w:cstheme="majorBidi"/>
          <w:sz w:val="24"/>
          <w:szCs w:val="24"/>
        </w:rPr>
        <w:t>PS.</w:t>
      </w:r>
      <w:r w:rsidR="009D0786" w:rsidRPr="009D0786">
        <w:rPr>
          <w:rFonts w:asciiTheme="majorBidi" w:hAnsiTheme="majorBidi" w:cstheme="majorBidi"/>
        </w:rPr>
        <w:t xml:space="preserve"> </w:t>
      </w:r>
      <w:r w:rsidR="009D0786" w:rsidRPr="00A6309F">
        <w:rPr>
          <w:rFonts w:asciiTheme="majorBidi" w:hAnsiTheme="majorBidi" w:cstheme="majorBidi"/>
          <w:sz w:val="24"/>
          <w:szCs w:val="24"/>
        </w:rPr>
        <w:t>(Pilli et al., 2018)</w:t>
      </w:r>
    </w:p>
    <w:p w14:paraId="0EBC9023" w14:textId="77777777" w:rsidR="00191C98" w:rsidRPr="00A13EBF" w:rsidRDefault="00191C98" w:rsidP="00A13EBF">
      <w:pPr>
        <w:spacing w:after="0" w:line="360" w:lineRule="auto"/>
        <w:jc w:val="both"/>
        <w:rPr>
          <w:rFonts w:asciiTheme="majorBidi" w:hAnsiTheme="majorBidi" w:cstheme="majorBidi"/>
          <w:sz w:val="24"/>
          <w:szCs w:val="24"/>
        </w:rPr>
      </w:pPr>
      <w:r w:rsidRPr="00A13EBF">
        <w:rPr>
          <w:rFonts w:asciiTheme="majorBidi" w:hAnsiTheme="majorBidi" w:cstheme="majorBidi"/>
          <w:sz w:val="24"/>
          <w:szCs w:val="24"/>
        </w:rPr>
        <w:t xml:space="preserve">However, in the case of PS insufficiency, rivaroxaban and apixaban, the DOACs mentioned in this research, may provide more predictable results. Fixed dosage, few drug interactions, and the ability to reverse anticoagulant activity with Andexanet alfa are additional benefits of </w:t>
      </w:r>
      <w:r w:rsidR="009D0786">
        <w:rPr>
          <w:rFonts w:asciiTheme="majorBidi" w:hAnsiTheme="majorBidi" w:cstheme="majorBidi"/>
          <w:sz w:val="24"/>
          <w:szCs w:val="24"/>
        </w:rPr>
        <w:t>DOACs</w:t>
      </w:r>
      <w:r w:rsidR="00A6309F">
        <w:rPr>
          <w:rFonts w:asciiTheme="majorBidi" w:hAnsiTheme="majorBidi" w:cstheme="majorBidi"/>
          <w:sz w:val="24"/>
          <w:szCs w:val="24"/>
        </w:rPr>
        <w:t>.</w:t>
      </w:r>
      <w:r w:rsidR="00A6309F" w:rsidRPr="00A13EBF">
        <w:rPr>
          <w:rFonts w:asciiTheme="majorBidi" w:hAnsiTheme="majorBidi" w:cstheme="majorBidi"/>
          <w:sz w:val="24"/>
          <w:szCs w:val="24"/>
        </w:rPr>
        <w:t xml:space="preserve"> (</w:t>
      </w:r>
      <w:r w:rsidR="009D0786">
        <w:rPr>
          <w:rFonts w:asciiTheme="majorBidi" w:hAnsiTheme="majorBidi" w:cstheme="majorBidi"/>
          <w:sz w:val="24"/>
          <w:szCs w:val="24"/>
        </w:rPr>
        <w:t>Wigle et al., 2019)</w:t>
      </w:r>
    </w:p>
    <w:p w14:paraId="72F24675" w14:textId="77777777" w:rsidR="00191C98" w:rsidRDefault="00A13EBF" w:rsidP="00A13EBF">
      <w:pPr>
        <w:spacing w:after="0" w:line="360" w:lineRule="auto"/>
        <w:jc w:val="both"/>
        <w:rPr>
          <w:rFonts w:asciiTheme="majorBidi" w:hAnsiTheme="majorBidi" w:cstheme="majorBidi"/>
          <w:sz w:val="24"/>
          <w:szCs w:val="24"/>
        </w:rPr>
      </w:pPr>
      <w:r w:rsidRPr="00A13EBF">
        <w:rPr>
          <w:rFonts w:asciiTheme="majorBidi" w:hAnsiTheme="majorBidi" w:cstheme="majorBidi"/>
          <w:sz w:val="24"/>
          <w:szCs w:val="24"/>
        </w:rPr>
        <w:t>However,</w:t>
      </w:r>
      <w:r w:rsidR="00191C98" w:rsidRPr="00A13EBF">
        <w:rPr>
          <w:rFonts w:asciiTheme="majorBidi" w:hAnsiTheme="majorBidi" w:cstheme="majorBidi"/>
          <w:sz w:val="24"/>
          <w:szCs w:val="24"/>
        </w:rPr>
        <w:t xml:space="preserve"> showed rivaroxaban was a successful treatment for PS deficiency-related recurrent arterial ischemic stroke. An agreement should be made to switch to new oral anticoagulants </w:t>
      </w:r>
      <w:r w:rsidR="00191C98" w:rsidRPr="00A13EBF">
        <w:rPr>
          <w:rFonts w:asciiTheme="majorBidi" w:hAnsiTheme="majorBidi" w:cstheme="majorBidi"/>
          <w:sz w:val="24"/>
          <w:szCs w:val="24"/>
        </w:rPr>
        <w:lastRenderedPageBreak/>
        <w:t xml:space="preserve">like rivaroxaban and enoxaparin–VKA. These can keep PS levels stable during clotting </w:t>
      </w:r>
      <w:r w:rsidR="009D0786">
        <w:rPr>
          <w:rFonts w:asciiTheme="majorBidi" w:hAnsiTheme="majorBidi" w:cstheme="majorBidi"/>
          <w:sz w:val="24"/>
          <w:szCs w:val="24"/>
        </w:rPr>
        <w:t>episodes</w:t>
      </w:r>
      <w:r w:rsidR="009021C6">
        <w:rPr>
          <w:rFonts w:asciiTheme="majorBidi" w:hAnsiTheme="majorBidi" w:cstheme="majorBidi"/>
          <w:sz w:val="24"/>
          <w:szCs w:val="24"/>
        </w:rPr>
        <w:t>. (</w:t>
      </w:r>
      <w:r w:rsidR="009D0786">
        <w:rPr>
          <w:rFonts w:asciiTheme="majorBidi" w:hAnsiTheme="majorBidi" w:cstheme="majorBidi"/>
          <w:sz w:val="24"/>
          <w:szCs w:val="24"/>
        </w:rPr>
        <w:t>Naghavi et al., 2021)</w:t>
      </w:r>
    </w:p>
    <w:p w14:paraId="5385FC1A" w14:textId="77777777" w:rsidR="00DB3B9A" w:rsidRDefault="00DB3B9A" w:rsidP="00A13EBF">
      <w:pPr>
        <w:spacing w:after="0" w:line="360" w:lineRule="auto"/>
        <w:jc w:val="both"/>
        <w:rPr>
          <w:rFonts w:asciiTheme="majorBidi" w:hAnsiTheme="majorBidi" w:cstheme="majorBidi"/>
          <w:sz w:val="24"/>
          <w:szCs w:val="24"/>
        </w:rPr>
      </w:pPr>
    </w:p>
    <w:p w14:paraId="56254630" w14:textId="77777777" w:rsidR="00DB3B9A" w:rsidRPr="00DB3B9A" w:rsidRDefault="00DB3B9A" w:rsidP="00DB3B9A">
      <w:pPr>
        <w:pStyle w:val="NormalWeb"/>
        <w:spacing w:before="0" w:beforeAutospacing="0" w:after="0" w:afterAutospacing="0" w:line="360" w:lineRule="auto"/>
        <w:jc w:val="both"/>
        <w:rPr>
          <w:rFonts w:asciiTheme="majorBidi" w:hAnsiTheme="majorBidi" w:cstheme="majorBidi"/>
          <w:b/>
          <w:bCs/>
        </w:rPr>
      </w:pPr>
      <w:r w:rsidRPr="00DB3B9A">
        <w:rPr>
          <w:rFonts w:asciiTheme="majorBidi" w:hAnsiTheme="majorBidi" w:cstheme="majorBidi"/>
          <w:b/>
          <w:bCs/>
        </w:rPr>
        <w:t>DISCUSSION</w:t>
      </w:r>
    </w:p>
    <w:p w14:paraId="6F0289FC" w14:textId="77777777" w:rsidR="00AE0F2E" w:rsidRDefault="00204F3B" w:rsidP="00AE0F2E">
      <w:pPr>
        <w:pStyle w:val="NormalWeb"/>
        <w:spacing w:before="0" w:beforeAutospacing="0" w:after="0" w:afterAutospacing="0" w:line="360" w:lineRule="auto"/>
        <w:jc w:val="both"/>
      </w:pPr>
      <w:r>
        <w:t>Protein C and Protein S play a crucial role in the anticoagulant pathway that protects against excessive thrombin production. Mutations in the PROC and PROS1 genes can result in either quantitative or qualitative defects, leading to a hypercoagulable state. Heterozygous individuals often remain without symptoms until other risk factors—such as immobility, pregnancy, surgery, or estrogen use—trigger venous thromboembolic occurrences. In contrast, homozygous or compound heterozygous variations can be devastating, frequently presenting in newborns as purpura fulminans or severe thrombosis.</w:t>
      </w:r>
      <w:r>
        <w:br/>
        <w:t xml:space="preserve">Recent advances in genetic sequencing have identified more than 160 mutations in the PROC gene and over 450 in the PROS1 gene, mostly involving missense or nonsense changes. These mutations hinder γ-carboxylation, disrupt calcium binding, and modify protein structure, all of which reduce the effectiveness of anticoagulation. While functional assays continue to be the cornerstone for diagnosis, molecular confirmation is essential for accurate diagnosis and aids in genetic </w:t>
      </w:r>
      <w:r w:rsidR="00A6309F">
        <w:t>counselling</w:t>
      </w:r>
      <w:r>
        <w:t>.</w:t>
      </w:r>
    </w:p>
    <w:p w14:paraId="4F746DA0" w14:textId="77777777" w:rsidR="00204F3B" w:rsidRDefault="00204F3B" w:rsidP="00AE0F2E">
      <w:pPr>
        <w:pStyle w:val="NormalWeb"/>
        <w:spacing w:before="0" w:beforeAutospacing="0" w:after="0" w:afterAutospacing="0" w:line="360" w:lineRule="auto"/>
        <w:jc w:val="both"/>
      </w:pPr>
      <w:r>
        <w:t xml:space="preserve">Management strategies are influenced by the severity of the deficiency and the clinical symptoms presented. For acute thrombotic incidents, bridging with heparin or low-molecular-weight heparin (LMWH) is necessary, followed by long-term oral anticoagulant treatment. Although warfarin is still commonly used, caution is needed when starting it due to the potential for coumarin-induced skin necrosis resulting from temporary drops in PC levels. Direct oral anticoagulants (DOACs) like rivaroxaban and apixaban present benefits, such as fixed dosages and fewer interactions. In severe congenital cases, human plasma-derived PC </w:t>
      </w:r>
      <w:r w:rsidR="009021C6">
        <w:t>concentrates</w:t>
      </w:r>
      <w:r>
        <w:t xml:space="preserve"> (Ceprotin) or fresh frozen plasma can provide critical replacement therapy.</w:t>
      </w:r>
      <w:r>
        <w:br/>
        <w:t xml:space="preserve">Recent case reports highlight the diverse clinical manifestations of these deficiencies among different populations, with a noted higher prevalence in specific ethnic groups, including Japanese and Chinese individuals. Additionally, the connection between hypoxia and decreased PS levels suggests emerging links between environmental factors and molecular contributors to thrombophilia. </w:t>
      </w:r>
      <w:r w:rsidR="00A6309F">
        <w:t>On-going</w:t>
      </w:r>
      <w:r>
        <w:t xml:space="preserve"> research is essential to develop standardized screening protocols and to better understand genotype-phenotype relationships.</w:t>
      </w:r>
    </w:p>
    <w:p w14:paraId="409E6E50" w14:textId="77777777" w:rsidR="00204F3B" w:rsidRDefault="00204F3B" w:rsidP="00204F3B">
      <w:pPr>
        <w:pStyle w:val="NormalWeb"/>
        <w:spacing w:before="0" w:beforeAutospacing="0" w:after="0" w:afterAutospacing="0" w:line="360" w:lineRule="auto"/>
      </w:pPr>
    </w:p>
    <w:p w14:paraId="18FACF14" w14:textId="77777777" w:rsidR="00204F3B" w:rsidRDefault="00DB3B9A" w:rsidP="00204F3B">
      <w:pPr>
        <w:pStyle w:val="NormalWeb"/>
        <w:spacing w:before="0" w:beforeAutospacing="0" w:after="0" w:afterAutospacing="0" w:line="360" w:lineRule="auto"/>
        <w:jc w:val="both"/>
        <w:rPr>
          <w:rFonts w:asciiTheme="majorBidi" w:hAnsiTheme="majorBidi" w:cstheme="majorBidi"/>
          <w:b/>
          <w:bCs/>
        </w:rPr>
      </w:pPr>
      <w:r w:rsidRPr="00DB3B9A">
        <w:rPr>
          <w:rFonts w:asciiTheme="majorBidi" w:hAnsiTheme="majorBidi" w:cstheme="majorBidi"/>
          <w:b/>
          <w:bCs/>
        </w:rPr>
        <w:t>CONCLUSION</w:t>
      </w:r>
    </w:p>
    <w:p w14:paraId="68E6E7D6" w14:textId="77777777" w:rsidR="00100B91" w:rsidRPr="00100B91" w:rsidRDefault="00100B91" w:rsidP="00204F3B">
      <w:pPr>
        <w:pStyle w:val="NormalWeb"/>
        <w:spacing w:before="0" w:beforeAutospacing="0" w:after="0" w:afterAutospacing="0" w:line="360" w:lineRule="auto"/>
        <w:jc w:val="both"/>
        <w:rPr>
          <w:rFonts w:asciiTheme="majorBidi" w:hAnsiTheme="majorBidi" w:cstheme="majorBidi"/>
          <w:b/>
          <w:bCs/>
        </w:rPr>
      </w:pPr>
      <w:r w:rsidRPr="00100B91">
        <w:lastRenderedPageBreak/>
        <w:t>Deficiencies of protein C and protein S are</w:t>
      </w:r>
      <w:r w:rsidRPr="00100B91">
        <w:t> </w:t>
      </w:r>
      <w:r w:rsidRPr="00100B91">
        <w:t xml:space="preserve">important but </w:t>
      </w:r>
      <w:r w:rsidR="00A6309F" w:rsidRPr="00100B91">
        <w:t>under recognized</w:t>
      </w:r>
      <w:r w:rsidRPr="00100B91">
        <w:t xml:space="preserve"> causes of inheritable, and acquired thrombophilia. Clinical presentation varies from asymptomatic states to severe neonatal</w:t>
      </w:r>
      <w:r w:rsidRPr="00100B91">
        <w:t> </w:t>
      </w:r>
      <w:r w:rsidRPr="00100B91">
        <w:t>thrombosis. Accurate testing in the laboratory — confirmation on genetic testing is important for a definitive diagnosis</w:t>
      </w:r>
      <w:r w:rsidRPr="00100B91">
        <w:t> </w:t>
      </w:r>
      <w:r w:rsidRPr="00100B91">
        <w:t xml:space="preserve">and individualized treatment. Early detection, appropriate anticoagulation therapy and genetic </w:t>
      </w:r>
      <w:r w:rsidR="00405A26" w:rsidRPr="00100B91">
        <w:t>counselling</w:t>
      </w:r>
      <w:r w:rsidRPr="00100B91">
        <w:t xml:space="preserve"> may substantially reduce</w:t>
      </w:r>
      <w:r w:rsidRPr="00100B91">
        <w:t> </w:t>
      </w:r>
      <w:r w:rsidRPr="00100B91">
        <w:t>the risk of recurrence of thrombosis and improve prospects in long-term follow up.</w:t>
      </w:r>
      <w:r w:rsidR="00405A26">
        <w:t xml:space="preserve"> </w:t>
      </w:r>
      <w:r w:rsidR="00405A26" w:rsidRPr="00100B91">
        <w:t>On-going</w:t>
      </w:r>
      <w:r w:rsidRPr="00100B91">
        <w:t xml:space="preserve"> investigations of molecular pathways and therapeutic evolutions will continue to improve strategies for the prevention and management of these complex bleeding</w:t>
      </w:r>
      <w:r w:rsidRPr="00100B91">
        <w:t> </w:t>
      </w:r>
      <w:r w:rsidRPr="00100B91">
        <w:t>disorders.</w:t>
      </w:r>
    </w:p>
    <w:p w14:paraId="7D58F812" w14:textId="77777777" w:rsidR="00FF0F09" w:rsidRDefault="00FF0F09" w:rsidP="00A13EBF">
      <w:pPr>
        <w:spacing w:after="0" w:line="360" w:lineRule="auto"/>
        <w:jc w:val="both"/>
        <w:rPr>
          <w:rFonts w:asciiTheme="majorBidi" w:hAnsiTheme="majorBidi" w:cstheme="majorBidi"/>
          <w:b/>
          <w:bCs/>
          <w:sz w:val="24"/>
          <w:szCs w:val="24"/>
          <w:lang w:val="en-US"/>
        </w:rPr>
      </w:pPr>
    </w:p>
    <w:p w14:paraId="078CEBAC" w14:textId="77777777" w:rsidR="00A35875" w:rsidRDefault="00A35875" w:rsidP="00A35875">
      <w:pPr>
        <w:spacing w:after="0" w:line="360" w:lineRule="auto"/>
        <w:jc w:val="both"/>
        <w:rPr>
          <w:rFonts w:asciiTheme="majorBidi" w:hAnsiTheme="majorBidi" w:cstheme="majorBidi"/>
          <w:b/>
          <w:bCs/>
          <w:sz w:val="24"/>
          <w:szCs w:val="24"/>
          <w:lang w:val="en-US"/>
        </w:rPr>
      </w:pPr>
      <w:r w:rsidRPr="00A13EBF">
        <w:rPr>
          <w:rFonts w:asciiTheme="majorBidi" w:hAnsiTheme="majorBidi" w:cstheme="majorBidi"/>
          <w:b/>
          <w:bCs/>
          <w:sz w:val="24"/>
          <w:szCs w:val="24"/>
          <w:lang w:val="en-US"/>
        </w:rPr>
        <w:t>REFERENCES</w:t>
      </w:r>
    </w:p>
    <w:p w14:paraId="4439E1E0" w14:textId="77777777" w:rsidR="00A35875" w:rsidRPr="008E7F6B" w:rsidRDefault="00A35875" w:rsidP="00A35875">
      <w:pPr>
        <w:pStyle w:val="ListParagraph"/>
        <w:numPr>
          <w:ilvl w:val="0"/>
          <w:numId w:val="9"/>
        </w:numPr>
        <w:rPr>
          <w:color w:val="0000FF"/>
          <w:u w:val="single"/>
        </w:rPr>
      </w:pPr>
      <w:r w:rsidRPr="00FF0F09">
        <w:t xml:space="preserve">Dinarvand, P., &amp; Moser, K. A. (2019). Protein C and protein S deficiencies: A review of pathophysiology, clinical manifestations, laboratory diagnosis, and management. Archives of Pathology &amp; Laboratory Medicine, 143(10), 1281–1285. </w:t>
      </w:r>
      <w:r w:rsidRPr="008E7F6B">
        <w:t>https://doi.org/10.5858/arpa.2017-0403-RS</w:t>
      </w:r>
    </w:p>
    <w:p w14:paraId="7B9B37A5" w14:textId="77777777" w:rsidR="00A35875" w:rsidRPr="00FF0F09" w:rsidRDefault="00A35875" w:rsidP="00A35875">
      <w:pPr>
        <w:pStyle w:val="ListParagraph"/>
        <w:numPr>
          <w:ilvl w:val="0"/>
          <w:numId w:val="9"/>
        </w:numPr>
      </w:pPr>
      <w:r w:rsidRPr="00FF0F09">
        <w:t xml:space="preserve">Comp, P. C., &amp; Esmon, C. T. (1997). Reevaluation of the role of protein S in plasma. </w:t>
      </w:r>
      <w:r w:rsidRPr="008E7F6B">
        <w:rPr>
          <w:i/>
          <w:iCs/>
        </w:rPr>
        <w:t>Thrombosis and Haemostasis, 77</w:t>
      </w:r>
      <w:r w:rsidRPr="00FF0F09">
        <w:t xml:space="preserve">(6), 1201–1214. </w:t>
      </w:r>
      <w:r w:rsidRPr="008E7F6B">
        <w:t>https://doi.org/10.1055/s-0038-1656138</w:t>
      </w:r>
    </w:p>
    <w:p w14:paraId="0CB2BD04" w14:textId="77777777" w:rsidR="00A35875" w:rsidRPr="008E7F6B" w:rsidRDefault="00A35875" w:rsidP="00A35875">
      <w:pPr>
        <w:pStyle w:val="ListParagraph"/>
        <w:numPr>
          <w:ilvl w:val="0"/>
          <w:numId w:val="9"/>
        </w:numPr>
        <w:rPr>
          <w:color w:val="0000FF"/>
          <w:u w:val="single"/>
        </w:rPr>
      </w:pPr>
      <w:r w:rsidRPr="00FF0F09">
        <w:t xml:space="preserve">Dahlbäck, B. (2007). The protein C anticoagulant system: Inherited disorders in thrombophilia and purpura fulminans. </w:t>
      </w:r>
      <w:r w:rsidRPr="008E7F6B">
        <w:rPr>
          <w:i/>
          <w:iCs/>
        </w:rPr>
        <w:t>Thrombosis and Haemostasis, 98</w:t>
      </w:r>
      <w:r w:rsidRPr="00FF0F09">
        <w:t xml:space="preserve">(3), 543–556. </w:t>
      </w:r>
      <w:r w:rsidRPr="008E7F6B">
        <w:t>https://doi.org/10.1160/TH07-03-0199</w:t>
      </w:r>
    </w:p>
    <w:p w14:paraId="4009F089" w14:textId="77777777" w:rsidR="00A35875" w:rsidRPr="00FF0F09" w:rsidRDefault="00A35875" w:rsidP="00A35875">
      <w:pPr>
        <w:pStyle w:val="ListParagraph"/>
        <w:numPr>
          <w:ilvl w:val="0"/>
          <w:numId w:val="9"/>
        </w:numPr>
      </w:pPr>
      <w:r w:rsidRPr="00FF0F09">
        <w:t xml:space="preserve">Ten Kate, M. K., &amp; Van Der Meer, J. (2008). Protein S deficiency: A clinical perspective. </w:t>
      </w:r>
      <w:r w:rsidRPr="008E7F6B">
        <w:rPr>
          <w:i/>
          <w:iCs/>
        </w:rPr>
        <w:t>Haemophilia, 14</w:t>
      </w:r>
      <w:r w:rsidRPr="00FF0F09">
        <w:t xml:space="preserve">(6), 1222–1228. </w:t>
      </w:r>
      <w:r w:rsidRPr="008E7F6B">
        <w:t>https://doi.org/10.1111/j.1365-2516.2008.01775.x</w:t>
      </w:r>
    </w:p>
    <w:p w14:paraId="585D8671" w14:textId="77777777" w:rsidR="00A35875" w:rsidRPr="00FF0F09" w:rsidRDefault="00A35875" w:rsidP="00A35875">
      <w:pPr>
        <w:pStyle w:val="ListParagraph"/>
        <w:numPr>
          <w:ilvl w:val="0"/>
          <w:numId w:val="9"/>
        </w:numPr>
      </w:pPr>
      <w:r w:rsidRPr="00FF0F09">
        <w:t xml:space="preserve">Gupta, A., &amp; Patibandla, S. (2023, July 4). </w:t>
      </w:r>
      <w:r w:rsidRPr="008E7F6B">
        <w:rPr>
          <w:i/>
          <w:iCs/>
        </w:rPr>
        <w:t>Protein C deficiency.</w:t>
      </w:r>
      <w:r w:rsidRPr="00FF0F09">
        <w:t xml:space="preserve"> In </w:t>
      </w:r>
      <w:r w:rsidRPr="008E7F6B">
        <w:rPr>
          <w:i/>
          <w:iCs/>
        </w:rPr>
        <w:t>StatPearls [Internet].</w:t>
      </w:r>
      <w:r w:rsidRPr="00FF0F09">
        <w:t xml:space="preserve"> Treasure Island (FL): StatPearls Publishing. PMID: 31194379</w:t>
      </w:r>
      <w:r w:rsidRPr="008E7F6B">
        <w:t xml:space="preserve"> https://www.ncbi.nlm.nih.gov/books/NBK542222/</w:t>
      </w:r>
    </w:p>
    <w:p w14:paraId="16FB929E" w14:textId="77777777" w:rsidR="00A35875" w:rsidRPr="00FF0F09" w:rsidRDefault="00A35875" w:rsidP="00A35875">
      <w:pPr>
        <w:pStyle w:val="ListParagraph"/>
        <w:numPr>
          <w:ilvl w:val="0"/>
          <w:numId w:val="9"/>
        </w:numPr>
      </w:pPr>
      <w:r w:rsidRPr="00FF0F09">
        <w:t xml:space="preserve">Tun, A. M., Gupta, K., &amp; Tuma, F. (2022, December 5). </w:t>
      </w:r>
      <w:r w:rsidRPr="008E7F6B">
        <w:rPr>
          <w:i/>
          <w:iCs/>
        </w:rPr>
        <w:t>Protein S deficiency.</w:t>
      </w:r>
      <w:r w:rsidRPr="00FF0F09">
        <w:t xml:space="preserve"> In </w:t>
      </w:r>
      <w:r w:rsidRPr="008E7F6B">
        <w:rPr>
          <w:i/>
          <w:iCs/>
        </w:rPr>
        <w:t>StatPearls [Internet].</w:t>
      </w:r>
      <w:r w:rsidRPr="00FF0F09">
        <w:t xml:space="preserve"> Treasure Island (FL): StatPearls Publishing. PMID: 31335064</w:t>
      </w:r>
      <w:r w:rsidRPr="008E7F6B">
        <w:t xml:space="preserve"> https://www.ncbi.nlm.nih.gov/books/NBK544344/</w:t>
      </w:r>
    </w:p>
    <w:p w14:paraId="4C346AA6" w14:textId="77777777" w:rsidR="00A35875" w:rsidRPr="00FF0F09" w:rsidRDefault="00A35875" w:rsidP="00A35875">
      <w:pPr>
        <w:pStyle w:val="ListParagraph"/>
        <w:numPr>
          <w:ilvl w:val="0"/>
          <w:numId w:val="9"/>
        </w:numPr>
      </w:pPr>
      <w:r w:rsidRPr="00FF0F09">
        <w:t xml:space="preserve">Comp, P. C., &amp; Esmon, C. T. (1984). Recurrent venous thromboembolism in patients with a partial deficiency of protein S. </w:t>
      </w:r>
      <w:r w:rsidRPr="008E7F6B">
        <w:rPr>
          <w:i/>
          <w:iCs/>
        </w:rPr>
        <w:t>New England Journal of Medicine, 311</w:t>
      </w:r>
      <w:r w:rsidRPr="00FF0F09">
        <w:t>(24), 1525–1528.</w:t>
      </w:r>
      <w:r w:rsidRPr="008E7F6B">
        <w:t xml:space="preserve"> https://doi.org/10.1056/NEJM198412133112401</w:t>
      </w:r>
    </w:p>
    <w:p w14:paraId="11EC4570" w14:textId="77777777" w:rsidR="00A35875" w:rsidRPr="008E7F6B" w:rsidRDefault="00A35875" w:rsidP="00A35875">
      <w:pPr>
        <w:pStyle w:val="ListParagraph"/>
        <w:numPr>
          <w:ilvl w:val="0"/>
          <w:numId w:val="9"/>
        </w:numPr>
        <w:rPr>
          <w:color w:val="0000FF"/>
          <w:u w:val="single"/>
        </w:rPr>
      </w:pPr>
      <w:r w:rsidRPr="00FF0F09">
        <w:t xml:space="preserve">Tait, R. C., Walker, I. D., Reitsma, P. H., Islam, S. I. A., McCall, F., Poort, S. R., Conkie, J. A., &amp; Bertina, R. M. (1995). Prevalence of protein C deficiency in the healthy population. </w:t>
      </w:r>
      <w:r w:rsidRPr="008E7F6B">
        <w:rPr>
          <w:i/>
          <w:iCs/>
        </w:rPr>
        <w:t>Thrombosis and Haemostasis, 73</w:t>
      </w:r>
      <w:r w:rsidRPr="00FF0F09">
        <w:t>(1), 87–93.</w:t>
      </w:r>
      <w:r w:rsidRPr="008E7F6B">
        <w:t xml:space="preserve"> https://doi.org/10.1055/s-0038-1649832</w:t>
      </w:r>
      <w:r w:rsidRPr="008E7F6B">
        <w:rPr>
          <w:color w:val="0000FF"/>
          <w:u w:val="single"/>
        </w:rPr>
        <w:t xml:space="preserve"> </w:t>
      </w:r>
    </w:p>
    <w:p w14:paraId="30309914" w14:textId="77777777" w:rsidR="00A35875" w:rsidRPr="00FF0F09" w:rsidRDefault="00A35875" w:rsidP="00A35875">
      <w:pPr>
        <w:pStyle w:val="ListParagraph"/>
        <w:numPr>
          <w:ilvl w:val="0"/>
          <w:numId w:val="9"/>
        </w:numPr>
      </w:pPr>
      <w:r w:rsidRPr="00FF0F09">
        <w:t xml:space="preserve">Ryu, Y. H., &amp; Hong, K. (2021). Severe protein C deficiency in a newborn caused by a homozygous pathogenic variant in the PROC gene: A case report. </w:t>
      </w:r>
      <w:r w:rsidRPr="008E7F6B">
        <w:rPr>
          <w:i/>
          <w:iCs/>
        </w:rPr>
        <w:t>BMC Pediatrics, 21</w:t>
      </w:r>
      <w:r w:rsidRPr="00FF0F09">
        <w:t>, 453.</w:t>
      </w:r>
      <w:r w:rsidRPr="008E7F6B">
        <w:t xml:space="preserve"> https://doi.org/10.1186/s12887-021-02923-6</w:t>
      </w:r>
      <w:r w:rsidRPr="00FF0F09">
        <w:t xml:space="preserve"> </w:t>
      </w:r>
    </w:p>
    <w:p w14:paraId="536D615E" w14:textId="77777777" w:rsidR="00A35875" w:rsidRPr="008E7F6B" w:rsidRDefault="00A35875" w:rsidP="00A35875">
      <w:pPr>
        <w:pStyle w:val="ListParagraph"/>
        <w:numPr>
          <w:ilvl w:val="0"/>
          <w:numId w:val="9"/>
        </w:numPr>
        <w:rPr>
          <w:color w:val="0000FF"/>
          <w:u w:val="single"/>
        </w:rPr>
      </w:pPr>
      <w:r w:rsidRPr="00FF0F09">
        <w:t xml:space="preserve">Nourbakhsh, S. M. K., Bahadoram, M., Rashidi-Nezhad, A., Habibi, L., Mansouri, F., &amp; Akade, E. (2023). The c.1243T&gt;C mutation in the PROC gene is linked with inherited protein C deficiency and severe purpura fulminans. </w:t>
      </w:r>
      <w:r w:rsidRPr="008E7F6B">
        <w:rPr>
          <w:i/>
          <w:iCs/>
        </w:rPr>
        <w:t>Clinical Case Reports, 11</w:t>
      </w:r>
      <w:r w:rsidRPr="00FF0F09">
        <w:t xml:space="preserve">(12), e8280. </w:t>
      </w:r>
      <w:r w:rsidRPr="008E7F6B">
        <w:t>https://doi.org/10.1002/ccr3.8280</w:t>
      </w:r>
    </w:p>
    <w:p w14:paraId="263D2978" w14:textId="77777777" w:rsidR="00A35875" w:rsidRPr="008E7F6B" w:rsidRDefault="00A35875" w:rsidP="00A35875">
      <w:pPr>
        <w:pStyle w:val="ListParagraph"/>
        <w:numPr>
          <w:ilvl w:val="0"/>
          <w:numId w:val="9"/>
        </w:numPr>
        <w:rPr>
          <w:color w:val="0000FF"/>
          <w:u w:val="single"/>
        </w:rPr>
      </w:pPr>
      <w:r w:rsidRPr="00FF0F09">
        <w:lastRenderedPageBreak/>
        <w:t xml:space="preserve">Xie, W., Liu, Z., &amp; Chen, B. (2017). Protein C deficiency resulting from two mutations in PROC presenting with recurrent venous thromboembolism. </w:t>
      </w:r>
      <w:r w:rsidRPr="008E7F6B">
        <w:rPr>
          <w:i/>
          <w:iCs/>
        </w:rPr>
        <w:t>Journal of Vascular Surgery Cases and Innovative Techniques, 3</w:t>
      </w:r>
      <w:r w:rsidRPr="00FF0F09">
        <w:t xml:space="preserve">(4), 254–256. </w:t>
      </w:r>
      <w:r w:rsidRPr="008E7F6B">
        <w:t>https://doi.org/10.1016/j.jvscit.2017.11.002</w:t>
      </w:r>
    </w:p>
    <w:p w14:paraId="136C9DAA" w14:textId="77777777" w:rsidR="00A35875" w:rsidRPr="008E7F6B" w:rsidRDefault="00A35875" w:rsidP="00A35875">
      <w:pPr>
        <w:pStyle w:val="ListParagraph"/>
        <w:numPr>
          <w:ilvl w:val="0"/>
          <w:numId w:val="9"/>
        </w:numPr>
        <w:rPr>
          <w:color w:val="0000FF"/>
          <w:u w:val="single"/>
        </w:rPr>
      </w:pPr>
      <w:r w:rsidRPr="00FF0F09">
        <w:t xml:space="preserve">Ten Kate, M. K., Platteel, M., Mulder, R., Terpstra, P., Nicolaes, G. A. F., Reitsma, P. H., van der Steege, G., &amp; van der Meer, J. (2006). </w:t>
      </w:r>
      <w:r w:rsidRPr="008E7F6B">
        <w:rPr>
          <w:i/>
          <w:iCs/>
        </w:rPr>
        <w:t>Identification of novel mutations in the PROS1 gene causing protein S deficiency.</w:t>
      </w:r>
      <w:r w:rsidRPr="00FF0F09">
        <w:t xml:space="preserve"> </w:t>
      </w:r>
      <w:r w:rsidRPr="008E7F6B">
        <w:rPr>
          <w:i/>
          <w:iCs/>
        </w:rPr>
        <w:t>Human Mutation.</w:t>
      </w:r>
      <w:r w:rsidRPr="00FF0F09">
        <w:t xml:space="preserve"> </w:t>
      </w:r>
      <w:hyperlink r:id="rId9" w:history="1">
        <w:r w:rsidRPr="008E7F6B">
          <w:rPr>
            <w:rStyle w:val="Hyperlink"/>
            <w:rFonts w:ascii="Times New Roman" w:hAnsi="Times New Roman" w:cs="Times New Roman"/>
            <w:sz w:val="24"/>
            <w:szCs w:val="24"/>
          </w:rPr>
          <w:t>https://doi.org/10.1002/humu.20687</w:t>
        </w:r>
      </w:hyperlink>
    </w:p>
    <w:p w14:paraId="48E937A8" w14:textId="77777777" w:rsidR="00A35875" w:rsidRPr="008E7F6B" w:rsidRDefault="00A35875" w:rsidP="00A35875">
      <w:pPr>
        <w:pStyle w:val="ListParagraph"/>
        <w:numPr>
          <w:ilvl w:val="0"/>
          <w:numId w:val="9"/>
        </w:numPr>
        <w:rPr>
          <w:color w:val="0000FF"/>
          <w:u w:val="single"/>
        </w:rPr>
      </w:pPr>
      <w:r w:rsidRPr="00FF0F09">
        <w:t xml:space="preserve">Mustafa, S., Pabinger, I., &amp; Mannhalter, C. (1995). Protein S deficiency type I: Detection of point mutations in 9 out of 10 families. </w:t>
      </w:r>
      <w:r w:rsidRPr="008E7F6B">
        <w:rPr>
          <w:i/>
          <w:iCs/>
        </w:rPr>
        <w:t>Blood, 86</w:t>
      </w:r>
      <w:r w:rsidRPr="00FF0F09">
        <w:t xml:space="preserve">(9), 3444–3451. </w:t>
      </w:r>
      <w:hyperlink r:id="rId10" w:history="1">
        <w:r w:rsidRPr="008E7F6B">
          <w:rPr>
            <w:rStyle w:val="Hyperlink"/>
            <w:rFonts w:ascii="Times New Roman" w:hAnsi="Times New Roman" w:cs="Times New Roman"/>
            <w:sz w:val="24"/>
            <w:szCs w:val="24"/>
          </w:rPr>
          <w:t>https://doi.org/10.1182/blood.V86.9.3444.bloodjournal8693444</w:t>
        </w:r>
      </w:hyperlink>
    </w:p>
    <w:p w14:paraId="36090B03" w14:textId="77777777" w:rsidR="00A35875" w:rsidRPr="008E7F6B" w:rsidRDefault="00A35875" w:rsidP="00A35875">
      <w:pPr>
        <w:pStyle w:val="ListParagraph"/>
        <w:numPr>
          <w:ilvl w:val="0"/>
          <w:numId w:val="9"/>
        </w:numPr>
        <w:rPr>
          <w:color w:val="0000FF"/>
          <w:u w:val="single"/>
        </w:rPr>
      </w:pPr>
      <w:r w:rsidRPr="00FF0F09">
        <w:t xml:space="preserve">Wypasek, E., Potaczek, D. P., Klajmon, A., et al. (2021). Five new mutations in the PROS1 gene associated with protein S deficiency in Polish patients screened for thrombophilia: Efficacy of direct oral anticoagulant treatment. </w:t>
      </w:r>
      <w:r w:rsidRPr="008E7F6B">
        <w:rPr>
          <w:i/>
          <w:iCs/>
        </w:rPr>
        <w:t>Polish Archives of Internal Medicine, 131</w:t>
      </w:r>
      <w:r w:rsidRPr="00FF0F09">
        <w:t xml:space="preserve">(10), 885–888. </w:t>
      </w:r>
      <w:r w:rsidRPr="008E7F6B">
        <w:t>https://doi.org/10.20452/pamw.16072</w:t>
      </w:r>
      <w:hyperlink r:id="rId11" w:history="1"/>
    </w:p>
    <w:p w14:paraId="13F849E9" w14:textId="77777777" w:rsidR="00A35875" w:rsidRPr="00FF0F09" w:rsidRDefault="00A35875" w:rsidP="00A35875">
      <w:pPr>
        <w:pStyle w:val="ListParagraph"/>
        <w:numPr>
          <w:ilvl w:val="0"/>
          <w:numId w:val="9"/>
        </w:numPr>
      </w:pPr>
      <w:r w:rsidRPr="00FF0F09">
        <w:t xml:space="preserve">Dahlbäck, B. (2004). Progress in the understanding of the protein C anticoagulant pathway. </w:t>
      </w:r>
      <w:r w:rsidRPr="008E7F6B">
        <w:rPr>
          <w:i/>
          <w:iCs/>
        </w:rPr>
        <w:t>Thrombosis Research, 114</w:t>
      </w:r>
      <w:r w:rsidRPr="00FF0F09">
        <w:t>(3), 151–169.</w:t>
      </w:r>
      <w:r w:rsidRPr="008E7F6B">
        <w:t xml:space="preserve"> https://doi.org/10.1532/ijh97.03149</w:t>
      </w:r>
    </w:p>
    <w:p w14:paraId="37381EA0" w14:textId="77777777" w:rsidR="00A35875" w:rsidRPr="00FF0F09" w:rsidRDefault="00A35875" w:rsidP="00A35875">
      <w:pPr>
        <w:pStyle w:val="ListParagraph"/>
        <w:numPr>
          <w:ilvl w:val="0"/>
          <w:numId w:val="9"/>
        </w:numPr>
      </w:pPr>
      <w:r w:rsidRPr="00FF0F09">
        <w:t xml:space="preserve">Gierula, M., &amp; Ahnström, J. (2020). Anticoagulant protein S—New insights on interactions and functions. </w:t>
      </w:r>
      <w:r w:rsidRPr="008E7F6B">
        <w:rPr>
          <w:i/>
          <w:iCs/>
        </w:rPr>
        <w:t>British Journal of Haematology, 190</w:t>
      </w:r>
      <w:r w:rsidRPr="00FF0F09">
        <w:t>(6), 792–804.</w:t>
      </w:r>
      <w:r w:rsidRPr="008E7F6B">
        <w:t xml:space="preserve"> https://doi.org/10.1111/jth.15025</w:t>
      </w:r>
    </w:p>
    <w:p w14:paraId="7EFBB5B1" w14:textId="77777777" w:rsidR="00A35875" w:rsidRPr="00FF0F09" w:rsidRDefault="00A35875" w:rsidP="00A35875">
      <w:pPr>
        <w:pStyle w:val="ListParagraph"/>
        <w:numPr>
          <w:ilvl w:val="0"/>
          <w:numId w:val="9"/>
        </w:numPr>
      </w:pPr>
      <w:r w:rsidRPr="00FF0F09">
        <w:t xml:space="preserve">Dahlbäck, B. (1999). Regulation and functions of the protein C anticoagulant pathway. </w:t>
      </w:r>
      <w:r w:rsidRPr="008E7F6B">
        <w:rPr>
          <w:i/>
          <w:iCs/>
        </w:rPr>
        <w:t>Haematologica, 84</w:t>
      </w:r>
      <w:r w:rsidRPr="00FF0F09">
        <w:t>(4), 363–370.</w:t>
      </w:r>
      <w:r w:rsidRPr="008E7F6B">
        <w:t xml:space="preserve"> https://www.haematologica.org/article/view/haematol.1999.84.4.363</w:t>
      </w:r>
    </w:p>
    <w:p w14:paraId="197631C7" w14:textId="77777777" w:rsidR="00A35875" w:rsidRPr="00FF0F09" w:rsidRDefault="00A35875" w:rsidP="00A35875">
      <w:pPr>
        <w:pStyle w:val="ListParagraph"/>
        <w:numPr>
          <w:ilvl w:val="0"/>
          <w:numId w:val="9"/>
        </w:numPr>
      </w:pPr>
      <w:r w:rsidRPr="00FF0F09">
        <w:t xml:space="preserve">Dahlbäck, B., &amp; Villoutreix, B. O. (2005). The anticoagulant protein C pathway. </w:t>
      </w:r>
      <w:r w:rsidRPr="008E7F6B">
        <w:rPr>
          <w:i/>
          <w:iCs/>
        </w:rPr>
        <w:t>FEBS Letters, 579</w:t>
      </w:r>
      <w:r w:rsidRPr="00FF0F09">
        <w:t xml:space="preserve">(15), 3310–3316. </w:t>
      </w:r>
      <w:r w:rsidRPr="008E7F6B">
        <w:t>https://doi.org/10.1016/j.febslet.2005.03.001</w:t>
      </w:r>
    </w:p>
    <w:p w14:paraId="6660571D" w14:textId="77777777" w:rsidR="00A35875" w:rsidRPr="008E7F6B" w:rsidRDefault="00A35875" w:rsidP="00A35875">
      <w:pPr>
        <w:pStyle w:val="ListParagraph"/>
        <w:numPr>
          <w:ilvl w:val="0"/>
          <w:numId w:val="9"/>
        </w:numPr>
        <w:rPr>
          <w:color w:val="0000FF"/>
          <w:u w:val="single"/>
        </w:rPr>
      </w:pPr>
      <w:r w:rsidRPr="00FF0F09">
        <w:t xml:space="preserve">Esmon, C. T. (2003). The protein C pathway. </w:t>
      </w:r>
      <w:r w:rsidRPr="008E7F6B">
        <w:rPr>
          <w:i/>
          <w:iCs/>
        </w:rPr>
        <w:t>Chest, 124</w:t>
      </w:r>
      <w:r w:rsidRPr="00FF0F09">
        <w:t>(3 Suppl), 26S–32S.</w:t>
      </w:r>
      <w:r w:rsidRPr="008E7F6B">
        <w:t xml:space="preserve"> https://doi.org/10.1378/chest.124.3_suppl.26S</w:t>
      </w:r>
      <w:r w:rsidRPr="008E7F6B">
        <w:rPr>
          <w:color w:val="0000FF"/>
          <w:u w:val="single"/>
        </w:rPr>
        <w:t xml:space="preserve"> </w:t>
      </w:r>
    </w:p>
    <w:p w14:paraId="18FAD9BD" w14:textId="77777777" w:rsidR="00A35875" w:rsidRPr="008E7F6B" w:rsidRDefault="00A35875" w:rsidP="00A35875">
      <w:pPr>
        <w:pStyle w:val="ListParagraph"/>
        <w:numPr>
          <w:ilvl w:val="0"/>
          <w:numId w:val="9"/>
        </w:numPr>
        <w:rPr>
          <w:color w:val="0000FF"/>
          <w:u w:val="single"/>
        </w:rPr>
      </w:pPr>
      <w:r w:rsidRPr="00FF0F09">
        <w:t xml:space="preserve">Rezaie, A. R. (2010). Thrombomodulin and the regulation of thrombin activity. In </w:t>
      </w:r>
      <w:r w:rsidRPr="008E7F6B">
        <w:rPr>
          <w:i/>
          <w:iCs/>
        </w:rPr>
        <w:t>Current Topics in Cellular Regulation</w:t>
      </w:r>
      <w:r w:rsidRPr="00FF0F09">
        <w:t xml:space="preserve"> (Vol. 51, pp. 147–193). Academic Press. </w:t>
      </w:r>
      <w:r w:rsidRPr="008E7F6B">
        <w:t>https://doi.org/10.1016/S0070-2137(10)51005-8</w:t>
      </w:r>
    </w:p>
    <w:p w14:paraId="6A7FF835" w14:textId="77777777" w:rsidR="00A35875" w:rsidRPr="008E7F6B" w:rsidRDefault="00A35875" w:rsidP="00A35875">
      <w:pPr>
        <w:pStyle w:val="ListParagraph"/>
        <w:numPr>
          <w:ilvl w:val="0"/>
          <w:numId w:val="9"/>
        </w:numPr>
        <w:rPr>
          <w:color w:val="0000FF"/>
          <w:u w:val="single"/>
        </w:rPr>
      </w:pPr>
      <w:r w:rsidRPr="00FF0F09">
        <w:t xml:space="preserve">Dahlbäck, B. (1997). Protein S and C4b-binding protein: Components involved in the regulation of the protein C anticoagulant system. </w:t>
      </w:r>
      <w:r w:rsidRPr="008E7F6B">
        <w:rPr>
          <w:i/>
          <w:iCs/>
        </w:rPr>
        <w:t>Thrombosis and Haemostasis, 78</w:t>
      </w:r>
      <w:r w:rsidRPr="00FF0F09">
        <w:t xml:space="preserve">(1), 315–322. </w:t>
      </w:r>
      <w:r w:rsidRPr="008E7F6B">
        <w:t>https://doi.org/10.1055/s-0038-1646373</w:t>
      </w:r>
    </w:p>
    <w:p w14:paraId="4A61ED35" w14:textId="77777777" w:rsidR="00A35875" w:rsidRPr="008E7F6B" w:rsidRDefault="00A35875" w:rsidP="00A35875">
      <w:pPr>
        <w:pStyle w:val="ListParagraph"/>
        <w:numPr>
          <w:ilvl w:val="0"/>
          <w:numId w:val="9"/>
        </w:numPr>
        <w:rPr>
          <w:color w:val="0000FF"/>
          <w:u w:val="single"/>
        </w:rPr>
      </w:pPr>
      <w:r w:rsidRPr="00FF0F09">
        <w:t xml:space="preserve">Gierula, M., &amp; Ahnström, J. (2020). Biological functions of protein S and its role as a cofactor to activated protein C. </w:t>
      </w:r>
      <w:r w:rsidRPr="008E7F6B">
        <w:rPr>
          <w:i/>
          <w:iCs/>
        </w:rPr>
        <w:t>Seminars in Thrombosis and Hemostasis, 46</w:t>
      </w:r>
      <w:r w:rsidRPr="00FF0F09">
        <w:t xml:space="preserve">(8), 883–891. </w:t>
      </w:r>
      <w:hyperlink r:id="rId12" w:history="1">
        <w:r w:rsidRPr="00745D32">
          <w:rPr>
            <w:rStyle w:val="Hyperlink"/>
          </w:rPr>
          <w:t>https://doi.org/10.1055/s-0040-1715832</w:t>
        </w:r>
      </w:hyperlink>
      <w:r>
        <w:tab/>
      </w:r>
    </w:p>
    <w:p w14:paraId="29D5EFEF" w14:textId="77777777" w:rsidR="00A35875" w:rsidRPr="00FF0F09" w:rsidRDefault="00A35875" w:rsidP="00A35875">
      <w:pPr>
        <w:pStyle w:val="ListParagraph"/>
        <w:numPr>
          <w:ilvl w:val="0"/>
          <w:numId w:val="9"/>
        </w:numPr>
      </w:pPr>
      <w:r w:rsidRPr="00FF0F09">
        <w:t xml:space="preserve">Wypasek, E., &amp; Undas, A. (2013). Protein C and protein S deficiency – Practical diagnostic issues. </w:t>
      </w:r>
      <w:r w:rsidRPr="008E7F6B">
        <w:rPr>
          <w:i/>
          <w:iCs/>
        </w:rPr>
        <w:t>Advances in Clinical and Experimental Medicine, 22</w:t>
      </w:r>
      <w:r w:rsidRPr="00FF0F09">
        <w:t>(4), 459–467.</w:t>
      </w:r>
      <w:r w:rsidRPr="008E7F6B">
        <w:t xml:space="preserve"> https://advances.umw.edu.pl/en/article/2013/22/4/459/</w:t>
      </w:r>
    </w:p>
    <w:p w14:paraId="0F6269F6" w14:textId="77777777" w:rsidR="00A35875" w:rsidRPr="008E7F6B" w:rsidRDefault="00A35875" w:rsidP="00A35875">
      <w:pPr>
        <w:pStyle w:val="ListParagraph"/>
        <w:numPr>
          <w:ilvl w:val="0"/>
          <w:numId w:val="9"/>
        </w:numPr>
        <w:rPr>
          <w:color w:val="0000FF"/>
          <w:u w:val="single"/>
        </w:rPr>
      </w:pPr>
      <w:r w:rsidRPr="00FF0F09">
        <w:t xml:space="preserve">Ghassemi, F., Abdi, F., &amp; Esfahani, M. (2020). Ophthalmic manifestations of congenital protein C deficiency: A case report and mini review. </w:t>
      </w:r>
      <w:r w:rsidRPr="008E7F6B">
        <w:rPr>
          <w:i/>
          <w:iCs/>
        </w:rPr>
        <w:t>BMC Ophthalmology, 20</w:t>
      </w:r>
      <w:r w:rsidRPr="00FF0F09">
        <w:t xml:space="preserve">, 282. </w:t>
      </w:r>
      <w:r w:rsidRPr="008E7F6B">
        <w:t>https://doi.org/10.1186/s12886-020-01424-x</w:t>
      </w:r>
    </w:p>
    <w:p w14:paraId="4D87B671" w14:textId="77777777" w:rsidR="00A35875" w:rsidRPr="008E7F6B" w:rsidRDefault="00A35875" w:rsidP="00A35875">
      <w:pPr>
        <w:pStyle w:val="ListParagraph"/>
        <w:numPr>
          <w:ilvl w:val="0"/>
          <w:numId w:val="9"/>
        </w:numPr>
        <w:rPr>
          <w:color w:val="0000FF"/>
          <w:u w:val="single"/>
        </w:rPr>
      </w:pPr>
      <w:r w:rsidRPr="00FF0F09">
        <w:t xml:space="preserve">Greven, C. M., Mammer, R., &amp; Bischof, F. (1991). Protein S deficiency and bilateral branch retinal artery occlusion in a 25-year-old. </w:t>
      </w:r>
      <w:r w:rsidRPr="008E7F6B">
        <w:rPr>
          <w:i/>
          <w:iCs/>
        </w:rPr>
        <w:t>Atherosclerosis, 88</w:t>
      </w:r>
      <w:r w:rsidRPr="00FF0F09">
        <w:t xml:space="preserve">(1), 135–139. </w:t>
      </w:r>
      <w:r w:rsidRPr="008E7F6B">
        <w:t>https://doi.org/10.1016/s0161-6420(91)32355-8</w:t>
      </w:r>
    </w:p>
    <w:p w14:paraId="6A6EF01B" w14:textId="77777777" w:rsidR="00A35875" w:rsidRPr="008E7F6B" w:rsidRDefault="00A35875" w:rsidP="00A35875">
      <w:pPr>
        <w:pStyle w:val="ListParagraph"/>
        <w:numPr>
          <w:ilvl w:val="0"/>
          <w:numId w:val="9"/>
        </w:numPr>
        <w:rPr>
          <w:color w:val="0000FF"/>
          <w:u w:val="single"/>
        </w:rPr>
      </w:pPr>
      <w:r w:rsidRPr="00FF0F09">
        <w:t xml:space="preserve">Gold, N. A., &amp; Manco Johnson, M. J. (2008). Protein C deficiency. </w:t>
      </w:r>
      <w:r w:rsidRPr="008E7F6B">
        <w:rPr>
          <w:i/>
          <w:iCs/>
        </w:rPr>
        <w:t>Haemophilia, 14</w:t>
      </w:r>
      <w:r w:rsidRPr="00FF0F09">
        <w:t xml:space="preserve">(6), 1214–1221. </w:t>
      </w:r>
      <w:r w:rsidRPr="008E7F6B">
        <w:t>https://doi.org/10.1111/j.1365-2516.2008.01838.x</w:t>
      </w:r>
    </w:p>
    <w:p w14:paraId="3CFE1A98" w14:textId="77777777" w:rsidR="00A35875" w:rsidRPr="00FF0F09" w:rsidRDefault="00A35875" w:rsidP="00A35875">
      <w:pPr>
        <w:pStyle w:val="ListParagraph"/>
        <w:numPr>
          <w:ilvl w:val="0"/>
          <w:numId w:val="9"/>
        </w:numPr>
      </w:pPr>
      <w:r w:rsidRPr="00FF0F09">
        <w:lastRenderedPageBreak/>
        <w:t xml:space="preserve">Anzola, G., Magoni, M., Ascan, E., et al. (1993). Early prognostic factors in ischaemic stroke: The role of protein C and protein S. </w:t>
      </w:r>
      <w:r w:rsidRPr="008E7F6B">
        <w:rPr>
          <w:i/>
          <w:iCs/>
        </w:rPr>
        <w:t>Stroke, 24</w:t>
      </w:r>
      <w:r w:rsidRPr="00FF0F09">
        <w:t xml:space="preserve">(10), 1496–1500. </w:t>
      </w:r>
      <w:r w:rsidRPr="008E7F6B">
        <w:t>https://doi.org/10.1161/01.STR.24.10.1496</w:t>
      </w:r>
    </w:p>
    <w:p w14:paraId="7B4F0A70" w14:textId="77777777" w:rsidR="00A35875" w:rsidRPr="00FF0F09" w:rsidRDefault="00A35875" w:rsidP="00A35875">
      <w:pPr>
        <w:pStyle w:val="ListParagraph"/>
        <w:numPr>
          <w:ilvl w:val="0"/>
          <w:numId w:val="9"/>
        </w:numPr>
      </w:pPr>
      <w:r w:rsidRPr="00FF0F09">
        <w:t xml:space="preserve">Yin, T., Takeshita, S., Sato, Y., Sakata, T., Shin, Y., &amp; Honda, S. (2007). A large deletion of the PROS1 gene in a deep vein thrombosis patient with protein S deficiency. </w:t>
      </w:r>
      <w:r w:rsidRPr="008E7F6B">
        <w:rPr>
          <w:i/>
          <w:iCs/>
        </w:rPr>
        <w:t>Thrombosis and Haemostasis, 98</w:t>
      </w:r>
      <w:r w:rsidRPr="00FF0F09">
        <w:t>(3), 783–789.</w:t>
      </w:r>
      <w:r w:rsidRPr="008E7F6B">
        <w:t xml:space="preserve"> https://doi.org/10.1160/th07-03-0211</w:t>
      </w:r>
    </w:p>
    <w:p w14:paraId="225066FF" w14:textId="77777777" w:rsidR="00A35875" w:rsidRPr="008E7F6B" w:rsidRDefault="00A35875" w:rsidP="00A35875">
      <w:pPr>
        <w:pStyle w:val="ListParagraph"/>
        <w:numPr>
          <w:ilvl w:val="0"/>
          <w:numId w:val="9"/>
        </w:numPr>
        <w:rPr>
          <w:color w:val="0000FF"/>
          <w:u w:val="single"/>
        </w:rPr>
      </w:pPr>
      <w:r w:rsidRPr="00FF0F09">
        <w:t xml:space="preserve">Padda, I. S., Zubair, M., &amp; Citla Sridhar, D. (2025). </w:t>
      </w:r>
      <w:r w:rsidRPr="008E7F6B">
        <w:rPr>
          <w:i/>
          <w:iCs/>
        </w:rPr>
        <w:t>Protein C and S.</w:t>
      </w:r>
      <w:r w:rsidRPr="00FF0F09">
        <w:t xml:space="preserve"> In </w:t>
      </w:r>
      <w:r w:rsidRPr="008E7F6B">
        <w:rPr>
          <w:i/>
          <w:iCs/>
        </w:rPr>
        <w:t>StatPearls [Internet].</w:t>
      </w:r>
      <w:r w:rsidRPr="00FF0F09">
        <w:t xml:space="preserve"> Treasure Island (FL): StatPearls Publishing. </w:t>
      </w:r>
      <w:r w:rsidRPr="008E7F6B">
        <w:t>https://www.ncbi.nlm.nih.gov/books/NBK557814/</w:t>
      </w:r>
    </w:p>
    <w:p w14:paraId="018C054E" w14:textId="77777777" w:rsidR="00A35875" w:rsidRPr="008E7F6B" w:rsidRDefault="00A35875" w:rsidP="00A35875">
      <w:pPr>
        <w:pStyle w:val="ListParagraph"/>
        <w:numPr>
          <w:ilvl w:val="0"/>
          <w:numId w:val="9"/>
        </w:numPr>
        <w:rPr>
          <w:color w:val="0000FF"/>
          <w:u w:val="single"/>
        </w:rPr>
      </w:pPr>
      <w:r w:rsidRPr="00FF0F09">
        <w:t xml:space="preserve">Marlar, R. A., &amp; Gausman, J. N. (2014). Laboratory testing issues for protein C, protein S, and antithrombin. </w:t>
      </w:r>
      <w:r w:rsidRPr="008E7F6B">
        <w:rPr>
          <w:i/>
          <w:iCs/>
        </w:rPr>
        <w:t>International Journal of Laboratory Hematology, 36</w:t>
      </w:r>
      <w:r w:rsidRPr="00FF0F09">
        <w:t xml:space="preserve">(3), 289–295. </w:t>
      </w:r>
      <w:r w:rsidRPr="008E7F6B">
        <w:t>https://doi.org/10.1111/ijlh.12219</w:t>
      </w:r>
    </w:p>
    <w:p w14:paraId="73B42B71" w14:textId="77777777" w:rsidR="00A35875" w:rsidRPr="008E7F6B" w:rsidRDefault="00A35875" w:rsidP="00A35875">
      <w:pPr>
        <w:pStyle w:val="ListParagraph"/>
        <w:numPr>
          <w:ilvl w:val="0"/>
          <w:numId w:val="9"/>
        </w:numPr>
        <w:rPr>
          <w:color w:val="0000FF"/>
          <w:u w:val="single"/>
        </w:rPr>
      </w:pPr>
      <w:r w:rsidRPr="00FF0F09">
        <w:t xml:space="preserve">D’Angelo, S. V., Gilardoni, F., &amp; D’Angelo, A. (1989). Evaluation of coagulometric assays in the assessment of protein C anticoagulant activity: Variable sensitivity of commercial APTT reagents to the cofactor effect of protein S. </w:t>
      </w:r>
      <w:r w:rsidRPr="008E7F6B">
        <w:rPr>
          <w:i/>
          <w:iCs/>
        </w:rPr>
        <w:t>Thrombosis and Haemostasis, 62</w:t>
      </w:r>
      <w:r w:rsidRPr="00FF0F09">
        <w:t xml:space="preserve">(6), 861–867. </w:t>
      </w:r>
      <w:r w:rsidRPr="008E7F6B">
        <w:t>https://doi.org/10.1055/s-0038-1651018</w:t>
      </w:r>
    </w:p>
    <w:p w14:paraId="61F39166" w14:textId="77777777" w:rsidR="00A35875" w:rsidRPr="00FF0F09" w:rsidRDefault="00A35875" w:rsidP="00A35875">
      <w:pPr>
        <w:pStyle w:val="ListParagraph"/>
        <w:numPr>
          <w:ilvl w:val="0"/>
          <w:numId w:val="9"/>
        </w:numPr>
      </w:pPr>
      <w:r w:rsidRPr="00FF0F09">
        <w:t xml:space="preserve">Mackie, I., Cooper, P., Lawrie, A., Kitchen, S., Gray, E., &amp; Laffan, M. (2013). Guidelines on the laboratory aspects of assays used in haemostasis and thrombosis. </w:t>
      </w:r>
      <w:r w:rsidRPr="008E7F6B">
        <w:rPr>
          <w:i/>
          <w:iCs/>
        </w:rPr>
        <w:t>International Journal of Laboratory Hematology, 35</w:t>
      </w:r>
      <w:r w:rsidRPr="00FF0F09">
        <w:t>(1), 1–13.</w:t>
      </w:r>
      <w:r w:rsidRPr="008E7F6B">
        <w:t xml:space="preserve"> https://doi.org/10.1111/ijlh.12004</w:t>
      </w:r>
    </w:p>
    <w:p w14:paraId="581DEB77" w14:textId="77777777" w:rsidR="00A35875" w:rsidRPr="008E7F6B" w:rsidRDefault="00A35875" w:rsidP="00A35875">
      <w:pPr>
        <w:pStyle w:val="ListParagraph"/>
        <w:numPr>
          <w:ilvl w:val="0"/>
          <w:numId w:val="9"/>
        </w:numPr>
        <w:rPr>
          <w:color w:val="0000FF"/>
          <w:u w:val="single"/>
        </w:rPr>
      </w:pPr>
      <w:r w:rsidRPr="00FF0F09">
        <w:t xml:space="preserve">García de Frutos, P., Fuentes-Prior, P., Hurtado, B., &amp; Sala, N. (2007). Molecular basis of protein S deficiency. </w:t>
      </w:r>
      <w:r w:rsidRPr="008E7F6B">
        <w:rPr>
          <w:i/>
          <w:iCs/>
        </w:rPr>
        <w:t>Thrombosis and Haemostasis, 98</w:t>
      </w:r>
      <w:r w:rsidRPr="00FF0F09">
        <w:t xml:space="preserve">(3), 543–556. </w:t>
      </w:r>
      <w:r w:rsidRPr="008E7F6B">
        <w:t>https://doi.org/10.1160/TH07-03-0199</w:t>
      </w:r>
    </w:p>
    <w:p w14:paraId="0EDF2646" w14:textId="77777777" w:rsidR="00A35875" w:rsidRPr="008E7F6B" w:rsidRDefault="00A35875" w:rsidP="00A35875">
      <w:pPr>
        <w:pStyle w:val="ListParagraph"/>
        <w:numPr>
          <w:ilvl w:val="0"/>
          <w:numId w:val="9"/>
        </w:numPr>
        <w:rPr>
          <w:color w:val="0000FF"/>
          <w:u w:val="single"/>
        </w:rPr>
      </w:pPr>
      <w:r w:rsidRPr="00FF0F09">
        <w:t xml:space="preserve">Brummel-Ziedins, K., Orfeo, T., Everse, S. J., &amp; Mann, K. G. (2012). Blood coagulation and thrombin generation: Measurement and interpretation of D-dimer in clinical thrombosis. </w:t>
      </w:r>
      <w:r w:rsidRPr="008E7F6B">
        <w:rPr>
          <w:i/>
          <w:iCs/>
        </w:rPr>
        <w:t>Blood Reviews, 26</w:t>
      </w:r>
      <w:r w:rsidRPr="00FF0F09">
        <w:t>(3), 111–122</w:t>
      </w:r>
      <w:r w:rsidRPr="008E7F6B">
        <w:t xml:space="preserve"> https://doi.org/10.1016/j.blre.2012.01.002</w:t>
      </w:r>
    </w:p>
    <w:p w14:paraId="21CC1071" w14:textId="77777777" w:rsidR="00A35875" w:rsidRPr="008E7F6B" w:rsidRDefault="00A35875" w:rsidP="00A35875">
      <w:pPr>
        <w:pStyle w:val="ListParagraph"/>
        <w:numPr>
          <w:ilvl w:val="0"/>
          <w:numId w:val="9"/>
        </w:numPr>
        <w:rPr>
          <w:color w:val="0000FF"/>
          <w:u w:val="single"/>
        </w:rPr>
      </w:pPr>
      <w:r w:rsidRPr="00FF0F09">
        <w:t xml:space="preserve">Dreyfus, M. (2003). Severe congenital protein C deficiency: Therapeutic strategies and long-term outcome. </w:t>
      </w:r>
      <w:r w:rsidRPr="008E7F6B">
        <w:rPr>
          <w:i/>
          <w:iCs/>
        </w:rPr>
        <w:t>Seminars in Thrombosis and Haemostasis, 29</w:t>
      </w:r>
      <w:r w:rsidRPr="00FF0F09">
        <w:t xml:space="preserve">(2), 171–184. </w:t>
      </w:r>
    </w:p>
    <w:p w14:paraId="2C9F7DB1" w14:textId="77777777" w:rsidR="00A35875" w:rsidRPr="00FF0F09" w:rsidRDefault="00A35875" w:rsidP="00A35875">
      <w:pPr>
        <w:pStyle w:val="ListParagraph"/>
        <w:numPr>
          <w:ilvl w:val="0"/>
          <w:numId w:val="9"/>
        </w:numPr>
      </w:pPr>
      <w:r w:rsidRPr="00FF0F09">
        <w:t xml:space="preserve">Seligsohn, U., &amp; Lubetsky, A. (2001). Genetic susceptibility to venous thrombosis. </w:t>
      </w:r>
      <w:r w:rsidRPr="008E7F6B">
        <w:rPr>
          <w:i/>
          <w:iCs/>
        </w:rPr>
        <w:t>The New England Journal of Medicine, 344</w:t>
      </w:r>
      <w:r w:rsidRPr="00FF0F09">
        <w:t xml:space="preserve">(16), 1222–1231. </w:t>
      </w:r>
      <w:r w:rsidRPr="0059491D">
        <w:t>https://doi.org/10.1056/NEJM200104193441607</w:t>
      </w:r>
    </w:p>
    <w:p w14:paraId="7DA5C371" w14:textId="77777777" w:rsidR="00A35875" w:rsidRPr="00FF0F09" w:rsidRDefault="00A35875" w:rsidP="00A35875">
      <w:pPr>
        <w:pStyle w:val="ListParagraph"/>
        <w:numPr>
          <w:ilvl w:val="0"/>
          <w:numId w:val="9"/>
        </w:numPr>
      </w:pPr>
      <w:r w:rsidRPr="00FF0F09">
        <w:t xml:space="preserve">Pilli, V. S., Datta, A., Afreen, S., Catalano, D., Szabo, G., &amp; Majumder, R. (2018). Hypoxia downregulates protein S expression. </w:t>
      </w:r>
      <w:r w:rsidRPr="008E7F6B">
        <w:rPr>
          <w:i/>
          <w:iCs/>
        </w:rPr>
        <w:t>Blood, 132</w:t>
      </w:r>
      <w:r w:rsidRPr="00FF0F09">
        <w:t xml:space="preserve">(4), 452–455. </w:t>
      </w:r>
      <w:r w:rsidRPr="0059491D">
        <w:t>https://doi.org/10.1182/blood-2018-04-841585</w:t>
      </w:r>
    </w:p>
    <w:p w14:paraId="5B47C594" w14:textId="77777777" w:rsidR="00A35875" w:rsidRPr="00FF0F09" w:rsidRDefault="00A35875" w:rsidP="00A35875">
      <w:pPr>
        <w:pStyle w:val="ListParagraph"/>
        <w:numPr>
          <w:ilvl w:val="0"/>
          <w:numId w:val="9"/>
        </w:numPr>
      </w:pPr>
      <w:r w:rsidRPr="00FF0F09">
        <w:t xml:space="preserve">Wigle, P., Hein, B., &amp; Bernheisel, C. R. (2019). Anticoagulation: Updated guidelines for outpatient management. </w:t>
      </w:r>
      <w:r w:rsidRPr="008E7F6B">
        <w:rPr>
          <w:i/>
          <w:iCs/>
        </w:rPr>
        <w:t>American Family Physician, 100</w:t>
      </w:r>
      <w:r w:rsidRPr="00FF0F09">
        <w:t xml:space="preserve">(7), 426–434. </w:t>
      </w:r>
      <w:r w:rsidRPr="0059491D">
        <w:t>https://www.aafp.org/afp/2019/1001/p426.html</w:t>
      </w:r>
    </w:p>
    <w:p w14:paraId="6B739E99" w14:textId="77777777" w:rsidR="00A35875" w:rsidRPr="00FF0F09" w:rsidRDefault="00A35875" w:rsidP="00A35875">
      <w:pPr>
        <w:pStyle w:val="ListParagraph"/>
        <w:numPr>
          <w:ilvl w:val="0"/>
          <w:numId w:val="9"/>
        </w:numPr>
      </w:pPr>
      <w:r w:rsidRPr="00FF0F09">
        <w:t xml:space="preserve">Naghavi, S., Pourmohammadi, A., &amp; Adibi, I. (2021). Rivaroxaban in recurrent ischemic stroke due to protein S deficiency: A case report. </w:t>
      </w:r>
      <w:r w:rsidRPr="008E7F6B">
        <w:rPr>
          <w:i/>
          <w:iCs/>
        </w:rPr>
        <w:t>Neurology and Therapy, 10</w:t>
      </w:r>
      <w:r w:rsidRPr="00FF0F09">
        <w:t xml:space="preserve">(1), 401–406. </w:t>
      </w:r>
      <w:hyperlink r:id="rId13" w:history="1">
        <w:r w:rsidRPr="00745D32">
          <w:rPr>
            <w:rStyle w:val="Hyperlink"/>
          </w:rPr>
          <w:t>https://doi.org/10.1007/s40120-021-00232-9</w:t>
        </w:r>
      </w:hyperlink>
      <w:r>
        <w:tab/>
      </w:r>
    </w:p>
    <w:p w14:paraId="3A1383A5" w14:textId="77777777" w:rsidR="00C804BD" w:rsidRDefault="00C804BD" w:rsidP="00C804BD">
      <w:pPr>
        <w:spacing w:after="0" w:line="360" w:lineRule="auto"/>
        <w:jc w:val="both"/>
        <w:rPr>
          <w:rFonts w:asciiTheme="majorBidi" w:hAnsiTheme="majorBidi" w:cstheme="majorBidi"/>
          <w:sz w:val="24"/>
          <w:szCs w:val="24"/>
          <w:lang w:val="en-US"/>
        </w:rPr>
      </w:pPr>
      <w:bookmarkStart w:id="0" w:name="_GoBack"/>
      <w:bookmarkEnd w:id="0"/>
    </w:p>
    <w:sectPr w:rsidR="00C804BD" w:rsidSect="00D71A89">
      <w:headerReference w:type="even" r:id="rId14"/>
      <w:headerReference w:type="default" r:id="rId15"/>
      <w:footerReference w:type="even" r:id="rId16"/>
      <w:footerReference w:type="default" r:id="rId17"/>
      <w:headerReference w:type="first" r:id="rId18"/>
      <w:footerReference w:type="first" r:id="rId19"/>
      <w:type w:val="continuous"/>
      <w:pgSz w:w="11910" w:h="16840" w:code="9"/>
      <w:pgMar w:top="1440" w:right="1440" w:bottom="1440" w:left="1440"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7880A" w14:textId="77777777" w:rsidR="002A0607" w:rsidRDefault="002A0607" w:rsidP="007C46BA">
      <w:pPr>
        <w:spacing w:after="0" w:line="240" w:lineRule="auto"/>
      </w:pPr>
      <w:r>
        <w:separator/>
      </w:r>
    </w:p>
  </w:endnote>
  <w:endnote w:type="continuationSeparator" w:id="0">
    <w:p w14:paraId="256F4EC4" w14:textId="77777777" w:rsidR="002A0607" w:rsidRDefault="002A0607" w:rsidP="007C4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9583A" w14:textId="77777777" w:rsidR="0077082C" w:rsidRDefault="007708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18764" w14:textId="77777777" w:rsidR="0077082C" w:rsidRDefault="007708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DC310" w14:textId="77777777" w:rsidR="0077082C" w:rsidRDefault="00770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5401B" w14:textId="77777777" w:rsidR="002A0607" w:rsidRDefault="002A0607" w:rsidP="007C46BA">
      <w:pPr>
        <w:spacing w:after="0" w:line="240" w:lineRule="auto"/>
      </w:pPr>
      <w:r>
        <w:separator/>
      </w:r>
    </w:p>
  </w:footnote>
  <w:footnote w:type="continuationSeparator" w:id="0">
    <w:p w14:paraId="4EC254D3" w14:textId="77777777" w:rsidR="002A0607" w:rsidRDefault="002A0607" w:rsidP="007C4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95E6E" w14:textId="5B73A7B0" w:rsidR="0077082C" w:rsidRDefault="002A0607">
    <w:pPr>
      <w:pStyle w:val="Header"/>
    </w:pPr>
    <w:r>
      <w:rPr>
        <w:noProof/>
      </w:rPr>
      <w:pict w14:anchorId="056053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010579" o:spid="_x0000_s2050" type="#_x0000_t136" style="position:absolute;margin-left:0;margin-top:0;width:535.55pt;height:10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9B03D" w14:textId="2C81B81B" w:rsidR="0077082C" w:rsidRDefault="002A0607">
    <w:pPr>
      <w:pStyle w:val="Header"/>
    </w:pPr>
    <w:r>
      <w:rPr>
        <w:noProof/>
      </w:rPr>
      <w:pict w14:anchorId="5FD940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010580" o:spid="_x0000_s2051" type="#_x0000_t136" style="position:absolute;margin-left:0;margin-top:0;width:535.55pt;height:10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97763" w14:textId="03703FA1" w:rsidR="0077082C" w:rsidRDefault="002A0607">
    <w:pPr>
      <w:pStyle w:val="Header"/>
    </w:pPr>
    <w:r>
      <w:rPr>
        <w:noProof/>
      </w:rPr>
      <w:pict w14:anchorId="75922A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010578" o:spid="_x0000_s2049" type="#_x0000_t136" style="position:absolute;margin-left:0;margin-top:0;width:535.55pt;height:10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3.95pt;height:13.95pt" o:bullet="t">
        <v:imagedata r:id="rId1" o:title="msoA12"/>
      </v:shape>
    </w:pict>
  </w:numPicBullet>
  <w:abstractNum w:abstractNumId="0" w15:restartNumberingAfterBreak="0">
    <w:nsid w:val="0C9F620E"/>
    <w:multiLevelType w:val="hybridMultilevel"/>
    <w:tmpl w:val="EC10DFC0"/>
    <w:lvl w:ilvl="0" w:tplc="82905C34">
      <w:start w:val="1"/>
      <w:numFmt w:val="decimal"/>
      <w:lvlText w:val="%1."/>
      <w:lvlJc w:val="left"/>
      <w:pPr>
        <w:ind w:left="204" w:hanging="181"/>
      </w:pPr>
      <w:rPr>
        <w:rFonts w:hint="default"/>
        <w:spacing w:val="0"/>
        <w:w w:val="83"/>
        <w:lang w:val="en-US" w:eastAsia="en-US" w:bidi="ar-SA"/>
      </w:rPr>
    </w:lvl>
    <w:lvl w:ilvl="1" w:tplc="99BA2532">
      <w:start w:val="1"/>
      <w:numFmt w:val="decimal"/>
      <w:lvlText w:val="%2."/>
      <w:lvlJc w:val="left"/>
      <w:pPr>
        <w:ind w:left="744" w:hanging="360"/>
        <w:jc w:val="right"/>
      </w:pPr>
      <w:rPr>
        <w:rFonts w:ascii="Trebuchet MS" w:eastAsia="Trebuchet MS" w:hAnsi="Trebuchet MS" w:cs="Trebuchet MS" w:hint="default"/>
        <w:b w:val="0"/>
        <w:bCs w:val="0"/>
        <w:i w:val="0"/>
        <w:iCs w:val="0"/>
        <w:spacing w:val="0"/>
        <w:w w:val="91"/>
        <w:sz w:val="24"/>
        <w:szCs w:val="24"/>
        <w:lang w:val="en-US" w:eastAsia="en-US" w:bidi="ar-SA"/>
      </w:rPr>
    </w:lvl>
    <w:lvl w:ilvl="2" w:tplc="4670AC9E">
      <w:numFmt w:val="bullet"/>
      <w:lvlText w:val="•"/>
      <w:lvlJc w:val="left"/>
      <w:pPr>
        <w:ind w:left="1665" w:hanging="360"/>
      </w:pPr>
      <w:rPr>
        <w:rFonts w:hint="default"/>
        <w:lang w:val="en-US" w:eastAsia="en-US" w:bidi="ar-SA"/>
      </w:rPr>
    </w:lvl>
    <w:lvl w:ilvl="3" w:tplc="AA5C11DA">
      <w:numFmt w:val="bullet"/>
      <w:lvlText w:val="•"/>
      <w:lvlJc w:val="left"/>
      <w:pPr>
        <w:ind w:left="2591" w:hanging="360"/>
      </w:pPr>
      <w:rPr>
        <w:rFonts w:hint="default"/>
        <w:lang w:val="en-US" w:eastAsia="en-US" w:bidi="ar-SA"/>
      </w:rPr>
    </w:lvl>
    <w:lvl w:ilvl="4" w:tplc="3056A90A">
      <w:numFmt w:val="bullet"/>
      <w:lvlText w:val="•"/>
      <w:lvlJc w:val="left"/>
      <w:pPr>
        <w:ind w:left="3517" w:hanging="360"/>
      </w:pPr>
      <w:rPr>
        <w:rFonts w:hint="default"/>
        <w:lang w:val="en-US" w:eastAsia="en-US" w:bidi="ar-SA"/>
      </w:rPr>
    </w:lvl>
    <w:lvl w:ilvl="5" w:tplc="967CB99C">
      <w:numFmt w:val="bullet"/>
      <w:lvlText w:val="•"/>
      <w:lvlJc w:val="left"/>
      <w:pPr>
        <w:ind w:left="4442" w:hanging="360"/>
      </w:pPr>
      <w:rPr>
        <w:rFonts w:hint="default"/>
        <w:lang w:val="en-US" w:eastAsia="en-US" w:bidi="ar-SA"/>
      </w:rPr>
    </w:lvl>
    <w:lvl w:ilvl="6" w:tplc="140C95D0">
      <w:numFmt w:val="bullet"/>
      <w:lvlText w:val="•"/>
      <w:lvlJc w:val="left"/>
      <w:pPr>
        <w:ind w:left="5368" w:hanging="360"/>
      </w:pPr>
      <w:rPr>
        <w:rFonts w:hint="default"/>
        <w:lang w:val="en-US" w:eastAsia="en-US" w:bidi="ar-SA"/>
      </w:rPr>
    </w:lvl>
    <w:lvl w:ilvl="7" w:tplc="D0EA43E6">
      <w:numFmt w:val="bullet"/>
      <w:lvlText w:val="•"/>
      <w:lvlJc w:val="left"/>
      <w:pPr>
        <w:ind w:left="6294" w:hanging="360"/>
      </w:pPr>
      <w:rPr>
        <w:rFonts w:hint="default"/>
        <w:lang w:val="en-US" w:eastAsia="en-US" w:bidi="ar-SA"/>
      </w:rPr>
    </w:lvl>
    <w:lvl w:ilvl="8" w:tplc="3C005906">
      <w:numFmt w:val="bullet"/>
      <w:lvlText w:val="•"/>
      <w:lvlJc w:val="left"/>
      <w:pPr>
        <w:ind w:left="7219" w:hanging="360"/>
      </w:pPr>
      <w:rPr>
        <w:rFonts w:hint="default"/>
        <w:lang w:val="en-US" w:eastAsia="en-US" w:bidi="ar-SA"/>
      </w:rPr>
    </w:lvl>
  </w:abstractNum>
  <w:abstractNum w:abstractNumId="1" w15:restartNumberingAfterBreak="0">
    <w:nsid w:val="1AEE525C"/>
    <w:multiLevelType w:val="hybridMultilevel"/>
    <w:tmpl w:val="C9762F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5065A17"/>
    <w:multiLevelType w:val="hybridMultilevel"/>
    <w:tmpl w:val="A35ED91C"/>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7AF5975"/>
    <w:multiLevelType w:val="hybridMultilevel"/>
    <w:tmpl w:val="6D42E97E"/>
    <w:lvl w:ilvl="0" w:tplc="2DD0E228">
      <w:numFmt w:val="bullet"/>
      <w:lvlText w:val=""/>
      <w:lvlJc w:val="left"/>
      <w:pPr>
        <w:ind w:left="744" w:hanging="360"/>
      </w:pPr>
      <w:rPr>
        <w:rFonts w:ascii="Symbol" w:eastAsia="Symbol" w:hAnsi="Symbol" w:cs="Symbol" w:hint="default"/>
        <w:b w:val="0"/>
        <w:bCs w:val="0"/>
        <w:i w:val="0"/>
        <w:iCs w:val="0"/>
        <w:spacing w:val="0"/>
        <w:w w:val="100"/>
        <w:sz w:val="20"/>
        <w:szCs w:val="20"/>
        <w:lang w:val="en-US" w:eastAsia="en-US" w:bidi="ar-SA"/>
      </w:rPr>
    </w:lvl>
    <w:lvl w:ilvl="1" w:tplc="B7188B88">
      <w:numFmt w:val="bullet"/>
      <w:lvlText w:val="•"/>
      <w:lvlJc w:val="left"/>
      <w:pPr>
        <w:ind w:left="1573" w:hanging="360"/>
      </w:pPr>
      <w:rPr>
        <w:rFonts w:hint="default"/>
        <w:lang w:val="en-US" w:eastAsia="en-US" w:bidi="ar-SA"/>
      </w:rPr>
    </w:lvl>
    <w:lvl w:ilvl="2" w:tplc="6172B50A">
      <w:numFmt w:val="bullet"/>
      <w:lvlText w:val="•"/>
      <w:lvlJc w:val="left"/>
      <w:pPr>
        <w:ind w:left="2406" w:hanging="360"/>
      </w:pPr>
      <w:rPr>
        <w:rFonts w:hint="default"/>
        <w:lang w:val="en-US" w:eastAsia="en-US" w:bidi="ar-SA"/>
      </w:rPr>
    </w:lvl>
    <w:lvl w:ilvl="3" w:tplc="E8F80F70">
      <w:numFmt w:val="bullet"/>
      <w:lvlText w:val="•"/>
      <w:lvlJc w:val="left"/>
      <w:pPr>
        <w:ind w:left="3239" w:hanging="360"/>
      </w:pPr>
      <w:rPr>
        <w:rFonts w:hint="default"/>
        <w:lang w:val="en-US" w:eastAsia="en-US" w:bidi="ar-SA"/>
      </w:rPr>
    </w:lvl>
    <w:lvl w:ilvl="4" w:tplc="7E3404CE">
      <w:numFmt w:val="bullet"/>
      <w:lvlText w:val="•"/>
      <w:lvlJc w:val="left"/>
      <w:pPr>
        <w:ind w:left="4072" w:hanging="360"/>
      </w:pPr>
      <w:rPr>
        <w:rFonts w:hint="default"/>
        <w:lang w:val="en-US" w:eastAsia="en-US" w:bidi="ar-SA"/>
      </w:rPr>
    </w:lvl>
    <w:lvl w:ilvl="5" w:tplc="B82CFA7E">
      <w:numFmt w:val="bullet"/>
      <w:lvlText w:val="•"/>
      <w:lvlJc w:val="left"/>
      <w:pPr>
        <w:ind w:left="4905" w:hanging="360"/>
      </w:pPr>
      <w:rPr>
        <w:rFonts w:hint="default"/>
        <w:lang w:val="en-US" w:eastAsia="en-US" w:bidi="ar-SA"/>
      </w:rPr>
    </w:lvl>
    <w:lvl w:ilvl="6" w:tplc="3DFC4B7A">
      <w:numFmt w:val="bullet"/>
      <w:lvlText w:val="•"/>
      <w:lvlJc w:val="left"/>
      <w:pPr>
        <w:ind w:left="5738" w:hanging="360"/>
      </w:pPr>
      <w:rPr>
        <w:rFonts w:hint="default"/>
        <w:lang w:val="en-US" w:eastAsia="en-US" w:bidi="ar-SA"/>
      </w:rPr>
    </w:lvl>
    <w:lvl w:ilvl="7" w:tplc="F74A689C">
      <w:numFmt w:val="bullet"/>
      <w:lvlText w:val="•"/>
      <w:lvlJc w:val="left"/>
      <w:pPr>
        <w:ind w:left="6571" w:hanging="360"/>
      </w:pPr>
      <w:rPr>
        <w:rFonts w:hint="default"/>
        <w:lang w:val="en-US" w:eastAsia="en-US" w:bidi="ar-SA"/>
      </w:rPr>
    </w:lvl>
    <w:lvl w:ilvl="8" w:tplc="8E18BFFE">
      <w:numFmt w:val="bullet"/>
      <w:lvlText w:val="•"/>
      <w:lvlJc w:val="left"/>
      <w:pPr>
        <w:ind w:left="7404" w:hanging="360"/>
      </w:pPr>
      <w:rPr>
        <w:rFonts w:hint="default"/>
        <w:lang w:val="en-US" w:eastAsia="en-US" w:bidi="ar-SA"/>
      </w:rPr>
    </w:lvl>
  </w:abstractNum>
  <w:abstractNum w:abstractNumId="4" w15:restartNumberingAfterBreak="0">
    <w:nsid w:val="47FC3FD5"/>
    <w:multiLevelType w:val="hybridMultilevel"/>
    <w:tmpl w:val="28A0F692"/>
    <w:lvl w:ilvl="0" w:tplc="DCAEA52C">
      <w:start w:val="1"/>
      <w:numFmt w:val="decimal"/>
      <w:lvlText w:val="%1."/>
      <w:lvlJc w:val="left"/>
      <w:pPr>
        <w:ind w:left="750" w:hanging="390"/>
      </w:pPr>
      <w:rPr>
        <w:rFonts w:asciiTheme="minorHAnsi" w:eastAsiaTheme="minorHAnsi" w:hAnsiTheme="minorHAnsi" w:cstheme="minorBidi" w:hint="default"/>
        <w:color w:val="auto"/>
        <w:sz w:val="4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85A2DD8"/>
    <w:multiLevelType w:val="hybridMultilevel"/>
    <w:tmpl w:val="D716F89C"/>
    <w:lvl w:ilvl="0" w:tplc="DCAEA52C">
      <w:start w:val="1"/>
      <w:numFmt w:val="decimal"/>
      <w:lvlText w:val="%1."/>
      <w:lvlJc w:val="left"/>
      <w:pPr>
        <w:ind w:left="1110" w:hanging="390"/>
      </w:pPr>
      <w:rPr>
        <w:rFonts w:asciiTheme="minorHAnsi" w:eastAsiaTheme="minorHAnsi" w:hAnsiTheme="minorHAnsi" w:cstheme="minorBidi" w:hint="default"/>
        <w:color w:val="auto"/>
        <w:sz w:val="4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58894114"/>
    <w:multiLevelType w:val="multilevel"/>
    <w:tmpl w:val="BE369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E445E3"/>
    <w:multiLevelType w:val="hybridMultilevel"/>
    <w:tmpl w:val="D1649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D60516"/>
    <w:multiLevelType w:val="multilevel"/>
    <w:tmpl w:val="7AAA7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3"/>
  </w:num>
  <w:num w:numId="4">
    <w:abstractNumId w:val="0"/>
  </w:num>
  <w:num w:numId="5">
    <w:abstractNumId w:val="2"/>
  </w:num>
  <w:num w:numId="6">
    <w:abstractNumId w:val="1"/>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6114"/>
    <w:rsid w:val="00016CB8"/>
    <w:rsid w:val="00031212"/>
    <w:rsid w:val="00067520"/>
    <w:rsid w:val="00080DC6"/>
    <w:rsid w:val="00090FDC"/>
    <w:rsid w:val="000B33EF"/>
    <w:rsid w:val="000C308E"/>
    <w:rsid w:val="000D1CBD"/>
    <w:rsid w:val="000D77A4"/>
    <w:rsid w:val="00100B91"/>
    <w:rsid w:val="00121F42"/>
    <w:rsid w:val="00191C98"/>
    <w:rsid w:val="001A24B1"/>
    <w:rsid w:val="001B47F1"/>
    <w:rsid w:val="001F56B0"/>
    <w:rsid w:val="00204F3B"/>
    <w:rsid w:val="002317F4"/>
    <w:rsid w:val="00236B14"/>
    <w:rsid w:val="00286B84"/>
    <w:rsid w:val="002A0607"/>
    <w:rsid w:val="002A2597"/>
    <w:rsid w:val="002D71D7"/>
    <w:rsid w:val="00370CAF"/>
    <w:rsid w:val="003720B5"/>
    <w:rsid w:val="00397563"/>
    <w:rsid w:val="003A6FB5"/>
    <w:rsid w:val="003C7554"/>
    <w:rsid w:val="003D12D3"/>
    <w:rsid w:val="00405A26"/>
    <w:rsid w:val="00407AB6"/>
    <w:rsid w:val="004732EF"/>
    <w:rsid w:val="0047689E"/>
    <w:rsid w:val="005331BB"/>
    <w:rsid w:val="005533CD"/>
    <w:rsid w:val="00561A96"/>
    <w:rsid w:val="005768E6"/>
    <w:rsid w:val="00586C0A"/>
    <w:rsid w:val="005D0751"/>
    <w:rsid w:val="006056E2"/>
    <w:rsid w:val="00613B5D"/>
    <w:rsid w:val="00614B05"/>
    <w:rsid w:val="00676747"/>
    <w:rsid w:val="00694700"/>
    <w:rsid w:val="006A7D49"/>
    <w:rsid w:val="006E6012"/>
    <w:rsid w:val="00714260"/>
    <w:rsid w:val="0077082C"/>
    <w:rsid w:val="007C0228"/>
    <w:rsid w:val="007C46BA"/>
    <w:rsid w:val="00801C2C"/>
    <w:rsid w:val="008745D6"/>
    <w:rsid w:val="009021C6"/>
    <w:rsid w:val="00926268"/>
    <w:rsid w:val="00964EB8"/>
    <w:rsid w:val="009D0786"/>
    <w:rsid w:val="009E5D0B"/>
    <w:rsid w:val="00A13EBF"/>
    <w:rsid w:val="00A35875"/>
    <w:rsid w:val="00A40B58"/>
    <w:rsid w:val="00A6309F"/>
    <w:rsid w:val="00A65B3E"/>
    <w:rsid w:val="00AC5153"/>
    <w:rsid w:val="00AE0F2E"/>
    <w:rsid w:val="00B23A2D"/>
    <w:rsid w:val="00B76457"/>
    <w:rsid w:val="00BB26BF"/>
    <w:rsid w:val="00BC2EC9"/>
    <w:rsid w:val="00C04EF2"/>
    <w:rsid w:val="00C167D1"/>
    <w:rsid w:val="00C23D03"/>
    <w:rsid w:val="00C46114"/>
    <w:rsid w:val="00C55B2C"/>
    <w:rsid w:val="00C804BD"/>
    <w:rsid w:val="00CB2290"/>
    <w:rsid w:val="00CE65E7"/>
    <w:rsid w:val="00D71A89"/>
    <w:rsid w:val="00D77A6D"/>
    <w:rsid w:val="00DB3B9A"/>
    <w:rsid w:val="00DB3CB2"/>
    <w:rsid w:val="00E65954"/>
    <w:rsid w:val="00E669DA"/>
    <w:rsid w:val="00E853C4"/>
    <w:rsid w:val="00EB5C52"/>
    <w:rsid w:val="00EC500A"/>
    <w:rsid w:val="00EC5B55"/>
    <w:rsid w:val="00F41F6A"/>
    <w:rsid w:val="00FE2480"/>
    <w:rsid w:val="00FF0F09"/>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D33825"/>
  <w15:docId w15:val="{1F167071-D8F4-4EF2-94B3-202DD662C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7A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3B9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804B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853C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E853C4"/>
    <w:rPr>
      <w:color w:val="0000FF"/>
      <w:u w:val="single"/>
    </w:rPr>
  </w:style>
  <w:style w:type="character" w:customStyle="1" w:styleId="al-author-delim">
    <w:name w:val="al-author-delim"/>
    <w:basedOn w:val="DefaultParagraphFont"/>
    <w:rsid w:val="00E853C4"/>
  </w:style>
  <w:style w:type="character" w:styleId="Emphasis">
    <w:name w:val="Emphasis"/>
    <w:basedOn w:val="DefaultParagraphFont"/>
    <w:uiPriority w:val="20"/>
    <w:qFormat/>
    <w:rsid w:val="00E853C4"/>
    <w:rPr>
      <w:i/>
      <w:iCs/>
    </w:rPr>
  </w:style>
  <w:style w:type="paragraph" w:styleId="ListParagraph">
    <w:name w:val="List Paragraph"/>
    <w:basedOn w:val="Normal"/>
    <w:uiPriority w:val="1"/>
    <w:qFormat/>
    <w:rsid w:val="00E853C4"/>
    <w:pPr>
      <w:ind w:left="720"/>
      <w:contextualSpacing/>
    </w:pPr>
  </w:style>
  <w:style w:type="character" w:customStyle="1" w:styleId="Heading1Char">
    <w:name w:val="Heading 1 Char"/>
    <w:basedOn w:val="DefaultParagraphFont"/>
    <w:link w:val="Heading1"/>
    <w:uiPriority w:val="9"/>
    <w:rsid w:val="00407AB6"/>
    <w:rPr>
      <w:rFonts w:asciiTheme="majorHAnsi" w:eastAsiaTheme="majorEastAsia" w:hAnsiTheme="majorHAnsi" w:cstheme="majorBidi"/>
      <w:b/>
      <w:bCs/>
      <w:color w:val="365F91" w:themeColor="accent1" w:themeShade="BF"/>
      <w:sz w:val="28"/>
      <w:szCs w:val="28"/>
    </w:rPr>
  </w:style>
  <w:style w:type="character" w:customStyle="1" w:styleId="accordion-tabbedtab-mobile">
    <w:name w:val="accordion-tabbed__tab-mobile"/>
    <w:basedOn w:val="DefaultParagraphFont"/>
    <w:rsid w:val="00407AB6"/>
  </w:style>
  <w:style w:type="character" w:customStyle="1" w:styleId="comma-separator">
    <w:name w:val="comma-separator"/>
    <w:basedOn w:val="DefaultParagraphFont"/>
    <w:rsid w:val="00407AB6"/>
  </w:style>
  <w:style w:type="paragraph" w:styleId="NoSpacing">
    <w:name w:val="No Spacing"/>
    <w:uiPriority w:val="1"/>
    <w:qFormat/>
    <w:rsid w:val="00407AB6"/>
    <w:pPr>
      <w:spacing w:after="0" w:line="240" w:lineRule="auto"/>
    </w:pPr>
  </w:style>
  <w:style w:type="paragraph" w:styleId="BalloonText">
    <w:name w:val="Balloon Text"/>
    <w:basedOn w:val="Normal"/>
    <w:link w:val="BalloonTextChar"/>
    <w:uiPriority w:val="99"/>
    <w:semiHidden/>
    <w:unhideWhenUsed/>
    <w:rsid w:val="00407A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AB6"/>
    <w:rPr>
      <w:rFonts w:ascii="Tahoma" w:hAnsi="Tahoma" w:cs="Tahoma"/>
      <w:sz w:val="16"/>
      <w:szCs w:val="16"/>
    </w:rPr>
  </w:style>
  <w:style w:type="paragraph" w:styleId="Bibliography">
    <w:name w:val="Bibliography"/>
    <w:basedOn w:val="Normal"/>
    <w:next w:val="Normal"/>
    <w:uiPriority w:val="37"/>
    <w:unhideWhenUsed/>
    <w:rsid w:val="00407AB6"/>
  </w:style>
  <w:style w:type="paragraph" w:styleId="FootnoteText">
    <w:name w:val="footnote text"/>
    <w:basedOn w:val="Normal"/>
    <w:link w:val="FootnoteTextChar"/>
    <w:uiPriority w:val="99"/>
    <w:semiHidden/>
    <w:unhideWhenUsed/>
    <w:rsid w:val="007C46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46BA"/>
    <w:rPr>
      <w:sz w:val="20"/>
      <w:szCs w:val="20"/>
    </w:rPr>
  </w:style>
  <w:style w:type="character" w:styleId="FootnoteReference">
    <w:name w:val="footnote reference"/>
    <w:basedOn w:val="DefaultParagraphFont"/>
    <w:uiPriority w:val="99"/>
    <w:semiHidden/>
    <w:unhideWhenUsed/>
    <w:rsid w:val="007C46BA"/>
    <w:rPr>
      <w:vertAlign w:val="superscript"/>
    </w:rPr>
  </w:style>
  <w:style w:type="paragraph" w:styleId="EndnoteText">
    <w:name w:val="endnote text"/>
    <w:basedOn w:val="Normal"/>
    <w:link w:val="EndnoteTextChar"/>
    <w:uiPriority w:val="99"/>
    <w:semiHidden/>
    <w:unhideWhenUsed/>
    <w:rsid w:val="007C46B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C46BA"/>
    <w:rPr>
      <w:sz w:val="20"/>
      <w:szCs w:val="20"/>
    </w:rPr>
  </w:style>
  <w:style w:type="character" w:styleId="EndnoteReference">
    <w:name w:val="endnote reference"/>
    <w:basedOn w:val="DefaultParagraphFont"/>
    <w:uiPriority w:val="99"/>
    <w:semiHidden/>
    <w:unhideWhenUsed/>
    <w:rsid w:val="007C46BA"/>
    <w:rPr>
      <w:vertAlign w:val="superscript"/>
    </w:rPr>
  </w:style>
  <w:style w:type="character" w:styleId="FollowedHyperlink">
    <w:name w:val="FollowedHyperlink"/>
    <w:basedOn w:val="DefaultParagraphFont"/>
    <w:uiPriority w:val="99"/>
    <w:semiHidden/>
    <w:unhideWhenUsed/>
    <w:rsid w:val="007C46BA"/>
    <w:rPr>
      <w:color w:val="800080" w:themeColor="followedHyperlink"/>
      <w:u w:val="single"/>
    </w:rPr>
  </w:style>
  <w:style w:type="paragraph" w:styleId="BodyText">
    <w:name w:val="Body Text"/>
    <w:basedOn w:val="Normal"/>
    <w:link w:val="BodyTextChar"/>
    <w:uiPriority w:val="1"/>
    <w:qFormat/>
    <w:rsid w:val="002A2597"/>
    <w:pPr>
      <w:widowControl w:val="0"/>
      <w:autoSpaceDE w:val="0"/>
      <w:autoSpaceDN w:val="0"/>
      <w:spacing w:after="0" w:line="240" w:lineRule="auto"/>
      <w:ind w:left="23"/>
    </w:pPr>
    <w:rPr>
      <w:rFonts w:ascii="Trebuchet MS" w:eastAsia="Trebuchet MS" w:hAnsi="Trebuchet MS" w:cs="Trebuchet MS"/>
      <w:sz w:val="24"/>
      <w:szCs w:val="24"/>
      <w:lang w:val="en-US"/>
    </w:rPr>
  </w:style>
  <w:style w:type="character" w:customStyle="1" w:styleId="BodyTextChar">
    <w:name w:val="Body Text Char"/>
    <w:basedOn w:val="DefaultParagraphFont"/>
    <w:link w:val="BodyText"/>
    <w:uiPriority w:val="1"/>
    <w:rsid w:val="002A2597"/>
    <w:rPr>
      <w:rFonts w:ascii="Trebuchet MS" w:eastAsia="Trebuchet MS" w:hAnsi="Trebuchet MS" w:cs="Trebuchet MS"/>
      <w:sz w:val="24"/>
      <w:szCs w:val="24"/>
      <w:lang w:val="en-US"/>
    </w:rPr>
  </w:style>
  <w:style w:type="character" w:customStyle="1" w:styleId="bkciteavail">
    <w:name w:val="bk_cite_avail"/>
    <w:basedOn w:val="DefaultParagraphFont"/>
    <w:rsid w:val="005768E6"/>
  </w:style>
  <w:style w:type="character" w:customStyle="1" w:styleId="author">
    <w:name w:val="author"/>
    <w:basedOn w:val="DefaultParagraphFont"/>
    <w:rsid w:val="005768E6"/>
  </w:style>
  <w:style w:type="character" w:customStyle="1" w:styleId="articletitle">
    <w:name w:val="articletitle"/>
    <w:basedOn w:val="DefaultParagraphFont"/>
    <w:rsid w:val="005768E6"/>
  </w:style>
  <w:style w:type="character" w:customStyle="1" w:styleId="pubyear">
    <w:name w:val="pubyear"/>
    <w:basedOn w:val="DefaultParagraphFont"/>
    <w:rsid w:val="005768E6"/>
  </w:style>
  <w:style w:type="character" w:customStyle="1" w:styleId="vol">
    <w:name w:val="vol"/>
    <w:basedOn w:val="DefaultParagraphFont"/>
    <w:rsid w:val="005768E6"/>
  </w:style>
  <w:style w:type="character" w:customStyle="1" w:styleId="pagefirst">
    <w:name w:val="pagefirst"/>
    <w:basedOn w:val="DefaultParagraphFont"/>
    <w:rsid w:val="005768E6"/>
  </w:style>
  <w:style w:type="character" w:customStyle="1" w:styleId="pagelast">
    <w:name w:val="pagelast"/>
    <w:basedOn w:val="DefaultParagraphFont"/>
    <w:rsid w:val="005768E6"/>
  </w:style>
  <w:style w:type="character" w:styleId="Strong">
    <w:name w:val="Strong"/>
    <w:basedOn w:val="DefaultParagraphFont"/>
    <w:uiPriority w:val="22"/>
    <w:qFormat/>
    <w:rsid w:val="00926268"/>
    <w:rPr>
      <w:b/>
      <w:bCs/>
    </w:rPr>
  </w:style>
  <w:style w:type="character" w:customStyle="1" w:styleId="Heading3Char">
    <w:name w:val="Heading 3 Char"/>
    <w:basedOn w:val="DefaultParagraphFont"/>
    <w:link w:val="Heading3"/>
    <w:uiPriority w:val="9"/>
    <w:semiHidden/>
    <w:rsid w:val="00C804BD"/>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DefaultParagraphFont"/>
    <w:uiPriority w:val="99"/>
    <w:semiHidden/>
    <w:unhideWhenUsed/>
    <w:rsid w:val="00C804BD"/>
    <w:rPr>
      <w:color w:val="605E5C"/>
      <w:shd w:val="clear" w:color="auto" w:fill="E1DFDD"/>
    </w:rPr>
  </w:style>
  <w:style w:type="character" w:customStyle="1" w:styleId="Heading2Char">
    <w:name w:val="Heading 2 Char"/>
    <w:basedOn w:val="DefaultParagraphFont"/>
    <w:link w:val="Heading2"/>
    <w:uiPriority w:val="9"/>
    <w:semiHidden/>
    <w:rsid w:val="00DB3B9A"/>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F41F6A"/>
    <w:rPr>
      <w:color w:val="605E5C"/>
      <w:shd w:val="clear" w:color="auto" w:fill="E1DFDD"/>
    </w:rPr>
  </w:style>
  <w:style w:type="paragraph" w:styleId="Header">
    <w:name w:val="header"/>
    <w:basedOn w:val="Normal"/>
    <w:link w:val="HeaderChar"/>
    <w:uiPriority w:val="99"/>
    <w:unhideWhenUsed/>
    <w:rsid w:val="007708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82C"/>
  </w:style>
  <w:style w:type="paragraph" w:styleId="Footer">
    <w:name w:val="footer"/>
    <w:basedOn w:val="Normal"/>
    <w:link w:val="FooterChar"/>
    <w:uiPriority w:val="99"/>
    <w:unhideWhenUsed/>
    <w:rsid w:val="007708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8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18242">
      <w:bodyDiv w:val="1"/>
      <w:marLeft w:val="0"/>
      <w:marRight w:val="0"/>
      <w:marTop w:val="0"/>
      <w:marBottom w:val="0"/>
      <w:divBdr>
        <w:top w:val="none" w:sz="0" w:space="0" w:color="auto"/>
        <w:left w:val="none" w:sz="0" w:space="0" w:color="auto"/>
        <w:bottom w:val="none" w:sz="0" w:space="0" w:color="auto"/>
        <w:right w:val="none" w:sz="0" w:space="0" w:color="auto"/>
      </w:divBdr>
    </w:div>
    <w:div w:id="535433066">
      <w:bodyDiv w:val="1"/>
      <w:marLeft w:val="0"/>
      <w:marRight w:val="0"/>
      <w:marTop w:val="0"/>
      <w:marBottom w:val="0"/>
      <w:divBdr>
        <w:top w:val="none" w:sz="0" w:space="0" w:color="auto"/>
        <w:left w:val="none" w:sz="0" w:space="0" w:color="auto"/>
        <w:bottom w:val="none" w:sz="0" w:space="0" w:color="auto"/>
        <w:right w:val="none" w:sz="0" w:space="0" w:color="auto"/>
      </w:divBdr>
      <w:divsChild>
        <w:div w:id="1603764154">
          <w:marLeft w:val="0"/>
          <w:marRight w:val="0"/>
          <w:marTop w:val="0"/>
          <w:marBottom w:val="0"/>
          <w:divBdr>
            <w:top w:val="none" w:sz="0" w:space="0" w:color="auto"/>
            <w:left w:val="none" w:sz="0" w:space="0" w:color="auto"/>
            <w:bottom w:val="none" w:sz="0" w:space="0" w:color="auto"/>
            <w:right w:val="none" w:sz="0" w:space="0" w:color="auto"/>
          </w:divBdr>
          <w:divsChild>
            <w:div w:id="1772584524">
              <w:marLeft w:val="0"/>
              <w:marRight w:val="0"/>
              <w:marTop w:val="0"/>
              <w:marBottom w:val="0"/>
              <w:divBdr>
                <w:top w:val="none" w:sz="0" w:space="0" w:color="auto"/>
                <w:left w:val="none" w:sz="0" w:space="0" w:color="auto"/>
                <w:bottom w:val="none" w:sz="0" w:space="0" w:color="auto"/>
                <w:right w:val="none" w:sz="0" w:space="0" w:color="auto"/>
              </w:divBdr>
              <w:divsChild>
                <w:div w:id="1248618336">
                  <w:marLeft w:val="0"/>
                  <w:marRight w:val="0"/>
                  <w:marTop w:val="0"/>
                  <w:marBottom w:val="0"/>
                  <w:divBdr>
                    <w:top w:val="none" w:sz="0" w:space="0" w:color="auto"/>
                    <w:left w:val="none" w:sz="0" w:space="0" w:color="auto"/>
                    <w:bottom w:val="none" w:sz="0" w:space="0" w:color="auto"/>
                    <w:right w:val="none" w:sz="0" w:space="0" w:color="auto"/>
                  </w:divBdr>
                  <w:divsChild>
                    <w:div w:id="156745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820325">
      <w:bodyDiv w:val="1"/>
      <w:marLeft w:val="0"/>
      <w:marRight w:val="0"/>
      <w:marTop w:val="0"/>
      <w:marBottom w:val="0"/>
      <w:divBdr>
        <w:top w:val="none" w:sz="0" w:space="0" w:color="auto"/>
        <w:left w:val="none" w:sz="0" w:space="0" w:color="auto"/>
        <w:bottom w:val="none" w:sz="0" w:space="0" w:color="auto"/>
        <w:right w:val="none" w:sz="0" w:space="0" w:color="auto"/>
      </w:divBdr>
    </w:div>
    <w:div w:id="718358244">
      <w:bodyDiv w:val="1"/>
      <w:marLeft w:val="0"/>
      <w:marRight w:val="0"/>
      <w:marTop w:val="0"/>
      <w:marBottom w:val="0"/>
      <w:divBdr>
        <w:top w:val="none" w:sz="0" w:space="0" w:color="auto"/>
        <w:left w:val="none" w:sz="0" w:space="0" w:color="auto"/>
        <w:bottom w:val="none" w:sz="0" w:space="0" w:color="auto"/>
        <w:right w:val="none" w:sz="0" w:space="0" w:color="auto"/>
      </w:divBdr>
    </w:div>
    <w:div w:id="1203636430">
      <w:bodyDiv w:val="1"/>
      <w:marLeft w:val="0"/>
      <w:marRight w:val="0"/>
      <w:marTop w:val="0"/>
      <w:marBottom w:val="0"/>
      <w:divBdr>
        <w:top w:val="none" w:sz="0" w:space="0" w:color="auto"/>
        <w:left w:val="none" w:sz="0" w:space="0" w:color="auto"/>
        <w:bottom w:val="none" w:sz="0" w:space="0" w:color="auto"/>
        <w:right w:val="none" w:sz="0" w:space="0" w:color="auto"/>
      </w:divBdr>
    </w:div>
    <w:div w:id="1298536442">
      <w:bodyDiv w:val="1"/>
      <w:marLeft w:val="0"/>
      <w:marRight w:val="0"/>
      <w:marTop w:val="0"/>
      <w:marBottom w:val="0"/>
      <w:divBdr>
        <w:top w:val="none" w:sz="0" w:space="0" w:color="auto"/>
        <w:left w:val="none" w:sz="0" w:space="0" w:color="auto"/>
        <w:bottom w:val="none" w:sz="0" w:space="0" w:color="auto"/>
        <w:right w:val="none" w:sz="0" w:space="0" w:color="auto"/>
      </w:divBdr>
    </w:div>
    <w:div w:id="1635677099">
      <w:bodyDiv w:val="1"/>
      <w:marLeft w:val="0"/>
      <w:marRight w:val="0"/>
      <w:marTop w:val="0"/>
      <w:marBottom w:val="0"/>
      <w:divBdr>
        <w:top w:val="none" w:sz="0" w:space="0" w:color="auto"/>
        <w:left w:val="none" w:sz="0" w:space="0" w:color="auto"/>
        <w:bottom w:val="none" w:sz="0" w:space="0" w:color="auto"/>
        <w:right w:val="none" w:sz="0" w:space="0" w:color="auto"/>
      </w:divBdr>
    </w:div>
    <w:div w:id="1653947340">
      <w:bodyDiv w:val="1"/>
      <w:marLeft w:val="0"/>
      <w:marRight w:val="0"/>
      <w:marTop w:val="0"/>
      <w:marBottom w:val="0"/>
      <w:divBdr>
        <w:top w:val="none" w:sz="0" w:space="0" w:color="auto"/>
        <w:left w:val="none" w:sz="0" w:space="0" w:color="auto"/>
        <w:bottom w:val="none" w:sz="0" w:space="0" w:color="auto"/>
        <w:right w:val="none" w:sz="0" w:space="0" w:color="auto"/>
      </w:divBdr>
    </w:div>
    <w:div w:id="2125880292">
      <w:bodyDiv w:val="1"/>
      <w:marLeft w:val="0"/>
      <w:marRight w:val="0"/>
      <w:marTop w:val="0"/>
      <w:marBottom w:val="0"/>
      <w:divBdr>
        <w:top w:val="none" w:sz="0" w:space="0" w:color="auto"/>
        <w:left w:val="none" w:sz="0" w:space="0" w:color="auto"/>
        <w:bottom w:val="none" w:sz="0" w:space="0" w:color="auto"/>
        <w:right w:val="none" w:sz="0" w:space="0" w:color="auto"/>
      </w:divBdr>
      <w:divsChild>
        <w:div w:id="292180609">
          <w:marLeft w:val="0"/>
          <w:marRight w:val="0"/>
          <w:marTop w:val="0"/>
          <w:marBottom w:val="0"/>
          <w:divBdr>
            <w:top w:val="none" w:sz="0" w:space="0" w:color="auto"/>
            <w:left w:val="none" w:sz="0" w:space="0" w:color="auto"/>
            <w:bottom w:val="none" w:sz="0" w:space="0" w:color="auto"/>
            <w:right w:val="none" w:sz="0" w:space="0" w:color="auto"/>
          </w:divBdr>
          <w:divsChild>
            <w:div w:id="993487630">
              <w:marLeft w:val="0"/>
              <w:marRight w:val="0"/>
              <w:marTop w:val="0"/>
              <w:marBottom w:val="0"/>
              <w:divBdr>
                <w:top w:val="none" w:sz="0" w:space="0" w:color="auto"/>
                <w:left w:val="none" w:sz="0" w:space="0" w:color="auto"/>
                <w:bottom w:val="none" w:sz="0" w:space="0" w:color="auto"/>
                <w:right w:val="none" w:sz="0" w:space="0" w:color="auto"/>
              </w:divBdr>
              <w:divsChild>
                <w:div w:id="155464835">
                  <w:marLeft w:val="0"/>
                  <w:marRight w:val="0"/>
                  <w:marTop w:val="0"/>
                  <w:marBottom w:val="0"/>
                  <w:divBdr>
                    <w:top w:val="none" w:sz="0" w:space="0" w:color="auto"/>
                    <w:left w:val="none" w:sz="0" w:space="0" w:color="auto"/>
                    <w:bottom w:val="none" w:sz="0" w:space="0" w:color="auto"/>
                    <w:right w:val="none" w:sz="0" w:space="0" w:color="auto"/>
                  </w:divBdr>
                </w:div>
                <w:div w:id="27671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833356">
          <w:marLeft w:val="0"/>
          <w:marRight w:val="0"/>
          <w:marTop w:val="0"/>
          <w:marBottom w:val="0"/>
          <w:divBdr>
            <w:top w:val="none" w:sz="0" w:space="0" w:color="auto"/>
            <w:left w:val="none" w:sz="0" w:space="0" w:color="auto"/>
            <w:bottom w:val="none" w:sz="0" w:space="0" w:color="auto"/>
            <w:right w:val="none" w:sz="0" w:space="0" w:color="auto"/>
          </w:divBdr>
          <w:divsChild>
            <w:div w:id="1110979221">
              <w:marLeft w:val="0"/>
              <w:marRight w:val="0"/>
              <w:marTop w:val="0"/>
              <w:marBottom w:val="0"/>
              <w:divBdr>
                <w:top w:val="none" w:sz="0" w:space="0" w:color="auto"/>
                <w:left w:val="none" w:sz="0" w:space="0" w:color="auto"/>
                <w:bottom w:val="none" w:sz="0" w:space="0" w:color="auto"/>
                <w:right w:val="none" w:sz="0" w:space="0" w:color="auto"/>
              </w:divBdr>
              <w:divsChild>
                <w:div w:id="797770030">
                  <w:marLeft w:val="0"/>
                  <w:marRight w:val="0"/>
                  <w:marTop w:val="0"/>
                  <w:marBottom w:val="0"/>
                  <w:divBdr>
                    <w:top w:val="none" w:sz="0" w:space="0" w:color="auto"/>
                    <w:left w:val="none" w:sz="0" w:space="0" w:color="auto"/>
                    <w:bottom w:val="none" w:sz="0" w:space="0" w:color="auto"/>
                    <w:right w:val="none" w:sz="0" w:space="0" w:color="auto"/>
                  </w:divBdr>
                </w:div>
              </w:divsChild>
            </w:div>
            <w:div w:id="632758067">
              <w:marLeft w:val="0"/>
              <w:marRight w:val="0"/>
              <w:marTop w:val="0"/>
              <w:marBottom w:val="0"/>
              <w:divBdr>
                <w:top w:val="none" w:sz="0" w:space="0" w:color="auto"/>
                <w:left w:val="none" w:sz="0" w:space="0" w:color="auto"/>
                <w:bottom w:val="none" w:sz="0" w:space="0" w:color="auto"/>
                <w:right w:val="none" w:sz="0" w:space="0" w:color="auto"/>
              </w:divBdr>
              <w:divsChild>
                <w:div w:id="23673100">
                  <w:marLeft w:val="0"/>
                  <w:marRight w:val="0"/>
                  <w:marTop w:val="0"/>
                  <w:marBottom w:val="0"/>
                  <w:divBdr>
                    <w:top w:val="none" w:sz="0" w:space="0" w:color="auto"/>
                    <w:left w:val="none" w:sz="0" w:space="0" w:color="auto"/>
                    <w:bottom w:val="none" w:sz="0" w:space="0" w:color="auto"/>
                    <w:right w:val="none" w:sz="0" w:space="0" w:color="auto"/>
                  </w:divBdr>
                  <w:divsChild>
                    <w:div w:id="2957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19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007/s40120-021-00232-9"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55/s-0040-171583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0452/pamw.16072"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10.1182/blood.V86.9.3444.bloodjournal8693444"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1002/humu.20687"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Placeholder1</b:Tag>
    <b:SourceType>JournalArticle</b:SourceType>
    <b:Guid>{56353AE0-1CA4-4E6C-A4C0-C4BFE314AB92}</b:Guid>
    <b:RefOrder>2</b:RefOrder>
  </b:Source>
</b:Sources>
</file>

<file path=customXml/itemProps1.xml><?xml version="1.0" encoding="utf-8"?>
<ds:datastoreItem xmlns:ds="http://schemas.openxmlformats.org/officeDocument/2006/customXml" ds:itemID="{09EA1D09-2ACC-43B8-AD80-22DB56E1B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15</Pages>
  <Words>5534</Words>
  <Characters>31549</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CHARAN</dc:creator>
  <cp:lastModifiedBy>SDI 1067</cp:lastModifiedBy>
  <cp:revision>7</cp:revision>
  <dcterms:created xsi:type="dcterms:W3CDTF">2025-11-27T11:54:00Z</dcterms:created>
  <dcterms:modified xsi:type="dcterms:W3CDTF">2025-12-01T07:36:00Z</dcterms:modified>
</cp:coreProperties>
</file>