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76270" w14:textId="77777777" w:rsidR="000B3826" w:rsidRDefault="000B3826">
      <w:pPr>
        <w:spacing w:after="0" w:line="360" w:lineRule="auto"/>
        <w:ind w:right="6"/>
        <w:jc w:val="center"/>
        <w:rPr>
          <w:rFonts w:ascii="Times New Roman" w:eastAsia="Times New Roman" w:hAnsi="Times New Roman" w:cs="Times New Roman"/>
          <w:b/>
          <w:color w:val="000000"/>
          <w:kern w:val="2"/>
          <w:sz w:val="24"/>
          <w:szCs w:val="24"/>
          <w:lang w:bidi="en-US"/>
          <w14:ligatures w14:val="standardContextual"/>
        </w:rPr>
      </w:pPr>
      <w:r w:rsidRPr="000B3826">
        <w:rPr>
          <w:rFonts w:ascii="Times New Roman" w:eastAsia="Times New Roman" w:hAnsi="Times New Roman" w:cs="Times New Roman"/>
          <w:b/>
          <w:color w:val="000000"/>
          <w:kern w:val="2"/>
          <w:sz w:val="24"/>
          <w:szCs w:val="24"/>
          <w:lang w:bidi="en-US"/>
          <w14:ligatures w14:val="standardContextual"/>
        </w:rPr>
        <w:t>Original Research Article</w:t>
      </w:r>
    </w:p>
    <w:p w14:paraId="6C99425B" w14:textId="77777777" w:rsidR="000B3826" w:rsidRDefault="000B3826">
      <w:pPr>
        <w:spacing w:after="0" w:line="360" w:lineRule="auto"/>
        <w:ind w:right="6"/>
        <w:jc w:val="center"/>
        <w:rPr>
          <w:rFonts w:ascii="Times New Roman" w:eastAsia="Times New Roman" w:hAnsi="Times New Roman" w:cs="Times New Roman"/>
          <w:b/>
          <w:color w:val="000000"/>
          <w:kern w:val="2"/>
          <w:sz w:val="24"/>
          <w:szCs w:val="24"/>
          <w:lang w:bidi="en-US"/>
          <w14:ligatures w14:val="standardContextual"/>
        </w:rPr>
      </w:pPr>
    </w:p>
    <w:p w14:paraId="4BD12F54" w14:textId="0AF82467" w:rsidR="001F3592" w:rsidRDefault="00A761D5">
      <w:pPr>
        <w:spacing w:after="0" w:line="360" w:lineRule="auto"/>
        <w:ind w:right="6"/>
        <w:jc w:val="center"/>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b/>
          <w:color w:val="000000"/>
          <w:kern w:val="2"/>
          <w:sz w:val="24"/>
          <w:szCs w:val="24"/>
          <w:lang w:bidi="en-US"/>
          <w14:ligatures w14:val="standardContextual"/>
        </w:rPr>
        <w:t xml:space="preserve">Evaluation of Iron Levels, Lead Concentration and Selected Haematological Parameters among Blood Donors in University College Hospital, Ibadan, Oyo State  </w:t>
      </w:r>
    </w:p>
    <w:p w14:paraId="3311932A" w14:textId="77777777" w:rsidR="001F3592" w:rsidRDefault="00A761D5">
      <w:pPr>
        <w:spacing w:after="0" w:line="360" w:lineRule="auto"/>
        <w:jc w:val="center"/>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b/>
          <w:color w:val="000000"/>
          <w:kern w:val="2"/>
          <w:sz w:val="24"/>
          <w:szCs w:val="24"/>
          <w:lang w:bidi="en-US"/>
          <w14:ligatures w14:val="standardContextual"/>
        </w:rPr>
        <w:t xml:space="preserve"> </w:t>
      </w:r>
    </w:p>
    <w:p w14:paraId="73195A74" w14:textId="77777777" w:rsidR="001F3592" w:rsidRDefault="00A761D5">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Abstract</w:t>
      </w:r>
    </w:p>
    <w:p w14:paraId="2EB00B94" w14:textId="77777777" w:rsidR="001F3592" w:rsidRDefault="00A761D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Introduction:</w:t>
      </w:r>
      <w:r>
        <w:rPr>
          <w:rFonts w:ascii="Times New Roman" w:eastAsia="Times New Roman" w:hAnsi="Times New Roman" w:cs="Times New Roman"/>
          <w:sz w:val="24"/>
          <w:szCs w:val="24"/>
        </w:rPr>
        <w:t xml:space="preserve"> Repeated blood donation may deplete iron stores, and in environments with potential exposure, donors may accumulate toxic metals such as lead. Both factors can influence hematological indices and donor safety. This study assessed blood lead and serum iron</w:t>
      </w:r>
      <w:r>
        <w:rPr>
          <w:rFonts w:ascii="Times New Roman" w:eastAsia="Times New Roman" w:hAnsi="Times New Roman" w:cs="Times New Roman"/>
          <w:sz w:val="24"/>
          <w:szCs w:val="24"/>
        </w:rPr>
        <w:t xml:space="preserve"> concentrations, key hematological indices, and their interrelationships among voluntary blood donors at University College Hospital, Ibadan.</w:t>
      </w:r>
    </w:p>
    <w:p w14:paraId="32B8F4EC" w14:textId="77777777" w:rsidR="001F3592" w:rsidRDefault="00A761D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Aim and Objectives:</w:t>
      </w:r>
      <w:r>
        <w:rPr>
          <w:rFonts w:ascii="Times New Roman" w:eastAsia="Times New Roman" w:hAnsi="Times New Roman" w:cs="Times New Roman"/>
          <w:sz w:val="24"/>
          <w:szCs w:val="24"/>
        </w:rPr>
        <w:t xml:space="preserve"> To determine serum iron and blood lead concentrations, describe hematological indices including hemoglobin, packed cell volume, red blood cells, white blood cells, mean corpuscular volume, and mean corpuscular hemoglobin, and evaluate correlations between</w:t>
      </w:r>
      <w:r>
        <w:rPr>
          <w:rFonts w:ascii="Times New Roman" w:eastAsia="Times New Roman" w:hAnsi="Times New Roman" w:cs="Times New Roman"/>
          <w:sz w:val="24"/>
          <w:szCs w:val="24"/>
        </w:rPr>
        <w:t xml:space="preserve"> iron/lead and hematological parameters.</w:t>
      </w:r>
    </w:p>
    <w:p w14:paraId="7C98D87F" w14:textId="77777777" w:rsidR="001F3592" w:rsidRDefault="00A761D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Materials and Methods:</w:t>
      </w:r>
      <w:r>
        <w:rPr>
          <w:rFonts w:ascii="Times New Roman" w:eastAsia="Times New Roman" w:hAnsi="Times New Roman" w:cs="Times New Roman"/>
          <w:sz w:val="24"/>
          <w:szCs w:val="24"/>
        </w:rPr>
        <w:t xml:space="preserve"> A cross-sectional study of 175 consenting blood donors was conducted at University College Hospital. Approximately 10 milliliters of venous blood was collected; serum iron was measured using a</w:t>
      </w:r>
      <w:r>
        <w:rPr>
          <w:rFonts w:ascii="Times New Roman" w:eastAsia="Times New Roman" w:hAnsi="Times New Roman" w:cs="Times New Roman"/>
          <w:sz w:val="24"/>
          <w:szCs w:val="24"/>
        </w:rPr>
        <w:t xml:space="preserve"> ferrozine-based colorimetric method (TECO Diagnostics, Anaheim, California, USA), and blood lead was determined by atomic absorption spectrometry. Complete blood counts were performed using a Sysmex XN-1000 automated hematology analyzer. Data analysis uti</w:t>
      </w:r>
      <w:r>
        <w:rPr>
          <w:rFonts w:ascii="Times New Roman" w:eastAsia="Times New Roman" w:hAnsi="Times New Roman" w:cs="Times New Roman"/>
          <w:sz w:val="24"/>
          <w:szCs w:val="24"/>
        </w:rPr>
        <w:t>lized Statistical Package for the Social Sciences version 20, including t-tests, analysis of variance, and Pearson correlation, with statistical significance set at p &lt; 0.05. Ethical approval and informed consent were obtained.</w:t>
      </w:r>
    </w:p>
    <w:p w14:paraId="0EB68D61" w14:textId="77777777" w:rsidR="001F3592" w:rsidRDefault="00A761D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Results:</w:t>
      </w:r>
      <w:r>
        <w:rPr>
          <w:rFonts w:ascii="Times New Roman" w:eastAsia="Times New Roman" w:hAnsi="Times New Roman" w:cs="Times New Roman"/>
          <w:sz w:val="24"/>
          <w:szCs w:val="24"/>
        </w:rPr>
        <w:t xml:space="preserve"> Mean blood lead con</w:t>
      </w:r>
      <w:r>
        <w:rPr>
          <w:rFonts w:ascii="Times New Roman" w:eastAsia="Times New Roman" w:hAnsi="Times New Roman" w:cs="Times New Roman"/>
          <w:sz w:val="24"/>
          <w:szCs w:val="24"/>
        </w:rPr>
        <w:t>centrations were 7.7 ± 4.7 micrograms per deciliter in occasional donors and 9.5 ± 4.0 micrograms per deciliter in frequent donors (p = 0.143). Mean serum iron was 111.9 ± 24.9 micrograms per deciliter in occasional donors and 104.1 ± 20.8 micrograms per d</w:t>
      </w:r>
      <w:r>
        <w:rPr>
          <w:rFonts w:ascii="Times New Roman" w:eastAsia="Times New Roman" w:hAnsi="Times New Roman" w:cs="Times New Roman"/>
          <w:sz w:val="24"/>
          <w:szCs w:val="24"/>
        </w:rPr>
        <w:t>eciliter in frequent donors (p = 0.204). Hematological parameters (hemoglobin, packed cell volume, red blood cells, white blood cells, mean corpuscular volume, mean corpuscular hemoglobin) were within normal clinical ranges, with no significant differences</w:t>
      </w:r>
      <w:r>
        <w:rPr>
          <w:rFonts w:ascii="Times New Roman" w:eastAsia="Times New Roman" w:hAnsi="Times New Roman" w:cs="Times New Roman"/>
          <w:sz w:val="24"/>
          <w:szCs w:val="24"/>
        </w:rPr>
        <w:t xml:space="preserve"> between occasional and frequent donors. Pearson correlations showed no significant relationships between blood lead or serum iron and hematological indices (all p &gt; 0.05). A slight trend toward lower serum iron in frequent donors was observed but was not </w:t>
      </w:r>
      <w:r>
        <w:rPr>
          <w:rFonts w:ascii="Times New Roman" w:eastAsia="Times New Roman" w:hAnsi="Times New Roman" w:cs="Times New Roman"/>
          <w:sz w:val="24"/>
          <w:szCs w:val="24"/>
        </w:rPr>
        <w:t>statistically significant.</w:t>
      </w:r>
    </w:p>
    <w:p w14:paraId="0C5A84DA" w14:textId="77777777" w:rsidR="001F3592" w:rsidRDefault="00A761D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Pr>
          <w:rFonts w:ascii="Times New Roman" w:eastAsia="Times New Roman" w:hAnsi="Times New Roman" w:cs="Times New Roman"/>
          <w:sz w:val="24"/>
          <w:szCs w:val="24"/>
        </w:rPr>
        <w:t xml:space="preserve"> Voluntary blood donation at University College Hospital was not associated with toxic blood lead accumulation or clinically significant hematological impairment. However, trends toward lower serum iron in frequent don</w:t>
      </w:r>
      <w:r>
        <w:rPr>
          <w:rFonts w:ascii="Times New Roman" w:eastAsia="Times New Roman" w:hAnsi="Times New Roman" w:cs="Times New Roman"/>
          <w:sz w:val="24"/>
          <w:szCs w:val="24"/>
        </w:rPr>
        <w:t>ors highlight the importance of routine monitoring of iron status, dietary counseling, and donor education to protect donor health.</w:t>
      </w:r>
    </w:p>
    <w:p w14:paraId="07A76508" w14:textId="77777777" w:rsidR="001F3592" w:rsidRDefault="00A761D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Keywords:</w:t>
      </w:r>
      <w:r>
        <w:rPr>
          <w:rFonts w:ascii="Times New Roman" w:eastAsia="Times New Roman" w:hAnsi="Times New Roman" w:cs="Times New Roman"/>
          <w:sz w:val="24"/>
          <w:szCs w:val="24"/>
        </w:rPr>
        <w:t xml:space="preserve"> Blood donors, serum iron, blood lead, hematological parameters, atomic absorption spectrometry, Nigeria.</w:t>
      </w:r>
    </w:p>
    <w:p w14:paraId="3BDBA279" w14:textId="77777777" w:rsidR="001F3592" w:rsidRDefault="001F3592">
      <w:pPr>
        <w:spacing w:line="360" w:lineRule="auto"/>
        <w:jc w:val="both"/>
        <w:rPr>
          <w:rFonts w:ascii="Times New Roman" w:hAnsi="Times New Roman" w:cs="Times New Roman"/>
          <w:sz w:val="24"/>
          <w:szCs w:val="24"/>
        </w:rPr>
      </w:pPr>
    </w:p>
    <w:p w14:paraId="73F4C921" w14:textId="77777777" w:rsidR="001F3592" w:rsidRDefault="001F3592">
      <w:pPr>
        <w:spacing w:line="360" w:lineRule="auto"/>
        <w:jc w:val="both"/>
        <w:rPr>
          <w:rFonts w:ascii="Times New Roman" w:hAnsi="Times New Roman" w:cs="Times New Roman"/>
          <w:sz w:val="24"/>
          <w:szCs w:val="24"/>
        </w:rPr>
      </w:pPr>
    </w:p>
    <w:p w14:paraId="10D4FAA4" w14:textId="77777777" w:rsidR="001F3592" w:rsidRDefault="001F3592">
      <w:pPr>
        <w:spacing w:line="360" w:lineRule="auto"/>
        <w:jc w:val="both"/>
        <w:rPr>
          <w:rFonts w:ascii="Times New Roman" w:hAnsi="Times New Roman" w:cs="Times New Roman"/>
          <w:sz w:val="24"/>
          <w:szCs w:val="24"/>
        </w:rPr>
      </w:pPr>
    </w:p>
    <w:p w14:paraId="55A01E99" w14:textId="77777777" w:rsidR="001F3592" w:rsidRDefault="00A761D5">
      <w:pPr>
        <w:pStyle w:val="Heading1"/>
        <w:spacing w:line="360" w:lineRule="auto"/>
        <w:jc w:val="both"/>
        <w:rPr>
          <w:sz w:val="24"/>
          <w:szCs w:val="24"/>
        </w:rPr>
      </w:pPr>
      <w:r>
        <w:rPr>
          <w:sz w:val="24"/>
          <w:szCs w:val="24"/>
        </w:rPr>
        <w:t>1.0 In</w:t>
      </w:r>
      <w:r>
        <w:rPr>
          <w:sz w:val="24"/>
          <w:szCs w:val="24"/>
        </w:rPr>
        <w:t>troduction</w:t>
      </w:r>
    </w:p>
    <w:p w14:paraId="7AC2B62F" w14:textId="77777777" w:rsidR="001F3592" w:rsidRDefault="00A761D5">
      <w:pPr>
        <w:pStyle w:val="Heading1"/>
        <w:jc w:val="both"/>
        <w:rPr>
          <w:b w:val="0"/>
          <w:sz w:val="24"/>
          <w:szCs w:val="24"/>
        </w:rPr>
      </w:pPr>
      <w:r>
        <w:rPr>
          <w:b w:val="0"/>
          <w:sz w:val="24"/>
          <w:szCs w:val="24"/>
        </w:rPr>
        <w:t>Blood donation is essential to safe clinical care worldwide, but donor welfare must be protected alongside recipient safety (Societies, 2010). Repeated phlebotomy removes iron — an essential micronutrient for erythropoiesis — and can precipitate</w:t>
      </w:r>
      <w:r>
        <w:rPr>
          <w:b w:val="0"/>
          <w:sz w:val="24"/>
          <w:szCs w:val="24"/>
        </w:rPr>
        <w:t xml:space="preserve"> iron deficiency if losses are not replenished (Mast et al., 2016). Conversely, environmental or occupational exposure to heavy metals such as lead remains a public health concern in many low- and middle-income countries; lead interferes with heme biosynth</w:t>
      </w:r>
      <w:r>
        <w:rPr>
          <w:b w:val="0"/>
          <w:sz w:val="24"/>
          <w:szCs w:val="24"/>
        </w:rPr>
        <w:t>esis and other biological pathways, and even subclinical exposure can have adverse effects. Assessing iron stores and lead burden in donors therefore addresses a dual objective: preserving donor health and ensuring transfusion safety (Słota et al., 2021; S</w:t>
      </w:r>
      <w:r>
        <w:rPr>
          <w:b w:val="0"/>
          <w:sz w:val="24"/>
          <w:szCs w:val="24"/>
        </w:rPr>
        <w:t>pencer &amp; Mast, 2022).</w:t>
      </w:r>
    </w:p>
    <w:p w14:paraId="1AD42AC7" w14:textId="77777777" w:rsidR="001F3592" w:rsidRDefault="00A761D5">
      <w:pPr>
        <w:pStyle w:val="NormalWeb"/>
        <w:jc w:val="both"/>
      </w:pPr>
      <w:r>
        <w:t>Iron deficiency in donors is frequently subclinical and may not be detected by haemoglobin screening alone. Serum iron is a readily available biochemical marker (though ferritin is a more sensitive measure of iron stores), while compl</w:t>
      </w:r>
      <w:r>
        <w:t>ete blood count (CBC) indices can reveal functional consequences of iron depletion (Iriarte‐Gahete et al., 2024). Lead exposure is detected by measuring blood lead concentration (AAS is a widely used method), and elevated levels can perturb red cell indice</w:t>
      </w:r>
      <w:r>
        <w:t>s by inhibiting enzymes (ALAD, ferrochelatase) in the heme pathway. The interaction between iron status and lead absorption is biologically plausible: low iron status can increase intestinal lead uptake. Thus, concurrent assessment of iron and lead, with c</w:t>
      </w:r>
      <w:r>
        <w:t xml:space="preserve">orrelation to standard haematological indices, provides a comprehensive appraisal of donor hematologic health and potential environmental </w:t>
      </w:r>
      <w:proofErr w:type="gramStart"/>
      <w:r>
        <w:t>risks(</w:t>
      </w:r>
      <w:proofErr w:type="gramEnd"/>
      <w:r>
        <w:t>Ramos, 2021).</w:t>
      </w:r>
    </w:p>
    <w:p w14:paraId="5879D7F4" w14:textId="77777777" w:rsidR="001F3592" w:rsidRDefault="00A761D5">
      <w:pPr>
        <w:pStyle w:val="NormalWeb"/>
        <w:jc w:val="both"/>
      </w:pPr>
      <w:r>
        <w:t>In Nigeria and similar settings, routine donor screening commonly relies on haemoglobin or hematoc</w:t>
      </w:r>
      <w:r>
        <w:t>rit thresholds; tests for micronutrients and toxic metals are not standard. There is therefore a need for local data to inform policy on donor monitoring, inter-donation intervals and targeted interventions (e.g., iron supplementation, dietary counselling)</w:t>
      </w:r>
      <w:r>
        <w:t xml:space="preserve"> (Balogun et al., 2023; Nwabuko, 2021). This study sets out to fill that gap by evaluating serum iron, blood lead and selected haematological parameters among voluntary donors at University College Hospital, Ibadan. The study also explores whether donation</w:t>
      </w:r>
      <w:r>
        <w:t xml:space="preserve"> frequency is associated with measurable differences in these markers.</w:t>
      </w:r>
    </w:p>
    <w:p w14:paraId="555E864E" w14:textId="77777777" w:rsidR="001F3592" w:rsidRDefault="001F3592">
      <w:pPr>
        <w:pStyle w:val="NormalWeb"/>
        <w:jc w:val="both"/>
      </w:pPr>
    </w:p>
    <w:p w14:paraId="26532FEF" w14:textId="77777777" w:rsidR="001F3592" w:rsidRDefault="001F3592">
      <w:pPr>
        <w:pStyle w:val="NormalWeb"/>
        <w:jc w:val="both"/>
      </w:pPr>
    </w:p>
    <w:p w14:paraId="6062B63E" w14:textId="77777777" w:rsidR="001F3592" w:rsidRDefault="001F3592">
      <w:pPr>
        <w:pStyle w:val="NormalWeb"/>
        <w:jc w:val="both"/>
      </w:pPr>
    </w:p>
    <w:p w14:paraId="45F6613C" w14:textId="77777777" w:rsidR="001F3592" w:rsidRDefault="001F3592">
      <w:pPr>
        <w:pStyle w:val="NormalWeb"/>
        <w:jc w:val="both"/>
      </w:pPr>
    </w:p>
    <w:p w14:paraId="17FD062D" w14:textId="77777777" w:rsidR="001F3592" w:rsidRDefault="001F3592">
      <w:pPr>
        <w:pStyle w:val="NormalWeb"/>
        <w:jc w:val="both"/>
      </w:pPr>
    </w:p>
    <w:p w14:paraId="60E2BBD8" w14:textId="77777777" w:rsidR="001F3592" w:rsidRDefault="001F3592">
      <w:pPr>
        <w:pStyle w:val="NormalWeb"/>
        <w:jc w:val="both"/>
      </w:pPr>
    </w:p>
    <w:p w14:paraId="754D42F4" w14:textId="77777777" w:rsidR="001F3592" w:rsidRDefault="001F3592">
      <w:pPr>
        <w:pStyle w:val="NormalWeb"/>
        <w:jc w:val="both"/>
      </w:pPr>
    </w:p>
    <w:p w14:paraId="300E83A7" w14:textId="77777777" w:rsidR="001F3592" w:rsidRDefault="00A761D5">
      <w:pPr>
        <w:pStyle w:val="Heading1"/>
        <w:spacing w:line="360" w:lineRule="auto"/>
        <w:jc w:val="both"/>
        <w:rPr>
          <w:sz w:val="24"/>
          <w:szCs w:val="24"/>
        </w:rPr>
      </w:pPr>
      <w:r>
        <w:rPr>
          <w:sz w:val="24"/>
          <w:szCs w:val="24"/>
        </w:rPr>
        <w:t xml:space="preserve">2. Materials and Methods </w:t>
      </w:r>
    </w:p>
    <w:p w14:paraId="37DD5EA2"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2.1 Study design and setting</w:t>
      </w:r>
    </w:p>
    <w:p w14:paraId="428432D6" w14:textId="77777777" w:rsidR="001F3592" w:rsidRDefault="00A761D5">
      <w:pPr>
        <w:pStyle w:val="NormalWeb"/>
        <w:spacing w:line="360" w:lineRule="auto"/>
        <w:jc w:val="both"/>
        <w:rPr>
          <w:rStyle w:val="relative"/>
        </w:rPr>
      </w:pPr>
      <w:r>
        <w:t xml:space="preserve">This was a descriptive cross-sectional study conducted at the University College Hospital (UCH), Ibadan — a tertiary care and referral centre in Oyo State, South-West Nigeria. The study assessed donors at a single time point to determine concentrations of </w:t>
      </w:r>
      <w:r>
        <w:t xml:space="preserve">serum iron and blood lead, and to measure routine hematological parameters. The climate, population characteristics and institutional blood transfusion services are described in institutional records and study documentation. </w:t>
      </w:r>
    </w:p>
    <w:p w14:paraId="649F083E"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2.2 Study population</w:t>
      </w:r>
    </w:p>
    <w:p w14:paraId="440C1DD2" w14:textId="77777777" w:rsidR="001F3592" w:rsidRDefault="00A761D5">
      <w:pPr>
        <w:pStyle w:val="NormalWeb"/>
        <w:spacing w:line="360" w:lineRule="auto"/>
        <w:jc w:val="both"/>
        <w:rPr>
          <w:rStyle w:val="relative"/>
        </w:rPr>
      </w:pPr>
      <w:r>
        <w:t>The study</w:t>
      </w:r>
      <w:r>
        <w:t xml:space="preserve"> population comprised consenting voluntary blood donors who presented to UCH blood transfusion services during the study period. Donors were categorized by donation frequency (occasional versus frequent) for comparative analyses; participant socio-demograp</w:t>
      </w:r>
      <w:r>
        <w:t xml:space="preserve">hic data (age, sex, occupation, education, lifestyle exposures) were collected via a structured questionnaire. A total of 175 donors participated. </w:t>
      </w:r>
    </w:p>
    <w:p w14:paraId="1FE0DF54"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 Inclusion and exclusion criteria</w:t>
      </w:r>
    </w:p>
    <w:p w14:paraId="10E44B6C" w14:textId="77777777" w:rsidR="001F3592" w:rsidRDefault="00A761D5">
      <w:pPr>
        <w:pStyle w:val="NormalWeb"/>
        <w:spacing w:line="360" w:lineRule="auto"/>
        <w:jc w:val="both"/>
        <w:rPr>
          <w:rStyle w:val="relative"/>
        </w:rPr>
      </w:pPr>
      <w:r>
        <w:t>Inclusion criteria were: voluntary donors aged 18–65 years, haemotocrit</w:t>
      </w:r>
      <w:r>
        <w:t>/PCV above 40% (institutional eligibility), weight &gt;50 kg, negative for transfusion-transmissible infections, and who provided informed consent. Exclusion criteria were: age &lt;18 or &gt;65, PCV &lt;40%, positive screening for transfusion-transmissible infections,</w:t>
      </w:r>
      <w:r>
        <w:t xml:space="preserve"> weight &lt;50 kg or refusal to consent. These criteria align with local donor selection policies. </w:t>
      </w:r>
    </w:p>
    <w:p w14:paraId="212E20AA"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2.4 Sample size determination</w:t>
      </w:r>
    </w:p>
    <w:p w14:paraId="01A7D69B" w14:textId="77777777" w:rsidR="001F3592" w:rsidRDefault="00A761D5">
      <w:pPr>
        <w:pStyle w:val="NormalWeb"/>
        <w:spacing w:line="360" w:lineRule="auto"/>
        <w:jc w:val="both"/>
      </w:pPr>
      <w:r>
        <w:t>Sample size was determined using Taro Yamane’s formula for prevalence studies, incorporating an estimated prevalence (p) of 12% a</w:t>
      </w:r>
      <w:r>
        <w:t>nd a precision (d) of 5%. The calculation yielded n ≈ 174 (reported N = 173.52), and the final enrolled sample was 175 donors to ensure adequate power for comparisons. The sample size rationale considered variability in haematological parameters from prior</w:t>
      </w:r>
      <w:r>
        <w:t xml:space="preserve"> studies and the need to detect clinically meaningful differences between donor groups. </w:t>
      </w:r>
    </w:p>
    <w:p w14:paraId="1EE0984E" w14:textId="77777777" w:rsidR="001F3592" w:rsidRDefault="001F3592">
      <w:pPr>
        <w:pStyle w:val="Default"/>
        <w:spacing w:line="360" w:lineRule="auto"/>
        <w:rPr>
          <w:sz w:val="23"/>
          <w:szCs w:val="23"/>
        </w:rPr>
      </w:pPr>
    </w:p>
    <w:p w14:paraId="293FB152" w14:textId="77777777" w:rsidR="001F3592" w:rsidRDefault="00A761D5">
      <w:pPr>
        <w:pStyle w:val="Default"/>
        <w:spacing w:line="360" w:lineRule="auto"/>
        <w:rPr>
          <w:sz w:val="23"/>
          <w:szCs w:val="23"/>
        </w:rPr>
      </w:pPr>
      <w:r>
        <w:rPr>
          <w:sz w:val="23"/>
          <w:szCs w:val="23"/>
        </w:rPr>
        <w:t xml:space="preserve">Sample size </w:t>
      </w:r>
    </w:p>
    <w:p w14:paraId="0B82529F" w14:textId="77777777" w:rsidR="001F3592" w:rsidRDefault="001F3592">
      <w:pPr>
        <w:pStyle w:val="Default"/>
        <w:spacing w:line="360" w:lineRule="auto"/>
        <w:rPr>
          <w:sz w:val="23"/>
          <w:szCs w:val="23"/>
        </w:rPr>
      </w:pPr>
    </w:p>
    <w:p w14:paraId="21A865F5" w14:textId="77777777" w:rsidR="001F3592" w:rsidRDefault="00A761D5">
      <w:pPr>
        <w:pStyle w:val="Default"/>
        <w:spacing w:line="360" w:lineRule="auto"/>
        <w:rPr>
          <w:sz w:val="23"/>
          <w:szCs w:val="23"/>
        </w:rPr>
      </w:pPr>
      <w:r>
        <w:rPr>
          <w:noProof/>
          <w:sz w:val="23"/>
          <w:szCs w:val="23"/>
        </w:rPr>
        <w:drawing>
          <wp:inline distT="0" distB="0" distL="0" distR="0" wp14:anchorId="1AEC8B22" wp14:editId="7FA2504B">
            <wp:extent cx="510540" cy="297180"/>
            <wp:effectExtent l="0" t="0" r="3810" b="762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10540" cy="297180"/>
                    </a:xfrm>
                    <a:prstGeom prst="rect">
                      <a:avLst/>
                    </a:prstGeom>
                    <a:ln>
                      <a:noFill/>
                    </a:ln>
                  </pic:spPr>
                </pic:pic>
              </a:graphicData>
            </a:graphic>
          </wp:inline>
        </w:drawing>
      </w:r>
    </w:p>
    <w:p w14:paraId="545C2F13" w14:textId="77777777" w:rsidR="001F3592" w:rsidRDefault="00A761D5">
      <w:pPr>
        <w:pStyle w:val="Default"/>
        <w:spacing w:line="360" w:lineRule="auto"/>
        <w:rPr>
          <w:sz w:val="23"/>
          <w:szCs w:val="23"/>
        </w:rPr>
      </w:pPr>
      <w:r>
        <w:rPr>
          <w:sz w:val="23"/>
          <w:szCs w:val="23"/>
        </w:rPr>
        <w:t xml:space="preserve">Where: n= sample size </w:t>
      </w:r>
    </w:p>
    <w:p w14:paraId="6F86BD89" w14:textId="77777777" w:rsidR="001F3592" w:rsidRDefault="00A761D5">
      <w:pPr>
        <w:pStyle w:val="Default"/>
        <w:spacing w:line="360" w:lineRule="auto"/>
        <w:rPr>
          <w:sz w:val="23"/>
          <w:szCs w:val="23"/>
        </w:rPr>
      </w:pPr>
      <w:r>
        <w:rPr>
          <w:sz w:val="23"/>
          <w:szCs w:val="23"/>
        </w:rPr>
        <w:t>Z</w:t>
      </w:r>
      <w:r>
        <w:rPr>
          <w:sz w:val="16"/>
          <w:szCs w:val="16"/>
        </w:rPr>
        <w:t>2</w:t>
      </w:r>
      <w:r>
        <w:rPr>
          <w:sz w:val="23"/>
          <w:szCs w:val="23"/>
        </w:rPr>
        <w:t>= normal standard deviation at 95% confidence interval = 1.96</w:t>
      </w:r>
      <w:r>
        <w:rPr>
          <w:sz w:val="16"/>
          <w:szCs w:val="16"/>
        </w:rPr>
        <w:t>2</w:t>
      </w:r>
      <w:r>
        <w:rPr>
          <w:sz w:val="23"/>
          <w:szCs w:val="23"/>
        </w:rPr>
        <w:t xml:space="preserve">= </w:t>
      </w:r>
      <w:r>
        <w:rPr>
          <w:b/>
          <w:bCs/>
          <w:sz w:val="23"/>
          <w:szCs w:val="23"/>
        </w:rPr>
        <w:t xml:space="preserve">3.8416 </w:t>
      </w:r>
    </w:p>
    <w:p w14:paraId="1F2219D2" w14:textId="77777777" w:rsidR="001F3592" w:rsidRDefault="00A761D5">
      <w:pPr>
        <w:pStyle w:val="Default"/>
        <w:spacing w:line="360" w:lineRule="auto"/>
        <w:rPr>
          <w:sz w:val="23"/>
          <w:szCs w:val="23"/>
        </w:rPr>
      </w:pPr>
      <w:r>
        <w:rPr>
          <w:sz w:val="23"/>
          <w:szCs w:val="23"/>
        </w:rPr>
        <w:t xml:space="preserve">p= prevalence rate= 12.0% = </w:t>
      </w:r>
      <w:r>
        <w:rPr>
          <w:b/>
          <w:bCs/>
          <w:sz w:val="23"/>
          <w:szCs w:val="23"/>
        </w:rPr>
        <w:t xml:space="preserve">0.12. </w:t>
      </w:r>
    </w:p>
    <w:p w14:paraId="7A455A3D" w14:textId="77777777" w:rsidR="001F3592" w:rsidRDefault="00A761D5">
      <w:pPr>
        <w:pStyle w:val="Default"/>
        <w:spacing w:line="360" w:lineRule="auto"/>
        <w:rPr>
          <w:sz w:val="23"/>
          <w:szCs w:val="23"/>
        </w:rPr>
      </w:pPr>
      <w:r>
        <w:rPr>
          <w:sz w:val="23"/>
          <w:szCs w:val="23"/>
        </w:rPr>
        <w:t xml:space="preserve">q= 1-p= 1- 0.059 = </w:t>
      </w:r>
      <w:r>
        <w:rPr>
          <w:b/>
          <w:bCs/>
          <w:sz w:val="23"/>
          <w:szCs w:val="23"/>
        </w:rPr>
        <w:t xml:space="preserve">0.941 </w:t>
      </w:r>
    </w:p>
    <w:p w14:paraId="51A3C4E7" w14:textId="77777777" w:rsidR="001F3592" w:rsidRDefault="00A761D5">
      <w:pPr>
        <w:pStyle w:val="NormalWeb"/>
        <w:spacing w:line="360" w:lineRule="auto"/>
        <w:jc w:val="both"/>
        <w:rPr>
          <w:b/>
          <w:bCs/>
          <w:sz w:val="23"/>
          <w:szCs w:val="23"/>
        </w:rPr>
      </w:pPr>
      <w:r>
        <w:rPr>
          <w:sz w:val="23"/>
          <w:szCs w:val="23"/>
        </w:rPr>
        <w:t>d= precision (allowable error) = 0.05</w:t>
      </w:r>
      <w:r>
        <w:rPr>
          <w:sz w:val="16"/>
          <w:szCs w:val="16"/>
        </w:rPr>
        <w:t>2</w:t>
      </w:r>
      <w:r>
        <w:rPr>
          <w:sz w:val="23"/>
          <w:szCs w:val="23"/>
        </w:rPr>
        <w:t xml:space="preserve">= </w:t>
      </w:r>
      <w:r>
        <w:rPr>
          <w:b/>
          <w:bCs/>
          <w:sz w:val="23"/>
          <w:szCs w:val="23"/>
        </w:rPr>
        <w:t>0.0025</w:t>
      </w:r>
    </w:p>
    <w:p w14:paraId="12C5BDBE" w14:textId="77777777" w:rsidR="001F3592" w:rsidRDefault="00A761D5">
      <w:pPr>
        <w:pStyle w:val="NormalWeb"/>
        <w:spacing w:line="360" w:lineRule="auto"/>
        <w:jc w:val="both"/>
        <w:rPr>
          <w:rStyle w:val="relative"/>
        </w:rPr>
      </w:pPr>
      <w:r>
        <w:rPr>
          <w:rStyle w:val="relative"/>
          <w:noProof/>
        </w:rPr>
        <w:drawing>
          <wp:inline distT="0" distB="0" distL="0" distR="0" wp14:anchorId="10EF4F40" wp14:editId="47C0036C">
            <wp:extent cx="1272540" cy="289560"/>
            <wp:effectExtent l="0" t="0" r="3810"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rcRect/>
                    <a:stretch/>
                  </pic:blipFill>
                  <pic:spPr>
                    <a:xfrm>
                      <a:off x="0" y="0"/>
                      <a:ext cx="1272540" cy="289560"/>
                    </a:xfrm>
                    <a:prstGeom prst="rect">
                      <a:avLst/>
                    </a:prstGeom>
                    <a:ln>
                      <a:noFill/>
                    </a:ln>
                  </pic:spPr>
                </pic:pic>
              </a:graphicData>
            </a:graphic>
          </wp:inline>
        </w:drawing>
      </w:r>
    </w:p>
    <w:p w14:paraId="470CE41C" w14:textId="77777777" w:rsidR="001F3592" w:rsidRDefault="00A761D5">
      <w:pPr>
        <w:pStyle w:val="NormalWeb"/>
        <w:spacing w:line="360" w:lineRule="auto"/>
        <w:jc w:val="both"/>
        <w:rPr>
          <w:rStyle w:val="relative"/>
        </w:rPr>
      </w:pPr>
      <w:r>
        <w:rPr>
          <w:sz w:val="23"/>
          <w:szCs w:val="23"/>
        </w:rPr>
        <w:t>N= 173.52</w:t>
      </w:r>
    </w:p>
    <w:p w14:paraId="5497E7F4"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2.5 Sample collection and laboratory analysis</w:t>
      </w:r>
    </w:p>
    <w:p w14:paraId="62AA570D" w14:textId="77777777" w:rsidR="001F3592" w:rsidRDefault="00A761D5">
      <w:pPr>
        <w:pStyle w:val="Heading3"/>
        <w:spacing w:line="360" w:lineRule="auto"/>
        <w:jc w:val="both"/>
        <w:rPr>
          <w:rFonts w:ascii="Times New Roman" w:hAnsi="Times New Roman" w:cs="Times New Roman"/>
          <w:color w:val="auto"/>
        </w:rPr>
      </w:pPr>
      <w:r>
        <w:rPr>
          <w:rFonts w:ascii="Times New Roman" w:hAnsi="Times New Roman" w:cs="Times New Roman"/>
          <w:color w:val="auto"/>
        </w:rPr>
        <w:t>Blood collection</w:t>
      </w:r>
    </w:p>
    <w:p w14:paraId="3BDA7EA4" w14:textId="77777777" w:rsidR="001F3592" w:rsidRDefault="00A761D5">
      <w:pPr>
        <w:pStyle w:val="NormalWeb"/>
        <w:spacing w:line="360" w:lineRule="auto"/>
        <w:jc w:val="both"/>
        <w:rPr>
          <w:rStyle w:val="relative"/>
        </w:rPr>
      </w:pPr>
      <w:r>
        <w:t xml:space="preserve">Approximately 10 mL of venous blood was collected from each participant following standard aseptic phlebotomy. Samples for serum analysis (iron and lead) were collected into appropriate tubes (heparinized tubes reported in the thesis), and EDTA tubes were </w:t>
      </w:r>
      <w:r>
        <w:t xml:space="preserve">used for CBC. Samples were processed promptly (serum samples processed within two hours to avoid degradation). </w:t>
      </w:r>
    </w:p>
    <w:p w14:paraId="48392927" w14:textId="77777777" w:rsidR="001F3592" w:rsidRDefault="00A761D5">
      <w:pPr>
        <w:pStyle w:val="Heading3"/>
        <w:spacing w:line="360" w:lineRule="auto"/>
        <w:jc w:val="both"/>
        <w:rPr>
          <w:rFonts w:ascii="Times New Roman" w:hAnsi="Times New Roman" w:cs="Times New Roman"/>
          <w:color w:val="auto"/>
        </w:rPr>
      </w:pPr>
      <w:r>
        <w:rPr>
          <w:rFonts w:ascii="Times New Roman" w:hAnsi="Times New Roman" w:cs="Times New Roman"/>
          <w:color w:val="auto"/>
        </w:rPr>
        <w:lastRenderedPageBreak/>
        <w:t>Measurement of serum iron</w:t>
      </w:r>
    </w:p>
    <w:p w14:paraId="53EC9342" w14:textId="77777777" w:rsidR="001F3592" w:rsidRDefault="00A761D5">
      <w:pPr>
        <w:pStyle w:val="NormalWeb"/>
        <w:spacing w:line="360" w:lineRule="auto"/>
        <w:jc w:val="both"/>
        <w:rPr>
          <w:rStyle w:val="relative"/>
        </w:rPr>
      </w:pPr>
      <w:r>
        <w:t>Serum iron was quantified using a ferrozine-based colorimetric assay (TECO Diagnostics Iron/TIBC reagent set). The met</w:t>
      </w:r>
      <w:r>
        <w:t>hod acidifies serum to release transferrin-bound iron and reduces ferric (Fe³⁺) to ferrous (Fe²⁺) iron, which reacts with ferrozine to produce a colored complex measured spectrophotometrically (562 nm). Reference ranges used in interpretation were: men 65–</w:t>
      </w:r>
      <w:r>
        <w:t xml:space="preserve">176 µg/dL and women 50–170 µg/dL. All assays followed manufacturer standard operating procedures. </w:t>
      </w:r>
    </w:p>
    <w:p w14:paraId="35DA3FDE" w14:textId="77777777" w:rsidR="001F3592" w:rsidRDefault="00A761D5">
      <w:pPr>
        <w:pStyle w:val="Heading3"/>
        <w:spacing w:line="360" w:lineRule="auto"/>
        <w:jc w:val="both"/>
        <w:rPr>
          <w:rFonts w:ascii="Times New Roman" w:hAnsi="Times New Roman" w:cs="Times New Roman"/>
          <w:color w:val="auto"/>
        </w:rPr>
      </w:pPr>
      <w:r>
        <w:rPr>
          <w:rFonts w:ascii="Times New Roman" w:hAnsi="Times New Roman" w:cs="Times New Roman"/>
          <w:color w:val="auto"/>
        </w:rPr>
        <w:t>Measurement of blood lead</w:t>
      </w:r>
    </w:p>
    <w:p w14:paraId="10D0E8EA" w14:textId="77777777" w:rsidR="001F3592" w:rsidRDefault="00A761D5">
      <w:pPr>
        <w:pStyle w:val="NormalWeb"/>
        <w:spacing w:line="360" w:lineRule="auto"/>
        <w:jc w:val="both"/>
        <w:rPr>
          <w:rStyle w:val="relative"/>
        </w:rPr>
      </w:pPr>
      <w:r>
        <w:t xml:space="preserve">Whole blood lead concentration was determined by Atomic Absorption Spectrometry (AAS) following established laboratory procedures. </w:t>
      </w:r>
      <w:r>
        <w:t>The AAS method using a lead hollow-cathode lamp measures absorption at lead-specific wavelengths; absorbance is proportional to lead concentration. Reference categories adopted in the thesis were: normal &lt;5 µg/dL; elevated 5–9 µg/dL; high 10–19 µg/dL; very</w:t>
      </w:r>
      <w:r>
        <w:t xml:space="preserve"> high ≥20 µg/dL. </w:t>
      </w:r>
    </w:p>
    <w:p w14:paraId="39841480" w14:textId="77777777" w:rsidR="001F3592" w:rsidRDefault="00A761D5">
      <w:pPr>
        <w:pStyle w:val="Heading3"/>
        <w:spacing w:line="360" w:lineRule="auto"/>
        <w:jc w:val="both"/>
        <w:rPr>
          <w:rFonts w:ascii="Times New Roman" w:hAnsi="Times New Roman" w:cs="Times New Roman"/>
          <w:color w:val="auto"/>
        </w:rPr>
      </w:pPr>
      <w:r>
        <w:rPr>
          <w:rFonts w:ascii="Times New Roman" w:hAnsi="Times New Roman" w:cs="Times New Roman"/>
          <w:color w:val="auto"/>
        </w:rPr>
        <w:t>Haematological parameters</w:t>
      </w:r>
    </w:p>
    <w:p w14:paraId="1B1354E2" w14:textId="77777777" w:rsidR="001F3592" w:rsidRDefault="00A761D5">
      <w:pPr>
        <w:pStyle w:val="NormalWeb"/>
        <w:spacing w:line="360" w:lineRule="auto"/>
        <w:jc w:val="both"/>
        <w:rPr>
          <w:rStyle w:val="relative"/>
        </w:rPr>
      </w:pPr>
      <w:r>
        <w:t>CBC parameters (hemoglobin, packed cell volume/hematocrit, RBC, WBC, MCV, MCH, platelet count) were measured using a Sysmex XN-1000 haematology analyzer according to manufacturer protocols. Results were interpret</w:t>
      </w:r>
      <w:r>
        <w:t xml:space="preserve">ed against established clinical reference ranges. </w:t>
      </w:r>
    </w:p>
    <w:p w14:paraId="4FAC2889"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2.6 Data management and statistical analysis</w:t>
      </w:r>
    </w:p>
    <w:p w14:paraId="1A9BDFB8" w14:textId="77777777" w:rsidR="001F3592" w:rsidRDefault="00A761D5">
      <w:pPr>
        <w:pStyle w:val="NormalWeb"/>
        <w:spacing w:line="360" w:lineRule="auto"/>
        <w:jc w:val="both"/>
        <w:rPr>
          <w:rStyle w:val="relative"/>
        </w:rPr>
      </w:pPr>
      <w:r>
        <w:t>Data were captured in structured forms and entered into SPSS version 20 (IBM). Descriptive statistics (means ± standard deviation for continuous variables; coun</w:t>
      </w:r>
      <w:r>
        <w:t>ts and percentages for categorical variables) summarized the cohort. Comparative analyses between occasional and frequent donors employed Student’s t-test for continuous variables and chi-square for categorical variables; ANOVA was used where multi-group c</w:t>
      </w:r>
      <w:r>
        <w:t>omparisons were required. Pearson correlation coefficients assessed relationships between serum iron, blood lead and haematological indices. Statistical significance was set at α = 0.05. The thesis reports specific results including means, standard deviati</w:t>
      </w:r>
      <w:r>
        <w:t xml:space="preserve">ons and p-values for primary comparisons. </w:t>
      </w:r>
    </w:p>
    <w:p w14:paraId="68E2686A"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2.7 Ethical considerations</w:t>
      </w:r>
    </w:p>
    <w:p w14:paraId="50CC8ACA" w14:textId="77777777" w:rsidR="001F3592" w:rsidRDefault="00A761D5">
      <w:pPr>
        <w:pStyle w:val="NormalWeb"/>
        <w:spacing w:line="360" w:lineRule="auto"/>
        <w:jc w:val="both"/>
        <w:rPr>
          <w:rStyle w:val="relative"/>
        </w:rPr>
      </w:pPr>
      <w:r>
        <w:t>Ethical approval was obtained from the Ethical Review Committee of the Ministry of Health, Department of Planning, Research and Statistics Division, Secretariat, Ibadan. Permission to access the blood transfusion services was granted by the Head of Departm</w:t>
      </w:r>
      <w:r>
        <w:t xml:space="preserve">ent, Blood Transfusion Services, UCH. All participants provided informed consent; participation was voluntary and confidentiality was maintained (data coded and securely stored). The informed consent form and ethical approval documents are included in the </w:t>
      </w:r>
      <w:r>
        <w:t xml:space="preserve">thesis appendices. </w:t>
      </w:r>
    </w:p>
    <w:p w14:paraId="51F550E2"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2.8 Limitations</w:t>
      </w:r>
    </w:p>
    <w:p w14:paraId="4B2CBE59" w14:textId="77777777" w:rsidR="001F3592" w:rsidRDefault="00A761D5">
      <w:pPr>
        <w:pStyle w:val="NormalWeb"/>
        <w:spacing w:line="360" w:lineRule="auto"/>
        <w:jc w:val="both"/>
      </w:pPr>
      <w:r>
        <w:t>This cross-sectional, single-center study has several limitations. First, cross-sectional design limits temporal or causal inference (e.g., direct effect of donation frequency on iron stores cannot be established without</w:t>
      </w:r>
      <w:r>
        <w:t xml:space="preserve"> longitudinal follow-up). Second, serum ferritin — a more sensitive marker of iron stores — was not measured; reliance on serum iron can under- or overestimate iron status in certain physiologic or inflammatory states. Third, purposive sampling at a tertia</w:t>
      </w:r>
      <w:r>
        <w:t>ry hospital may limit generalizability to other donor populations. Fourth, environmental exposure sources were assessed by occupation and questionnaire rather than direct environmental measures; thus, unmeasured confounding from diet, recent exposures or c</w:t>
      </w:r>
      <w:r>
        <w:t xml:space="preserve">oncurrent illnesses is possible. Finally, the study did not include post-donation follow-up to measure acute changes after phlebotomy. These limitations are important when interpreting the absence of strong associations between lead/iron and hematological </w:t>
      </w:r>
      <w:r>
        <w:t xml:space="preserve">indices. </w:t>
      </w:r>
    </w:p>
    <w:p w14:paraId="0E8F4AC8" w14:textId="77777777" w:rsidR="001F3592" w:rsidRDefault="001F3592">
      <w:pPr>
        <w:pStyle w:val="NormalWeb"/>
        <w:spacing w:line="360" w:lineRule="auto"/>
        <w:jc w:val="both"/>
      </w:pPr>
    </w:p>
    <w:p w14:paraId="2A348418" w14:textId="77777777" w:rsidR="001F3592" w:rsidRDefault="001F3592">
      <w:pPr>
        <w:pStyle w:val="NormalWeb"/>
        <w:spacing w:line="360" w:lineRule="auto"/>
        <w:jc w:val="both"/>
      </w:pPr>
    </w:p>
    <w:p w14:paraId="3BBC515B" w14:textId="77777777" w:rsidR="001F3592" w:rsidRDefault="001F3592">
      <w:pPr>
        <w:pStyle w:val="NormalWeb"/>
        <w:spacing w:line="360" w:lineRule="auto"/>
        <w:jc w:val="both"/>
      </w:pPr>
    </w:p>
    <w:p w14:paraId="4289D238" w14:textId="77777777" w:rsidR="001F3592" w:rsidRDefault="001F3592">
      <w:pPr>
        <w:pStyle w:val="NormalWeb"/>
        <w:spacing w:line="360" w:lineRule="auto"/>
        <w:jc w:val="both"/>
      </w:pPr>
    </w:p>
    <w:p w14:paraId="3C529718" w14:textId="77777777" w:rsidR="001F3592" w:rsidRDefault="001F3592">
      <w:pPr>
        <w:pStyle w:val="NormalWeb"/>
        <w:spacing w:line="360" w:lineRule="auto"/>
        <w:jc w:val="both"/>
      </w:pPr>
    </w:p>
    <w:p w14:paraId="477B4B03" w14:textId="77777777" w:rsidR="001F3592" w:rsidRDefault="001F3592">
      <w:pPr>
        <w:pStyle w:val="NormalWeb"/>
        <w:spacing w:line="360" w:lineRule="auto"/>
        <w:jc w:val="both"/>
      </w:pPr>
    </w:p>
    <w:p w14:paraId="5FF97D04" w14:textId="77777777" w:rsidR="001F3592" w:rsidRDefault="001F3592">
      <w:pPr>
        <w:pStyle w:val="NormalWeb"/>
        <w:spacing w:line="360" w:lineRule="auto"/>
        <w:jc w:val="both"/>
      </w:pPr>
    </w:p>
    <w:p w14:paraId="013DF4DF" w14:textId="77777777" w:rsidR="001F3592" w:rsidRDefault="001F3592">
      <w:pPr>
        <w:pStyle w:val="NormalWeb"/>
        <w:spacing w:line="360" w:lineRule="auto"/>
        <w:jc w:val="both"/>
      </w:pPr>
    </w:p>
    <w:p w14:paraId="40E7D080" w14:textId="77777777" w:rsidR="001F3592" w:rsidRDefault="001F3592">
      <w:pPr>
        <w:pStyle w:val="NormalWeb"/>
        <w:spacing w:line="360" w:lineRule="auto"/>
        <w:jc w:val="both"/>
      </w:pPr>
    </w:p>
    <w:p w14:paraId="18368EE7" w14:textId="77777777" w:rsidR="001F3592" w:rsidRDefault="001F3592">
      <w:pPr>
        <w:pStyle w:val="NormalWeb"/>
        <w:spacing w:line="360" w:lineRule="auto"/>
        <w:jc w:val="both"/>
      </w:pPr>
    </w:p>
    <w:p w14:paraId="0014EF0A" w14:textId="77777777" w:rsidR="001F3592" w:rsidRDefault="001F3592">
      <w:pPr>
        <w:pStyle w:val="NormalWeb"/>
        <w:spacing w:line="360" w:lineRule="auto"/>
        <w:jc w:val="both"/>
      </w:pPr>
    </w:p>
    <w:p w14:paraId="3E23122C" w14:textId="77777777" w:rsidR="001F3592" w:rsidRDefault="00A761D5">
      <w:pPr>
        <w:spacing w:after="0" w:line="360" w:lineRule="auto"/>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b/>
          <w:color w:val="000000"/>
          <w:kern w:val="2"/>
          <w:sz w:val="24"/>
          <w:szCs w:val="24"/>
          <w14:ligatures w14:val="standardContextual"/>
        </w:rPr>
        <w:t>R</w:t>
      </w:r>
      <w:r>
        <w:rPr>
          <w:rFonts w:ascii="Times New Roman" w:eastAsia="Times New Roman" w:hAnsi="Times New Roman" w:cs="Times New Roman"/>
          <w:b/>
          <w:color w:val="000000"/>
          <w:kern w:val="2"/>
          <w:sz w:val="24"/>
          <w:szCs w:val="24"/>
          <w:lang w:bidi="en-US"/>
          <w14:ligatures w14:val="standardContextual"/>
        </w:rPr>
        <w:t>esults</w:t>
      </w:r>
      <w:r>
        <w:rPr>
          <w:rFonts w:ascii="Times New Roman" w:eastAsia="Times New Roman" w:hAnsi="Times New Roman" w:cs="Times New Roman"/>
          <w:b/>
          <w:color w:val="000000"/>
          <w:kern w:val="2"/>
          <w:sz w:val="28"/>
          <w:szCs w:val="24"/>
          <w:lang w:bidi="en-US"/>
          <w14:ligatures w14:val="standardContextual"/>
        </w:rPr>
        <w:t xml:space="preserve"> </w:t>
      </w:r>
    </w:p>
    <w:p w14:paraId="627CFD06" w14:textId="77777777" w:rsidR="001F3592" w:rsidRDefault="00A761D5">
      <w:pPr>
        <w:keepNext/>
        <w:keepLines/>
        <w:tabs>
          <w:tab w:val="center" w:pos="523"/>
          <w:tab w:val="center" w:pos="3550"/>
        </w:tabs>
        <w:spacing w:after="0" w:line="360" w:lineRule="auto"/>
        <w:outlineLvl w:val="2"/>
        <w:rPr>
          <w:rFonts w:ascii="Times New Roman" w:eastAsia="Times New Roman" w:hAnsi="Times New Roman" w:cs="Times New Roman"/>
          <w:color w:val="000000"/>
          <w:kern w:val="2"/>
          <w:sz w:val="24"/>
          <w:szCs w:val="24"/>
          <w:lang w:bidi="en-US"/>
          <w14:ligatures w14:val="standardContextual"/>
        </w:rPr>
      </w:pPr>
      <w:r>
        <w:rPr>
          <w:rFonts w:cs="Calibri"/>
          <w:color w:val="000000"/>
          <w:kern w:val="2"/>
          <w:szCs w:val="24"/>
          <w14:ligatures w14:val="standardContextual"/>
        </w:rPr>
        <w:tab/>
      </w:r>
      <w:r>
        <w:rPr>
          <w:rFonts w:ascii="Times New Roman" w:eastAsia="Times New Roman" w:hAnsi="Times New Roman" w:cs="Times New Roman"/>
          <w:color w:val="000000"/>
          <w:kern w:val="2"/>
          <w:sz w:val="24"/>
          <w:szCs w:val="24"/>
          <w:lang w:bidi="en-US"/>
          <w14:ligatures w14:val="standardContextual"/>
        </w:rPr>
        <w:t xml:space="preserve"> </w:t>
      </w:r>
    </w:p>
    <w:p w14:paraId="7003AAE4" w14:textId="77777777" w:rsidR="001F3592" w:rsidRDefault="00A761D5">
      <w:pPr>
        <w:keepNext/>
        <w:keepLines/>
        <w:spacing w:after="0" w:line="360" w:lineRule="auto"/>
        <w:ind w:right="493"/>
        <w:outlineLvl w:val="1"/>
        <w:rPr>
          <w:rFonts w:ascii="Times New Roman" w:eastAsia="Times New Roman" w:hAnsi="Times New Roman" w:cs="Times New Roman"/>
          <w:b/>
          <w:color w:val="000000"/>
          <w:kern w:val="2"/>
          <w:sz w:val="24"/>
          <w:szCs w:val="24"/>
          <w14:ligatures w14:val="standardContextual"/>
        </w:rPr>
      </w:pPr>
      <w:r>
        <w:rPr>
          <w:rFonts w:ascii="Times New Roman" w:eastAsia="Times New Roman" w:hAnsi="Times New Roman" w:cs="Times New Roman"/>
          <w:b/>
          <w:color w:val="000000"/>
          <w:kern w:val="2"/>
          <w:sz w:val="24"/>
          <w:szCs w:val="24"/>
          <w:u w:val="single" w:color="000000"/>
          <w14:ligatures w14:val="standardContextual"/>
        </w:rPr>
        <w:t>Table 1</w:t>
      </w:r>
      <w:r>
        <w:rPr>
          <w:rFonts w:ascii="Times New Roman" w:eastAsia="Times New Roman" w:hAnsi="Times New Roman" w:cs="Times New Roman"/>
          <w:color w:val="000000"/>
          <w:kern w:val="2"/>
          <w:sz w:val="24"/>
          <w:szCs w:val="24"/>
          <w:u w:val="single" w:color="000000"/>
          <w14:ligatures w14:val="standardContextual"/>
        </w:rPr>
        <w:t xml:space="preserve">: </w:t>
      </w:r>
      <w:r>
        <w:rPr>
          <w:rFonts w:ascii="Times New Roman" w:eastAsia="Times New Roman" w:hAnsi="Times New Roman" w:cs="Times New Roman"/>
          <w:b/>
          <w:color w:val="000000"/>
          <w:kern w:val="2"/>
          <w:sz w:val="24"/>
          <w:szCs w:val="24"/>
          <w:u w:val="single" w:color="000000"/>
          <w14:ligatures w14:val="standardContextual"/>
        </w:rPr>
        <w:t>Demographic Information</w:t>
      </w:r>
      <w:r>
        <w:rPr>
          <w:rFonts w:ascii="Times New Roman" w:eastAsia="Times New Roman" w:hAnsi="Times New Roman" w:cs="Times New Roman"/>
          <w:b/>
          <w:color w:val="000000"/>
          <w:kern w:val="2"/>
          <w:sz w:val="24"/>
          <w:szCs w:val="24"/>
          <w14:ligatures w14:val="standardContextual"/>
        </w:rPr>
        <w:t xml:space="preserve"> of the Study Participants</w:t>
      </w:r>
      <w:r>
        <w:rPr>
          <w:rFonts w:ascii="Times New Roman" w:eastAsia="Times New Roman" w:hAnsi="Times New Roman" w:cs="Times New Roman"/>
          <w:color w:val="000000"/>
          <w:kern w:val="2"/>
          <w:sz w:val="24"/>
          <w:szCs w:val="24"/>
          <w14:ligatures w14:val="standardContextual"/>
        </w:rPr>
        <w:t xml:space="preserve"> </w:t>
      </w:r>
    </w:p>
    <w:tbl>
      <w:tblPr>
        <w:tblStyle w:val="TableGrid0"/>
        <w:tblW w:w="8651" w:type="dxa"/>
        <w:tblInd w:w="221" w:type="dxa"/>
        <w:tblCellMar>
          <w:top w:w="5" w:type="dxa"/>
          <w:right w:w="115" w:type="dxa"/>
        </w:tblCellMar>
        <w:tblLook w:val="04A0" w:firstRow="1" w:lastRow="0" w:firstColumn="1" w:lastColumn="0" w:noHBand="0" w:noVBand="1"/>
      </w:tblPr>
      <w:tblGrid>
        <w:gridCol w:w="1618"/>
        <w:gridCol w:w="1457"/>
        <w:gridCol w:w="1421"/>
        <w:gridCol w:w="1421"/>
        <w:gridCol w:w="1421"/>
        <w:gridCol w:w="1313"/>
      </w:tblGrid>
      <w:tr w:rsidR="001F3592" w14:paraId="7C93B33C" w14:textId="77777777">
        <w:trPr>
          <w:trHeight w:val="286"/>
        </w:trPr>
        <w:tc>
          <w:tcPr>
            <w:tcW w:w="1618" w:type="dxa"/>
            <w:tcBorders>
              <w:top w:val="nil"/>
              <w:left w:val="nil"/>
              <w:bottom w:val="single" w:sz="4" w:space="0" w:color="000000"/>
              <w:right w:val="nil"/>
            </w:tcBorders>
          </w:tcPr>
          <w:p w14:paraId="57BFD34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Variables </w:t>
            </w:r>
          </w:p>
        </w:tc>
        <w:tc>
          <w:tcPr>
            <w:tcW w:w="1457" w:type="dxa"/>
            <w:tcBorders>
              <w:top w:val="nil"/>
              <w:left w:val="nil"/>
              <w:bottom w:val="single" w:sz="4" w:space="0" w:color="000000"/>
              <w:right w:val="nil"/>
            </w:tcBorders>
          </w:tcPr>
          <w:p w14:paraId="75184A23" w14:textId="77777777" w:rsidR="001F3592" w:rsidRDefault="001F3592">
            <w:pPr>
              <w:spacing w:after="160" w:line="360" w:lineRule="auto"/>
              <w:rPr>
                <w:rFonts w:ascii="Times New Roman" w:hAnsi="Times New Roman" w:cs="Times New Roman"/>
                <w:color w:val="000000"/>
                <w:lang w:bidi="en-US"/>
              </w:rPr>
            </w:pPr>
          </w:p>
        </w:tc>
        <w:tc>
          <w:tcPr>
            <w:tcW w:w="2842" w:type="dxa"/>
            <w:gridSpan w:val="2"/>
            <w:tcBorders>
              <w:top w:val="single" w:sz="4" w:space="0" w:color="000000"/>
              <w:left w:val="nil"/>
              <w:bottom w:val="single" w:sz="4" w:space="0" w:color="000000"/>
              <w:right w:val="nil"/>
            </w:tcBorders>
          </w:tcPr>
          <w:p w14:paraId="3FE125A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Occasional Blood Donor </w:t>
            </w:r>
          </w:p>
        </w:tc>
        <w:tc>
          <w:tcPr>
            <w:tcW w:w="2734" w:type="dxa"/>
            <w:gridSpan w:val="2"/>
            <w:tcBorders>
              <w:top w:val="single" w:sz="4" w:space="0" w:color="000000"/>
              <w:left w:val="nil"/>
              <w:bottom w:val="single" w:sz="4" w:space="0" w:color="000000"/>
              <w:right w:val="nil"/>
            </w:tcBorders>
          </w:tcPr>
          <w:p w14:paraId="3B6DC10C"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Frequent Blood donor </w:t>
            </w:r>
          </w:p>
        </w:tc>
      </w:tr>
      <w:tr w:rsidR="001F3592" w14:paraId="442D0F9E" w14:textId="77777777">
        <w:trPr>
          <w:trHeight w:val="278"/>
        </w:trPr>
        <w:tc>
          <w:tcPr>
            <w:tcW w:w="1618" w:type="dxa"/>
            <w:tcBorders>
              <w:top w:val="single" w:sz="4" w:space="0" w:color="000000"/>
              <w:left w:val="nil"/>
              <w:bottom w:val="nil"/>
              <w:right w:val="nil"/>
            </w:tcBorders>
          </w:tcPr>
          <w:p w14:paraId="495008B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single" w:sz="4" w:space="0" w:color="000000"/>
              <w:left w:val="nil"/>
              <w:bottom w:val="nil"/>
              <w:right w:val="nil"/>
            </w:tcBorders>
          </w:tcPr>
          <w:p w14:paraId="1E6C5C4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21" w:type="dxa"/>
            <w:tcBorders>
              <w:top w:val="single" w:sz="4" w:space="0" w:color="000000"/>
              <w:left w:val="nil"/>
              <w:bottom w:val="nil"/>
              <w:right w:val="nil"/>
            </w:tcBorders>
          </w:tcPr>
          <w:p w14:paraId="3E1D084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N </w:t>
            </w:r>
          </w:p>
        </w:tc>
        <w:tc>
          <w:tcPr>
            <w:tcW w:w="1421" w:type="dxa"/>
            <w:tcBorders>
              <w:top w:val="single" w:sz="4" w:space="0" w:color="000000"/>
              <w:left w:val="nil"/>
              <w:bottom w:val="nil"/>
              <w:right w:val="nil"/>
            </w:tcBorders>
          </w:tcPr>
          <w:p w14:paraId="7AD368A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21" w:type="dxa"/>
            <w:tcBorders>
              <w:top w:val="single" w:sz="4" w:space="0" w:color="000000"/>
              <w:left w:val="nil"/>
              <w:bottom w:val="nil"/>
              <w:right w:val="nil"/>
            </w:tcBorders>
          </w:tcPr>
          <w:p w14:paraId="1B61C45A"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N </w:t>
            </w:r>
          </w:p>
        </w:tc>
        <w:tc>
          <w:tcPr>
            <w:tcW w:w="1313" w:type="dxa"/>
            <w:tcBorders>
              <w:top w:val="single" w:sz="4" w:space="0" w:color="000000"/>
              <w:left w:val="nil"/>
              <w:bottom w:val="nil"/>
              <w:right w:val="nil"/>
            </w:tcBorders>
          </w:tcPr>
          <w:p w14:paraId="10B67ED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r>
      <w:tr w:rsidR="001F3592" w14:paraId="5DC0741F" w14:textId="77777777">
        <w:trPr>
          <w:trHeight w:val="276"/>
        </w:trPr>
        <w:tc>
          <w:tcPr>
            <w:tcW w:w="1618" w:type="dxa"/>
            <w:tcBorders>
              <w:top w:val="nil"/>
              <w:left w:val="nil"/>
              <w:bottom w:val="nil"/>
              <w:right w:val="nil"/>
            </w:tcBorders>
          </w:tcPr>
          <w:p w14:paraId="0FBCF08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Age group </w:t>
            </w:r>
          </w:p>
        </w:tc>
        <w:tc>
          <w:tcPr>
            <w:tcW w:w="1457" w:type="dxa"/>
            <w:tcBorders>
              <w:top w:val="nil"/>
              <w:left w:val="nil"/>
              <w:bottom w:val="nil"/>
              <w:right w:val="nil"/>
            </w:tcBorders>
          </w:tcPr>
          <w:p w14:paraId="5E6318A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18-29 </w:t>
            </w:r>
          </w:p>
        </w:tc>
        <w:tc>
          <w:tcPr>
            <w:tcW w:w="1421" w:type="dxa"/>
            <w:tcBorders>
              <w:top w:val="nil"/>
              <w:left w:val="nil"/>
              <w:bottom w:val="nil"/>
              <w:right w:val="nil"/>
            </w:tcBorders>
          </w:tcPr>
          <w:p w14:paraId="1AB549FC"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35 </w:t>
            </w:r>
          </w:p>
        </w:tc>
        <w:tc>
          <w:tcPr>
            <w:tcW w:w="1421" w:type="dxa"/>
            <w:tcBorders>
              <w:top w:val="nil"/>
              <w:left w:val="nil"/>
              <w:bottom w:val="nil"/>
              <w:right w:val="nil"/>
            </w:tcBorders>
          </w:tcPr>
          <w:p w14:paraId="37E40C6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81.4 </w:t>
            </w:r>
          </w:p>
        </w:tc>
        <w:tc>
          <w:tcPr>
            <w:tcW w:w="1421" w:type="dxa"/>
            <w:tcBorders>
              <w:top w:val="nil"/>
              <w:left w:val="nil"/>
              <w:bottom w:val="nil"/>
              <w:right w:val="nil"/>
            </w:tcBorders>
          </w:tcPr>
          <w:p w14:paraId="42BDC78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 </w:t>
            </w:r>
          </w:p>
        </w:tc>
        <w:tc>
          <w:tcPr>
            <w:tcW w:w="1313" w:type="dxa"/>
            <w:tcBorders>
              <w:top w:val="nil"/>
              <w:left w:val="nil"/>
              <w:bottom w:val="nil"/>
              <w:right w:val="nil"/>
            </w:tcBorders>
          </w:tcPr>
          <w:p w14:paraId="059C71A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18.6 </w:t>
            </w:r>
          </w:p>
        </w:tc>
      </w:tr>
      <w:tr w:rsidR="001F3592" w14:paraId="27E23F63" w14:textId="77777777">
        <w:trPr>
          <w:trHeight w:val="276"/>
        </w:trPr>
        <w:tc>
          <w:tcPr>
            <w:tcW w:w="1618" w:type="dxa"/>
            <w:tcBorders>
              <w:top w:val="nil"/>
              <w:left w:val="nil"/>
              <w:bottom w:val="nil"/>
              <w:right w:val="nil"/>
            </w:tcBorders>
          </w:tcPr>
          <w:p w14:paraId="3B33B76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4A0FEB1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30-39 </w:t>
            </w:r>
          </w:p>
        </w:tc>
        <w:tc>
          <w:tcPr>
            <w:tcW w:w="1421" w:type="dxa"/>
            <w:tcBorders>
              <w:top w:val="nil"/>
              <w:left w:val="nil"/>
              <w:bottom w:val="nil"/>
              <w:right w:val="nil"/>
            </w:tcBorders>
          </w:tcPr>
          <w:p w14:paraId="5FB9E6A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56 </w:t>
            </w:r>
          </w:p>
        </w:tc>
        <w:tc>
          <w:tcPr>
            <w:tcW w:w="1421" w:type="dxa"/>
            <w:tcBorders>
              <w:top w:val="nil"/>
              <w:left w:val="nil"/>
              <w:bottom w:val="nil"/>
              <w:right w:val="nil"/>
            </w:tcBorders>
          </w:tcPr>
          <w:p w14:paraId="79D2A20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98.2 </w:t>
            </w:r>
          </w:p>
        </w:tc>
        <w:tc>
          <w:tcPr>
            <w:tcW w:w="1421" w:type="dxa"/>
            <w:tcBorders>
              <w:top w:val="nil"/>
              <w:left w:val="nil"/>
              <w:bottom w:val="nil"/>
              <w:right w:val="nil"/>
            </w:tcBorders>
          </w:tcPr>
          <w:p w14:paraId="209FE9E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 </w:t>
            </w:r>
          </w:p>
        </w:tc>
        <w:tc>
          <w:tcPr>
            <w:tcW w:w="1313" w:type="dxa"/>
            <w:tcBorders>
              <w:top w:val="nil"/>
              <w:left w:val="nil"/>
              <w:bottom w:val="nil"/>
              <w:right w:val="nil"/>
            </w:tcBorders>
          </w:tcPr>
          <w:p w14:paraId="31DDDFD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1.8 </w:t>
            </w:r>
          </w:p>
        </w:tc>
      </w:tr>
      <w:tr w:rsidR="001F3592" w14:paraId="28C103FB" w14:textId="77777777">
        <w:trPr>
          <w:trHeight w:val="276"/>
        </w:trPr>
        <w:tc>
          <w:tcPr>
            <w:tcW w:w="1618" w:type="dxa"/>
            <w:tcBorders>
              <w:top w:val="nil"/>
              <w:left w:val="nil"/>
              <w:bottom w:val="nil"/>
              <w:right w:val="nil"/>
            </w:tcBorders>
          </w:tcPr>
          <w:p w14:paraId="2DA6767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661C2B6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40-49 </w:t>
            </w:r>
          </w:p>
        </w:tc>
        <w:tc>
          <w:tcPr>
            <w:tcW w:w="1421" w:type="dxa"/>
            <w:tcBorders>
              <w:top w:val="nil"/>
              <w:left w:val="nil"/>
              <w:bottom w:val="nil"/>
              <w:right w:val="nil"/>
            </w:tcBorders>
          </w:tcPr>
          <w:p w14:paraId="61B98BF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34 </w:t>
            </w:r>
          </w:p>
        </w:tc>
        <w:tc>
          <w:tcPr>
            <w:tcW w:w="1421" w:type="dxa"/>
            <w:tcBorders>
              <w:top w:val="nil"/>
              <w:left w:val="nil"/>
              <w:bottom w:val="nil"/>
              <w:right w:val="nil"/>
            </w:tcBorders>
          </w:tcPr>
          <w:p w14:paraId="263A9CF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85.0 </w:t>
            </w:r>
          </w:p>
        </w:tc>
        <w:tc>
          <w:tcPr>
            <w:tcW w:w="1421" w:type="dxa"/>
            <w:tcBorders>
              <w:top w:val="nil"/>
              <w:left w:val="nil"/>
              <w:bottom w:val="nil"/>
              <w:right w:val="nil"/>
            </w:tcBorders>
          </w:tcPr>
          <w:p w14:paraId="31A5096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6 </w:t>
            </w:r>
          </w:p>
        </w:tc>
        <w:tc>
          <w:tcPr>
            <w:tcW w:w="1313" w:type="dxa"/>
            <w:tcBorders>
              <w:top w:val="nil"/>
              <w:left w:val="nil"/>
              <w:bottom w:val="nil"/>
              <w:right w:val="nil"/>
            </w:tcBorders>
          </w:tcPr>
          <w:p w14:paraId="23665B1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15.0 </w:t>
            </w:r>
          </w:p>
        </w:tc>
      </w:tr>
      <w:tr w:rsidR="001F3592" w14:paraId="2CAAD404" w14:textId="77777777">
        <w:trPr>
          <w:trHeight w:val="276"/>
        </w:trPr>
        <w:tc>
          <w:tcPr>
            <w:tcW w:w="1618" w:type="dxa"/>
            <w:tcBorders>
              <w:top w:val="nil"/>
              <w:left w:val="nil"/>
              <w:bottom w:val="nil"/>
              <w:right w:val="nil"/>
            </w:tcBorders>
          </w:tcPr>
          <w:p w14:paraId="0FC2756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321D986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≥50 </w:t>
            </w:r>
          </w:p>
        </w:tc>
        <w:tc>
          <w:tcPr>
            <w:tcW w:w="1421" w:type="dxa"/>
            <w:tcBorders>
              <w:top w:val="nil"/>
              <w:left w:val="nil"/>
              <w:bottom w:val="nil"/>
              <w:right w:val="nil"/>
            </w:tcBorders>
          </w:tcPr>
          <w:p w14:paraId="346C678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32 </w:t>
            </w:r>
          </w:p>
        </w:tc>
        <w:tc>
          <w:tcPr>
            <w:tcW w:w="1421" w:type="dxa"/>
            <w:tcBorders>
              <w:top w:val="nil"/>
              <w:left w:val="nil"/>
              <w:bottom w:val="nil"/>
              <w:right w:val="nil"/>
            </w:tcBorders>
          </w:tcPr>
          <w:p w14:paraId="3DCD9F0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91.4 </w:t>
            </w:r>
          </w:p>
        </w:tc>
        <w:tc>
          <w:tcPr>
            <w:tcW w:w="1421" w:type="dxa"/>
            <w:tcBorders>
              <w:top w:val="nil"/>
              <w:left w:val="nil"/>
              <w:bottom w:val="nil"/>
              <w:right w:val="nil"/>
            </w:tcBorders>
          </w:tcPr>
          <w:p w14:paraId="1459E33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 </w:t>
            </w:r>
          </w:p>
        </w:tc>
        <w:tc>
          <w:tcPr>
            <w:tcW w:w="1313" w:type="dxa"/>
            <w:tcBorders>
              <w:top w:val="nil"/>
              <w:left w:val="nil"/>
              <w:bottom w:val="nil"/>
              <w:right w:val="nil"/>
            </w:tcBorders>
          </w:tcPr>
          <w:p w14:paraId="576DDC5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8.6 </w:t>
            </w:r>
          </w:p>
        </w:tc>
      </w:tr>
      <w:tr w:rsidR="001F3592" w14:paraId="17B39412" w14:textId="77777777">
        <w:trPr>
          <w:trHeight w:val="276"/>
        </w:trPr>
        <w:tc>
          <w:tcPr>
            <w:tcW w:w="1618" w:type="dxa"/>
            <w:tcBorders>
              <w:top w:val="nil"/>
              <w:left w:val="nil"/>
              <w:bottom w:val="nil"/>
              <w:right w:val="nil"/>
            </w:tcBorders>
          </w:tcPr>
          <w:p w14:paraId="3094723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Sex </w:t>
            </w:r>
          </w:p>
        </w:tc>
        <w:tc>
          <w:tcPr>
            <w:tcW w:w="1457" w:type="dxa"/>
            <w:tcBorders>
              <w:top w:val="nil"/>
              <w:left w:val="nil"/>
              <w:bottom w:val="nil"/>
              <w:right w:val="nil"/>
            </w:tcBorders>
          </w:tcPr>
          <w:p w14:paraId="49EDD2B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Male </w:t>
            </w:r>
          </w:p>
        </w:tc>
        <w:tc>
          <w:tcPr>
            <w:tcW w:w="1421" w:type="dxa"/>
            <w:tcBorders>
              <w:top w:val="nil"/>
              <w:left w:val="nil"/>
              <w:bottom w:val="nil"/>
              <w:right w:val="nil"/>
            </w:tcBorders>
          </w:tcPr>
          <w:p w14:paraId="43B9753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113 </w:t>
            </w:r>
          </w:p>
        </w:tc>
        <w:tc>
          <w:tcPr>
            <w:tcW w:w="1421" w:type="dxa"/>
            <w:tcBorders>
              <w:top w:val="nil"/>
              <w:left w:val="nil"/>
              <w:bottom w:val="nil"/>
              <w:right w:val="nil"/>
            </w:tcBorders>
          </w:tcPr>
          <w:p w14:paraId="3CD1DA4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88.3 </w:t>
            </w:r>
          </w:p>
        </w:tc>
        <w:tc>
          <w:tcPr>
            <w:tcW w:w="1421" w:type="dxa"/>
            <w:tcBorders>
              <w:top w:val="nil"/>
              <w:left w:val="nil"/>
              <w:bottom w:val="nil"/>
              <w:right w:val="nil"/>
            </w:tcBorders>
          </w:tcPr>
          <w:p w14:paraId="59AFAAD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15 </w:t>
            </w:r>
          </w:p>
        </w:tc>
        <w:tc>
          <w:tcPr>
            <w:tcW w:w="1313" w:type="dxa"/>
            <w:tcBorders>
              <w:top w:val="nil"/>
              <w:left w:val="nil"/>
              <w:bottom w:val="nil"/>
              <w:right w:val="nil"/>
            </w:tcBorders>
          </w:tcPr>
          <w:p w14:paraId="4339B3C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11.7 </w:t>
            </w:r>
          </w:p>
        </w:tc>
      </w:tr>
      <w:tr w:rsidR="001F3592" w14:paraId="29B2286D" w14:textId="77777777">
        <w:trPr>
          <w:trHeight w:val="276"/>
        </w:trPr>
        <w:tc>
          <w:tcPr>
            <w:tcW w:w="1618" w:type="dxa"/>
            <w:tcBorders>
              <w:top w:val="nil"/>
              <w:left w:val="nil"/>
              <w:bottom w:val="nil"/>
              <w:right w:val="nil"/>
            </w:tcBorders>
          </w:tcPr>
          <w:p w14:paraId="5F442CC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5577085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Female </w:t>
            </w:r>
          </w:p>
        </w:tc>
        <w:tc>
          <w:tcPr>
            <w:tcW w:w="1421" w:type="dxa"/>
            <w:tcBorders>
              <w:top w:val="nil"/>
              <w:left w:val="nil"/>
              <w:bottom w:val="nil"/>
              <w:right w:val="nil"/>
            </w:tcBorders>
          </w:tcPr>
          <w:p w14:paraId="5287CBF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44 </w:t>
            </w:r>
          </w:p>
        </w:tc>
        <w:tc>
          <w:tcPr>
            <w:tcW w:w="1421" w:type="dxa"/>
            <w:tcBorders>
              <w:top w:val="nil"/>
              <w:left w:val="nil"/>
              <w:bottom w:val="nil"/>
              <w:right w:val="nil"/>
            </w:tcBorders>
          </w:tcPr>
          <w:p w14:paraId="3EA8C52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93.6 </w:t>
            </w:r>
          </w:p>
        </w:tc>
        <w:tc>
          <w:tcPr>
            <w:tcW w:w="1421" w:type="dxa"/>
            <w:tcBorders>
              <w:top w:val="nil"/>
              <w:left w:val="nil"/>
              <w:bottom w:val="nil"/>
              <w:right w:val="nil"/>
            </w:tcBorders>
          </w:tcPr>
          <w:p w14:paraId="6BA1589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 </w:t>
            </w:r>
          </w:p>
        </w:tc>
        <w:tc>
          <w:tcPr>
            <w:tcW w:w="1313" w:type="dxa"/>
            <w:tcBorders>
              <w:top w:val="nil"/>
              <w:left w:val="nil"/>
              <w:bottom w:val="nil"/>
              <w:right w:val="nil"/>
            </w:tcBorders>
          </w:tcPr>
          <w:p w14:paraId="27D1763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6.4 </w:t>
            </w:r>
          </w:p>
        </w:tc>
      </w:tr>
      <w:tr w:rsidR="001F3592" w14:paraId="3AE036F9" w14:textId="77777777">
        <w:trPr>
          <w:trHeight w:val="552"/>
        </w:trPr>
        <w:tc>
          <w:tcPr>
            <w:tcW w:w="1618" w:type="dxa"/>
            <w:tcBorders>
              <w:top w:val="nil"/>
              <w:left w:val="nil"/>
              <w:bottom w:val="nil"/>
              <w:right w:val="nil"/>
            </w:tcBorders>
          </w:tcPr>
          <w:p w14:paraId="32C5B9C3" w14:textId="77777777" w:rsidR="001F3592" w:rsidRDefault="00A761D5">
            <w:pPr>
              <w:spacing w:line="360" w:lineRule="auto"/>
              <w:ind w:right="27"/>
              <w:rPr>
                <w:rFonts w:ascii="Times New Roman" w:hAnsi="Times New Roman" w:cs="Times New Roman"/>
                <w:color w:val="000000"/>
                <w:lang w:bidi="en-US"/>
              </w:rPr>
            </w:pPr>
            <w:r>
              <w:rPr>
                <w:rFonts w:ascii="Times New Roman" w:hAnsi="Times New Roman" w:cs="Times New Roman"/>
                <w:color w:val="000000"/>
                <w:lang w:bidi="en-US"/>
              </w:rPr>
              <w:t xml:space="preserve">Marital Status </w:t>
            </w:r>
          </w:p>
        </w:tc>
        <w:tc>
          <w:tcPr>
            <w:tcW w:w="1457" w:type="dxa"/>
            <w:tcBorders>
              <w:top w:val="nil"/>
              <w:left w:val="nil"/>
              <w:bottom w:val="nil"/>
              <w:right w:val="nil"/>
            </w:tcBorders>
          </w:tcPr>
          <w:p w14:paraId="6674315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Single </w:t>
            </w:r>
          </w:p>
        </w:tc>
        <w:tc>
          <w:tcPr>
            <w:tcW w:w="1421" w:type="dxa"/>
            <w:tcBorders>
              <w:top w:val="nil"/>
              <w:left w:val="nil"/>
              <w:bottom w:val="nil"/>
              <w:right w:val="nil"/>
            </w:tcBorders>
          </w:tcPr>
          <w:p w14:paraId="1296166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89 </w:t>
            </w:r>
          </w:p>
        </w:tc>
        <w:tc>
          <w:tcPr>
            <w:tcW w:w="1421" w:type="dxa"/>
            <w:tcBorders>
              <w:top w:val="nil"/>
              <w:left w:val="nil"/>
              <w:bottom w:val="nil"/>
              <w:right w:val="nil"/>
            </w:tcBorders>
          </w:tcPr>
          <w:p w14:paraId="22E7071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89.9 </w:t>
            </w:r>
          </w:p>
        </w:tc>
        <w:tc>
          <w:tcPr>
            <w:tcW w:w="1421" w:type="dxa"/>
            <w:tcBorders>
              <w:top w:val="nil"/>
              <w:left w:val="nil"/>
              <w:bottom w:val="nil"/>
              <w:right w:val="nil"/>
            </w:tcBorders>
          </w:tcPr>
          <w:p w14:paraId="1407359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10 </w:t>
            </w:r>
          </w:p>
        </w:tc>
        <w:tc>
          <w:tcPr>
            <w:tcW w:w="1313" w:type="dxa"/>
            <w:tcBorders>
              <w:top w:val="nil"/>
              <w:left w:val="nil"/>
              <w:bottom w:val="nil"/>
              <w:right w:val="nil"/>
            </w:tcBorders>
          </w:tcPr>
          <w:p w14:paraId="739F21CA"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10.1 </w:t>
            </w:r>
          </w:p>
        </w:tc>
      </w:tr>
      <w:tr w:rsidR="001F3592" w14:paraId="44B08AD5" w14:textId="77777777">
        <w:trPr>
          <w:trHeight w:val="276"/>
        </w:trPr>
        <w:tc>
          <w:tcPr>
            <w:tcW w:w="1618" w:type="dxa"/>
            <w:tcBorders>
              <w:top w:val="nil"/>
              <w:left w:val="nil"/>
              <w:bottom w:val="nil"/>
              <w:right w:val="nil"/>
            </w:tcBorders>
          </w:tcPr>
          <w:p w14:paraId="46A9BA3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7859759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Married </w:t>
            </w:r>
          </w:p>
        </w:tc>
        <w:tc>
          <w:tcPr>
            <w:tcW w:w="1421" w:type="dxa"/>
            <w:tcBorders>
              <w:top w:val="nil"/>
              <w:left w:val="nil"/>
              <w:bottom w:val="nil"/>
              <w:right w:val="nil"/>
            </w:tcBorders>
          </w:tcPr>
          <w:p w14:paraId="1B01291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57 </w:t>
            </w:r>
          </w:p>
        </w:tc>
        <w:tc>
          <w:tcPr>
            <w:tcW w:w="1421" w:type="dxa"/>
            <w:tcBorders>
              <w:top w:val="nil"/>
              <w:left w:val="nil"/>
              <w:bottom w:val="nil"/>
              <w:right w:val="nil"/>
            </w:tcBorders>
          </w:tcPr>
          <w:p w14:paraId="16929F0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87.7 </w:t>
            </w:r>
          </w:p>
        </w:tc>
        <w:tc>
          <w:tcPr>
            <w:tcW w:w="1421" w:type="dxa"/>
            <w:tcBorders>
              <w:top w:val="nil"/>
              <w:left w:val="nil"/>
              <w:bottom w:val="nil"/>
              <w:right w:val="nil"/>
            </w:tcBorders>
          </w:tcPr>
          <w:p w14:paraId="11EC1F3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 </w:t>
            </w:r>
          </w:p>
        </w:tc>
        <w:tc>
          <w:tcPr>
            <w:tcW w:w="1313" w:type="dxa"/>
            <w:tcBorders>
              <w:top w:val="nil"/>
              <w:left w:val="nil"/>
              <w:bottom w:val="nil"/>
              <w:right w:val="nil"/>
            </w:tcBorders>
          </w:tcPr>
          <w:p w14:paraId="2A777AD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12.3 </w:t>
            </w:r>
          </w:p>
        </w:tc>
      </w:tr>
      <w:tr w:rsidR="001F3592" w14:paraId="5307A159" w14:textId="77777777">
        <w:trPr>
          <w:trHeight w:val="276"/>
        </w:trPr>
        <w:tc>
          <w:tcPr>
            <w:tcW w:w="1618" w:type="dxa"/>
            <w:tcBorders>
              <w:top w:val="nil"/>
              <w:left w:val="nil"/>
              <w:bottom w:val="nil"/>
              <w:right w:val="nil"/>
            </w:tcBorders>
          </w:tcPr>
          <w:p w14:paraId="43CAE97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5A6B5D2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Divorced </w:t>
            </w:r>
          </w:p>
        </w:tc>
        <w:tc>
          <w:tcPr>
            <w:tcW w:w="1421" w:type="dxa"/>
            <w:tcBorders>
              <w:top w:val="nil"/>
              <w:left w:val="nil"/>
              <w:bottom w:val="nil"/>
              <w:right w:val="nil"/>
            </w:tcBorders>
          </w:tcPr>
          <w:p w14:paraId="63E0D89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6 </w:t>
            </w:r>
          </w:p>
        </w:tc>
        <w:tc>
          <w:tcPr>
            <w:tcW w:w="1421" w:type="dxa"/>
            <w:tcBorders>
              <w:top w:val="nil"/>
              <w:left w:val="nil"/>
              <w:bottom w:val="nil"/>
              <w:right w:val="nil"/>
            </w:tcBorders>
          </w:tcPr>
          <w:p w14:paraId="43E0E5C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100.0 </w:t>
            </w:r>
          </w:p>
        </w:tc>
        <w:tc>
          <w:tcPr>
            <w:tcW w:w="1421" w:type="dxa"/>
            <w:tcBorders>
              <w:top w:val="nil"/>
              <w:left w:val="nil"/>
              <w:bottom w:val="nil"/>
              <w:right w:val="nil"/>
            </w:tcBorders>
          </w:tcPr>
          <w:p w14:paraId="25DBD87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 </w:t>
            </w:r>
          </w:p>
        </w:tc>
        <w:tc>
          <w:tcPr>
            <w:tcW w:w="1313" w:type="dxa"/>
            <w:tcBorders>
              <w:top w:val="nil"/>
              <w:left w:val="nil"/>
              <w:bottom w:val="nil"/>
              <w:right w:val="nil"/>
            </w:tcBorders>
          </w:tcPr>
          <w:p w14:paraId="7E0CFB0A"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 </w:t>
            </w:r>
          </w:p>
        </w:tc>
      </w:tr>
      <w:tr w:rsidR="001F3592" w14:paraId="6D94B8F4" w14:textId="77777777">
        <w:trPr>
          <w:trHeight w:val="276"/>
        </w:trPr>
        <w:tc>
          <w:tcPr>
            <w:tcW w:w="1618" w:type="dxa"/>
            <w:tcBorders>
              <w:top w:val="nil"/>
              <w:left w:val="nil"/>
              <w:bottom w:val="nil"/>
              <w:right w:val="nil"/>
            </w:tcBorders>
          </w:tcPr>
          <w:p w14:paraId="66C5B0C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491B3C7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Widowed </w:t>
            </w:r>
          </w:p>
        </w:tc>
        <w:tc>
          <w:tcPr>
            <w:tcW w:w="1421" w:type="dxa"/>
            <w:tcBorders>
              <w:top w:val="nil"/>
              <w:left w:val="nil"/>
              <w:bottom w:val="nil"/>
              <w:right w:val="nil"/>
            </w:tcBorders>
          </w:tcPr>
          <w:p w14:paraId="34EADB2C"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 </w:t>
            </w:r>
          </w:p>
        </w:tc>
        <w:tc>
          <w:tcPr>
            <w:tcW w:w="1421" w:type="dxa"/>
            <w:tcBorders>
              <w:top w:val="nil"/>
              <w:left w:val="nil"/>
              <w:bottom w:val="nil"/>
              <w:right w:val="nil"/>
            </w:tcBorders>
          </w:tcPr>
          <w:p w14:paraId="30E7073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100.0 </w:t>
            </w:r>
          </w:p>
        </w:tc>
        <w:tc>
          <w:tcPr>
            <w:tcW w:w="1421" w:type="dxa"/>
            <w:tcBorders>
              <w:top w:val="nil"/>
              <w:left w:val="nil"/>
              <w:bottom w:val="nil"/>
              <w:right w:val="nil"/>
            </w:tcBorders>
          </w:tcPr>
          <w:p w14:paraId="2A0BC55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 </w:t>
            </w:r>
          </w:p>
        </w:tc>
        <w:tc>
          <w:tcPr>
            <w:tcW w:w="1313" w:type="dxa"/>
            <w:tcBorders>
              <w:top w:val="nil"/>
              <w:left w:val="nil"/>
              <w:bottom w:val="nil"/>
              <w:right w:val="nil"/>
            </w:tcBorders>
          </w:tcPr>
          <w:p w14:paraId="209E224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 </w:t>
            </w:r>
          </w:p>
        </w:tc>
      </w:tr>
      <w:tr w:rsidR="001F3592" w14:paraId="116C9F8D" w14:textId="77777777">
        <w:trPr>
          <w:trHeight w:val="276"/>
        </w:trPr>
        <w:tc>
          <w:tcPr>
            <w:tcW w:w="1618" w:type="dxa"/>
            <w:tcBorders>
              <w:top w:val="nil"/>
              <w:left w:val="nil"/>
              <w:bottom w:val="nil"/>
              <w:right w:val="nil"/>
            </w:tcBorders>
          </w:tcPr>
          <w:p w14:paraId="7D88625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Occupation </w:t>
            </w:r>
          </w:p>
        </w:tc>
        <w:tc>
          <w:tcPr>
            <w:tcW w:w="1457" w:type="dxa"/>
            <w:tcBorders>
              <w:top w:val="nil"/>
              <w:left w:val="nil"/>
              <w:bottom w:val="nil"/>
              <w:right w:val="nil"/>
            </w:tcBorders>
          </w:tcPr>
          <w:p w14:paraId="7430E36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Artisan </w:t>
            </w:r>
          </w:p>
        </w:tc>
        <w:tc>
          <w:tcPr>
            <w:tcW w:w="1421" w:type="dxa"/>
            <w:tcBorders>
              <w:top w:val="nil"/>
              <w:left w:val="nil"/>
              <w:bottom w:val="nil"/>
              <w:right w:val="nil"/>
            </w:tcBorders>
          </w:tcPr>
          <w:p w14:paraId="12905A0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32 </w:t>
            </w:r>
          </w:p>
        </w:tc>
        <w:tc>
          <w:tcPr>
            <w:tcW w:w="1421" w:type="dxa"/>
            <w:tcBorders>
              <w:top w:val="nil"/>
              <w:left w:val="nil"/>
              <w:bottom w:val="nil"/>
              <w:right w:val="nil"/>
            </w:tcBorders>
          </w:tcPr>
          <w:p w14:paraId="46DBA62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84.2 </w:t>
            </w:r>
          </w:p>
        </w:tc>
        <w:tc>
          <w:tcPr>
            <w:tcW w:w="1421" w:type="dxa"/>
            <w:tcBorders>
              <w:top w:val="nil"/>
              <w:left w:val="nil"/>
              <w:bottom w:val="nil"/>
              <w:right w:val="nil"/>
            </w:tcBorders>
          </w:tcPr>
          <w:p w14:paraId="7380E7B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6 </w:t>
            </w:r>
          </w:p>
        </w:tc>
        <w:tc>
          <w:tcPr>
            <w:tcW w:w="1313" w:type="dxa"/>
            <w:tcBorders>
              <w:top w:val="nil"/>
              <w:left w:val="nil"/>
              <w:bottom w:val="nil"/>
              <w:right w:val="nil"/>
            </w:tcBorders>
          </w:tcPr>
          <w:p w14:paraId="3345A23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15.8 </w:t>
            </w:r>
          </w:p>
        </w:tc>
      </w:tr>
      <w:tr w:rsidR="001F3592" w14:paraId="5E6A1A37" w14:textId="77777777">
        <w:trPr>
          <w:trHeight w:val="552"/>
        </w:trPr>
        <w:tc>
          <w:tcPr>
            <w:tcW w:w="1618" w:type="dxa"/>
            <w:tcBorders>
              <w:top w:val="nil"/>
              <w:left w:val="nil"/>
              <w:bottom w:val="nil"/>
              <w:right w:val="nil"/>
            </w:tcBorders>
          </w:tcPr>
          <w:p w14:paraId="0F31A4F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7E9248C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Civil </w:t>
            </w:r>
          </w:p>
          <w:p w14:paraId="4D00061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Servant </w:t>
            </w:r>
          </w:p>
        </w:tc>
        <w:tc>
          <w:tcPr>
            <w:tcW w:w="1421" w:type="dxa"/>
            <w:tcBorders>
              <w:top w:val="nil"/>
              <w:left w:val="nil"/>
              <w:bottom w:val="nil"/>
              <w:right w:val="nil"/>
            </w:tcBorders>
          </w:tcPr>
          <w:p w14:paraId="14F57E2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30 </w:t>
            </w:r>
          </w:p>
        </w:tc>
        <w:tc>
          <w:tcPr>
            <w:tcW w:w="1421" w:type="dxa"/>
            <w:tcBorders>
              <w:top w:val="nil"/>
              <w:left w:val="nil"/>
              <w:bottom w:val="nil"/>
              <w:right w:val="nil"/>
            </w:tcBorders>
          </w:tcPr>
          <w:p w14:paraId="28F4D4E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96.8 </w:t>
            </w:r>
          </w:p>
        </w:tc>
        <w:tc>
          <w:tcPr>
            <w:tcW w:w="1421" w:type="dxa"/>
            <w:tcBorders>
              <w:top w:val="nil"/>
              <w:left w:val="nil"/>
              <w:bottom w:val="nil"/>
              <w:right w:val="nil"/>
            </w:tcBorders>
          </w:tcPr>
          <w:p w14:paraId="5397EFF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 </w:t>
            </w:r>
          </w:p>
        </w:tc>
        <w:tc>
          <w:tcPr>
            <w:tcW w:w="1313" w:type="dxa"/>
            <w:tcBorders>
              <w:top w:val="nil"/>
              <w:left w:val="nil"/>
              <w:bottom w:val="nil"/>
              <w:right w:val="nil"/>
            </w:tcBorders>
          </w:tcPr>
          <w:p w14:paraId="06DCC47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3.2 </w:t>
            </w:r>
          </w:p>
        </w:tc>
      </w:tr>
      <w:tr w:rsidR="001F3592" w14:paraId="7DC94306" w14:textId="77777777">
        <w:trPr>
          <w:trHeight w:val="552"/>
        </w:trPr>
        <w:tc>
          <w:tcPr>
            <w:tcW w:w="1618" w:type="dxa"/>
            <w:tcBorders>
              <w:top w:val="nil"/>
              <w:left w:val="nil"/>
              <w:bottom w:val="nil"/>
              <w:right w:val="nil"/>
            </w:tcBorders>
          </w:tcPr>
          <w:p w14:paraId="277C9C0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727A8F8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Health Worker </w:t>
            </w:r>
          </w:p>
        </w:tc>
        <w:tc>
          <w:tcPr>
            <w:tcW w:w="1421" w:type="dxa"/>
            <w:tcBorders>
              <w:top w:val="nil"/>
              <w:left w:val="nil"/>
              <w:bottom w:val="nil"/>
              <w:right w:val="nil"/>
            </w:tcBorders>
          </w:tcPr>
          <w:p w14:paraId="62E1503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28 </w:t>
            </w:r>
          </w:p>
        </w:tc>
        <w:tc>
          <w:tcPr>
            <w:tcW w:w="1421" w:type="dxa"/>
            <w:tcBorders>
              <w:top w:val="nil"/>
              <w:left w:val="nil"/>
              <w:bottom w:val="nil"/>
              <w:right w:val="nil"/>
            </w:tcBorders>
          </w:tcPr>
          <w:p w14:paraId="78CE1DF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87.5 </w:t>
            </w:r>
          </w:p>
        </w:tc>
        <w:tc>
          <w:tcPr>
            <w:tcW w:w="1421" w:type="dxa"/>
            <w:tcBorders>
              <w:top w:val="nil"/>
              <w:left w:val="nil"/>
              <w:bottom w:val="nil"/>
              <w:right w:val="nil"/>
            </w:tcBorders>
          </w:tcPr>
          <w:p w14:paraId="1660BFD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4 </w:t>
            </w:r>
          </w:p>
        </w:tc>
        <w:tc>
          <w:tcPr>
            <w:tcW w:w="1313" w:type="dxa"/>
            <w:tcBorders>
              <w:top w:val="nil"/>
              <w:left w:val="nil"/>
              <w:bottom w:val="nil"/>
              <w:right w:val="nil"/>
            </w:tcBorders>
          </w:tcPr>
          <w:p w14:paraId="18AB46D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12.5 </w:t>
            </w:r>
          </w:p>
        </w:tc>
      </w:tr>
      <w:tr w:rsidR="001F3592" w14:paraId="7C97326B" w14:textId="77777777">
        <w:trPr>
          <w:trHeight w:val="276"/>
        </w:trPr>
        <w:tc>
          <w:tcPr>
            <w:tcW w:w="1618" w:type="dxa"/>
            <w:tcBorders>
              <w:top w:val="nil"/>
              <w:left w:val="nil"/>
              <w:bottom w:val="nil"/>
              <w:right w:val="nil"/>
            </w:tcBorders>
          </w:tcPr>
          <w:p w14:paraId="2D1D41B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566F62D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Student </w:t>
            </w:r>
          </w:p>
        </w:tc>
        <w:tc>
          <w:tcPr>
            <w:tcW w:w="1421" w:type="dxa"/>
            <w:tcBorders>
              <w:top w:val="nil"/>
              <w:left w:val="nil"/>
              <w:bottom w:val="nil"/>
              <w:right w:val="nil"/>
            </w:tcBorders>
          </w:tcPr>
          <w:p w14:paraId="0A2FF65A"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30 </w:t>
            </w:r>
          </w:p>
        </w:tc>
        <w:tc>
          <w:tcPr>
            <w:tcW w:w="1421" w:type="dxa"/>
            <w:tcBorders>
              <w:top w:val="nil"/>
              <w:left w:val="nil"/>
              <w:bottom w:val="nil"/>
              <w:right w:val="nil"/>
            </w:tcBorders>
          </w:tcPr>
          <w:p w14:paraId="6D0A942A"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96.8 </w:t>
            </w:r>
          </w:p>
        </w:tc>
        <w:tc>
          <w:tcPr>
            <w:tcW w:w="1421" w:type="dxa"/>
            <w:tcBorders>
              <w:top w:val="nil"/>
              <w:left w:val="nil"/>
              <w:bottom w:val="nil"/>
              <w:right w:val="nil"/>
            </w:tcBorders>
          </w:tcPr>
          <w:p w14:paraId="49E2F54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 </w:t>
            </w:r>
          </w:p>
        </w:tc>
        <w:tc>
          <w:tcPr>
            <w:tcW w:w="1313" w:type="dxa"/>
            <w:tcBorders>
              <w:top w:val="nil"/>
              <w:left w:val="nil"/>
              <w:bottom w:val="nil"/>
              <w:right w:val="nil"/>
            </w:tcBorders>
          </w:tcPr>
          <w:p w14:paraId="22E9C0D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3.2 </w:t>
            </w:r>
          </w:p>
        </w:tc>
      </w:tr>
      <w:tr w:rsidR="001F3592" w14:paraId="32373DE1" w14:textId="77777777">
        <w:trPr>
          <w:trHeight w:val="276"/>
        </w:trPr>
        <w:tc>
          <w:tcPr>
            <w:tcW w:w="1618" w:type="dxa"/>
            <w:tcBorders>
              <w:top w:val="nil"/>
              <w:left w:val="nil"/>
              <w:bottom w:val="nil"/>
              <w:right w:val="nil"/>
            </w:tcBorders>
          </w:tcPr>
          <w:p w14:paraId="4F7635EC"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lastRenderedPageBreak/>
              <w:t xml:space="preserve"> </w:t>
            </w:r>
          </w:p>
        </w:tc>
        <w:tc>
          <w:tcPr>
            <w:tcW w:w="1457" w:type="dxa"/>
            <w:tcBorders>
              <w:top w:val="nil"/>
              <w:left w:val="nil"/>
              <w:bottom w:val="nil"/>
              <w:right w:val="nil"/>
            </w:tcBorders>
          </w:tcPr>
          <w:p w14:paraId="04FF6CB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Trader </w:t>
            </w:r>
          </w:p>
        </w:tc>
        <w:tc>
          <w:tcPr>
            <w:tcW w:w="1421" w:type="dxa"/>
            <w:tcBorders>
              <w:top w:val="nil"/>
              <w:left w:val="nil"/>
              <w:bottom w:val="nil"/>
              <w:right w:val="nil"/>
            </w:tcBorders>
          </w:tcPr>
          <w:p w14:paraId="55FB458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20 </w:t>
            </w:r>
          </w:p>
        </w:tc>
        <w:tc>
          <w:tcPr>
            <w:tcW w:w="1421" w:type="dxa"/>
            <w:tcBorders>
              <w:top w:val="nil"/>
              <w:left w:val="nil"/>
              <w:bottom w:val="nil"/>
              <w:right w:val="nil"/>
            </w:tcBorders>
          </w:tcPr>
          <w:p w14:paraId="23A6649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90.9 </w:t>
            </w:r>
          </w:p>
        </w:tc>
        <w:tc>
          <w:tcPr>
            <w:tcW w:w="1421" w:type="dxa"/>
            <w:tcBorders>
              <w:top w:val="nil"/>
              <w:left w:val="nil"/>
              <w:bottom w:val="nil"/>
              <w:right w:val="nil"/>
            </w:tcBorders>
          </w:tcPr>
          <w:p w14:paraId="416CEE6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2 </w:t>
            </w:r>
          </w:p>
        </w:tc>
        <w:tc>
          <w:tcPr>
            <w:tcW w:w="1313" w:type="dxa"/>
            <w:tcBorders>
              <w:top w:val="nil"/>
              <w:left w:val="nil"/>
              <w:bottom w:val="nil"/>
              <w:right w:val="nil"/>
            </w:tcBorders>
          </w:tcPr>
          <w:p w14:paraId="0B03F76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9.1 </w:t>
            </w:r>
          </w:p>
        </w:tc>
      </w:tr>
      <w:tr w:rsidR="001F3592" w14:paraId="1FDA56B0" w14:textId="77777777">
        <w:trPr>
          <w:trHeight w:val="276"/>
        </w:trPr>
        <w:tc>
          <w:tcPr>
            <w:tcW w:w="1618" w:type="dxa"/>
            <w:tcBorders>
              <w:top w:val="nil"/>
              <w:left w:val="nil"/>
              <w:bottom w:val="nil"/>
              <w:right w:val="nil"/>
            </w:tcBorders>
          </w:tcPr>
          <w:p w14:paraId="0C4DA63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19EDB49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Unemployed </w:t>
            </w:r>
          </w:p>
        </w:tc>
        <w:tc>
          <w:tcPr>
            <w:tcW w:w="1421" w:type="dxa"/>
            <w:tcBorders>
              <w:top w:val="nil"/>
              <w:left w:val="nil"/>
              <w:bottom w:val="nil"/>
              <w:right w:val="nil"/>
            </w:tcBorders>
          </w:tcPr>
          <w:p w14:paraId="4F36CCD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17 </w:t>
            </w:r>
          </w:p>
        </w:tc>
        <w:tc>
          <w:tcPr>
            <w:tcW w:w="1421" w:type="dxa"/>
            <w:tcBorders>
              <w:top w:val="nil"/>
              <w:left w:val="nil"/>
              <w:bottom w:val="nil"/>
              <w:right w:val="nil"/>
            </w:tcBorders>
          </w:tcPr>
          <w:p w14:paraId="045C495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81.0 </w:t>
            </w:r>
          </w:p>
        </w:tc>
        <w:tc>
          <w:tcPr>
            <w:tcW w:w="1421" w:type="dxa"/>
            <w:tcBorders>
              <w:top w:val="nil"/>
              <w:left w:val="nil"/>
              <w:bottom w:val="nil"/>
              <w:right w:val="nil"/>
            </w:tcBorders>
          </w:tcPr>
          <w:p w14:paraId="6376592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4 </w:t>
            </w:r>
          </w:p>
        </w:tc>
        <w:tc>
          <w:tcPr>
            <w:tcW w:w="1313" w:type="dxa"/>
            <w:tcBorders>
              <w:top w:val="nil"/>
              <w:left w:val="nil"/>
              <w:bottom w:val="nil"/>
              <w:right w:val="nil"/>
            </w:tcBorders>
          </w:tcPr>
          <w:p w14:paraId="4E47497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19.0 </w:t>
            </w:r>
          </w:p>
        </w:tc>
      </w:tr>
      <w:tr w:rsidR="001F3592" w14:paraId="2E32135C" w14:textId="77777777">
        <w:trPr>
          <w:trHeight w:val="552"/>
        </w:trPr>
        <w:tc>
          <w:tcPr>
            <w:tcW w:w="1618" w:type="dxa"/>
            <w:tcBorders>
              <w:top w:val="nil"/>
              <w:left w:val="nil"/>
              <w:bottom w:val="nil"/>
              <w:right w:val="nil"/>
            </w:tcBorders>
          </w:tcPr>
          <w:p w14:paraId="163C6C7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Educational Level </w:t>
            </w:r>
          </w:p>
        </w:tc>
        <w:tc>
          <w:tcPr>
            <w:tcW w:w="1457" w:type="dxa"/>
            <w:tcBorders>
              <w:top w:val="nil"/>
              <w:left w:val="nil"/>
              <w:bottom w:val="nil"/>
              <w:right w:val="nil"/>
            </w:tcBorders>
          </w:tcPr>
          <w:p w14:paraId="2719D27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Primary </w:t>
            </w:r>
          </w:p>
        </w:tc>
        <w:tc>
          <w:tcPr>
            <w:tcW w:w="1421" w:type="dxa"/>
            <w:tcBorders>
              <w:top w:val="nil"/>
              <w:left w:val="nil"/>
              <w:bottom w:val="nil"/>
              <w:right w:val="nil"/>
            </w:tcBorders>
          </w:tcPr>
          <w:p w14:paraId="24AD0DA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19 </w:t>
            </w:r>
          </w:p>
        </w:tc>
        <w:tc>
          <w:tcPr>
            <w:tcW w:w="1421" w:type="dxa"/>
            <w:tcBorders>
              <w:top w:val="nil"/>
              <w:left w:val="nil"/>
              <w:bottom w:val="nil"/>
              <w:right w:val="nil"/>
            </w:tcBorders>
          </w:tcPr>
          <w:p w14:paraId="1DF0BBD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95.0 </w:t>
            </w:r>
          </w:p>
        </w:tc>
        <w:tc>
          <w:tcPr>
            <w:tcW w:w="1421" w:type="dxa"/>
            <w:tcBorders>
              <w:top w:val="nil"/>
              <w:left w:val="nil"/>
              <w:bottom w:val="nil"/>
              <w:right w:val="nil"/>
            </w:tcBorders>
          </w:tcPr>
          <w:p w14:paraId="3764207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 </w:t>
            </w:r>
          </w:p>
        </w:tc>
        <w:tc>
          <w:tcPr>
            <w:tcW w:w="1313" w:type="dxa"/>
            <w:tcBorders>
              <w:top w:val="nil"/>
              <w:left w:val="nil"/>
              <w:bottom w:val="nil"/>
              <w:right w:val="nil"/>
            </w:tcBorders>
          </w:tcPr>
          <w:p w14:paraId="173D855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5.0 </w:t>
            </w:r>
          </w:p>
        </w:tc>
      </w:tr>
      <w:tr w:rsidR="001F3592" w14:paraId="195336FE" w14:textId="77777777">
        <w:trPr>
          <w:trHeight w:val="276"/>
        </w:trPr>
        <w:tc>
          <w:tcPr>
            <w:tcW w:w="1618" w:type="dxa"/>
            <w:tcBorders>
              <w:top w:val="nil"/>
              <w:left w:val="nil"/>
              <w:bottom w:val="nil"/>
              <w:right w:val="nil"/>
            </w:tcBorders>
          </w:tcPr>
          <w:p w14:paraId="521D6A5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4D85751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Secondary </w:t>
            </w:r>
          </w:p>
        </w:tc>
        <w:tc>
          <w:tcPr>
            <w:tcW w:w="1421" w:type="dxa"/>
            <w:tcBorders>
              <w:top w:val="nil"/>
              <w:left w:val="nil"/>
              <w:bottom w:val="nil"/>
              <w:right w:val="nil"/>
            </w:tcBorders>
          </w:tcPr>
          <w:p w14:paraId="13EA5D0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37 </w:t>
            </w:r>
          </w:p>
        </w:tc>
        <w:tc>
          <w:tcPr>
            <w:tcW w:w="1421" w:type="dxa"/>
            <w:tcBorders>
              <w:top w:val="nil"/>
              <w:left w:val="nil"/>
              <w:bottom w:val="nil"/>
              <w:right w:val="nil"/>
            </w:tcBorders>
          </w:tcPr>
          <w:p w14:paraId="2100D08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90.2 </w:t>
            </w:r>
          </w:p>
        </w:tc>
        <w:tc>
          <w:tcPr>
            <w:tcW w:w="1421" w:type="dxa"/>
            <w:tcBorders>
              <w:top w:val="nil"/>
              <w:left w:val="nil"/>
              <w:bottom w:val="nil"/>
              <w:right w:val="nil"/>
            </w:tcBorders>
          </w:tcPr>
          <w:p w14:paraId="374CC13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4 </w:t>
            </w:r>
          </w:p>
        </w:tc>
        <w:tc>
          <w:tcPr>
            <w:tcW w:w="1313" w:type="dxa"/>
            <w:tcBorders>
              <w:top w:val="nil"/>
              <w:left w:val="nil"/>
              <w:bottom w:val="nil"/>
              <w:right w:val="nil"/>
            </w:tcBorders>
          </w:tcPr>
          <w:p w14:paraId="169CD2E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9.8 </w:t>
            </w:r>
          </w:p>
        </w:tc>
      </w:tr>
      <w:tr w:rsidR="001F3592" w14:paraId="3432F2BC" w14:textId="77777777">
        <w:trPr>
          <w:trHeight w:val="276"/>
        </w:trPr>
        <w:tc>
          <w:tcPr>
            <w:tcW w:w="1618" w:type="dxa"/>
            <w:tcBorders>
              <w:top w:val="nil"/>
              <w:left w:val="nil"/>
              <w:bottom w:val="nil"/>
              <w:right w:val="nil"/>
            </w:tcBorders>
          </w:tcPr>
          <w:p w14:paraId="287170A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22FBDAB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Tertiary </w:t>
            </w:r>
          </w:p>
        </w:tc>
        <w:tc>
          <w:tcPr>
            <w:tcW w:w="1421" w:type="dxa"/>
            <w:tcBorders>
              <w:top w:val="nil"/>
              <w:left w:val="nil"/>
              <w:bottom w:val="nil"/>
              <w:right w:val="nil"/>
            </w:tcBorders>
          </w:tcPr>
          <w:p w14:paraId="33015CD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74 </w:t>
            </w:r>
          </w:p>
        </w:tc>
        <w:tc>
          <w:tcPr>
            <w:tcW w:w="1421" w:type="dxa"/>
            <w:tcBorders>
              <w:top w:val="nil"/>
              <w:left w:val="nil"/>
              <w:bottom w:val="nil"/>
              <w:right w:val="nil"/>
            </w:tcBorders>
          </w:tcPr>
          <w:p w14:paraId="56547CB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86.0 </w:t>
            </w:r>
          </w:p>
        </w:tc>
        <w:tc>
          <w:tcPr>
            <w:tcW w:w="1421" w:type="dxa"/>
            <w:tcBorders>
              <w:top w:val="nil"/>
              <w:left w:val="nil"/>
              <w:bottom w:val="nil"/>
              <w:right w:val="nil"/>
            </w:tcBorders>
          </w:tcPr>
          <w:p w14:paraId="0240C6E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12 </w:t>
            </w:r>
          </w:p>
        </w:tc>
        <w:tc>
          <w:tcPr>
            <w:tcW w:w="1313" w:type="dxa"/>
            <w:tcBorders>
              <w:top w:val="nil"/>
              <w:left w:val="nil"/>
              <w:bottom w:val="nil"/>
              <w:right w:val="nil"/>
            </w:tcBorders>
          </w:tcPr>
          <w:p w14:paraId="0A1A762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14.0 </w:t>
            </w:r>
          </w:p>
        </w:tc>
      </w:tr>
      <w:tr w:rsidR="001F3592" w14:paraId="22478DD8" w14:textId="77777777">
        <w:trPr>
          <w:trHeight w:val="276"/>
        </w:trPr>
        <w:tc>
          <w:tcPr>
            <w:tcW w:w="1618" w:type="dxa"/>
            <w:tcBorders>
              <w:top w:val="nil"/>
              <w:left w:val="nil"/>
              <w:bottom w:val="nil"/>
              <w:right w:val="nil"/>
            </w:tcBorders>
          </w:tcPr>
          <w:p w14:paraId="2196F4D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373BFC4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Postgraduate </w:t>
            </w:r>
          </w:p>
        </w:tc>
        <w:tc>
          <w:tcPr>
            <w:tcW w:w="1421" w:type="dxa"/>
            <w:tcBorders>
              <w:top w:val="nil"/>
              <w:left w:val="nil"/>
              <w:bottom w:val="nil"/>
              <w:right w:val="nil"/>
            </w:tcBorders>
          </w:tcPr>
          <w:p w14:paraId="13498D3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27 </w:t>
            </w:r>
          </w:p>
        </w:tc>
        <w:tc>
          <w:tcPr>
            <w:tcW w:w="1421" w:type="dxa"/>
            <w:tcBorders>
              <w:top w:val="nil"/>
              <w:left w:val="nil"/>
              <w:bottom w:val="nil"/>
              <w:right w:val="nil"/>
            </w:tcBorders>
          </w:tcPr>
          <w:p w14:paraId="07BB444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96.4 </w:t>
            </w:r>
          </w:p>
        </w:tc>
        <w:tc>
          <w:tcPr>
            <w:tcW w:w="1421" w:type="dxa"/>
            <w:tcBorders>
              <w:top w:val="nil"/>
              <w:left w:val="nil"/>
              <w:bottom w:val="nil"/>
              <w:right w:val="nil"/>
            </w:tcBorders>
          </w:tcPr>
          <w:p w14:paraId="36384F8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 </w:t>
            </w:r>
          </w:p>
        </w:tc>
        <w:tc>
          <w:tcPr>
            <w:tcW w:w="1313" w:type="dxa"/>
            <w:tcBorders>
              <w:top w:val="nil"/>
              <w:left w:val="nil"/>
              <w:bottom w:val="nil"/>
              <w:right w:val="nil"/>
            </w:tcBorders>
          </w:tcPr>
          <w:p w14:paraId="2950F80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3.6 </w:t>
            </w:r>
          </w:p>
        </w:tc>
      </w:tr>
      <w:tr w:rsidR="001F3592" w14:paraId="3EB2725A" w14:textId="77777777">
        <w:trPr>
          <w:trHeight w:val="828"/>
        </w:trPr>
        <w:tc>
          <w:tcPr>
            <w:tcW w:w="1618" w:type="dxa"/>
            <w:tcBorders>
              <w:top w:val="nil"/>
              <w:left w:val="nil"/>
              <w:bottom w:val="nil"/>
              <w:right w:val="nil"/>
            </w:tcBorders>
          </w:tcPr>
          <w:p w14:paraId="2E19498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Occupational </w:t>
            </w:r>
          </w:p>
          <w:p w14:paraId="1B265A0C"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Exposure </w:t>
            </w:r>
          </w:p>
          <w:p w14:paraId="295932F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Risk </w:t>
            </w:r>
          </w:p>
        </w:tc>
        <w:tc>
          <w:tcPr>
            <w:tcW w:w="1457" w:type="dxa"/>
            <w:tcBorders>
              <w:top w:val="nil"/>
              <w:left w:val="nil"/>
              <w:bottom w:val="nil"/>
              <w:right w:val="nil"/>
            </w:tcBorders>
          </w:tcPr>
          <w:p w14:paraId="5E04CE7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Low </w:t>
            </w:r>
          </w:p>
        </w:tc>
        <w:tc>
          <w:tcPr>
            <w:tcW w:w="1421" w:type="dxa"/>
            <w:tcBorders>
              <w:top w:val="nil"/>
              <w:left w:val="nil"/>
              <w:bottom w:val="nil"/>
              <w:right w:val="nil"/>
            </w:tcBorders>
          </w:tcPr>
          <w:p w14:paraId="7971E04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89 </w:t>
            </w:r>
          </w:p>
        </w:tc>
        <w:tc>
          <w:tcPr>
            <w:tcW w:w="1421" w:type="dxa"/>
            <w:tcBorders>
              <w:top w:val="nil"/>
              <w:left w:val="nil"/>
              <w:bottom w:val="nil"/>
              <w:right w:val="nil"/>
            </w:tcBorders>
          </w:tcPr>
          <w:p w14:paraId="20B517D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88.1 </w:t>
            </w:r>
          </w:p>
        </w:tc>
        <w:tc>
          <w:tcPr>
            <w:tcW w:w="1421" w:type="dxa"/>
            <w:tcBorders>
              <w:top w:val="nil"/>
              <w:left w:val="nil"/>
              <w:bottom w:val="nil"/>
              <w:right w:val="nil"/>
            </w:tcBorders>
          </w:tcPr>
          <w:p w14:paraId="5E5FB70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12 </w:t>
            </w:r>
          </w:p>
        </w:tc>
        <w:tc>
          <w:tcPr>
            <w:tcW w:w="1313" w:type="dxa"/>
            <w:tcBorders>
              <w:top w:val="nil"/>
              <w:left w:val="nil"/>
              <w:bottom w:val="nil"/>
              <w:right w:val="nil"/>
            </w:tcBorders>
          </w:tcPr>
          <w:p w14:paraId="18FD0B9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11.9 </w:t>
            </w:r>
          </w:p>
        </w:tc>
      </w:tr>
      <w:tr w:rsidR="001F3592" w14:paraId="3121E48B" w14:textId="77777777">
        <w:trPr>
          <w:trHeight w:val="276"/>
        </w:trPr>
        <w:tc>
          <w:tcPr>
            <w:tcW w:w="1618" w:type="dxa"/>
            <w:tcBorders>
              <w:top w:val="nil"/>
              <w:left w:val="nil"/>
              <w:bottom w:val="nil"/>
              <w:right w:val="nil"/>
            </w:tcBorders>
          </w:tcPr>
          <w:p w14:paraId="5ED9C00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62A7FA5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Medium </w:t>
            </w:r>
          </w:p>
        </w:tc>
        <w:tc>
          <w:tcPr>
            <w:tcW w:w="1421" w:type="dxa"/>
            <w:tcBorders>
              <w:top w:val="nil"/>
              <w:left w:val="nil"/>
              <w:bottom w:val="nil"/>
              <w:right w:val="nil"/>
            </w:tcBorders>
          </w:tcPr>
          <w:p w14:paraId="613BF83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50 </w:t>
            </w:r>
          </w:p>
        </w:tc>
        <w:tc>
          <w:tcPr>
            <w:tcW w:w="1421" w:type="dxa"/>
            <w:tcBorders>
              <w:top w:val="nil"/>
              <w:left w:val="nil"/>
              <w:bottom w:val="nil"/>
              <w:right w:val="nil"/>
            </w:tcBorders>
          </w:tcPr>
          <w:p w14:paraId="54ADD4D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94.3 </w:t>
            </w:r>
          </w:p>
        </w:tc>
        <w:tc>
          <w:tcPr>
            <w:tcW w:w="1421" w:type="dxa"/>
            <w:tcBorders>
              <w:top w:val="nil"/>
              <w:left w:val="nil"/>
              <w:bottom w:val="nil"/>
              <w:right w:val="nil"/>
            </w:tcBorders>
          </w:tcPr>
          <w:p w14:paraId="2BCBB9F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 </w:t>
            </w:r>
          </w:p>
        </w:tc>
        <w:tc>
          <w:tcPr>
            <w:tcW w:w="1313" w:type="dxa"/>
            <w:tcBorders>
              <w:top w:val="nil"/>
              <w:left w:val="nil"/>
              <w:bottom w:val="nil"/>
              <w:right w:val="nil"/>
            </w:tcBorders>
          </w:tcPr>
          <w:p w14:paraId="41A9FB7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5.7 </w:t>
            </w:r>
          </w:p>
        </w:tc>
      </w:tr>
      <w:tr w:rsidR="001F3592" w14:paraId="6935FC4B" w14:textId="77777777">
        <w:trPr>
          <w:trHeight w:val="276"/>
        </w:trPr>
        <w:tc>
          <w:tcPr>
            <w:tcW w:w="1618" w:type="dxa"/>
            <w:tcBorders>
              <w:top w:val="nil"/>
              <w:left w:val="nil"/>
              <w:bottom w:val="nil"/>
              <w:right w:val="nil"/>
            </w:tcBorders>
          </w:tcPr>
          <w:p w14:paraId="7C49852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2B872A0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High </w:t>
            </w:r>
          </w:p>
        </w:tc>
        <w:tc>
          <w:tcPr>
            <w:tcW w:w="1421" w:type="dxa"/>
            <w:tcBorders>
              <w:top w:val="nil"/>
              <w:left w:val="nil"/>
              <w:bottom w:val="nil"/>
              <w:right w:val="nil"/>
            </w:tcBorders>
          </w:tcPr>
          <w:p w14:paraId="7B63183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18 </w:t>
            </w:r>
          </w:p>
        </w:tc>
        <w:tc>
          <w:tcPr>
            <w:tcW w:w="1421" w:type="dxa"/>
            <w:tcBorders>
              <w:top w:val="nil"/>
              <w:left w:val="nil"/>
              <w:bottom w:val="nil"/>
              <w:right w:val="nil"/>
            </w:tcBorders>
          </w:tcPr>
          <w:p w14:paraId="23A5DEF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85.7 </w:t>
            </w:r>
          </w:p>
        </w:tc>
        <w:tc>
          <w:tcPr>
            <w:tcW w:w="1421" w:type="dxa"/>
            <w:tcBorders>
              <w:top w:val="nil"/>
              <w:left w:val="nil"/>
              <w:bottom w:val="nil"/>
              <w:right w:val="nil"/>
            </w:tcBorders>
          </w:tcPr>
          <w:p w14:paraId="2D68491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 </w:t>
            </w:r>
          </w:p>
        </w:tc>
        <w:tc>
          <w:tcPr>
            <w:tcW w:w="1313" w:type="dxa"/>
            <w:tcBorders>
              <w:top w:val="nil"/>
              <w:left w:val="nil"/>
              <w:bottom w:val="nil"/>
              <w:right w:val="nil"/>
            </w:tcBorders>
          </w:tcPr>
          <w:p w14:paraId="14C874D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14.3 </w:t>
            </w:r>
          </w:p>
        </w:tc>
      </w:tr>
      <w:tr w:rsidR="001F3592" w14:paraId="203CB495" w14:textId="77777777">
        <w:trPr>
          <w:trHeight w:val="552"/>
        </w:trPr>
        <w:tc>
          <w:tcPr>
            <w:tcW w:w="1618" w:type="dxa"/>
            <w:tcBorders>
              <w:top w:val="nil"/>
              <w:left w:val="nil"/>
              <w:bottom w:val="nil"/>
              <w:right w:val="nil"/>
            </w:tcBorders>
          </w:tcPr>
          <w:p w14:paraId="571CB3F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Traditional Use of Drug </w:t>
            </w:r>
          </w:p>
        </w:tc>
        <w:tc>
          <w:tcPr>
            <w:tcW w:w="1457" w:type="dxa"/>
            <w:tcBorders>
              <w:top w:val="nil"/>
              <w:left w:val="nil"/>
              <w:bottom w:val="nil"/>
              <w:right w:val="nil"/>
            </w:tcBorders>
          </w:tcPr>
          <w:p w14:paraId="0330179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Yes </w:t>
            </w:r>
          </w:p>
        </w:tc>
        <w:tc>
          <w:tcPr>
            <w:tcW w:w="1421" w:type="dxa"/>
            <w:tcBorders>
              <w:top w:val="nil"/>
              <w:left w:val="nil"/>
              <w:bottom w:val="nil"/>
              <w:right w:val="nil"/>
            </w:tcBorders>
          </w:tcPr>
          <w:p w14:paraId="6704E88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119 </w:t>
            </w:r>
          </w:p>
        </w:tc>
        <w:tc>
          <w:tcPr>
            <w:tcW w:w="1421" w:type="dxa"/>
            <w:tcBorders>
              <w:top w:val="nil"/>
              <w:left w:val="nil"/>
              <w:bottom w:val="nil"/>
              <w:right w:val="nil"/>
            </w:tcBorders>
          </w:tcPr>
          <w:p w14:paraId="425A18A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90.2 </w:t>
            </w:r>
          </w:p>
        </w:tc>
        <w:tc>
          <w:tcPr>
            <w:tcW w:w="1421" w:type="dxa"/>
            <w:tcBorders>
              <w:top w:val="nil"/>
              <w:left w:val="nil"/>
              <w:bottom w:val="nil"/>
              <w:right w:val="nil"/>
            </w:tcBorders>
          </w:tcPr>
          <w:p w14:paraId="1570AEB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13 </w:t>
            </w:r>
          </w:p>
        </w:tc>
        <w:tc>
          <w:tcPr>
            <w:tcW w:w="1313" w:type="dxa"/>
            <w:tcBorders>
              <w:top w:val="nil"/>
              <w:left w:val="nil"/>
              <w:bottom w:val="nil"/>
              <w:right w:val="nil"/>
            </w:tcBorders>
          </w:tcPr>
          <w:p w14:paraId="1EEA5E9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9.8 </w:t>
            </w:r>
          </w:p>
        </w:tc>
      </w:tr>
      <w:tr w:rsidR="001F3592" w14:paraId="57E068DF" w14:textId="77777777">
        <w:trPr>
          <w:trHeight w:val="276"/>
        </w:trPr>
        <w:tc>
          <w:tcPr>
            <w:tcW w:w="1618" w:type="dxa"/>
            <w:tcBorders>
              <w:top w:val="nil"/>
              <w:left w:val="nil"/>
              <w:bottom w:val="nil"/>
              <w:right w:val="nil"/>
            </w:tcBorders>
          </w:tcPr>
          <w:p w14:paraId="53E8822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19D6240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No </w:t>
            </w:r>
          </w:p>
        </w:tc>
        <w:tc>
          <w:tcPr>
            <w:tcW w:w="1421" w:type="dxa"/>
            <w:tcBorders>
              <w:top w:val="nil"/>
              <w:left w:val="nil"/>
              <w:bottom w:val="nil"/>
              <w:right w:val="nil"/>
            </w:tcBorders>
          </w:tcPr>
          <w:p w14:paraId="4731F9AA"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38 </w:t>
            </w:r>
          </w:p>
        </w:tc>
        <w:tc>
          <w:tcPr>
            <w:tcW w:w="1421" w:type="dxa"/>
            <w:tcBorders>
              <w:top w:val="nil"/>
              <w:left w:val="nil"/>
              <w:bottom w:val="nil"/>
              <w:right w:val="nil"/>
            </w:tcBorders>
          </w:tcPr>
          <w:p w14:paraId="6343BAA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88.4 </w:t>
            </w:r>
          </w:p>
        </w:tc>
        <w:tc>
          <w:tcPr>
            <w:tcW w:w="1421" w:type="dxa"/>
            <w:tcBorders>
              <w:top w:val="nil"/>
              <w:left w:val="nil"/>
              <w:bottom w:val="nil"/>
              <w:right w:val="nil"/>
            </w:tcBorders>
          </w:tcPr>
          <w:p w14:paraId="385CBF4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 </w:t>
            </w:r>
          </w:p>
        </w:tc>
        <w:tc>
          <w:tcPr>
            <w:tcW w:w="1313" w:type="dxa"/>
            <w:tcBorders>
              <w:top w:val="nil"/>
              <w:left w:val="nil"/>
              <w:bottom w:val="nil"/>
              <w:right w:val="nil"/>
            </w:tcBorders>
          </w:tcPr>
          <w:p w14:paraId="5924125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11.6 </w:t>
            </w:r>
          </w:p>
        </w:tc>
      </w:tr>
      <w:tr w:rsidR="001F3592" w14:paraId="69632172" w14:textId="77777777">
        <w:trPr>
          <w:trHeight w:val="276"/>
        </w:trPr>
        <w:tc>
          <w:tcPr>
            <w:tcW w:w="1618" w:type="dxa"/>
            <w:tcBorders>
              <w:top w:val="nil"/>
              <w:left w:val="nil"/>
              <w:bottom w:val="nil"/>
              <w:right w:val="nil"/>
            </w:tcBorders>
          </w:tcPr>
          <w:p w14:paraId="572427F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Alcohol </w:t>
            </w:r>
          </w:p>
        </w:tc>
        <w:tc>
          <w:tcPr>
            <w:tcW w:w="1457" w:type="dxa"/>
            <w:tcBorders>
              <w:top w:val="nil"/>
              <w:left w:val="nil"/>
              <w:bottom w:val="nil"/>
              <w:right w:val="nil"/>
            </w:tcBorders>
          </w:tcPr>
          <w:p w14:paraId="211E6A0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Yes </w:t>
            </w:r>
          </w:p>
        </w:tc>
        <w:tc>
          <w:tcPr>
            <w:tcW w:w="1421" w:type="dxa"/>
            <w:tcBorders>
              <w:top w:val="nil"/>
              <w:left w:val="nil"/>
              <w:bottom w:val="nil"/>
              <w:right w:val="nil"/>
            </w:tcBorders>
          </w:tcPr>
          <w:p w14:paraId="26D7527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36 </w:t>
            </w:r>
          </w:p>
        </w:tc>
        <w:tc>
          <w:tcPr>
            <w:tcW w:w="1421" w:type="dxa"/>
            <w:tcBorders>
              <w:top w:val="nil"/>
              <w:left w:val="nil"/>
              <w:bottom w:val="nil"/>
              <w:right w:val="nil"/>
            </w:tcBorders>
          </w:tcPr>
          <w:p w14:paraId="2D83354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92.3 </w:t>
            </w:r>
          </w:p>
        </w:tc>
        <w:tc>
          <w:tcPr>
            <w:tcW w:w="1421" w:type="dxa"/>
            <w:tcBorders>
              <w:top w:val="nil"/>
              <w:left w:val="nil"/>
              <w:bottom w:val="nil"/>
              <w:right w:val="nil"/>
            </w:tcBorders>
          </w:tcPr>
          <w:p w14:paraId="1D9F0E4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 </w:t>
            </w:r>
          </w:p>
        </w:tc>
        <w:tc>
          <w:tcPr>
            <w:tcW w:w="1313" w:type="dxa"/>
            <w:tcBorders>
              <w:top w:val="nil"/>
              <w:left w:val="nil"/>
              <w:bottom w:val="nil"/>
              <w:right w:val="nil"/>
            </w:tcBorders>
          </w:tcPr>
          <w:p w14:paraId="79F28EF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7.7 </w:t>
            </w:r>
          </w:p>
        </w:tc>
      </w:tr>
      <w:tr w:rsidR="001F3592" w14:paraId="002F5A31" w14:textId="77777777">
        <w:trPr>
          <w:trHeight w:val="276"/>
        </w:trPr>
        <w:tc>
          <w:tcPr>
            <w:tcW w:w="1618" w:type="dxa"/>
            <w:tcBorders>
              <w:top w:val="nil"/>
              <w:left w:val="nil"/>
              <w:bottom w:val="nil"/>
              <w:right w:val="nil"/>
            </w:tcBorders>
          </w:tcPr>
          <w:p w14:paraId="1B07078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77B89C3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No </w:t>
            </w:r>
          </w:p>
        </w:tc>
        <w:tc>
          <w:tcPr>
            <w:tcW w:w="1421" w:type="dxa"/>
            <w:tcBorders>
              <w:top w:val="nil"/>
              <w:left w:val="nil"/>
              <w:bottom w:val="nil"/>
              <w:right w:val="nil"/>
            </w:tcBorders>
          </w:tcPr>
          <w:p w14:paraId="004D991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121 </w:t>
            </w:r>
          </w:p>
        </w:tc>
        <w:tc>
          <w:tcPr>
            <w:tcW w:w="1421" w:type="dxa"/>
            <w:tcBorders>
              <w:top w:val="nil"/>
              <w:left w:val="nil"/>
              <w:bottom w:val="nil"/>
              <w:right w:val="nil"/>
            </w:tcBorders>
          </w:tcPr>
          <w:p w14:paraId="3BF7AAC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89.0 </w:t>
            </w:r>
          </w:p>
        </w:tc>
        <w:tc>
          <w:tcPr>
            <w:tcW w:w="1421" w:type="dxa"/>
            <w:tcBorders>
              <w:top w:val="nil"/>
              <w:left w:val="nil"/>
              <w:bottom w:val="nil"/>
              <w:right w:val="nil"/>
            </w:tcBorders>
          </w:tcPr>
          <w:p w14:paraId="275E70F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15 </w:t>
            </w:r>
          </w:p>
        </w:tc>
        <w:tc>
          <w:tcPr>
            <w:tcW w:w="1313" w:type="dxa"/>
            <w:tcBorders>
              <w:top w:val="nil"/>
              <w:left w:val="nil"/>
              <w:bottom w:val="nil"/>
              <w:right w:val="nil"/>
            </w:tcBorders>
          </w:tcPr>
          <w:p w14:paraId="6D20036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11.0 </w:t>
            </w:r>
          </w:p>
        </w:tc>
      </w:tr>
      <w:tr w:rsidR="001F3592" w14:paraId="5E5CC134" w14:textId="77777777">
        <w:trPr>
          <w:trHeight w:val="276"/>
        </w:trPr>
        <w:tc>
          <w:tcPr>
            <w:tcW w:w="1618" w:type="dxa"/>
            <w:tcBorders>
              <w:top w:val="nil"/>
              <w:left w:val="nil"/>
              <w:bottom w:val="nil"/>
              <w:right w:val="nil"/>
            </w:tcBorders>
          </w:tcPr>
          <w:p w14:paraId="33A3C04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Smoking </w:t>
            </w:r>
          </w:p>
        </w:tc>
        <w:tc>
          <w:tcPr>
            <w:tcW w:w="1457" w:type="dxa"/>
            <w:tcBorders>
              <w:top w:val="nil"/>
              <w:left w:val="nil"/>
              <w:bottom w:val="nil"/>
              <w:right w:val="nil"/>
            </w:tcBorders>
          </w:tcPr>
          <w:p w14:paraId="2C14194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Yes </w:t>
            </w:r>
          </w:p>
        </w:tc>
        <w:tc>
          <w:tcPr>
            <w:tcW w:w="1421" w:type="dxa"/>
            <w:tcBorders>
              <w:top w:val="nil"/>
              <w:left w:val="nil"/>
              <w:bottom w:val="nil"/>
              <w:right w:val="nil"/>
            </w:tcBorders>
          </w:tcPr>
          <w:p w14:paraId="1A1B2EA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19 </w:t>
            </w:r>
          </w:p>
        </w:tc>
        <w:tc>
          <w:tcPr>
            <w:tcW w:w="1421" w:type="dxa"/>
            <w:tcBorders>
              <w:top w:val="nil"/>
              <w:left w:val="nil"/>
              <w:bottom w:val="nil"/>
              <w:right w:val="nil"/>
            </w:tcBorders>
          </w:tcPr>
          <w:p w14:paraId="1FD8D54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90.5 </w:t>
            </w:r>
          </w:p>
        </w:tc>
        <w:tc>
          <w:tcPr>
            <w:tcW w:w="1421" w:type="dxa"/>
            <w:tcBorders>
              <w:top w:val="nil"/>
              <w:left w:val="nil"/>
              <w:bottom w:val="nil"/>
              <w:right w:val="nil"/>
            </w:tcBorders>
          </w:tcPr>
          <w:p w14:paraId="5C7A786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2 </w:t>
            </w:r>
          </w:p>
        </w:tc>
        <w:tc>
          <w:tcPr>
            <w:tcW w:w="1313" w:type="dxa"/>
            <w:tcBorders>
              <w:top w:val="nil"/>
              <w:left w:val="nil"/>
              <w:bottom w:val="nil"/>
              <w:right w:val="nil"/>
            </w:tcBorders>
          </w:tcPr>
          <w:p w14:paraId="616AEEEC"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9.5 </w:t>
            </w:r>
          </w:p>
        </w:tc>
      </w:tr>
      <w:tr w:rsidR="001F3592" w14:paraId="57A5CFB4" w14:textId="77777777">
        <w:trPr>
          <w:trHeight w:val="284"/>
        </w:trPr>
        <w:tc>
          <w:tcPr>
            <w:tcW w:w="1618" w:type="dxa"/>
            <w:tcBorders>
              <w:top w:val="nil"/>
              <w:left w:val="nil"/>
              <w:bottom w:val="single" w:sz="4" w:space="0" w:color="000000"/>
              <w:right w:val="nil"/>
            </w:tcBorders>
          </w:tcPr>
          <w:p w14:paraId="276CD03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single" w:sz="4" w:space="0" w:color="000000"/>
              <w:right w:val="nil"/>
            </w:tcBorders>
          </w:tcPr>
          <w:p w14:paraId="147BBBA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No </w:t>
            </w:r>
          </w:p>
        </w:tc>
        <w:tc>
          <w:tcPr>
            <w:tcW w:w="1421" w:type="dxa"/>
            <w:tcBorders>
              <w:top w:val="nil"/>
              <w:left w:val="nil"/>
              <w:bottom w:val="single" w:sz="4" w:space="0" w:color="000000"/>
              <w:right w:val="nil"/>
            </w:tcBorders>
          </w:tcPr>
          <w:p w14:paraId="69DA8C9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138 </w:t>
            </w:r>
          </w:p>
        </w:tc>
        <w:tc>
          <w:tcPr>
            <w:tcW w:w="1421" w:type="dxa"/>
            <w:tcBorders>
              <w:top w:val="nil"/>
              <w:left w:val="nil"/>
              <w:bottom w:val="single" w:sz="4" w:space="0" w:color="000000"/>
              <w:right w:val="nil"/>
            </w:tcBorders>
          </w:tcPr>
          <w:p w14:paraId="0050936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89.6 </w:t>
            </w:r>
          </w:p>
        </w:tc>
        <w:tc>
          <w:tcPr>
            <w:tcW w:w="1421" w:type="dxa"/>
            <w:tcBorders>
              <w:top w:val="nil"/>
              <w:left w:val="nil"/>
              <w:bottom w:val="single" w:sz="4" w:space="0" w:color="000000"/>
              <w:right w:val="nil"/>
            </w:tcBorders>
          </w:tcPr>
          <w:p w14:paraId="2E33139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16 </w:t>
            </w:r>
          </w:p>
        </w:tc>
        <w:tc>
          <w:tcPr>
            <w:tcW w:w="1313" w:type="dxa"/>
            <w:tcBorders>
              <w:top w:val="nil"/>
              <w:left w:val="nil"/>
              <w:bottom w:val="single" w:sz="4" w:space="0" w:color="000000"/>
              <w:right w:val="nil"/>
            </w:tcBorders>
          </w:tcPr>
          <w:p w14:paraId="7883141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10.4 </w:t>
            </w:r>
          </w:p>
        </w:tc>
      </w:tr>
    </w:tbl>
    <w:p w14:paraId="0F1E0C3A" w14:textId="77777777" w:rsidR="001F3592" w:rsidRDefault="00A761D5">
      <w:pPr>
        <w:spacing w:after="0" w:line="360" w:lineRule="auto"/>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 xml:space="preserve"> </w:t>
      </w:r>
    </w:p>
    <w:p w14:paraId="0EC7CCC3" w14:textId="77777777" w:rsidR="001F3592" w:rsidRDefault="00A761D5">
      <w:pPr>
        <w:keepNext/>
        <w:keepLines/>
        <w:tabs>
          <w:tab w:val="center" w:pos="523"/>
          <w:tab w:val="center" w:pos="3550"/>
        </w:tabs>
        <w:spacing w:after="0" w:line="360" w:lineRule="auto"/>
        <w:outlineLvl w:val="2"/>
        <w:rPr>
          <w:rFonts w:ascii="Times New Roman" w:eastAsia="Times New Roman" w:hAnsi="Times New Roman" w:cs="Times New Roman"/>
          <w:b/>
          <w:color w:val="000000"/>
          <w:kern w:val="2"/>
          <w:sz w:val="24"/>
          <w:szCs w:val="24"/>
          <w14:ligatures w14:val="standardContextual"/>
        </w:rPr>
      </w:pPr>
      <w:r>
        <w:rPr>
          <w:rFonts w:ascii="Times New Roman" w:eastAsia="Times New Roman" w:hAnsi="Times New Roman" w:cs="Times New Roman"/>
          <w:b/>
          <w:color w:val="000000"/>
          <w:kern w:val="2"/>
          <w:sz w:val="24"/>
          <w:szCs w:val="24"/>
          <w14:ligatures w14:val="standardContextual"/>
        </w:rPr>
        <w:t xml:space="preserve">Demographic Characteristics of Blood Donors </w:t>
      </w:r>
    </w:p>
    <w:p w14:paraId="22071774" w14:textId="432A74E8" w:rsidR="001F3592" w:rsidRDefault="00A761D5">
      <w:pPr>
        <w:spacing w:after="0" w:line="360" w:lineRule="auto"/>
        <w:ind w:right="842"/>
        <w:jc w:val="both"/>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 xml:space="preserve">This study included 175 blood donors from University College Hospital, Ibadan. Demographic distribution of the study population based on age group, sex, marital status, occupation, educational level occupational risk exposure, traditional drug use alcohol </w:t>
      </w:r>
      <w:r>
        <w:rPr>
          <w:rFonts w:ascii="Times New Roman" w:eastAsia="Times New Roman" w:hAnsi="Times New Roman" w:cs="Times New Roman"/>
          <w:color w:val="000000"/>
          <w:kern w:val="2"/>
          <w:sz w:val="24"/>
          <w:szCs w:val="24"/>
          <w:lang w:bidi="en-US"/>
          <w14:ligatures w14:val="standardContextual"/>
        </w:rPr>
        <w:t>use and smoking (Table 1). Out of 175 blood donors, the age group 30-39 had the highest participants with 56(98.2%). Males have the highest participant with 113(88.3%) and 15(11.7%) occasional and frequent donors respectively. For marital status, most part</w:t>
      </w:r>
      <w:r>
        <w:rPr>
          <w:rFonts w:ascii="Times New Roman" w:eastAsia="Times New Roman" w:hAnsi="Times New Roman" w:cs="Times New Roman"/>
          <w:color w:val="000000"/>
          <w:kern w:val="2"/>
          <w:sz w:val="24"/>
          <w:szCs w:val="24"/>
          <w:lang w:bidi="en-US"/>
          <w14:ligatures w14:val="standardContextual"/>
        </w:rPr>
        <w:t xml:space="preserve">icipants were single 89(89.9%). Artisans showed a relatively higher frequency </w:t>
      </w:r>
      <w:proofErr w:type="gramStart"/>
      <w:r>
        <w:rPr>
          <w:rFonts w:ascii="Times New Roman" w:eastAsia="Times New Roman" w:hAnsi="Times New Roman" w:cs="Times New Roman"/>
          <w:color w:val="000000"/>
          <w:kern w:val="2"/>
          <w:sz w:val="24"/>
          <w:szCs w:val="24"/>
          <w:lang w:bidi="en-US"/>
          <w14:ligatures w14:val="standardContextual"/>
        </w:rPr>
        <w:t>donations</w:t>
      </w:r>
      <w:proofErr w:type="gramEnd"/>
      <w:r>
        <w:rPr>
          <w:rFonts w:ascii="Times New Roman" w:eastAsia="Times New Roman" w:hAnsi="Times New Roman" w:cs="Times New Roman"/>
          <w:color w:val="000000"/>
          <w:kern w:val="2"/>
          <w:sz w:val="24"/>
          <w:szCs w:val="24"/>
          <w:lang w:bidi="en-US"/>
          <w14:ligatures w14:val="standardContextual"/>
        </w:rPr>
        <w:t xml:space="preserve"> with 32(84.2%) and 6(15.8%). Education levels of participants show tertiary educated individuals were the largest group, with 74(86%) and 12(14.0%) for occasional and f</w:t>
      </w:r>
      <w:r>
        <w:rPr>
          <w:rFonts w:ascii="Times New Roman" w:eastAsia="Times New Roman" w:hAnsi="Times New Roman" w:cs="Times New Roman"/>
          <w:color w:val="000000"/>
          <w:kern w:val="2"/>
          <w:sz w:val="24"/>
          <w:szCs w:val="24"/>
          <w:lang w:bidi="en-US"/>
          <w14:ligatures w14:val="standardContextual"/>
        </w:rPr>
        <w:t xml:space="preserve">requent donors respectively. Occupational exposure of participants to lead shows </w:t>
      </w:r>
      <w:r>
        <w:rPr>
          <w:rFonts w:ascii="Times New Roman" w:eastAsia="Times New Roman" w:hAnsi="Times New Roman" w:cs="Times New Roman"/>
          <w:color w:val="000000"/>
          <w:kern w:val="2"/>
          <w:sz w:val="24"/>
          <w:szCs w:val="24"/>
          <w:lang w:bidi="en-US"/>
          <w14:ligatures w14:val="standardContextual"/>
        </w:rPr>
        <w:lastRenderedPageBreak/>
        <w:t>that those with low occupational exposure had higher rates of donation with 89(88.1%) and 12 (11.9%). Traditional Drug Use, Alcohol, and Smoking: There were no significant dif</w:t>
      </w:r>
      <w:r>
        <w:rPr>
          <w:rFonts w:ascii="Times New Roman" w:eastAsia="Times New Roman" w:hAnsi="Times New Roman" w:cs="Times New Roman"/>
          <w:color w:val="000000"/>
          <w:kern w:val="2"/>
          <w:sz w:val="24"/>
          <w:szCs w:val="24"/>
          <w:lang w:bidi="en-US"/>
          <w14:ligatures w14:val="standardContextual"/>
        </w:rPr>
        <w:t xml:space="preserve">ferences in donation frequency between users and non-users of traditional drugs, alcohol, or tobacco. </w:t>
      </w:r>
    </w:p>
    <w:p w14:paraId="051B82FA" w14:textId="77777777" w:rsidR="001F3592" w:rsidRDefault="001F3592">
      <w:pPr>
        <w:spacing w:after="0" w:line="360" w:lineRule="auto"/>
        <w:ind w:right="493"/>
        <w:rPr>
          <w:rFonts w:ascii="Times New Roman" w:eastAsia="Times New Roman" w:hAnsi="Times New Roman" w:cs="Times New Roman"/>
          <w:b/>
          <w:color w:val="000000"/>
          <w:kern w:val="2"/>
          <w:sz w:val="24"/>
          <w:szCs w:val="24"/>
          <w:lang w:bidi="en-US"/>
          <w14:ligatures w14:val="standardContextual"/>
        </w:rPr>
      </w:pPr>
    </w:p>
    <w:p w14:paraId="0B7C6F64" w14:textId="77777777" w:rsidR="001F3592" w:rsidRDefault="001F3592">
      <w:pPr>
        <w:spacing w:after="0" w:line="360" w:lineRule="auto"/>
        <w:ind w:right="493"/>
        <w:rPr>
          <w:rFonts w:ascii="Times New Roman" w:eastAsia="Times New Roman" w:hAnsi="Times New Roman" w:cs="Times New Roman"/>
          <w:b/>
          <w:color w:val="000000"/>
          <w:kern w:val="2"/>
          <w:sz w:val="24"/>
          <w:szCs w:val="24"/>
          <w:lang w:bidi="en-US"/>
          <w14:ligatures w14:val="standardContextual"/>
        </w:rPr>
      </w:pPr>
    </w:p>
    <w:p w14:paraId="3FC9F624" w14:textId="77777777" w:rsidR="001F3592" w:rsidRDefault="001F3592">
      <w:pPr>
        <w:spacing w:after="0" w:line="360" w:lineRule="auto"/>
        <w:ind w:right="493"/>
        <w:rPr>
          <w:rFonts w:ascii="Times New Roman" w:eastAsia="Times New Roman" w:hAnsi="Times New Roman" w:cs="Times New Roman"/>
          <w:b/>
          <w:color w:val="000000"/>
          <w:kern w:val="2"/>
          <w:sz w:val="24"/>
          <w:szCs w:val="24"/>
          <w:lang w:bidi="en-US"/>
          <w14:ligatures w14:val="standardContextual"/>
        </w:rPr>
      </w:pPr>
    </w:p>
    <w:p w14:paraId="41F4A05D" w14:textId="77777777" w:rsidR="001F3592" w:rsidRDefault="001F3592">
      <w:pPr>
        <w:spacing w:after="0" w:line="360" w:lineRule="auto"/>
        <w:ind w:right="493"/>
        <w:rPr>
          <w:rFonts w:ascii="Times New Roman" w:eastAsia="Times New Roman" w:hAnsi="Times New Roman" w:cs="Times New Roman"/>
          <w:b/>
          <w:color w:val="000000"/>
          <w:kern w:val="2"/>
          <w:sz w:val="24"/>
          <w:szCs w:val="24"/>
          <w:lang w:bidi="en-US"/>
          <w14:ligatures w14:val="standardContextual"/>
        </w:rPr>
      </w:pPr>
    </w:p>
    <w:p w14:paraId="60B8EF18" w14:textId="77777777" w:rsidR="001F3592" w:rsidRDefault="001F3592">
      <w:pPr>
        <w:spacing w:after="0" w:line="360" w:lineRule="auto"/>
        <w:ind w:right="493"/>
        <w:rPr>
          <w:rFonts w:ascii="Times New Roman" w:eastAsia="Times New Roman" w:hAnsi="Times New Roman" w:cs="Times New Roman"/>
          <w:b/>
          <w:color w:val="000000"/>
          <w:kern w:val="2"/>
          <w:sz w:val="24"/>
          <w:szCs w:val="24"/>
          <w:lang w:bidi="en-US"/>
          <w14:ligatures w14:val="standardContextual"/>
        </w:rPr>
      </w:pPr>
    </w:p>
    <w:p w14:paraId="31B9475B" w14:textId="77777777" w:rsidR="001F3592" w:rsidRDefault="001F3592">
      <w:pPr>
        <w:spacing w:after="0" w:line="360" w:lineRule="auto"/>
        <w:ind w:right="493"/>
        <w:rPr>
          <w:rFonts w:ascii="Times New Roman" w:eastAsia="Times New Roman" w:hAnsi="Times New Roman" w:cs="Times New Roman"/>
          <w:b/>
          <w:color w:val="000000"/>
          <w:kern w:val="2"/>
          <w:sz w:val="24"/>
          <w:szCs w:val="24"/>
          <w:lang w:bidi="en-US"/>
          <w14:ligatures w14:val="standardContextual"/>
        </w:rPr>
      </w:pPr>
    </w:p>
    <w:p w14:paraId="2BF34D85" w14:textId="77777777" w:rsidR="001F3592" w:rsidRDefault="001F3592">
      <w:pPr>
        <w:spacing w:after="0" w:line="360" w:lineRule="auto"/>
        <w:ind w:right="842"/>
        <w:jc w:val="both"/>
        <w:rPr>
          <w:rFonts w:ascii="Times New Roman" w:eastAsia="Times New Roman" w:hAnsi="Times New Roman" w:cs="Times New Roman"/>
          <w:color w:val="000000"/>
          <w:kern w:val="2"/>
          <w:sz w:val="24"/>
          <w:szCs w:val="24"/>
          <w:lang w:bidi="en-US"/>
          <w14:ligatures w14:val="standardContextual"/>
        </w:rPr>
      </w:pPr>
    </w:p>
    <w:p w14:paraId="2FF1AA87" w14:textId="77777777" w:rsidR="001F3592" w:rsidRDefault="00A761D5">
      <w:pPr>
        <w:spacing w:after="0" w:line="360" w:lineRule="auto"/>
        <w:ind w:right="842"/>
        <w:jc w:val="both"/>
        <w:rPr>
          <w:rFonts w:ascii="Times New Roman" w:eastAsia="Times New Roman" w:hAnsi="Times New Roman" w:cs="Times New Roman"/>
          <w:b/>
          <w:color w:val="000000"/>
          <w:kern w:val="2"/>
          <w:sz w:val="24"/>
          <w:szCs w:val="24"/>
          <w14:ligatures w14:val="standardContextual"/>
        </w:rPr>
      </w:pPr>
      <w:r>
        <w:rPr>
          <w:rFonts w:ascii="Times New Roman" w:eastAsia="Times New Roman" w:hAnsi="Times New Roman" w:cs="Times New Roman"/>
          <w:b/>
          <w:color w:val="000000"/>
          <w:kern w:val="2"/>
          <w:sz w:val="24"/>
          <w:szCs w:val="24"/>
          <w14:ligatures w14:val="standardContextual"/>
        </w:rPr>
        <w:t>Table 2:</w:t>
      </w:r>
      <w:r>
        <w:rPr>
          <w:rFonts w:ascii="Times New Roman" w:eastAsia="Times New Roman" w:hAnsi="Times New Roman" w:cs="Times New Roman"/>
          <w:color w:val="000000"/>
          <w:kern w:val="2"/>
          <w:sz w:val="24"/>
          <w:szCs w:val="24"/>
          <w14:ligatures w14:val="standardContextual"/>
        </w:rPr>
        <w:t xml:space="preserve"> </w:t>
      </w:r>
      <w:r>
        <w:rPr>
          <w:rFonts w:ascii="Times New Roman" w:eastAsia="Times New Roman" w:hAnsi="Times New Roman" w:cs="Times New Roman"/>
          <w:b/>
          <w:color w:val="000000"/>
          <w:kern w:val="2"/>
          <w:sz w:val="24"/>
          <w:szCs w:val="24"/>
          <w14:ligatures w14:val="standardContextual"/>
        </w:rPr>
        <w:t>Comparison of mean of blood lead and serum iron levels among blood donors</w:t>
      </w:r>
      <w:r>
        <w:rPr>
          <w:rFonts w:ascii="Times New Roman" w:eastAsia="Times New Roman" w:hAnsi="Times New Roman" w:cs="Times New Roman"/>
          <w:color w:val="000000"/>
          <w:kern w:val="2"/>
          <w:sz w:val="24"/>
          <w:szCs w:val="24"/>
          <w14:ligatures w14:val="standardContextual"/>
        </w:rPr>
        <w:t xml:space="preserve"> </w:t>
      </w:r>
    </w:p>
    <w:tbl>
      <w:tblPr>
        <w:tblStyle w:val="TableGrid0"/>
        <w:tblW w:w="8538" w:type="dxa"/>
        <w:tblInd w:w="221" w:type="dxa"/>
        <w:tblCellMar>
          <w:top w:w="7" w:type="dxa"/>
          <w:right w:w="14" w:type="dxa"/>
        </w:tblCellMar>
        <w:tblLook w:val="04A0" w:firstRow="1" w:lastRow="0" w:firstColumn="1" w:lastColumn="0" w:noHBand="0" w:noVBand="1"/>
      </w:tblPr>
      <w:tblGrid>
        <w:gridCol w:w="2297"/>
        <w:gridCol w:w="1040"/>
        <w:gridCol w:w="1976"/>
        <w:gridCol w:w="1509"/>
        <w:gridCol w:w="1716"/>
      </w:tblGrid>
      <w:tr w:rsidR="001F3592" w14:paraId="731DC850" w14:textId="77777777">
        <w:trPr>
          <w:trHeight w:val="838"/>
        </w:trPr>
        <w:tc>
          <w:tcPr>
            <w:tcW w:w="2297" w:type="dxa"/>
            <w:tcBorders>
              <w:top w:val="single" w:sz="4" w:space="0" w:color="000000"/>
              <w:left w:val="nil"/>
              <w:bottom w:val="single" w:sz="4" w:space="0" w:color="000000"/>
              <w:right w:val="nil"/>
            </w:tcBorders>
          </w:tcPr>
          <w:p w14:paraId="6527D44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Variables </w:t>
            </w:r>
          </w:p>
        </w:tc>
        <w:tc>
          <w:tcPr>
            <w:tcW w:w="1038" w:type="dxa"/>
            <w:tcBorders>
              <w:top w:val="single" w:sz="4" w:space="0" w:color="000000"/>
              <w:left w:val="nil"/>
              <w:bottom w:val="single" w:sz="4" w:space="0" w:color="000000"/>
              <w:right w:val="nil"/>
            </w:tcBorders>
          </w:tcPr>
          <w:p w14:paraId="4406D24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Blood </w:t>
            </w:r>
          </w:p>
          <w:p w14:paraId="54BEA42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(µg/dL) </w:t>
            </w:r>
          </w:p>
          <w:p w14:paraId="30AC06EB" w14:textId="77777777" w:rsidR="001F3592" w:rsidRDefault="00A761D5">
            <w:pPr>
              <w:spacing w:line="360" w:lineRule="auto"/>
              <w:jc w:val="both"/>
              <w:rPr>
                <w:rFonts w:ascii="Times New Roman" w:hAnsi="Times New Roman" w:cs="Times New Roman"/>
                <w:color w:val="000000"/>
                <w:lang w:bidi="en-US"/>
              </w:rPr>
            </w:pPr>
            <w:r>
              <w:rPr>
                <w:rFonts w:ascii="Times New Roman" w:hAnsi="Times New Roman" w:cs="Times New Roman"/>
                <w:b/>
                <w:color w:val="000000"/>
                <w:lang w:bidi="en-US"/>
              </w:rPr>
              <w:t>Mean±SD</w:t>
            </w:r>
          </w:p>
        </w:tc>
        <w:tc>
          <w:tcPr>
            <w:tcW w:w="1977" w:type="dxa"/>
            <w:tcBorders>
              <w:top w:val="single" w:sz="4" w:space="0" w:color="000000"/>
              <w:left w:val="nil"/>
              <w:bottom w:val="single" w:sz="4" w:space="0" w:color="000000"/>
              <w:right w:val="nil"/>
            </w:tcBorders>
          </w:tcPr>
          <w:p w14:paraId="5292394A" w14:textId="77777777" w:rsidR="001F3592" w:rsidRDefault="00A761D5">
            <w:pPr>
              <w:spacing w:after="252"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Lead P-value </w:t>
            </w:r>
          </w:p>
          <w:p w14:paraId="4EACB68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 </w:t>
            </w:r>
          </w:p>
        </w:tc>
        <w:tc>
          <w:tcPr>
            <w:tcW w:w="1509" w:type="dxa"/>
            <w:tcBorders>
              <w:top w:val="single" w:sz="4" w:space="0" w:color="000000"/>
              <w:left w:val="nil"/>
              <w:bottom w:val="single" w:sz="4" w:space="0" w:color="000000"/>
              <w:right w:val="nil"/>
            </w:tcBorders>
          </w:tcPr>
          <w:p w14:paraId="52E25EE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Serum </w:t>
            </w:r>
          </w:p>
          <w:p w14:paraId="515FE7A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(µg/dL) </w:t>
            </w:r>
          </w:p>
          <w:p w14:paraId="67462DA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Mean±SD </w:t>
            </w:r>
          </w:p>
        </w:tc>
        <w:tc>
          <w:tcPr>
            <w:tcW w:w="1717" w:type="dxa"/>
            <w:tcBorders>
              <w:top w:val="single" w:sz="4" w:space="0" w:color="000000"/>
              <w:left w:val="nil"/>
              <w:bottom w:val="single" w:sz="4" w:space="0" w:color="000000"/>
              <w:right w:val="nil"/>
            </w:tcBorders>
          </w:tcPr>
          <w:p w14:paraId="0A517C6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Iron P-value </w:t>
            </w:r>
          </w:p>
        </w:tc>
      </w:tr>
      <w:tr w:rsidR="001F3592" w14:paraId="1D81F087" w14:textId="77777777">
        <w:trPr>
          <w:trHeight w:val="554"/>
        </w:trPr>
        <w:tc>
          <w:tcPr>
            <w:tcW w:w="2297" w:type="dxa"/>
            <w:tcBorders>
              <w:top w:val="single" w:sz="4" w:space="0" w:color="000000"/>
              <w:left w:val="nil"/>
              <w:bottom w:val="nil"/>
              <w:right w:val="nil"/>
            </w:tcBorders>
          </w:tcPr>
          <w:p w14:paraId="589AA9E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Occasional Donors </w:t>
            </w:r>
          </w:p>
        </w:tc>
        <w:tc>
          <w:tcPr>
            <w:tcW w:w="1038" w:type="dxa"/>
            <w:tcBorders>
              <w:top w:val="single" w:sz="4" w:space="0" w:color="000000"/>
              <w:left w:val="nil"/>
              <w:bottom w:val="nil"/>
              <w:right w:val="nil"/>
            </w:tcBorders>
          </w:tcPr>
          <w:p w14:paraId="40752B6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7.7±4.7 </w:t>
            </w:r>
          </w:p>
        </w:tc>
        <w:tc>
          <w:tcPr>
            <w:tcW w:w="1977" w:type="dxa"/>
            <w:tcBorders>
              <w:top w:val="single" w:sz="4" w:space="0" w:color="000000"/>
              <w:left w:val="nil"/>
              <w:bottom w:val="nil"/>
              <w:right w:val="nil"/>
            </w:tcBorders>
          </w:tcPr>
          <w:p w14:paraId="6A10085B" w14:textId="77777777" w:rsidR="001F3592" w:rsidRDefault="00A761D5">
            <w:pPr>
              <w:spacing w:line="360" w:lineRule="auto"/>
              <w:jc w:val="center"/>
              <w:rPr>
                <w:rFonts w:ascii="Times New Roman" w:hAnsi="Times New Roman" w:cs="Times New Roman"/>
                <w:color w:val="000000"/>
                <w:lang w:bidi="en-US"/>
              </w:rPr>
            </w:pPr>
            <w:r>
              <w:rPr>
                <w:rFonts w:ascii="Times New Roman" w:hAnsi="Times New Roman" w:cs="Times New Roman"/>
                <w:color w:val="000000"/>
                <w:lang w:bidi="en-US"/>
              </w:rPr>
              <w:t xml:space="preserve">0.143 </w:t>
            </w:r>
          </w:p>
        </w:tc>
        <w:tc>
          <w:tcPr>
            <w:tcW w:w="1509" w:type="dxa"/>
            <w:tcBorders>
              <w:top w:val="single" w:sz="4" w:space="0" w:color="000000"/>
              <w:left w:val="nil"/>
              <w:bottom w:val="nil"/>
              <w:right w:val="nil"/>
            </w:tcBorders>
          </w:tcPr>
          <w:p w14:paraId="041D6C6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111.9±24.9 </w:t>
            </w:r>
          </w:p>
        </w:tc>
        <w:tc>
          <w:tcPr>
            <w:tcW w:w="1717" w:type="dxa"/>
            <w:tcBorders>
              <w:top w:val="single" w:sz="4" w:space="0" w:color="000000"/>
              <w:left w:val="nil"/>
              <w:bottom w:val="nil"/>
              <w:right w:val="nil"/>
            </w:tcBorders>
          </w:tcPr>
          <w:p w14:paraId="77D4104A" w14:textId="77777777" w:rsidR="001F3592" w:rsidRDefault="00A761D5">
            <w:pPr>
              <w:spacing w:line="360" w:lineRule="auto"/>
              <w:jc w:val="center"/>
              <w:rPr>
                <w:rFonts w:ascii="Times New Roman" w:hAnsi="Times New Roman" w:cs="Times New Roman"/>
                <w:color w:val="000000"/>
                <w:lang w:bidi="en-US"/>
              </w:rPr>
            </w:pPr>
            <w:r>
              <w:rPr>
                <w:rFonts w:ascii="Times New Roman" w:hAnsi="Times New Roman" w:cs="Times New Roman"/>
                <w:color w:val="000000"/>
                <w:lang w:bidi="en-US"/>
              </w:rPr>
              <w:t xml:space="preserve">0.204 </w:t>
            </w:r>
          </w:p>
        </w:tc>
      </w:tr>
      <w:tr w:rsidR="001F3592" w14:paraId="0683393F" w14:textId="77777777">
        <w:trPr>
          <w:trHeight w:val="1112"/>
        </w:trPr>
        <w:tc>
          <w:tcPr>
            <w:tcW w:w="8538" w:type="dxa"/>
            <w:gridSpan w:val="5"/>
            <w:tcBorders>
              <w:top w:val="nil"/>
              <w:left w:val="nil"/>
              <w:bottom w:val="single" w:sz="4" w:space="0" w:color="000000"/>
              <w:right w:val="nil"/>
            </w:tcBorders>
          </w:tcPr>
          <w:p w14:paraId="1CF53872" w14:textId="77777777" w:rsidR="001F3592" w:rsidRDefault="00A761D5">
            <w:pPr>
              <w:tabs>
                <w:tab w:val="center" w:pos="2663"/>
                <w:tab w:val="center" w:pos="4071"/>
                <w:tab w:val="center" w:pos="5858"/>
                <w:tab w:val="center" w:pos="7494"/>
              </w:tabs>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Frequent Donors </w:t>
            </w:r>
            <w:r>
              <w:rPr>
                <w:rFonts w:ascii="Times New Roman" w:hAnsi="Times New Roman" w:cs="Times New Roman"/>
                <w:color w:val="000000"/>
                <w:lang w:bidi="en-US"/>
              </w:rPr>
              <w:tab/>
              <w:t xml:space="preserve">9.5±4.0 </w:t>
            </w:r>
            <w:r>
              <w:rPr>
                <w:rFonts w:ascii="Times New Roman" w:hAnsi="Times New Roman" w:cs="Times New Roman"/>
                <w:color w:val="000000"/>
                <w:lang w:bidi="en-US"/>
              </w:rPr>
              <w:tab/>
              <w:t xml:space="preserve"> </w:t>
            </w:r>
            <w:r>
              <w:rPr>
                <w:rFonts w:ascii="Times New Roman" w:hAnsi="Times New Roman" w:cs="Times New Roman"/>
                <w:color w:val="000000"/>
                <w:lang w:bidi="en-US"/>
              </w:rPr>
              <w:tab/>
              <w:t xml:space="preserve">104.1±20.8 </w:t>
            </w:r>
            <w:r>
              <w:rPr>
                <w:rFonts w:ascii="Times New Roman" w:hAnsi="Times New Roman" w:cs="Times New Roman"/>
                <w:color w:val="000000"/>
                <w:lang w:bidi="en-US"/>
              </w:rPr>
              <w:tab/>
              <w:t xml:space="preserve"> </w:t>
            </w:r>
          </w:p>
        </w:tc>
      </w:tr>
    </w:tbl>
    <w:p w14:paraId="7337D277" w14:textId="77777777" w:rsidR="001F3592" w:rsidRDefault="00A761D5">
      <w:pPr>
        <w:spacing w:after="0" w:line="360" w:lineRule="auto"/>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 xml:space="preserve"> </w:t>
      </w:r>
    </w:p>
    <w:p w14:paraId="3F92225B" w14:textId="77777777" w:rsidR="001F3592" w:rsidRDefault="00A761D5">
      <w:pPr>
        <w:spacing w:after="0" w:line="360" w:lineRule="auto"/>
        <w:ind w:right="493"/>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b/>
          <w:color w:val="000000"/>
          <w:kern w:val="2"/>
          <w:sz w:val="24"/>
          <w:szCs w:val="24"/>
          <w:lang w:bidi="en-US"/>
          <w14:ligatures w14:val="standardContextual"/>
        </w:rPr>
        <w:t xml:space="preserve">Comparison of Blood Lead Concentration and Serum Iron Levels. </w:t>
      </w:r>
    </w:p>
    <w:p w14:paraId="643CD21A" w14:textId="77777777" w:rsidR="001F3592" w:rsidRDefault="00A761D5">
      <w:pPr>
        <w:spacing w:after="0" w:line="360" w:lineRule="auto"/>
        <w:ind w:right="842"/>
        <w:jc w:val="both"/>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 xml:space="preserve">Table 2 shows comparison of lead concentration and serum </w:t>
      </w:r>
      <w:r>
        <w:rPr>
          <w:rFonts w:ascii="Times New Roman" w:eastAsia="Times New Roman" w:hAnsi="Times New Roman" w:cs="Times New Roman"/>
          <w:color w:val="000000"/>
          <w:kern w:val="2"/>
          <w:sz w:val="24"/>
          <w:szCs w:val="24"/>
          <w:lang w:bidi="en-US"/>
          <w14:ligatures w14:val="standardContextual"/>
        </w:rPr>
        <w:t>iron level. The mean blood lead concentration was 7.7 ± 4.7 and 9.5±4.0 µg/dL. No connection between occasional and frequent donors respectively, ranging from 1.00 to 22.47 µg/dL. The mean serum iron level among donors was 111.9 ± 24.9 and 104.1±20.8 µg/dL</w:t>
      </w:r>
      <w:r>
        <w:rPr>
          <w:rFonts w:ascii="Times New Roman" w:eastAsia="Times New Roman" w:hAnsi="Times New Roman" w:cs="Times New Roman"/>
          <w:color w:val="000000"/>
          <w:kern w:val="2"/>
          <w:sz w:val="24"/>
          <w:szCs w:val="24"/>
          <w:lang w:bidi="en-US"/>
          <w14:ligatures w14:val="standardContextual"/>
        </w:rPr>
        <w:t xml:space="preserve"> for occasional and frequent donors respectively, with a range from 50.00 to 179.02 µg/dL. However, these differences are not statistically significant (p &gt; 0.05), suggesting that donation frequency does not significantly affect these values in this popula</w:t>
      </w:r>
      <w:r>
        <w:rPr>
          <w:rFonts w:ascii="Times New Roman" w:eastAsia="Times New Roman" w:hAnsi="Times New Roman" w:cs="Times New Roman"/>
          <w:color w:val="000000"/>
          <w:kern w:val="2"/>
          <w:sz w:val="24"/>
          <w:szCs w:val="24"/>
          <w:lang w:bidi="en-US"/>
          <w14:ligatures w14:val="standardContextual"/>
        </w:rPr>
        <w:t>tion.</w:t>
      </w:r>
    </w:p>
    <w:p w14:paraId="0C550F82" w14:textId="77777777" w:rsidR="001F3592" w:rsidRDefault="001F3592">
      <w:pPr>
        <w:spacing w:after="0" w:line="360" w:lineRule="auto"/>
        <w:rPr>
          <w:rFonts w:ascii="Times New Roman" w:eastAsia="Times New Roman" w:hAnsi="Times New Roman" w:cs="Times New Roman"/>
          <w:b/>
          <w:color w:val="000000"/>
          <w:kern w:val="2"/>
          <w:sz w:val="24"/>
          <w:szCs w:val="24"/>
          <w:lang w:bidi="en-US"/>
          <w14:ligatures w14:val="standardContextual"/>
        </w:rPr>
      </w:pPr>
    </w:p>
    <w:p w14:paraId="36409C75" w14:textId="77777777" w:rsidR="001F3592" w:rsidRDefault="001F3592">
      <w:pPr>
        <w:spacing w:after="0" w:line="360" w:lineRule="auto"/>
        <w:rPr>
          <w:rFonts w:ascii="Times New Roman" w:eastAsia="Times New Roman" w:hAnsi="Times New Roman" w:cs="Times New Roman"/>
          <w:b/>
          <w:color w:val="000000"/>
          <w:kern w:val="2"/>
          <w:sz w:val="24"/>
          <w:szCs w:val="24"/>
          <w:lang w:bidi="en-US"/>
          <w14:ligatures w14:val="standardContextual"/>
        </w:rPr>
      </w:pPr>
    </w:p>
    <w:p w14:paraId="67BF111D" w14:textId="77777777" w:rsidR="001F3592" w:rsidRDefault="001F3592">
      <w:pPr>
        <w:spacing w:after="0" w:line="360" w:lineRule="auto"/>
        <w:rPr>
          <w:rFonts w:ascii="Times New Roman" w:eastAsia="Times New Roman" w:hAnsi="Times New Roman" w:cs="Times New Roman"/>
          <w:b/>
          <w:color w:val="000000"/>
          <w:kern w:val="2"/>
          <w:sz w:val="24"/>
          <w:szCs w:val="24"/>
          <w:lang w:bidi="en-US"/>
          <w14:ligatures w14:val="standardContextual"/>
        </w:rPr>
      </w:pPr>
    </w:p>
    <w:p w14:paraId="280072DB" w14:textId="77777777" w:rsidR="001F3592" w:rsidRDefault="001F3592">
      <w:pPr>
        <w:spacing w:after="0" w:line="360" w:lineRule="auto"/>
        <w:rPr>
          <w:rFonts w:ascii="Times New Roman" w:eastAsia="Times New Roman" w:hAnsi="Times New Roman" w:cs="Times New Roman"/>
          <w:b/>
          <w:color w:val="000000"/>
          <w:kern w:val="2"/>
          <w:sz w:val="24"/>
          <w:szCs w:val="24"/>
          <w:lang w:bidi="en-US"/>
          <w14:ligatures w14:val="standardContextual"/>
        </w:rPr>
      </w:pPr>
    </w:p>
    <w:p w14:paraId="344315EC" w14:textId="77777777" w:rsidR="001F3592" w:rsidRDefault="001F3592">
      <w:pPr>
        <w:spacing w:after="0" w:line="360" w:lineRule="auto"/>
        <w:rPr>
          <w:rFonts w:ascii="Times New Roman" w:eastAsia="Times New Roman" w:hAnsi="Times New Roman" w:cs="Times New Roman"/>
          <w:b/>
          <w:color w:val="000000"/>
          <w:kern w:val="2"/>
          <w:sz w:val="24"/>
          <w:szCs w:val="24"/>
          <w:lang w:bidi="en-US"/>
          <w14:ligatures w14:val="standardContextual"/>
        </w:rPr>
      </w:pPr>
    </w:p>
    <w:p w14:paraId="0CACDAD3" w14:textId="77777777" w:rsidR="001F3592" w:rsidRDefault="001F3592">
      <w:pPr>
        <w:spacing w:after="0" w:line="360" w:lineRule="auto"/>
        <w:rPr>
          <w:rFonts w:ascii="Times New Roman" w:eastAsia="Times New Roman" w:hAnsi="Times New Roman" w:cs="Times New Roman"/>
          <w:b/>
          <w:color w:val="000000"/>
          <w:kern w:val="2"/>
          <w:sz w:val="24"/>
          <w:szCs w:val="24"/>
          <w:lang w:bidi="en-US"/>
          <w14:ligatures w14:val="standardContextual"/>
        </w:rPr>
      </w:pPr>
    </w:p>
    <w:p w14:paraId="5E538D31" w14:textId="77777777" w:rsidR="001F3592" w:rsidRDefault="001F3592">
      <w:pPr>
        <w:spacing w:after="0" w:line="360" w:lineRule="auto"/>
        <w:rPr>
          <w:rFonts w:ascii="Times New Roman" w:eastAsia="Times New Roman" w:hAnsi="Times New Roman" w:cs="Times New Roman"/>
          <w:b/>
          <w:color w:val="000000"/>
          <w:kern w:val="2"/>
          <w:sz w:val="24"/>
          <w:szCs w:val="24"/>
          <w:lang w:bidi="en-US"/>
          <w14:ligatures w14:val="standardContextual"/>
        </w:rPr>
      </w:pPr>
    </w:p>
    <w:p w14:paraId="465C8803" w14:textId="77777777" w:rsidR="001F3592" w:rsidRDefault="001F3592">
      <w:pPr>
        <w:spacing w:after="0" w:line="360" w:lineRule="auto"/>
        <w:rPr>
          <w:rFonts w:ascii="Times New Roman" w:eastAsia="Times New Roman" w:hAnsi="Times New Roman" w:cs="Times New Roman"/>
          <w:b/>
          <w:color w:val="000000"/>
          <w:kern w:val="2"/>
          <w:sz w:val="24"/>
          <w:szCs w:val="24"/>
          <w:lang w:bidi="en-US"/>
          <w14:ligatures w14:val="standardContextual"/>
        </w:rPr>
      </w:pPr>
    </w:p>
    <w:p w14:paraId="66DAB48D" w14:textId="77777777" w:rsidR="001F3592" w:rsidRDefault="001F3592">
      <w:pPr>
        <w:spacing w:after="0" w:line="360" w:lineRule="auto"/>
        <w:rPr>
          <w:rFonts w:ascii="Times New Roman" w:eastAsia="Times New Roman" w:hAnsi="Times New Roman" w:cs="Times New Roman"/>
          <w:b/>
          <w:color w:val="000000"/>
          <w:kern w:val="2"/>
          <w:sz w:val="24"/>
          <w:szCs w:val="24"/>
          <w:lang w:bidi="en-US"/>
          <w14:ligatures w14:val="standardContextual"/>
        </w:rPr>
      </w:pPr>
    </w:p>
    <w:p w14:paraId="6F4D80C7" w14:textId="77777777" w:rsidR="001F3592" w:rsidRDefault="001F3592">
      <w:pPr>
        <w:spacing w:after="0" w:line="360" w:lineRule="auto"/>
        <w:rPr>
          <w:rFonts w:ascii="Times New Roman" w:eastAsia="Times New Roman" w:hAnsi="Times New Roman" w:cs="Times New Roman"/>
          <w:b/>
          <w:color w:val="000000"/>
          <w:kern w:val="2"/>
          <w:sz w:val="24"/>
          <w:szCs w:val="24"/>
          <w:lang w:bidi="en-US"/>
          <w14:ligatures w14:val="standardContextual"/>
        </w:rPr>
      </w:pPr>
    </w:p>
    <w:p w14:paraId="0B52404B" w14:textId="77777777" w:rsidR="001F3592" w:rsidRDefault="001F3592">
      <w:pPr>
        <w:spacing w:after="0" w:line="360" w:lineRule="auto"/>
        <w:rPr>
          <w:rFonts w:ascii="Times New Roman" w:eastAsia="Times New Roman" w:hAnsi="Times New Roman" w:cs="Times New Roman"/>
          <w:b/>
          <w:color w:val="000000"/>
          <w:kern w:val="2"/>
          <w:sz w:val="24"/>
          <w:szCs w:val="24"/>
          <w:lang w:bidi="en-US"/>
          <w14:ligatures w14:val="standardContextual"/>
        </w:rPr>
      </w:pPr>
    </w:p>
    <w:p w14:paraId="6D79233B" w14:textId="77777777" w:rsidR="001F3592" w:rsidRDefault="001F3592">
      <w:pPr>
        <w:spacing w:after="0" w:line="360" w:lineRule="auto"/>
        <w:rPr>
          <w:rFonts w:ascii="Times New Roman" w:eastAsia="Times New Roman" w:hAnsi="Times New Roman" w:cs="Times New Roman"/>
          <w:b/>
          <w:color w:val="000000"/>
          <w:kern w:val="2"/>
          <w:sz w:val="24"/>
          <w:szCs w:val="24"/>
          <w:lang w:bidi="en-US"/>
          <w14:ligatures w14:val="standardContextual"/>
        </w:rPr>
      </w:pPr>
    </w:p>
    <w:p w14:paraId="5B499228" w14:textId="77777777" w:rsidR="001F3592" w:rsidRDefault="001F3592">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p>
    <w:p w14:paraId="3078EEF6" w14:textId="77777777" w:rsidR="001F3592" w:rsidRDefault="00A761D5">
      <w:pPr>
        <w:spacing w:after="5" w:line="360" w:lineRule="auto"/>
        <w:ind w:right="842"/>
        <w:jc w:val="both"/>
        <w:rPr>
          <w:rFonts w:ascii="Times New Roman" w:eastAsia="Times New Roman" w:hAnsi="Times New Roman" w:cs="Times New Roman"/>
          <w:b/>
          <w:color w:val="000000"/>
          <w:kern w:val="2"/>
          <w:sz w:val="24"/>
          <w:szCs w:val="24"/>
          <w14:ligatures w14:val="standardContextual"/>
        </w:rPr>
      </w:pPr>
      <w:r>
        <w:rPr>
          <w:rFonts w:ascii="Times New Roman" w:eastAsia="Times New Roman" w:hAnsi="Times New Roman" w:cs="Times New Roman"/>
          <w:color w:val="000000"/>
          <w:kern w:val="2"/>
          <w:sz w:val="24"/>
          <w:szCs w:val="24"/>
          <w:lang w:bidi="en-US"/>
          <w14:ligatures w14:val="standardContextual"/>
        </w:rPr>
        <w:t xml:space="preserve"> </w:t>
      </w:r>
      <w:r>
        <w:rPr>
          <w:rFonts w:ascii="Times New Roman" w:eastAsia="Times New Roman" w:hAnsi="Times New Roman" w:cs="Times New Roman"/>
          <w:b/>
          <w:color w:val="000000"/>
          <w:kern w:val="2"/>
          <w:sz w:val="24"/>
          <w:szCs w:val="24"/>
          <w14:ligatures w14:val="standardContextual"/>
        </w:rPr>
        <w:t>Table 3:</w:t>
      </w:r>
      <w:r>
        <w:rPr>
          <w:rFonts w:ascii="Times New Roman" w:eastAsia="Times New Roman" w:hAnsi="Times New Roman" w:cs="Times New Roman"/>
          <w:color w:val="000000"/>
          <w:kern w:val="2"/>
          <w:sz w:val="24"/>
          <w:szCs w:val="24"/>
          <w14:ligatures w14:val="standardContextual"/>
        </w:rPr>
        <w:t xml:space="preserve"> </w:t>
      </w:r>
      <w:r>
        <w:rPr>
          <w:rFonts w:ascii="Times New Roman" w:eastAsia="Times New Roman" w:hAnsi="Times New Roman" w:cs="Times New Roman"/>
          <w:b/>
          <w:color w:val="000000"/>
          <w:kern w:val="2"/>
          <w:sz w:val="24"/>
          <w:szCs w:val="24"/>
          <w14:ligatures w14:val="standardContextual"/>
        </w:rPr>
        <w:t>Comparison of Hematological Parameters among the Donors</w:t>
      </w:r>
      <w:r>
        <w:rPr>
          <w:rFonts w:ascii="Times New Roman" w:eastAsia="Times New Roman" w:hAnsi="Times New Roman" w:cs="Times New Roman"/>
          <w:color w:val="000000"/>
          <w:kern w:val="2"/>
          <w:sz w:val="24"/>
          <w:szCs w:val="24"/>
          <w14:ligatures w14:val="standardContextual"/>
        </w:rPr>
        <w:t xml:space="preserve"> </w:t>
      </w:r>
    </w:p>
    <w:tbl>
      <w:tblPr>
        <w:tblStyle w:val="TableGrid0"/>
        <w:tblW w:w="8538" w:type="dxa"/>
        <w:tblInd w:w="221" w:type="dxa"/>
        <w:tblCellMar>
          <w:top w:w="7" w:type="dxa"/>
          <w:right w:w="115" w:type="dxa"/>
        </w:tblCellMar>
        <w:tblLook w:val="04A0" w:firstRow="1" w:lastRow="0" w:firstColumn="1" w:lastColumn="0" w:noHBand="0" w:noVBand="1"/>
      </w:tblPr>
      <w:tblGrid>
        <w:gridCol w:w="2253"/>
        <w:gridCol w:w="2129"/>
        <w:gridCol w:w="2132"/>
        <w:gridCol w:w="2024"/>
      </w:tblGrid>
      <w:tr w:rsidR="001F3592" w14:paraId="38C5F52D" w14:textId="77777777">
        <w:trPr>
          <w:trHeight w:val="1114"/>
        </w:trPr>
        <w:tc>
          <w:tcPr>
            <w:tcW w:w="2254" w:type="dxa"/>
            <w:tcBorders>
              <w:top w:val="single" w:sz="4" w:space="0" w:color="000000"/>
              <w:left w:val="nil"/>
              <w:bottom w:val="single" w:sz="4" w:space="0" w:color="000000"/>
              <w:right w:val="nil"/>
            </w:tcBorders>
          </w:tcPr>
          <w:p w14:paraId="2A74127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Parameter </w:t>
            </w:r>
          </w:p>
        </w:tc>
        <w:tc>
          <w:tcPr>
            <w:tcW w:w="2129" w:type="dxa"/>
            <w:tcBorders>
              <w:top w:val="single" w:sz="4" w:space="0" w:color="000000"/>
              <w:left w:val="nil"/>
              <w:bottom w:val="single" w:sz="4" w:space="0" w:color="000000"/>
              <w:right w:val="nil"/>
            </w:tcBorders>
          </w:tcPr>
          <w:p w14:paraId="41F4EA18" w14:textId="77777777" w:rsidR="001F3592" w:rsidRDefault="00A761D5">
            <w:pPr>
              <w:spacing w:after="252"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Occasional (Mean </w:t>
            </w:r>
          </w:p>
          <w:p w14:paraId="6BC5818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 SD) </w:t>
            </w:r>
          </w:p>
        </w:tc>
        <w:tc>
          <w:tcPr>
            <w:tcW w:w="2132" w:type="dxa"/>
            <w:tcBorders>
              <w:top w:val="single" w:sz="4" w:space="0" w:color="000000"/>
              <w:left w:val="nil"/>
              <w:bottom w:val="single" w:sz="4" w:space="0" w:color="000000"/>
              <w:right w:val="nil"/>
            </w:tcBorders>
          </w:tcPr>
          <w:p w14:paraId="1306AD40" w14:textId="77777777" w:rsidR="001F3592" w:rsidRDefault="00A761D5">
            <w:pPr>
              <w:spacing w:after="252"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Frequent (Mean ± </w:t>
            </w:r>
          </w:p>
          <w:p w14:paraId="0231335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SD) </w:t>
            </w:r>
          </w:p>
        </w:tc>
        <w:tc>
          <w:tcPr>
            <w:tcW w:w="2024" w:type="dxa"/>
            <w:tcBorders>
              <w:top w:val="single" w:sz="4" w:space="0" w:color="000000"/>
              <w:left w:val="nil"/>
              <w:bottom w:val="single" w:sz="4" w:space="0" w:color="000000"/>
              <w:right w:val="nil"/>
            </w:tcBorders>
          </w:tcPr>
          <w:p w14:paraId="348A4D5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P-value </w:t>
            </w:r>
          </w:p>
        </w:tc>
      </w:tr>
      <w:tr w:rsidR="001F3592" w14:paraId="489D47F3" w14:textId="77777777">
        <w:trPr>
          <w:trHeight w:val="416"/>
        </w:trPr>
        <w:tc>
          <w:tcPr>
            <w:tcW w:w="2254" w:type="dxa"/>
            <w:tcBorders>
              <w:top w:val="single" w:sz="4" w:space="0" w:color="000000"/>
              <w:left w:val="nil"/>
              <w:bottom w:val="nil"/>
              <w:right w:val="nil"/>
            </w:tcBorders>
          </w:tcPr>
          <w:p w14:paraId="1D5B7F6A"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Hemoglobin (g/dL) </w:t>
            </w:r>
          </w:p>
        </w:tc>
        <w:tc>
          <w:tcPr>
            <w:tcW w:w="2129" w:type="dxa"/>
            <w:tcBorders>
              <w:top w:val="single" w:sz="4" w:space="0" w:color="000000"/>
              <w:left w:val="nil"/>
              <w:bottom w:val="nil"/>
              <w:right w:val="nil"/>
            </w:tcBorders>
          </w:tcPr>
          <w:p w14:paraId="5A33C49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14.5 ± 1.5 </w:t>
            </w:r>
          </w:p>
        </w:tc>
        <w:tc>
          <w:tcPr>
            <w:tcW w:w="2132" w:type="dxa"/>
            <w:tcBorders>
              <w:top w:val="single" w:sz="4" w:space="0" w:color="000000"/>
              <w:left w:val="nil"/>
              <w:bottom w:val="nil"/>
              <w:right w:val="nil"/>
            </w:tcBorders>
          </w:tcPr>
          <w:p w14:paraId="0F09F92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14.7 ± 1.7 </w:t>
            </w:r>
          </w:p>
        </w:tc>
        <w:tc>
          <w:tcPr>
            <w:tcW w:w="2024" w:type="dxa"/>
            <w:tcBorders>
              <w:top w:val="single" w:sz="4" w:space="0" w:color="000000"/>
              <w:left w:val="nil"/>
              <w:bottom w:val="nil"/>
              <w:right w:val="nil"/>
            </w:tcBorders>
          </w:tcPr>
          <w:p w14:paraId="0CA8F3CA"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0.576 </w:t>
            </w:r>
          </w:p>
        </w:tc>
      </w:tr>
      <w:tr w:rsidR="001F3592" w14:paraId="6081DDA5" w14:textId="77777777">
        <w:trPr>
          <w:trHeight w:val="552"/>
        </w:trPr>
        <w:tc>
          <w:tcPr>
            <w:tcW w:w="2254" w:type="dxa"/>
            <w:tcBorders>
              <w:top w:val="nil"/>
              <w:left w:val="nil"/>
              <w:bottom w:val="nil"/>
              <w:right w:val="nil"/>
            </w:tcBorders>
            <w:vAlign w:val="center"/>
          </w:tcPr>
          <w:p w14:paraId="54DE1EA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PCV (%) </w:t>
            </w:r>
          </w:p>
        </w:tc>
        <w:tc>
          <w:tcPr>
            <w:tcW w:w="2129" w:type="dxa"/>
            <w:tcBorders>
              <w:top w:val="nil"/>
              <w:left w:val="nil"/>
              <w:bottom w:val="nil"/>
              <w:right w:val="nil"/>
            </w:tcBorders>
            <w:vAlign w:val="center"/>
          </w:tcPr>
          <w:p w14:paraId="6849C8CC"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43.2 ± 3.8 </w:t>
            </w:r>
          </w:p>
        </w:tc>
        <w:tc>
          <w:tcPr>
            <w:tcW w:w="2132" w:type="dxa"/>
            <w:tcBorders>
              <w:top w:val="nil"/>
              <w:left w:val="nil"/>
              <w:bottom w:val="nil"/>
              <w:right w:val="nil"/>
            </w:tcBorders>
            <w:vAlign w:val="center"/>
          </w:tcPr>
          <w:p w14:paraId="71A930C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44.2 ± 4.1 </w:t>
            </w:r>
          </w:p>
        </w:tc>
        <w:tc>
          <w:tcPr>
            <w:tcW w:w="2024" w:type="dxa"/>
            <w:tcBorders>
              <w:top w:val="nil"/>
              <w:left w:val="nil"/>
              <w:bottom w:val="nil"/>
              <w:right w:val="nil"/>
            </w:tcBorders>
            <w:vAlign w:val="center"/>
          </w:tcPr>
          <w:p w14:paraId="02C1D12A"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0.279 </w:t>
            </w:r>
          </w:p>
        </w:tc>
      </w:tr>
      <w:tr w:rsidR="001F3592" w14:paraId="5DF44E0A" w14:textId="77777777">
        <w:trPr>
          <w:trHeight w:val="552"/>
        </w:trPr>
        <w:tc>
          <w:tcPr>
            <w:tcW w:w="2254" w:type="dxa"/>
            <w:tcBorders>
              <w:top w:val="nil"/>
              <w:left w:val="nil"/>
              <w:bottom w:val="nil"/>
              <w:right w:val="nil"/>
            </w:tcBorders>
            <w:vAlign w:val="center"/>
          </w:tcPr>
          <w:p w14:paraId="7120F548" w14:textId="77777777" w:rsidR="001F3592" w:rsidRDefault="00A761D5">
            <w:pPr>
              <w:tabs>
                <w:tab w:val="center" w:pos="1503"/>
              </w:tabs>
              <w:spacing w:line="360" w:lineRule="auto"/>
              <w:rPr>
                <w:rFonts w:ascii="Times New Roman" w:hAnsi="Times New Roman" w:cs="Times New Roman"/>
                <w:color w:val="000000"/>
                <w:lang w:bidi="en-US"/>
              </w:rPr>
            </w:pPr>
            <w:r>
              <w:rPr>
                <w:rFonts w:ascii="Times New Roman" w:hAnsi="Times New Roman" w:cs="Times New Roman"/>
                <w:color w:val="000000"/>
                <w:lang w:bidi="en-US"/>
              </w:rPr>
              <w:t>WBC (x10</w:t>
            </w:r>
            <w:r>
              <w:rPr>
                <w:rFonts w:ascii="Times New Roman" w:hAnsi="Times New Roman" w:cs="Times New Roman"/>
                <w:noProof/>
                <w:color w:val="000000"/>
              </w:rPr>
              <w:drawing>
                <wp:inline distT="0" distB="0" distL="0" distR="0" wp14:anchorId="2C50106A" wp14:editId="1692859B">
                  <wp:extent cx="51816" cy="67056"/>
                  <wp:effectExtent l="0" t="0" r="0" b="0"/>
                  <wp:docPr id="1028"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9" cstate="print"/>
                          <a:srcRect/>
                          <a:stretch/>
                        </pic:blipFill>
                        <pic:spPr>
                          <a:xfrm>
                            <a:off x="0" y="0"/>
                            <a:ext cx="51816" cy="67056"/>
                          </a:xfrm>
                          <a:prstGeom prst="rect">
                            <a:avLst/>
                          </a:prstGeom>
                        </pic:spPr>
                      </pic:pic>
                    </a:graphicData>
                  </a:graphic>
                </wp:inline>
              </w:drawing>
            </w:r>
            <w:r>
              <w:rPr>
                <w:rFonts w:ascii="Times New Roman" w:hAnsi="Times New Roman" w:cs="Times New Roman"/>
                <w:color w:val="000000"/>
                <w:lang w:bidi="en-US"/>
              </w:rPr>
              <w:tab/>
              <w:t xml:space="preserve">/L) </w:t>
            </w:r>
          </w:p>
        </w:tc>
        <w:tc>
          <w:tcPr>
            <w:tcW w:w="2129" w:type="dxa"/>
            <w:tcBorders>
              <w:top w:val="nil"/>
              <w:left w:val="nil"/>
              <w:bottom w:val="nil"/>
              <w:right w:val="nil"/>
            </w:tcBorders>
            <w:vAlign w:val="center"/>
          </w:tcPr>
          <w:p w14:paraId="186EC30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6.5 ± 1.4 </w:t>
            </w:r>
          </w:p>
        </w:tc>
        <w:tc>
          <w:tcPr>
            <w:tcW w:w="2132" w:type="dxa"/>
            <w:tcBorders>
              <w:top w:val="nil"/>
              <w:left w:val="nil"/>
              <w:bottom w:val="nil"/>
              <w:right w:val="nil"/>
            </w:tcBorders>
            <w:vAlign w:val="center"/>
          </w:tcPr>
          <w:p w14:paraId="6C3D487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6.0 ± 1.6 </w:t>
            </w:r>
          </w:p>
        </w:tc>
        <w:tc>
          <w:tcPr>
            <w:tcW w:w="2024" w:type="dxa"/>
            <w:tcBorders>
              <w:top w:val="nil"/>
              <w:left w:val="nil"/>
              <w:bottom w:val="nil"/>
              <w:right w:val="nil"/>
            </w:tcBorders>
            <w:vAlign w:val="center"/>
          </w:tcPr>
          <w:p w14:paraId="06113A4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0.143 </w:t>
            </w:r>
          </w:p>
        </w:tc>
      </w:tr>
      <w:tr w:rsidR="001F3592" w14:paraId="20F712B6" w14:textId="77777777">
        <w:trPr>
          <w:trHeight w:val="552"/>
        </w:trPr>
        <w:tc>
          <w:tcPr>
            <w:tcW w:w="2254" w:type="dxa"/>
            <w:tcBorders>
              <w:top w:val="nil"/>
              <w:left w:val="nil"/>
              <w:bottom w:val="nil"/>
              <w:right w:val="nil"/>
            </w:tcBorders>
            <w:vAlign w:val="center"/>
          </w:tcPr>
          <w:p w14:paraId="0062B69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RBC (x10¹²/L) </w:t>
            </w:r>
          </w:p>
        </w:tc>
        <w:tc>
          <w:tcPr>
            <w:tcW w:w="2129" w:type="dxa"/>
            <w:tcBorders>
              <w:top w:val="nil"/>
              <w:left w:val="nil"/>
              <w:bottom w:val="nil"/>
              <w:right w:val="nil"/>
            </w:tcBorders>
            <w:vAlign w:val="center"/>
          </w:tcPr>
          <w:p w14:paraId="66039A5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5.1 ± 0.5 </w:t>
            </w:r>
          </w:p>
        </w:tc>
        <w:tc>
          <w:tcPr>
            <w:tcW w:w="2132" w:type="dxa"/>
            <w:tcBorders>
              <w:top w:val="nil"/>
              <w:left w:val="nil"/>
              <w:bottom w:val="nil"/>
              <w:right w:val="nil"/>
            </w:tcBorders>
            <w:vAlign w:val="center"/>
          </w:tcPr>
          <w:p w14:paraId="3344F37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5.1 ± 0.5 </w:t>
            </w:r>
          </w:p>
        </w:tc>
        <w:tc>
          <w:tcPr>
            <w:tcW w:w="2024" w:type="dxa"/>
            <w:tcBorders>
              <w:top w:val="nil"/>
              <w:left w:val="nil"/>
              <w:bottom w:val="nil"/>
              <w:right w:val="nil"/>
            </w:tcBorders>
            <w:vAlign w:val="center"/>
          </w:tcPr>
          <w:p w14:paraId="773E029C"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0.535 </w:t>
            </w:r>
          </w:p>
        </w:tc>
      </w:tr>
      <w:tr w:rsidR="001F3592" w14:paraId="37D38851" w14:textId="77777777">
        <w:trPr>
          <w:trHeight w:val="552"/>
        </w:trPr>
        <w:tc>
          <w:tcPr>
            <w:tcW w:w="2254" w:type="dxa"/>
            <w:tcBorders>
              <w:top w:val="nil"/>
              <w:left w:val="nil"/>
              <w:bottom w:val="nil"/>
              <w:right w:val="nil"/>
            </w:tcBorders>
            <w:vAlign w:val="center"/>
          </w:tcPr>
          <w:p w14:paraId="4195834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MCV (fL) </w:t>
            </w:r>
          </w:p>
        </w:tc>
        <w:tc>
          <w:tcPr>
            <w:tcW w:w="2129" w:type="dxa"/>
            <w:tcBorders>
              <w:top w:val="nil"/>
              <w:left w:val="nil"/>
              <w:bottom w:val="nil"/>
              <w:right w:val="nil"/>
            </w:tcBorders>
            <w:vAlign w:val="center"/>
          </w:tcPr>
          <w:p w14:paraId="1FDAB06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90.2 ± 5.5 </w:t>
            </w:r>
          </w:p>
        </w:tc>
        <w:tc>
          <w:tcPr>
            <w:tcW w:w="2132" w:type="dxa"/>
            <w:tcBorders>
              <w:top w:val="nil"/>
              <w:left w:val="nil"/>
              <w:bottom w:val="nil"/>
              <w:right w:val="nil"/>
            </w:tcBorders>
            <w:vAlign w:val="center"/>
          </w:tcPr>
          <w:p w14:paraId="23AE6FA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88.3 ± 5.2 </w:t>
            </w:r>
          </w:p>
        </w:tc>
        <w:tc>
          <w:tcPr>
            <w:tcW w:w="2024" w:type="dxa"/>
            <w:tcBorders>
              <w:top w:val="nil"/>
              <w:left w:val="nil"/>
              <w:bottom w:val="nil"/>
              <w:right w:val="nil"/>
            </w:tcBorders>
            <w:vAlign w:val="center"/>
          </w:tcPr>
          <w:p w14:paraId="75FE4CC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0.178 </w:t>
            </w:r>
          </w:p>
        </w:tc>
      </w:tr>
      <w:tr w:rsidR="001F3592" w14:paraId="22FB7B5D" w14:textId="77777777">
        <w:trPr>
          <w:trHeight w:val="698"/>
        </w:trPr>
        <w:tc>
          <w:tcPr>
            <w:tcW w:w="2254" w:type="dxa"/>
            <w:tcBorders>
              <w:top w:val="nil"/>
              <w:left w:val="nil"/>
              <w:bottom w:val="single" w:sz="4" w:space="0" w:color="000000"/>
              <w:right w:val="nil"/>
            </w:tcBorders>
          </w:tcPr>
          <w:p w14:paraId="49215D2C"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MCH (pg) </w:t>
            </w:r>
          </w:p>
        </w:tc>
        <w:tc>
          <w:tcPr>
            <w:tcW w:w="2129" w:type="dxa"/>
            <w:tcBorders>
              <w:top w:val="nil"/>
              <w:left w:val="nil"/>
              <w:bottom w:val="single" w:sz="4" w:space="0" w:color="000000"/>
              <w:right w:val="nil"/>
            </w:tcBorders>
          </w:tcPr>
          <w:p w14:paraId="2000415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30.1 ± 2.0 </w:t>
            </w:r>
          </w:p>
        </w:tc>
        <w:tc>
          <w:tcPr>
            <w:tcW w:w="2132" w:type="dxa"/>
            <w:tcBorders>
              <w:top w:val="nil"/>
              <w:left w:val="nil"/>
              <w:bottom w:val="single" w:sz="4" w:space="0" w:color="000000"/>
              <w:right w:val="nil"/>
            </w:tcBorders>
          </w:tcPr>
          <w:p w14:paraId="44D7971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30.7 ± 1.8 </w:t>
            </w:r>
          </w:p>
        </w:tc>
        <w:tc>
          <w:tcPr>
            <w:tcW w:w="2024" w:type="dxa"/>
            <w:tcBorders>
              <w:top w:val="nil"/>
              <w:left w:val="nil"/>
              <w:bottom w:val="single" w:sz="4" w:space="0" w:color="000000"/>
              <w:right w:val="nil"/>
            </w:tcBorders>
          </w:tcPr>
          <w:p w14:paraId="1DCB800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0.205 </w:t>
            </w:r>
          </w:p>
        </w:tc>
      </w:tr>
    </w:tbl>
    <w:p w14:paraId="24B86B10" w14:textId="77777777" w:rsidR="001F3592" w:rsidRDefault="00A761D5">
      <w:pPr>
        <w:spacing w:after="0" w:line="360" w:lineRule="auto"/>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 xml:space="preserve"> </w:t>
      </w:r>
      <w:r>
        <w:rPr>
          <w:rFonts w:ascii="Times New Roman" w:eastAsia="Times New Roman" w:hAnsi="Times New Roman" w:cs="Times New Roman"/>
          <w:b/>
          <w:color w:val="000000"/>
          <w:kern w:val="2"/>
          <w:sz w:val="24"/>
          <w:szCs w:val="24"/>
          <w:lang w:bidi="en-US"/>
          <w14:ligatures w14:val="standardContextual"/>
        </w:rPr>
        <w:t xml:space="preserve">Comparison of Hematological Parameters among the Donors. </w:t>
      </w:r>
    </w:p>
    <w:p w14:paraId="51F01B34" w14:textId="77777777" w:rsidR="001F3592" w:rsidRDefault="00A761D5">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 xml:space="preserve">Table 3 shows the comparison of </w:t>
      </w:r>
      <w:r>
        <w:rPr>
          <w:rFonts w:ascii="Times New Roman" w:eastAsia="Times New Roman" w:hAnsi="Times New Roman" w:cs="Times New Roman"/>
          <w:color w:val="000000"/>
          <w:kern w:val="2"/>
          <w:sz w:val="24"/>
          <w:szCs w:val="24"/>
          <w:lang w:bidi="en-US"/>
          <w14:ligatures w14:val="standardContextual"/>
        </w:rPr>
        <w:t>hematological parameters among donors. Key hematological parameters for donors shows Hemoglobin (Hb): 14.5 ± 1.5 and 14.7 ± 1.7 g/dL for occasional and frequent donors respectively. Packed Cell Volume (PCV): 43.2 ± 3.8 and 44.2 ± 4.1% for occasional and fr</w:t>
      </w:r>
      <w:r>
        <w:rPr>
          <w:rFonts w:ascii="Times New Roman" w:eastAsia="Times New Roman" w:hAnsi="Times New Roman" w:cs="Times New Roman"/>
          <w:color w:val="000000"/>
          <w:kern w:val="2"/>
          <w:sz w:val="24"/>
          <w:szCs w:val="24"/>
          <w:lang w:bidi="en-US"/>
          <w14:ligatures w14:val="standardContextual"/>
        </w:rPr>
        <w:t>equent donors respectively. White Blood Cells (WBC): 6.5 ± 1.4 and 6.0 ± 1.6 ×10/L for occasional and frequent donors respectively. Red Blood Cells (RBC): 5.1 ± 0.5 and 5.1 ± 0.5×10¹²/L for occasional and frequent donors respectively. Mean Corpuscular Volu</w:t>
      </w:r>
      <w:r>
        <w:rPr>
          <w:rFonts w:ascii="Times New Roman" w:eastAsia="Times New Roman" w:hAnsi="Times New Roman" w:cs="Times New Roman"/>
          <w:color w:val="000000"/>
          <w:kern w:val="2"/>
          <w:sz w:val="24"/>
          <w:szCs w:val="24"/>
          <w:lang w:bidi="en-US"/>
          <w14:ligatures w14:val="standardContextual"/>
        </w:rPr>
        <w:t xml:space="preserve">me (MCV): 90.2 ± 5.5 and 88.3 ± 5.2fL for </w:t>
      </w:r>
      <w:r>
        <w:rPr>
          <w:rFonts w:ascii="Times New Roman" w:eastAsia="Times New Roman" w:hAnsi="Times New Roman" w:cs="Times New Roman"/>
          <w:color w:val="000000"/>
          <w:kern w:val="2"/>
          <w:sz w:val="24"/>
          <w:szCs w:val="24"/>
          <w:lang w:bidi="en-US"/>
          <w14:ligatures w14:val="standardContextual"/>
        </w:rPr>
        <w:lastRenderedPageBreak/>
        <w:t>occasional and frequent donors respectively. Mean Corpuscular Hemoglobin (MCH): 30.15± 2.0 and 30.7 ± 1.8pg for occasional and frequent donors respectively.</w:t>
      </w:r>
    </w:p>
    <w:p w14:paraId="0350844B" w14:textId="77777777" w:rsidR="001F3592" w:rsidRDefault="001F3592">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42EFE206" w14:textId="77777777" w:rsidR="001F3592" w:rsidRDefault="001F3592">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07BEE38A" w14:textId="77777777" w:rsidR="001F3592" w:rsidRDefault="001F3592">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412BEA11" w14:textId="77777777" w:rsidR="001F3592" w:rsidRDefault="001F3592">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4CBF6C36" w14:textId="77777777" w:rsidR="001F3592" w:rsidRDefault="001F3592">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66A72BE1" w14:textId="77777777" w:rsidR="001F3592" w:rsidRDefault="001F3592">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364B55E4" w14:textId="77777777" w:rsidR="001F3592" w:rsidRDefault="001F3592">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032AEF0A" w14:textId="77777777" w:rsidR="001F3592" w:rsidRDefault="001F3592">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2120F2A1" w14:textId="77777777" w:rsidR="001F3592" w:rsidRDefault="00A761D5">
      <w:pPr>
        <w:spacing w:before="240" w:after="5" w:line="360" w:lineRule="auto"/>
        <w:ind w:right="842"/>
        <w:jc w:val="both"/>
        <w:rPr>
          <w:rFonts w:ascii="Times New Roman" w:eastAsia="Times New Roman" w:hAnsi="Times New Roman" w:cs="Times New Roman"/>
          <w:b/>
          <w:color w:val="000000"/>
          <w:kern w:val="2"/>
          <w:sz w:val="24"/>
          <w:szCs w:val="24"/>
          <w:lang w:bidi="en-US"/>
          <w14:ligatures w14:val="standardContextual"/>
        </w:rPr>
      </w:pPr>
      <w:r>
        <w:rPr>
          <w:rFonts w:ascii="Times New Roman" w:eastAsia="Times New Roman" w:hAnsi="Times New Roman" w:cs="Times New Roman"/>
          <w:b/>
          <w:color w:val="000000"/>
          <w:kern w:val="2"/>
          <w:sz w:val="24"/>
          <w:szCs w:val="24"/>
          <w:lang w:bidi="en-US"/>
          <w14:ligatures w14:val="standardContextual"/>
        </w:rPr>
        <w:t xml:space="preserve">Table 4: Correlation Between Blood Lead and Serum Iron and Hematological Parameters among Blood Donors. </w:t>
      </w:r>
    </w:p>
    <w:tbl>
      <w:tblPr>
        <w:tblStyle w:val="TableGrid"/>
        <w:tblW w:w="98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67"/>
        <w:gridCol w:w="992"/>
        <w:gridCol w:w="1134"/>
        <w:gridCol w:w="982"/>
        <w:gridCol w:w="790"/>
        <w:gridCol w:w="790"/>
        <w:gridCol w:w="790"/>
        <w:gridCol w:w="790"/>
        <w:gridCol w:w="1103"/>
      </w:tblGrid>
      <w:tr w:rsidR="001F3592" w14:paraId="55A5904A" w14:textId="77777777">
        <w:trPr>
          <w:trHeight w:val="608"/>
        </w:trPr>
        <w:tc>
          <w:tcPr>
            <w:tcW w:w="9889" w:type="dxa"/>
            <w:gridSpan w:val="10"/>
            <w:tcBorders>
              <w:top w:val="single" w:sz="4" w:space="0" w:color="auto"/>
              <w:bottom w:val="single" w:sz="4" w:space="0" w:color="auto"/>
            </w:tcBorders>
          </w:tcPr>
          <w:p w14:paraId="0808D379" w14:textId="77777777" w:rsidR="001F3592" w:rsidRDefault="00A761D5">
            <w:pPr>
              <w:spacing w:before="240" w:after="5"/>
              <w:ind w:right="842"/>
              <w:jc w:val="both"/>
              <w:rPr>
                <w:rFonts w:ascii="Times New Roman" w:eastAsia="Times New Roman" w:hAnsi="Times New Roman"/>
                <w:b/>
                <w:color w:val="000000"/>
                <w:kern w:val="2"/>
                <w:sz w:val="24"/>
                <w:szCs w:val="24"/>
                <w:lang w:bidi="en-US"/>
                <w14:ligatures w14:val="standardContextual"/>
              </w:rPr>
            </w:pPr>
            <w:r>
              <w:rPr>
                <w:rFonts w:ascii="Times New Roman" w:eastAsia="Times New Roman" w:hAnsi="Times New Roman"/>
                <w:b/>
                <w:color w:val="000000"/>
                <w:kern w:val="2"/>
                <w:sz w:val="24"/>
                <w:szCs w:val="24"/>
                <w:lang w:bidi="en-US"/>
                <w14:ligatures w14:val="standardContextual"/>
              </w:rPr>
              <w:t xml:space="preserve">Parameters                    Iron         Lead         Hb       PCV      WBC    RBC   </w:t>
            </w:r>
            <w:proofErr w:type="gramStart"/>
            <w:r>
              <w:rPr>
                <w:rFonts w:ascii="Times New Roman" w:eastAsia="Times New Roman" w:hAnsi="Times New Roman"/>
                <w:b/>
                <w:color w:val="000000"/>
                <w:kern w:val="2"/>
                <w:sz w:val="24"/>
                <w:szCs w:val="24"/>
                <w:lang w:bidi="en-US"/>
                <w14:ligatures w14:val="standardContextual"/>
              </w:rPr>
              <w:t>MCV  MCH</w:t>
            </w:r>
            <w:proofErr w:type="gramEnd"/>
          </w:p>
        </w:tc>
      </w:tr>
      <w:tr w:rsidR="001F3592" w14:paraId="6633F47A" w14:textId="77777777">
        <w:tc>
          <w:tcPr>
            <w:tcW w:w="1951" w:type="dxa"/>
            <w:tcBorders>
              <w:top w:val="single" w:sz="4" w:space="0" w:color="auto"/>
            </w:tcBorders>
          </w:tcPr>
          <w:p w14:paraId="4B9D3DB9" w14:textId="77777777" w:rsidR="001F3592" w:rsidRDefault="00A761D5">
            <w:pPr>
              <w:spacing w:before="240" w:after="5" w:line="360" w:lineRule="auto"/>
              <w:ind w:right="842"/>
              <w:jc w:val="both"/>
              <w:rPr>
                <w:rFonts w:ascii="Times New Roman" w:eastAsia="Times New Roman" w:hAnsi="Times New Roman"/>
                <w:color w:val="000000"/>
                <w:kern w:val="2"/>
                <w:sz w:val="24"/>
                <w:szCs w:val="24"/>
                <w:lang w:bidi="en-US"/>
                <w14:ligatures w14:val="standardContextual"/>
              </w:rPr>
            </w:pPr>
            <w:r>
              <w:rPr>
                <w:rFonts w:ascii="Times New Roman" w:eastAsia="Times New Roman" w:hAnsi="Times New Roman"/>
                <w:color w:val="000000"/>
                <w:kern w:val="2"/>
                <w:sz w:val="24"/>
                <w:szCs w:val="24"/>
                <w:lang w:bidi="en-US"/>
                <w14:ligatures w14:val="standardContextual"/>
              </w:rPr>
              <w:t>Serum Iron (µg/dL)</w:t>
            </w:r>
          </w:p>
        </w:tc>
        <w:tc>
          <w:tcPr>
            <w:tcW w:w="567" w:type="dxa"/>
            <w:tcBorders>
              <w:top w:val="single" w:sz="4" w:space="0" w:color="auto"/>
            </w:tcBorders>
          </w:tcPr>
          <w:p w14:paraId="6A55D00D" w14:textId="77777777" w:rsidR="001F3592" w:rsidRDefault="00A761D5">
            <w:pPr>
              <w:spacing w:before="240" w:after="5" w:line="360" w:lineRule="auto"/>
              <w:ind w:right="842"/>
              <w:jc w:val="both"/>
              <w:rPr>
                <w:rFonts w:ascii="Times New Roman" w:eastAsia="Times New Roman" w:hAnsi="Times New Roman"/>
                <w:color w:val="000000"/>
                <w:kern w:val="2"/>
                <w:sz w:val="24"/>
                <w:szCs w:val="24"/>
                <w:lang w:bidi="en-US"/>
                <w14:ligatures w14:val="standardContextual"/>
              </w:rPr>
            </w:pPr>
            <w:r>
              <w:rPr>
                <w:rFonts w:ascii="Times New Roman" w:eastAsia="Times New Roman" w:hAnsi="Times New Roman"/>
                <w:color w:val="000000"/>
                <w:kern w:val="2"/>
                <w:sz w:val="24"/>
                <w:szCs w:val="24"/>
                <w:lang w:bidi="en-US"/>
                <w14:ligatures w14:val="standardContextual"/>
              </w:rPr>
              <w:t>R</w:t>
            </w:r>
          </w:p>
        </w:tc>
        <w:tc>
          <w:tcPr>
            <w:tcW w:w="992" w:type="dxa"/>
            <w:tcBorders>
              <w:top w:val="single" w:sz="4" w:space="0" w:color="auto"/>
            </w:tcBorders>
          </w:tcPr>
          <w:p w14:paraId="791B6780"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1</w:t>
            </w:r>
          </w:p>
        </w:tc>
        <w:tc>
          <w:tcPr>
            <w:tcW w:w="1134" w:type="dxa"/>
            <w:tcBorders>
              <w:top w:val="single" w:sz="4" w:space="0" w:color="auto"/>
            </w:tcBorders>
          </w:tcPr>
          <w:p w14:paraId="2B5E7F1B"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.041</w:t>
            </w:r>
          </w:p>
        </w:tc>
        <w:tc>
          <w:tcPr>
            <w:tcW w:w="982" w:type="dxa"/>
            <w:tcBorders>
              <w:top w:val="single" w:sz="4" w:space="0" w:color="auto"/>
            </w:tcBorders>
          </w:tcPr>
          <w:p w14:paraId="633EEDF9"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.018</w:t>
            </w:r>
          </w:p>
        </w:tc>
        <w:tc>
          <w:tcPr>
            <w:tcW w:w="790" w:type="dxa"/>
            <w:tcBorders>
              <w:top w:val="single" w:sz="4" w:space="0" w:color="auto"/>
            </w:tcBorders>
          </w:tcPr>
          <w:p w14:paraId="003C4805"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.060</w:t>
            </w:r>
          </w:p>
        </w:tc>
        <w:tc>
          <w:tcPr>
            <w:tcW w:w="790" w:type="dxa"/>
            <w:tcBorders>
              <w:top w:val="single" w:sz="4" w:space="0" w:color="auto"/>
            </w:tcBorders>
          </w:tcPr>
          <w:p w14:paraId="23A3A423"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-.012</w:t>
            </w:r>
          </w:p>
        </w:tc>
        <w:tc>
          <w:tcPr>
            <w:tcW w:w="790" w:type="dxa"/>
            <w:tcBorders>
              <w:top w:val="single" w:sz="4" w:space="0" w:color="auto"/>
            </w:tcBorders>
          </w:tcPr>
          <w:p w14:paraId="57DC8EA8"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.086</w:t>
            </w:r>
          </w:p>
        </w:tc>
        <w:tc>
          <w:tcPr>
            <w:tcW w:w="790" w:type="dxa"/>
            <w:tcBorders>
              <w:top w:val="single" w:sz="4" w:space="0" w:color="auto"/>
            </w:tcBorders>
          </w:tcPr>
          <w:p w14:paraId="4359B73F"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.028</w:t>
            </w:r>
          </w:p>
        </w:tc>
        <w:tc>
          <w:tcPr>
            <w:tcW w:w="1103" w:type="dxa"/>
            <w:tcBorders>
              <w:top w:val="single" w:sz="4" w:space="0" w:color="auto"/>
            </w:tcBorders>
          </w:tcPr>
          <w:p w14:paraId="63D7BB29"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.123</w:t>
            </w:r>
          </w:p>
        </w:tc>
      </w:tr>
      <w:tr w:rsidR="001F3592" w14:paraId="1C25A2C9" w14:textId="77777777">
        <w:tc>
          <w:tcPr>
            <w:tcW w:w="1951" w:type="dxa"/>
          </w:tcPr>
          <w:p w14:paraId="7236CB54" w14:textId="77777777" w:rsidR="001F3592" w:rsidRDefault="001F3592">
            <w:pPr>
              <w:spacing w:before="240" w:after="5" w:line="360" w:lineRule="auto"/>
              <w:ind w:right="842"/>
              <w:jc w:val="both"/>
              <w:rPr>
                <w:rFonts w:ascii="Times New Roman" w:eastAsia="Times New Roman" w:hAnsi="Times New Roman"/>
                <w:color w:val="000000"/>
                <w:kern w:val="2"/>
                <w:sz w:val="24"/>
                <w:szCs w:val="24"/>
                <w:lang w:bidi="en-US"/>
                <w14:ligatures w14:val="standardContextual"/>
              </w:rPr>
            </w:pPr>
          </w:p>
        </w:tc>
        <w:tc>
          <w:tcPr>
            <w:tcW w:w="567" w:type="dxa"/>
          </w:tcPr>
          <w:p w14:paraId="3B233BA5" w14:textId="77777777" w:rsidR="001F3592" w:rsidRDefault="00A761D5">
            <w:pPr>
              <w:spacing w:before="240" w:after="5" w:line="360" w:lineRule="auto"/>
              <w:ind w:right="842"/>
              <w:jc w:val="both"/>
              <w:rPr>
                <w:rFonts w:ascii="Times New Roman" w:eastAsia="Times New Roman" w:hAnsi="Times New Roman"/>
                <w:color w:val="000000"/>
                <w:kern w:val="2"/>
                <w:sz w:val="24"/>
                <w:szCs w:val="24"/>
                <w:lang w:bidi="en-US"/>
                <w14:ligatures w14:val="standardContextual"/>
              </w:rPr>
            </w:pPr>
            <w:r>
              <w:rPr>
                <w:rFonts w:ascii="Times New Roman" w:eastAsia="Times New Roman" w:hAnsi="Times New Roman"/>
                <w:color w:val="000000"/>
                <w:kern w:val="2"/>
                <w:sz w:val="24"/>
                <w:szCs w:val="24"/>
                <w:lang w:bidi="en-US"/>
                <w14:ligatures w14:val="standardContextual"/>
              </w:rPr>
              <w:t>P</w:t>
            </w:r>
          </w:p>
        </w:tc>
        <w:tc>
          <w:tcPr>
            <w:tcW w:w="992" w:type="dxa"/>
          </w:tcPr>
          <w:p w14:paraId="51B3F298" w14:textId="77777777" w:rsidR="001F3592" w:rsidRDefault="001F3592">
            <w:pPr>
              <w:spacing w:before="240" w:after="160" w:line="360" w:lineRule="auto"/>
              <w:jc w:val="both"/>
              <w:rPr>
                <w:rFonts w:ascii="Times New Roman" w:hAnsi="Times New Roman"/>
                <w:color w:val="000000"/>
                <w:lang w:bidi="en-US"/>
              </w:rPr>
            </w:pPr>
          </w:p>
        </w:tc>
        <w:tc>
          <w:tcPr>
            <w:tcW w:w="1134" w:type="dxa"/>
          </w:tcPr>
          <w:p w14:paraId="7F6EA042"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.586</w:t>
            </w:r>
          </w:p>
        </w:tc>
        <w:tc>
          <w:tcPr>
            <w:tcW w:w="982" w:type="dxa"/>
          </w:tcPr>
          <w:p w14:paraId="52070B85"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.814</w:t>
            </w:r>
          </w:p>
        </w:tc>
        <w:tc>
          <w:tcPr>
            <w:tcW w:w="790" w:type="dxa"/>
          </w:tcPr>
          <w:p w14:paraId="7351DDC8"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.433</w:t>
            </w:r>
          </w:p>
        </w:tc>
        <w:tc>
          <w:tcPr>
            <w:tcW w:w="790" w:type="dxa"/>
          </w:tcPr>
          <w:p w14:paraId="26B63426"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.877</w:t>
            </w:r>
          </w:p>
        </w:tc>
        <w:tc>
          <w:tcPr>
            <w:tcW w:w="790" w:type="dxa"/>
          </w:tcPr>
          <w:p w14:paraId="36FB5E43"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.260</w:t>
            </w:r>
          </w:p>
        </w:tc>
        <w:tc>
          <w:tcPr>
            <w:tcW w:w="790" w:type="dxa"/>
          </w:tcPr>
          <w:p w14:paraId="645BFC9D"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.712</w:t>
            </w:r>
          </w:p>
        </w:tc>
        <w:tc>
          <w:tcPr>
            <w:tcW w:w="1103" w:type="dxa"/>
          </w:tcPr>
          <w:p w14:paraId="37F70FCB"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.105</w:t>
            </w:r>
          </w:p>
        </w:tc>
      </w:tr>
      <w:tr w:rsidR="001F3592" w14:paraId="5D20683C" w14:textId="77777777">
        <w:tc>
          <w:tcPr>
            <w:tcW w:w="1951" w:type="dxa"/>
          </w:tcPr>
          <w:p w14:paraId="6AE2A9CC" w14:textId="77777777" w:rsidR="001F3592" w:rsidRDefault="00A761D5">
            <w:pPr>
              <w:spacing w:before="240" w:after="5" w:line="360" w:lineRule="auto"/>
              <w:ind w:right="842"/>
              <w:jc w:val="both"/>
              <w:rPr>
                <w:rFonts w:ascii="Times New Roman" w:hAnsi="Times New Roman"/>
                <w:color w:val="000000"/>
                <w:lang w:bidi="en-US"/>
              </w:rPr>
            </w:pPr>
            <w:r>
              <w:rPr>
                <w:rFonts w:ascii="Times New Roman" w:hAnsi="Times New Roman"/>
                <w:color w:val="000000"/>
                <w:lang w:bidi="en-US"/>
              </w:rPr>
              <w:t xml:space="preserve">Blood Lead </w:t>
            </w:r>
          </w:p>
          <w:p w14:paraId="1498DA78" w14:textId="77777777" w:rsidR="001F3592" w:rsidRDefault="00A761D5">
            <w:pPr>
              <w:spacing w:before="240" w:after="5" w:line="360" w:lineRule="auto"/>
              <w:ind w:right="842"/>
              <w:jc w:val="both"/>
              <w:rPr>
                <w:rFonts w:ascii="Times New Roman" w:eastAsia="Times New Roman" w:hAnsi="Times New Roman"/>
                <w:color w:val="000000"/>
                <w:kern w:val="2"/>
                <w:sz w:val="24"/>
                <w:szCs w:val="24"/>
                <w:lang w:bidi="en-US"/>
                <w14:ligatures w14:val="standardContextual"/>
              </w:rPr>
            </w:pPr>
            <w:r>
              <w:rPr>
                <w:rFonts w:ascii="Times New Roman" w:eastAsia="Times New Roman" w:hAnsi="Times New Roman"/>
                <w:color w:val="000000"/>
                <w:kern w:val="2"/>
                <w:sz w:val="24"/>
                <w:szCs w:val="24"/>
                <w:lang w:bidi="en-US"/>
                <w14:ligatures w14:val="standardContextual"/>
              </w:rPr>
              <w:t>(µg/dL)</w:t>
            </w:r>
          </w:p>
        </w:tc>
        <w:tc>
          <w:tcPr>
            <w:tcW w:w="567" w:type="dxa"/>
          </w:tcPr>
          <w:p w14:paraId="4701DBAD" w14:textId="77777777" w:rsidR="001F3592" w:rsidRDefault="00A761D5">
            <w:pPr>
              <w:spacing w:before="240" w:after="5" w:line="360" w:lineRule="auto"/>
              <w:ind w:right="842"/>
              <w:jc w:val="both"/>
              <w:rPr>
                <w:rFonts w:ascii="Times New Roman" w:eastAsia="Times New Roman" w:hAnsi="Times New Roman"/>
                <w:color w:val="000000"/>
                <w:kern w:val="2"/>
                <w:sz w:val="24"/>
                <w:szCs w:val="24"/>
                <w:lang w:bidi="en-US"/>
                <w14:ligatures w14:val="standardContextual"/>
              </w:rPr>
            </w:pPr>
            <w:r>
              <w:rPr>
                <w:rFonts w:ascii="Times New Roman" w:eastAsia="Times New Roman" w:hAnsi="Times New Roman"/>
                <w:color w:val="000000"/>
                <w:kern w:val="2"/>
                <w:sz w:val="24"/>
                <w:szCs w:val="24"/>
                <w:lang w:bidi="en-US"/>
                <w14:ligatures w14:val="standardContextual"/>
              </w:rPr>
              <w:t>R</w:t>
            </w:r>
          </w:p>
        </w:tc>
        <w:tc>
          <w:tcPr>
            <w:tcW w:w="992" w:type="dxa"/>
          </w:tcPr>
          <w:p w14:paraId="2D554A86"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.041</w:t>
            </w:r>
          </w:p>
        </w:tc>
        <w:tc>
          <w:tcPr>
            <w:tcW w:w="1134" w:type="dxa"/>
          </w:tcPr>
          <w:p w14:paraId="3C18C5E1"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1</w:t>
            </w:r>
          </w:p>
        </w:tc>
        <w:tc>
          <w:tcPr>
            <w:tcW w:w="982" w:type="dxa"/>
          </w:tcPr>
          <w:p w14:paraId="1D6C225B"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.074</w:t>
            </w:r>
          </w:p>
        </w:tc>
        <w:tc>
          <w:tcPr>
            <w:tcW w:w="790" w:type="dxa"/>
          </w:tcPr>
          <w:p w14:paraId="586EB9D3"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.070</w:t>
            </w:r>
          </w:p>
        </w:tc>
        <w:tc>
          <w:tcPr>
            <w:tcW w:w="790" w:type="dxa"/>
          </w:tcPr>
          <w:p w14:paraId="2ADBB968"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-.090</w:t>
            </w:r>
          </w:p>
        </w:tc>
        <w:tc>
          <w:tcPr>
            <w:tcW w:w="790" w:type="dxa"/>
          </w:tcPr>
          <w:p w14:paraId="4A6497E2"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.063</w:t>
            </w:r>
          </w:p>
        </w:tc>
        <w:tc>
          <w:tcPr>
            <w:tcW w:w="790" w:type="dxa"/>
            <w:vAlign w:val="center"/>
          </w:tcPr>
          <w:p w14:paraId="10238F6C" w14:textId="77777777" w:rsidR="001F3592" w:rsidRDefault="00A761D5">
            <w:pPr>
              <w:spacing w:before="240" w:after="19" w:line="360" w:lineRule="auto"/>
              <w:jc w:val="both"/>
              <w:rPr>
                <w:rFonts w:ascii="Times New Roman" w:hAnsi="Times New Roman"/>
                <w:color w:val="000000"/>
                <w:lang w:bidi="en-US"/>
              </w:rPr>
            </w:pPr>
            <w:r>
              <w:rPr>
                <w:rFonts w:ascii="Times New Roman" w:hAnsi="Times New Roman"/>
                <w:color w:val="000000"/>
                <w:lang w:bidi="en-US"/>
              </w:rPr>
              <w:t>-.057</w:t>
            </w:r>
          </w:p>
        </w:tc>
        <w:tc>
          <w:tcPr>
            <w:tcW w:w="1103" w:type="dxa"/>
          </w:tcPr>
          <w:p w14:paraId="3F41DF4D"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.012</w:t>
            </w:r>
          </w:p>
        </w:tc>
      </w:tr>
      <w:tr w:rsidR="001F3592" w14:paraId="66770E2E" w14:textId="77777777">
        <w:tc>
          <w:tcPr>
            <w:tcW w:w="1951" w:type="dxa"/>
          </w:tcPr>
          <w:p w14:paraId="3F4BA8C7" w14:textId="77777777" w:rsidR="001F3592" w:rsidRDefault="001F3592">
            <w:pPr>
              <w:spacing w:before="240" w:after="5" w:line="360" w:lineRule="auto"/>
              <w:ind w:right="842"/>
              <w:jc w:val="both"/>
              <w:rPr>
                <w:rFonts w:ascii="Times New Roman" w:eastAsia="Times New Roman" w:hAnsi="Times New Roman"/>
                <w:color w:val="000000"/>
                <w:kern w:val="2"/>
                <w:sz w:val="24"/>
                <w:szCs w:val="24"/>
                <w:lang w:bidi="en-US"/>
                <w14:ligatures w14:val="standardContextual"/>
              </w:rPr>
            </w:pPr>
          </w:p>
        </w:tc>
        <w:tc>
          <w:tcPr>
            <w:tcW w:w="567" w:type="dxa"/>
          </w:tcPr>
          <w:p w14:paraId="5496B21C" w14:textId="77777777" w:rsidR="001F3592" w:rsidRDefault="00A761D5">
            <w:pPr>
              <w:spacing w:before="240" w:after="5" w:line="360" w:lineRule="auto"/>
              <w:ind w:right="842"/>
              <w:jc w:val="both"/>
              <w:rPr>
                <w:rFonts w:ascii="Times New Roman" w:eastAsia="Times New Roman" w:hAnsi="Times New Roman"/>
                <w:color w:val="000000"/>
                <w:kern w:val="2"/>
                <w:sz w:val="24"/>
                <w:szCs w:val="24"/>
                <w:lang w:bidi="en-US"/>
                <w14:ligatures w14:val="standardContextual"/>
              </w:rPr>
            </w:pPr>
            <w:r>
              <w:rPr>
                <w:rFonts w:ascii="Times New Roman" w:eastAsia="Times New Roman" w:hAnsi="Times New Roman"/>
                <w:color w:val="000000"/>
                <w:kern w:val="2"/>
                <w:sz w:val="24"/>
                <w:szCs w:val="24"/>
                <w:lang w:bidi="en-US"/>
                <w14:ligatures w14:val="standardContextual"/>
              </w:rPr>
              <w:t>R</w:t>
            </w:r>
          </w:p>
        </w:tc>
        <w:tc>
          <w:tcPr>
            <w:tcW w:w="992" w:type="dxa"/>
          </w:tcPr>
          <w:p w14:paraId="343BB184"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.586</w:t>
            </w:r>
          </w:p>
        </w:tc>
        <w:tc>
          <w:tcPr>
            <w:tcW w:w="1134" w:type="dxa"/>
          </w:tcPr>
          <w:p w14:paraId="7115EA85" w14:textId="77777777" w:rsidR="001F3592" w:rsidRDefault="001F3592">
            <w:pPr>
              <w:spacing w:before="240" w:after="5" w:line="360" w:lineRule="auto"/>
              <w:ind w:right="842"/>
              <w:jc w:val="both"/>
              <w:rPr>
                <w:rFonts w:ascii="Times New Roman" w:eastAsia="Times New Roman" w:hAnsi="Times New Roman"/>
                <w:b/>
                <w:color w:val="000000"/>
                <w:kern w:val="2"/>
                <w:sz w:val="24"/>
                <w:szCs w:val="24"/>
                <w:lang w:bidi="en-US"/>
                <w14:ligatures w14:val="standardContextual"/>
              </w:rPr>
            </w:pPr>
          </w:p>
        </w:tc>
        <w:tc>
          <w:tcPr>
            <w:tcW w:w="982" w:type="dxa"/>
          </w:tcPr>
          <w:p w14:paraId="70D2DAC9"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.328</w:t>
            </w:r>
          </w:p>
        </w:tc>
        <w:tc>
          <w:tcPr>
            <w:tcW w:w="790" w:type="dxa"/>
          </w:tcPr>
          <w:p w14:paraId="64205591"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.361</w:t>
            </w:r>
          </w:p>
        </w:tc>
        <w:tc>
          <w:tcPr>
            <w:tcW w:w="790" w:type="dxa"/>
          </w:tcPr>
          <w:p w14:paraId="477F81F4"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.234</w:t>
            </w:r>
          </w:p>
        </w:tc>
        <w:tc>
          <w:tcPr>
            <w:tcW w:w="790" w:type="dxa"/>
          </w:tcPr>
          <w:p w14:paraId="01A94529"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.406</w:t>
            </w:r>
          </w:p>
        </w:tc>
        <w:tc>
          <w:tcPr>
            <w:tcW w:w="790" w:type="dxa"/>
          </w:tcPr>
          <w:p w14:paraId="55CEEF5D"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.450</w:t>
            </w:r>
          </w:p>
        </w:tc>
        <w:tc>
          <w:tcPr>
            <w:tcW w:w="1103" w:type="dxa"/>
          </w:tcPr>
          <w:p w14:paraId="7EC1A8D6"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.876</w:t>
            </w:r>
          </w:p>
        </w:tc>
      </w:tr>
    </w:tbl>
    <w:p w14:paraId="0067DF0B" w14:textId="77777777" w:rsidR="001F3592" w:rsidRDefault="00A761D5">
      <w:pPr>
        <w:spacing w:after="0" w:line="360" w:lineRule="auto"/>
        <w:rPr>
          <w:rFonts w:ascii="Times New Roman" w:eastAsia="Times New Roman" w:hAnsi="Times New Roman" w:cs="Times New Roman"/>
          <w:b/>
          <w:color w:val="000000"/>
          <w:kern w:val="2"/>
          <w:sz w:val="24"/>
          <w:szCs w:val="24"/>
          <w14:ligatures w14:val="standardContextual"/>
        </w:rPr>
      </w:pPr>
      <w:r>
        <w:rPr>
          <w:rFonts w:ascii="Times New Roman" w:eastAsia="Times New Roman" w:hAnsi="Times New Roman" w:cs="Times New Roman"/>
          <w:b/>
          <w:color w:val="000000"/>
          <w:kern w:val="2"/>
          <w:sz w:val="24"/>
          <w:szCs w:val="24"/>
          <w14:ligatures w14:val="standardContextual"/>
        </w:rPr>
        <w:t xml:space="preserve">Correlation Analysis </w:t>
      </w:r>
    </w:p>
    <w:p w14:paraId="2BE464CA" w14:textId="77777777" w:rsidR="001F3592" w:rsidRDefault="00A761D5">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 xml:space="preserve">Table 4 show the correlation between blood lead and serum iron and hematological </w:t>
      </w:r>
      <w:r>
        <w:rPr>
          <w:rFonts w:ascii="Times New Roman" w:eastAsia="Times New Roman" w:hAnsi="Times New Roman" w:cs="Times New Roman"/>
          <w:color w:val="000000"/>
          <w:kern w:val="2"/>
          <w:sz w:val="24"/>
          <w:szCs w:val="24"/>
          <w:lang w:bidi="en-US"/>
          <w14:ligatures w14:val="standardContextual"/>
        </w:rPr>
        <w:t xml:space="preserve">parameters among the donor participants. There were no significant correlations between blood lead levels and hematological indices. Serum iron also showed no significant correlation with hematological indices. Correlation coefficients (R values) were all </w:t>
      </w:r>
      <w:r>
        <w:rPr>
          <w:rFonts w:ascii="Times New Roman" w:eastAsia="Times New Roman" w:hAnsi="Times New Roman" w:cs="Times New Roman"/>
          <w:color w:val="000000"/>
          <w:kern w:val="2"/>
          <w:sz w:val="24"/>
          <w:szCs w:val="24"/>
          <w:lang w:bidi="en-US"/>
          <w14:ligatures w14:val="standardContextual"/>
        </w:rPr>
        <w:t xml:space="preserve">close to zero, and p-values were greater than 0.05, indicating no strong relationships. The </w:t>
      </w:r>
      <w:r>
        <w:rPr>
          <w:rFonts w:ascii="Times New Roman" w:eastAsia="Times New Roman" w:hAnsi="Times New Roman" w:cs="Times New Roman"/>
          <w:color w:val="000000"/>
          <w:kern w:val="2"/>
          <w:sz w:val="24"/>
          <w:szCs w:val="24"/>
          <w:lang w:bidi="en-US"/>
          <w14:ligatures w14:val="standardContextual"/>
        </w:rPr>
        <w:lastRenderedPageBreak/>
        <w:t xml:space="preserve">absence of significant correlations implies that blood lead and serum iron levels have little to no measurable impact on hematological parameters within this donor </w:t>
      </w:r>
      <w:r>
        <w:rPr>
          <w:rFonts w:ascii="Times New Roman" w:eastAsia="Times New Roman" w:hAnsi="Times New Roman" w:cs="Times New Roman"/>
          <w:color w:val="000000"/>
          <w:kern w:val="2"/>
          <w:sz w:val="24"/>
          <w:szCs w:val="24"/>
          <w:lang w:bidi="en-US"/>
          <w14:ligatures w14:val="standardContextual"/>
        </w:rPr>
        <w:t>group.</w:t>
      </w:r>
    </w:p>
    <w:p w14:paraId="73FB7146" w14:textId="77777777" w:rsidR="001F3592" w:rsidRDefault="001F3592">
      <w:pPr>
        <w:pStyle w:val="NormalWeb"/>
        <w:spacing w:line="360" w:lineRule="auto"/>
        <w:jc w:val="both"/>
        <w:rPr>
          <w:rStyle w:val="relative"/>
        </w:rPr>
      </w:pPr>
    </w:p>
    <w:p w14:paraId="10357521" w14:textId="77777777" w:rsidR="001F3592" w:rsidRDefault="001F3592">
      <w:pPr>
        <w:pStyle w:val="NormalWeb"/>
        <w:spacing w:line="360" w:lineRule="auto"/>
        <w:jc w:val="both"/>
        <w:rPr>
          <w:rStyle w:val="relative"/>
        </w:rPr>
      </w:pPr>
    </w:p>
    <w:p w14:paraId="6DDB3FA3" w14:textId="77777777" w:rsidR="001F3592" w:rsidRDefault="001F3592">
      <w:pPr>
        <w:pStyle w:val="NormalWeb"/>
        <w:spacing w:line="360" w:lineRule="auto"/>
        <w:jc w:val="both"/>
        <w:rPr>
          <w:rStyle w:val="relative"/>
        </w:rPr>
      </w:pPr>
    </w:p>
    <w:p w14:paraId="0F254974" w14:textId="77777777" w:rsidR="001F3592" w:rsidRDefault="00A761D5">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4. Discussion </w:t>
      </w:r>
    </w:p>
    <w:p w14:paraId="247F96B9"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evaluated blood lead concentrations, serum iron levels, and hematological parameters among voluntary blood donors at University College Hospital, Ibadan, and compared findings between occasional and frequent donors. The </w:t>
      </w:r>
      <w:r>
        <w:rPr>
          <w:rFonts w:ascii="Times New Roman" w:eastAsia="Times New Roman" w:hAnsi="Times New Roman" w:cs="Times New Roman"/>
          <w:sz w:val="24"/>
          <w:szCs w:val="24"/>
        </w:rPr>
        <w:t>mean blood lead concentrations were 7.7 ± 4.7 µg/dL for occasional donors and 9.5 ± 4.0 µg/dL for frequent donors, with values ranging from 1.00 to 22.47 µg/dL. Despite slightly higher mean lead levels in frequent donors, the difference was not statistical</w:t>
      </w:r>
      <w:r>
        <w:rPr>
          <w:rFonts w:ascii="Times New Roman" w:eastAsia="Times New Roman" w:hAnsi="Times New Roman" w:cs="Times New Roman"/>
          <w:sz w:val="24"/>
          <w:szCs w:val="24"/>
        </w:rPr>
        <w:t>ly significant (p = 0.143). Similarly, serum iron levels were 111.9 ± 24.9 µg/dL for occasional donors and 104.1 ± 20.8 µg/dL for frequent donors, with no significant difference between the groups (p = 0.204). These results suggest that the frequency of do</w:t>
      </w:r>
      <w:r>
        <w:rPr>
          <w:rFonts w:ascii="Times New Roman" w:eastAsia="Times New Roman" w:hAnsi="Times New Roman" w:cs="Times New Roman"/>
          <w:sz w:val="24"/>
          <w:szCs w:val="24"/>
        </w:rPr>
        <w:t>nation does not significantly affect blood lead or serum iron concentrations in this cohort.</w:t>
      </w:r>
    </w:p>
    <w:p w14:paraId="4DC5F7CB"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Hematological indices, including hemoglobin (14.5 ± 1.5 vs 14.7 ± 1.7 g/dL), packed cell volume (43.2 ± 3.8% vs 44.2 ± 4.1%), white blood cell count (6.5 ± 1.4 ×10</w:t>
      </w:r>
      <w:r>
        <w:rPr>
          <w:rFonts w:ascii="Times New Roman" w:eastAsia="Times New Roman" w:hAnsi="Times New Roman" w:cs="Times New Roman"/>
          <w:sz w:val="24"/>
          <w:szCs w:val="24"/>
        </w:rPr>
        <w:t>⁹/L vs 6.0 ± 1.6 ×10⁹/L), red blood cell count (5.1 ± 0.5 ×10¹²/L in both groups), mean corpuscular volume (90.2 ± 5.5 fL vs 88.3 ± 5.2 fL), and mean corpuscular hemoglobin (30.1 ± 2.0 pg vs 30.7 ± 1.8 pg), were all within normal clinical ranges and did no</w:t>
      </w:r>
      <w:r>
        <w:rPr>
          <w:rFonts w:ascii="Times New Roman" w:eastAsia="Times New Roman" w:hAnsi="Times New Roman" w:cs="Times New Roman"/>
          <w:sz w:val="24"/>
          <w:szCs w:val="24"/>
        </w:rPr>
        <w:t>t differ significantly between occasional and frequent donors (p &gt; 0.05 for all parameters).</w:t>
      </w:r>
    </w:p>
    <w:p w14:paraId="3EC0169D"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analyses further revealed no significant relationships between blood lead or serum iron and hematological indices. Pearson correlation coefficients wer</w:t>
      </w:r>
      <w:r>
        <w:rPr>
          <w:rFonts w:ascii="Times New Roman" w:eastAsia="Times New Roman" w:hAnsi="Times New Roman" w:cs="Times New Roman"/>
          <w:sz w:val="24"/>
          <w:szCs w:val="24"/>
        </w:rPr>
        <w:t xml:space="preserve">e generally near zero, with p-values exceeding 0.05, indicating negligible associations between these biochemical markers and routine hematologic measures. These findings suggest that variations in blood lead and serum iron </w:t>
      </w:r>
      <w:r>
        <w:rPr>
          <w:rFonts w:ascii="Times New Roman" w:eastAsia="Times New Roman" w:hAnsi="Times New Roman" w:cs="Times New Roman"/>
          <w:sz w:val="24"/>
          <w:szCs w:val="24"/>
        </w:rPr>
        <w:lastRenderedPageBreak/>
        <w:t>concentrations within the observ</w:t>
      </w:r>
      <w:r>
        <w:rPr>
          <w:rFonts w:ascii="Times New Roman" w:eastAsia="Times New Roman" w:hAnsi="Times New Roman" w:cs="Times New Roman"/>
          <w:sz w:val="24"/>
          <w:szCs w:val="24"/>
        </w:rPr>
        <w:t>ed ranges do not have measurable impacts on hematological parameters among healthy adult donors.</w:t>
      </w:r>
    </w:p>
    <w:p w14:paraId="6A306624"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are consistent with prior studies indicating that low-to-moderate blood lead levels, above 5 µg/dL but below classical toxicity thresholds, do not </w:t>
      </w:r>
      <w:r>
        <w:rPr>
          <w:rFonts w:ascii="Times New Roman" w:eastAsia="Times New Roman" w:hAnsi="Times New Roman" w:cs="Times New Roman"/>
          <w:sz w:val="24"/>
          <w:szCs w:val="24"/>
        </w:rPr>
        <w:t>necessarily impair hematologic function in healthy adults (He et al., 2024; Naibkhil et al., 2022; Nwokoro et al., 2023). Population-based surveys in West Africa and other regions similarly report low-to-moderate lead concentrations in donors without clear</w:t>
      </w:r>
      <w:r>
        <w:rPr>
          <w:rFonts w:ascii="Times New Roman" w:eastAsia="Times New Roman" w:hAnsi="Times New Roman" w:cs="Times New Roman"/>
          <w:sz w:val="24"/>
          <w:szCs w:val="24"/>
        </w:rPr>
        <w:t xml:space="preserve"> associations with hemoglobin levels, likely due to homeostatic iron regulation in adults and generally adequate iron stores (Segbefia et al., 2025; Spencer &amp; Mast, 2022). The trend toward slightly lower serum iron in frequent donors is biologically plausi</w:t>
      </w:r>
      <w:r>
        <w:rPr>
          <w:rFonts w:ascii="Times New Roman" w:eastAsia="Times New Roman" w:hAnsi="Times New Roman" w:cs="Times New Roman"/>
          <w:sz w:val="24"/>
          <w:szCs w:val="24"/>
        </w:rPr>
        <w:t>ble, as repeated whole-blood donations remove measurable amounts of iron; however, the absence of significant differences may reflect adequate iron intake or compensatory mechanisms. The use of serum iron, rather than ferritin or transferrin saturation, ma</w:t>
      </w:r>
      <w:r>
        <w:rPr>
          <w:rFonts w:ascii="Times New Roman" w:eastAsia="Times New Roman" w:hAnsi="Times New Roman" w:cs="Times New Roman"/>
          <w:sz w:val="24"/>
          <w:szCs w:val="24"/>
        </w:rPr>
        <w:t>y have limited sensitivity for detecting early iron depletion (Kiss, 2014; Sab et al., 2021; Spencer &amp; Mast, 2022).</w:t>
      </w:r>
    </w:p>
    <w:p w14:paraId="5DCB5C80"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Occupational patterns indicated higher lead exposure among artisans and other manual workers, suggesting that occupational risk may influenc</w:t>
      </w:r>
      <w:r>
        <w:rPr>
          <w:rFonts w:ascii="Times New Roman" w:eastAsia="Times New Roman" w:hAnsi="Times New Roman" w:cs="Times New Roman"/>
          <w:sz w:val="24"/>
          <w:szCs w:val="24"/>
        </w:rPr>
        <w:t>e lead burden among donors and highlight the need for targeted education and preventive strategies (Chaurasia et al., 2023). Although mean blood lead concentrations were below thresholds associated with overt hematologic toxicity (e.g., ≥10 µg/dL), continu</w:t>
      </w:r>
      <w:r>
        <w:rPr>
          <w:rFonts w:ascii="Times New Roman" w:eastAsia="Times New Roman" w:hAnsi="Times New Roman" w:cs="Times New Roman"/>
          <w:sz w:val="24"/>
          <w:szCs w:val="24"/>
        </w:rPr>
        <w:t>ous exposure and the potential interaction with iron status justify routine public-health vigilance (Disalvo et al., 2023).</w:t>
      </w:r>
    </w:p>
    <w:p w14:paraId="5DA88A24"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the study demonstrates that voluntary blood donation at UCH, Ibadan, does not result in clinically significant hemato</w:t>
      </w:r>
      <w:r>
        <w:rPr>
          <w:rFonts w:ascii="Times New Roman" w:eastAsia="Times New Roman" w:hAnsi="Times New Roman" w:cs="Times New Roman"/>
          <w:sz w:val="24"/>
          <w:szCs w:val="24"/>
        </w:rPr>
        <w:t>logical impairment or toxic lead accumulation. Nevertheless, trends toward lower serum iron in frequent donors and observed occupational patterns of lead exposure underscore the importance of routine monitoring of iron status, donor education, and consider</w:t>
      </w:r>
      <w:r>
        <w:rPr>
          <w:rFonts w:ascii="Times New Roman" w:eastAsia="Times New Roman" w:hAnsi="Times New Roman" w:cs="Times New Roman"/>
          <w:sz w:val="24"/>
          <w:szCs w:val="24"/>
        </w:rPr>
        <w:t>ation of ferritin testing or iron supplementation strategies for frequent donors.</w:t>
      </w:r>
    </w:p>
    <w:p w14:paraId="25C879A5" w14:textId="77777777" w:rsidR="001F3592" w:rsidRDefault="001F3592">
      <w:pPr>
        <w:spacing w:after="0" w:line="360" w:lineRule="auto"/>
        <w:jc w:val="both"/>
        <w:rPr>
          <w:rFonts w:ascii="Times New Roman" w:eastAsia="Times New Roman" w:hAnsi="Times New Roman" w:cs="Times New Roman"/>
          <w:sz w:val="24"/>
          <w:szCs w:val="24"/>
        </w:rPr>
      </w:pPr>
    </w:p>
    <w:p w14:paraId="16EF7E5E" w14:textId="77777777" w:rsidR="001F3592" w:rsidRDefault="001F3592">
      <w:pPr>
        <w:spacing w:after="0" w:line="360" w:lineRule="auto"/>
        <w:jc w:val="both"/>
        <w:rPr>
          <w:rFonts w:ascii="Times New Roman" w:eastAsia="Times New Roman" w:hAnsi="Times New Roman" w:cs="Times New Roman"/>
          <w:sz w:val="24"/>
          <w:szCs w:val="24"/>
        </w:rPr>
      </w:pPr>
    </w:p>
    <w:p w14:paraId="7CCFA44D" w14:textId="77777777" w:rsidR="001F3592" w:rsidRDefault="001F3592">
      <w:pPr>
        <w:spacing w:after="0" w:line="360" w:lineRule="auto"/>
        <w:jc w:val="both"/>
        <w:rPr>
          <w:rFonts w:ascii="Times New Roman" w:eastAsia="Times New Roman" w:hAnsi="Times New Roman" w:cs="Times New Roman"/>
          <w:sz w:val="24"/>
          <w:szCs w:val="24"/>
        </w:rPr>
      </w:pPr>
    </w:p>
    <w:p w14:paraId="44DF1B1A" w14:textId="77777777" w:rsidR="001F3592" w:rsidRDefault="001F3592">
      <w:pPr>
        <w:spacing w:after="0" w:line="360" w:lineRule="auto"/>
        <w:jc w:val="both"/>
        <w:rPr>
          <w:rFonts w:ascii="Times New Roman" w:eastAsia="Times New Roman" w:hAnsi="Times New Roman" w:cs="Times New Roman"/>
          <w:sz w:val="24"/>
          <w:szCs w:val="24"/>
        </w:rPr>
      </w:pPr>
    </w:p>
    <w:p w14:paraId="3E1F9B79" w14:textId="77777777" w:rsidR="001F3592" w:rsidRDefault="001F3592">
      <w:pPr>
        <w:spacing w:after="0" w:line="360" w:lineRule="auto"/>
        <w:jc w:val="both"/>
        <w:rPr>
          <w:rFonts w:ascii="Times New Roman" w:eastAsia="Times New Roman" w:hAnsi="Times New Roman" w:cs="Times New Roman"/>
          <w:sz w:val="24"/>
          <w:szCs w:val="24"/>
        </w:rPr>
      </w:pPr>
    </w:p>
    <w:p w14:paraId="5D9C416E" w14:textId="77777777" w:rsidR="001F3592" w:rsidRDefault="001F3592">
      <w:pPr>
        <w:spacing w:after="0" w:line="360" w:lineRule="auto"/>
        <w:jc w:val="both"/>
        <w:rPr>
          <w:rFonts w:ascii="Times New Roman" w:eastAsia="Times New Roman" w:hAnsi="Times New Roman" w:cs="Times New Roman"/>
          <w:sz w:val="24"/>
          <w:szCs w:val="24"/>
        </w:rPr>
      </w:pPr>
    </w:p>
    <w:p w14:paraId="4E86F5F2" w14:textId="77777777" w:rsidR="001F3592" w:rsidRDefault="001F3592">
      <w:pPr>
        <w:spacing w:after="0" w:line="360" w:lineRule="auto"/>
        <w:jc w:val="both"/>
        <w:rPr>
          <w:rFonts w:ascii="Times New Roman" w:eastAsia="Times New Roman" w:hAnsi="Times New Roman" w:cs="Times New Roman"/>
          <w:sz w:val="24"/>
          <w:szCs w:val="24"/>
        </w:rPr>
      </w:pPr>
    </w:p>
    <w:p w14:paraId="2A962EB7" w14:textId="77777777" w:rsidR="001F3592" w:rsidRDefault="001F3592">
      <w:pPr>
        <w:spacing w:after="0" w:line="360" w:lineRule="auto"/>
        <w:jc w:val="both"/>
        <w:rPr>
          <w:rFonts w:ascii="Times New Roman" w:eastAsia="Times New Roman" w:hAnsi="Times New Roman" w:cs="Times New Roman"/>
          <w:sz w:val="24"/>
          <w:szCs w:val="24"/>
        </w:rPr>
      </w:pPr>
    </w:p>
    <w:p w14:paraId="5E8AE83D" w14:textId="77777777" w:rsidR="001F3592" w:rsidRDefault="001F3592">
      <w:pPr>
        <w:spacing w:after="0" w:line="360" w:lineRule="auto"/>
        <w:jc w:val="both"/>
        <w:rPr>
          <w:rFonts w:ascii="Times New Roman" w:eastAsia="Times New Roman" w:hAnsi="Times New Roman" w:cs="Times New Roman"/>
          <w:sz w:val="24"/>
          <w:szCs w:val="24"/>
        </w:rPr>
      </w:pPr>
    </w:p>
    <w:p w14:paraId="11FC4A20" w14:textId="77777777" w:rsidR="001F3592" w:rsidRDefault="001F3592">
      <w:pPr>
        <w:spacing w:after="0" w:line="360" w:lineRule="auto"/>
        <w:jc w:val="both"/>
        <w:rPr>
          <w:rFonts w:ascii="Times New Roman" w:eastAsia="Times New Roman" w:hAnsi="Times New Roman" w:cs="Times New Roman"/>
          <w:sz w:val="24"/>
          <w:szCs w:val="24"/>
        </w:rPr>
      </w:pPr>
    </w:p>
    <w:p w14:paraId="16B45890" w14:textId="77777777" w:rsidR="001F3592" w:rsidRDefault="001F3592">
      <w:pPr>
        <w:spacing w:after="0" w:line="360" w:lineRule="auto"/>
        <w:jc w:val="both"/>
        <w:rPr>
          <w:rFonts w:ascii="Times New Roman" w:eastAsia="Times New Roman" w:hAnsi="Times New Roman" w:cs="Times New Roman"/>
          <w:sz w:val="24"/>
          <w:szCs w:val="24"/>
        </w:rPr>
      </w:pPr>
    </w:p>
    <w:p w14:paraId="1FB642DD" w14:textId="77777777" w:rsidR="001F3592" w:rsidRDefault="001F3592">
      <w:pPr>
        <w:spacing w:after="0" w:line="360" w:lineRule="auto"/>
        <w:jc w:val="both"/>
        <w:rPr>
          <w:rFonts w:ascii="Times New Roman" w:eastAsia="Times New Roman" w:hAnsi="Times New Roman" w:cs="Times New Roman"/>
          <w:sz w:val="24"/>
          <w:szCs w:val="24"/>
        </w:rPr>
      </w:pPr>
    </w:p>
    <w:p w14:paraId="2E2FD4C1" w14:textId="77777777" w:rsidR="001F3592" w:rsidRDefault="00A761D5">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5. Conclusion </w:t>
      </w:r>
    </w:p>
    <w:p w14:paraId="7C01B9FD"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cross-sectional assessment of 175 voluntary blood donors at University College Hospital, Ibadan, blood lead concentrations averaged in the </w:t>
      </w:r>
      <w:r>
        <w:rPr>
          <w:rFonts w:ascii="Times New Roman" w:eastAsia="Times New Roman" w:hAnsi="Times New Roman" w:cs="Times New Roman"/>
          <w:sz w:val="24"/>
          <w:szCs w:val="24"/>
        </w:rPr>
        <w:t>low-to-moderate range (mean 7.7–9.5 µg/dL) and serum iron values were within broad reference ranges (mean 104–112 µg/dL). There were no statistically significant differences in lead or iron between occasional and frequent donors, and haematological indices</w:t>
      </w:r>
      <w:r>
        <w:rPr>
          <w:rFonts w:ascii="Times New Roman" w:eastAsia="Times New Roman" w:hAnsi="Times New Roman" w:cs="Times New Roman"/>
          <w:sz w:val="24"/>
          <w:szCs w:val="24"/>
        </w:rPr>
        <w:t xml:space="preserve"> (Hb, PCV, RBC, WBC, MCV, MCH) remained within clinical norms and did not show significant correlations with blood lead or serum iron. These findings indicate that, within this donor population, routine blood donation as practiced at UCH did not produce me</w:t>
      </w:r>
      <w:r>
        <w:rPr>
          <w:rFonts w:ascii="Times New Roman" w:eastAsia="Times New Roman" w:hAnsi="Times New Roman" w:cs="Times New Roman"/>
          <w:sz w:val="24"/>
          <w:szCs w:val="24"/>
        </w:rPr>
        <w:t xml:space="preserve">asurable haematological harm or lead toxicity. </w:t>
      </w:r>
    </w:p>
    <w:p w14:paraId="694922DB"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observed trend of slightly lower serum iron among frequent donors — though not statistically significant — is clinically relevant and consistent with known iron losses from phlebotomy. Given the </w:t>
      </w:r>
      <w:r>
        <w:rPr>
          <w:rFonts w:ascii="Times New Roman" w:eastAsia="Times New Roman" w:hAnsi="Times New Roman" w:cs="Times New Roman"/>
          <w:sz w:val="24"/>
          <w:szCs w:val="24"/>
        </w:rPr>
        <w:t>known risk of progressive iron depletion with repeated donations and the public-health understanding that no level of lead exposure is entirely risk-free, the results support strategies to monitor donor iron status more closely, promote dietary iron intake</w:t>
      </w:r>
      <w:r>
        <w:rPr>
          <w:rFonts w:ascii="Times New Roman" w:eastAsia="Times New Roman" w:hAnsi="Times New Roman" w:cs="Times New Roman"/>
          <w:sz w:val="24"/>
          <w:szCs w:val="24"/>
        </w:rPr>
        <w:t xml:space="preserve">, and identify donors at elevated risk of environmental lead exposure for further assessment. </w:t>
      </w:r>
    </w:p>
    <w:p w14:paraId="35CB26D1" w14:textId="77777777" w:rsidR="001F3592" w:rsidRDefault="001F3592">
      <w:pPr>
        <w:spacing w:after="0" w:line="360" w:lineRule="auto"/>
        <w:jc w:val="both"/>
        <w:rPr>
          <w:rFonts w:ascii="Times New Roman" w:eastAsia="Times New Roman" w:hAnsi="Times New Roman" w:cs="Times New Roman"/>
          <w:sz w:val="24"/>
          <w:szCs w:val="24"/>
        </w:rPr>
      </w:pPr>
    </w:p>
    <w:p w14:paraId="4D9CF20C" w14:textId="77777777" w:rsidR="001F3592" w:rsidRDefault="001F3592">
      <w:pPr>
        <w:spacing w:after="0" w:line="360" w:lineRule="auto"/>
        <w:jc w:val="both"/>
        <w:rPr>
          <w:rFonts w:ascii="Times New Roman" w:eastAsia="Times New Roman" w:hAnsi="Times New Roman" w:cs="Times New Roman"/>
          <w:sz w:val="24"/>
          <w:szCs w:val="24"/>
        </w:rPr>
      </w:pPr>
    </w:p>
    <w:p w14:paraId="18FE9333" w14:textId="77777777" w:rsidR="001F3592" w:rsidRDefault="001F3592">
      <w:pPr>
        <w:spacing w:after="0" w:line="360" w:lineRule="auto"/>
        <w:jc w:val="both"/>
        <w:rPr>
          <w:rFonts w:ascii="Times New Roman" w:eastAsia="Times New Roman" w:hAnsi="Times New Roman" w:cs="Times New Roman"/>
          <w:sz w:val="24"/>
          <w:szCs w:val="24"/>
        </w:rPr>
      </w:pPr>
    </w:p>
    <w:p w14:paraId="7961C106" w14:textId="77777777" w:rsidR="001F3592" w:rsidRDefault="001F3592">
      <w:pPr>
        <w:spacing w:after="0" w:line="360" w:lineRule="auto"/>
        <w:jc w:val="both"/>
        <w:rPr>
          <w:rFonts w:ascii="Times New Roman" w:eastAsia="Times New Roman" w:hAnsi="Times New Roman" w:cs="Times New Roman"/>
          <w:sz w:val="24"/>
          <w:szCs w:val="24"/>
        </w:rPr>
      </w:pPr>
    </w:p>
    <w:p w14:paraId="3636F78B" w14:textId="77777777" w:rsidR="001F3592" w:rsidRDefault="001F3592">
      <w:pPr>
        <w:spacing w:after="0" w:line="360" w:lineRule="auto"/>
        <w:jc w:val="both"/>
        <w:rPr>
          <w:rFonts w:ascii="Times New Roman" w:eastAsia="Times New Roman" w:hAnsi="Times New Roman" w:cs="Times New Roman"/>
          <w:sz w:val="24"/>
          <w:szCs w:val="24"/>
        </w:rPr>
      </w:pPr>
    </w:p>
    <w:p w14:paraId="75C36CC7" w14:textId="77777777" w:rsidR="001F3592" w:rsidRDefault="001F3592">
      <w:pPr>
        <w:spacing w:after="0" w:line="360" w:lineRule="auto"/>
        <w:jc w:val="both"/>
        <w:rPr>
          <w:rFonts w:ascii="Times New Roman" w:eastAsia="Times New Roman" w:hAnsi="Times New Roman" w:cs="Times New Roman"/>
          <w:sz w:val="24"/>
          <w:szCs w:val="24"/>
        </w:rPr>
      </w:pPr>
    </w:p>
    <w:p w14:paraId="653113F7" w14:textId="77777777" w:rsidR="001F3592" w:rsidRDefault="001F3592">
      <w:pPr>
        <w:spacing w:after="0" w:line="360" w:lineRule="auto"/>
        <w:jc w:val="both"/>
        <w:rPr>
          <w:rFonts w:ascii="Times New Roman" w:eastAsia="Times New Roman" w:hAnsi="Times New Roman" w:cs="Times New Roman"/>
          <w:sz w:val="24"/>
          <w:szCs w:val="24"/>
        </w:rPr>
      </w:pPr>
    </w:p>
    <w:p w14:paraId="26D7C65F" w14:textId="77777777" w:rsidR="001F3592" w:rsidRDefault="001F3592">
      <w:pPr>
        <w:spacing w:after="0" w:line="360" w:lineRule="auto"/>
        <w:jc w:val="both"/>
        <w:rPr>
          <w:rFonts w:ascii="Times New Roman" w:eastAsia="Times New Roman" w:hAnsi="Times New Roman" w:cs="Times New Roman"/>
          <w:sz w:val="24"/>
          <w:szCs w:val="24"/>
        </w:rPr>
      </w:pPr>
    </w:p>
    <w:p w14:paraId="3EE1E39C" w14:textId="77777777" w:rsidR="001F3592" w:rsidRDefault="001F3592">
      <w:pPr>
        <w:spacing w:after="0" w:line="360" w:lineRule="auto"/>
        <w:jc w:val="both"/>
        <w:rPr>
          <w:rFonts w:ascii="Times New Roman" w:eastAsia="Times New Roman" w:hAnsi="Times New Roman" w:cs="Times New Roman"/>
          <w:sz w:val="24"/>
          <w:szCs w:val="24"/>
        </w:rPr>
      </w:pPr>
    </w:p>
    <w:p w14:paraId="7AE59AE1" w14:textId="77777777" w:rsidR="001F3592" w:rsidRDefault="001F3592">
      <w:pPr>
        <w:spacing w:after="0" w:line="360" w:lineRule="auto"/>
        <w:jc w:val="both"/>
        <w:rPr>
          <w:rFonts w:ascii="Times New Roman" w:eastAsia="Times New Roman" w:hAnsi="Times New Roman" w:cs="Times New Roman"/>
          <w:sz w:val="24"/>
          <w:szCs w:val="24"/>
        </w:rPr>
      </w:pPr>
    </w:p>
    <w:p w14:paraId="5573A751" w14:textId="77777777" w:rsidR="001F3592" w:rsidRDefault="001F3592">
      <w:pPr>
        <w:spacing w:after="0" w:line="360" w:lineRule="auto"/>
        <w:jc w:val="both"/>
        <w:rPr>
          <w:rFonts w:ascii="Times New Roman" w:eastAsia="Times New Roman" w:hAnsi="Times New Roman" w:cs="Times New Roman"/>
          <w:sz w:val="24"/>
          <w:szCs w:val="24"/>
        </w:rPr>
      </w:pPr>
    </w:p>
    <w:p w14:paraId="50E6B8C0" w14:textId="77777777" w:rsidR="001F3592" w:rsidRDefault="001F3592">
      <w:pPr>
        <w:spacing w:after="0" w:line="360" w:lineRule="auto"/>
        <w:jc w:val="both"/>
        <w:rPr>
          <w:rFonts w:ascii="Times New Roman" w:eastAsia="Times New Roman" w:hAnsi="Times New Roman" w:cs="Times New Roman"/>
          <w:sz w:val="24"/>
          <w:szCs w:val="24"/>
        </w:rPr>
      </w:pPr>
    </w:p>
    <w:p w14:paraId="3E4A6DEC" w14:textId="77777777" w:rsidR="001F3592" w:rsidRDefault="001F3592">
      <w:pPr>
        <w:spacing w:after="0" w:line="360" w:lineRule="auto"/>
        <w:jc w:val="both"/>
        <w:rPr>
          <w:rFonts w:ascii="Times New Roman" w:eastAsia="Times New Roman" w:hAnsi="Times New Roman" w:cs="Times New Roman"/>
          <w:sz w:val="24"/>
          <w:szCs w:val="24"/>
        </w:rPr>
      </w:pPr>
    </w:p>
    <w:p w14:paraId="4867DE36" w14:textId="77777777" w:rsidR="001F3592" w:rsidRDefault="001F3592">
      <w:pPr>
        <w:spacing w:after="0" w:line="360" w:lineRule="auto"/>
        <w:jc w:val="both"/>
        <w:rPr>
          <w:rFonts w:ascii="Times New Roman" w:eastAsia="Times New Roman" w:hAnsi="Times New Roman" w:cs="Times New Roman"/>
          <w:sz w:val="24"/>
          <w:szCs w:val="24"/>
        </w:rPr>
      </w:pPr>
    </w:p>
    <w:p w14:paraId="53C49189" w14:textId="77777777" w:rsidR="001F3592" w:rsidRDefault="001F3592">
      <w:pPr>
        <w:spacing w:after="0" w:line="360" w:lineRule="auto"/>
        <w:jc w:val="both"/>
        <w:rPr>
          <w:rFonts w:ascii="Times New Roman" w:eastAsia="Times New Roman" w:hAnsi="Times New Roman" w:cs="Times New Roman"/>
          <w:sz w:val="24"/>
          <w:szCs w:val="24"/>
        </w:rPr>
      </w:pPr>
    </w:p>
    <w:p w14:paraId="37101F65" w14:textId="77777777" w:rsidR="001F3592" w:rsidRDefault="00A761D5">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6. Recommendation </w:t>
      </w:r>
    </w:p>
    <w:p w14:paraId="00912B61"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Blood donation services should incorporate routine donor-focused interventions to protect donor health: implement periodic iron-status monitoring (ideally serum ferritin where resources allow), provide targeted education on iron-rich diets and iron supplem</w:t>
      </w:r>
      <w:r>
        <w:rPr>
          <w:rFonts w:ascii="Times New Roman" w:eastAsia="Times New Roman" w:hAnsi="Times New Roman" w:cs="Times New Roman"/>
          <w:sz w:val="24"/>
          <w:szCs w:val="24"/>
        </w:rPr>
        <w:t>entation options for frequent donors, and consider extending recommended inter-donation intervals for donors with marginal iron indices. Additionally, occupational and environmental exposure screening should be incorporated into donor questionnaires to fla</w:t>
      </w:r>
      <w:r>
        <w:rPr>
          <w:rFonts w:ascii="Times New Roman" w:eastAsia="Times New Roman" w:hAnsi="Times New Roman" w:cs="Times New Roman"/>
          <w:sz w:val="24"/>
          <w:szCs w:val="24"/>
        </w:rPr>
        <w:t>g individuals at risk of elevated heavy-metal burden; those identified should receive counselling and, when indicated, confirmatory testing and public health follow-up. Finally, multicentre longitudinal studies including ferritin and post-donation follow-u</w:t>
      </w:r>
      <w:r>
        <w:rPr>
          <w:rFonts w:ascii="Times New Roman" w:eastAsia="Times New Roman" w:hAnsi="Times New Roman" w:cs="Times New Roman"/>
          <w:sz w:val="24"/>
          <w:szCs w:val="24"/>
        </w:rPr>
        <w:t xml:space="preserve">p are recommended to refine donor care policies and to ensure sustainable, safe blood supplies. </w:t>
      </w:r>
    </w:p>
    <w:p w14:paraId="5C39D8DE" w14:textId="77777777" w:rsidR="001F3592" w:rsidRDefault="001F3592">
      <w:pPr>
        <w:spacing w:before="100" w:beforeAutospacing="1" w:after="100" w:afterAutospacing="1" w:line="360" w:lineRule="auto"/>
        <w:jc w:val="both"/>
        <w:rPr>
          <w:rFonts w:ascii="Times New Roman" w:eastAsia="Times New Roman" w:hAnsi="Times New Roman" w:cs="Times New Roman"/>
          <w:sz w:val="24"/>
          <w:szCs w:val="24"/>
        </w:rPr>
      </w:pPr>
    </w:p>
    <w:p w14:paraId="32419212" w14:textId="77777777" w:rsidR="001F3592" w:rsidRDefault="001F3592">
      <w:pPr>
        <w:spacing w:after="0" w:line="360" w:lineRule="auto"/>
        <w:jc w:val="both"/>
        <w:rPr>
          <w:rFonts w:ascii="Times New Roman" w:eastAsia="Times New Roman" w:hAnsi="Times New Roman" w:cs="Times New Roman"/>
          <w:sz w:val="24"/>
          <w:szCs w:val="24"/>
        </w:rPr>
      </w:pPr>
    </w:p>
    <w:p w14:paraId="188D7E2E" w14:textId="77777777" w:rsidR="001F3592" w:rsidRDefault="001F3592">
      <w:pPr>
        <w:spacing w:after="0" w:line="360" w:lineRule="auto"/>
        <w:jc w:val="both"/>
        <w:rPr>
          <w:rFonts w:ascii="Times New Roman" w:eastAsia="Times New Roman" w:hAnsi="Times New Roman" w:cs="Times New Roman"/>
          <w:sz w:val="24"/>
          <w:szCs w:val="24"/>
        </w:rPr>
      </w:pPr>
    </w:p>
    <w:p w14:paraId="072E62B0" w14:textId="77777777" w:rsidR="001F3592" w:rsidRDefault="001F3592">
      <w:pPr>
        <w:spacing w:after="0" w:line="360" w:lineRule="auto"/>
        <w:jc w:val="both"/>
        <w:rPr>
          <w:rFonts w:ascii="Times New Roman" w:eastAsia="Times New Roman" w:hAnsi="Times New Roman" w:cs="Times New Roman"/>
          <w:sz w:val="24"/>
          <w:szCs w:val="24"/>
        </w:rPr>
      </w:pPr>
    </w:p>
    <w:p w14:paraId="198CA15A" w14:textId="77777777" w:rsidR="001F3592" w:rsidRDefault="001F3592">
      <w:pPr>
        <w:spacing w:after="0" w:line="360" w:lineRule="auto"/>
        <w:jc w:val="both"/>
        <w:rPr>
          <w:rFonts w:ascii="Times New Roman" w:eastAsia="Times New Roman" w:hAnsi="Times New Roman" w:cs="Times New Roman"/>
          <w:sz w:val="24"/>
          <w:szCs w:val="24"/>
        </w:rPr>
      </w:pPr>
    </w:p>
    <w:p w14:paraId="4316C200" w14:textId="77777777" w:rsidR="001F3592" w:rsidRDefault="001F3592">
      <w:pPr>
        <w:spacing w:after="0" w:line="360" w:lineRule="auto"/>
        <w:jc w:val="both"/>
        <w:rPr>
          <w:rFonts w:ascii="Times New Roman" w:eastAsia="Times New Roman" w:hAnsi="Times New Roman" w:cs="Times New Roman"/>
          <w:sz w:val="24"/>
          <w:szCs w:val="24"/>
        </w:rPr>
      </w:pPr>
    </w:p>
    <w:p w14:paraId="5B1D5EB4" w14:textId="77777777" w:rsidR="001F3592" w:rsidRDefault="001F3592">
      <w:pPr>
        <w:spacing w:after="0" w:line="360" w:lineRule="auto"/>
        <w:jc w:val="both"/>
        <w:rPr>
          <w:rFonts w:ascii="Times New Roman" w:eastAsia="Times New Roman" w:hAnsi="Times New Roman" w:cs="Times New Roman"/>
          <w:sz w:val="24"/>
          <w:szCs w:val="24"/>
        </w:rPr>
      </w:pPr>
    </w:p>
    <w:p w14:paraId="10C6FE07" w14:textId="77777777" w:rsidR="001F3592" w:rsidRDefault="001F3592">
      <w:pPr>
        <w:spacing w:after="0" w:line="360" w:lineRule="auto"/>
        <w:jc w:val="both"/>
        <w:rPr>
          <w:rFonts w:ascii="Times New Roman" w:eastAsia="Times New Roman" w:hAnsi="Times New Roman" w:cs="Times New Roman"/>
          <w:sz w:val="24"/>
          <w:szCs w:val="24"/>
        </w:rPr>
      </w:pPr>
    </w:p>
    <w:p w14:paraId="2CA9EF66" w14:textId="77777777" w:rsidR="001F3592" w:rsidRDefault="00A761D5">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bookmarkStart w:id="0" w:name="_GoBack"/>
      <w:bookmarkEnd w:id="0"/>
      <w:r>
        <w:rPr>
          <w:rFonts w:ascii="Times New Roman" w:eastAsia="Times New Roman" w:hAnsi="Times New Roman" w:cs="Times New Roman"/>
          <w:b/>
          <w:bCs/>
          <w:kern w:val="36"/>
          <w:sz w:val="24"/>
          <w:szCs w:val="24"/>
        </w:rPr>
        <w:lastRenderedPageBreak/>
        <w:t xml:space="preserve">8. Declaration </w:t>
      </w:r>
    </w:p>
    <w:p w14:paraId="319B5401"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Ethics:</w:t>
      </w:r>
      <w:r>
        <w:rPr>
          <w:rFonts w:ascii="Times New Roman" w:eastAsia="Times New Roman" w:hAnsi="Times New Roman" w:cs="Times New Roman"/>
          <w:sz w:val="24"/>
          <w:szCs w:val="24"/>
        </w:rPr>
        <w:t xml:space="preserve"> Ethical approval was obtained from the Ethical Review Committee </w:t>
      </w:r>
      <w:r>
        <w:rPr>
          <w:rFonts w:ascii="Times New Roman" w:eastAsia="Times New Roman" w:hAnsi="Times New Roman" w:cs="Times New Roman"/>
          <w:sz w:val="24"/>
          <w:szCs w:val="24"/>
        </w:rPr>
        <w:t xml:space="preserve">of the Ministry of Health, Department of Planning, Research and Statistics Division, Secretariat, Ibadan, and informed consent was obtained from all participants. Data are stored securely and reported in aggregate to preserve confidentiality. </w:t>
      </w:r>
    </w:p>
    <w:p w14:paraId="2EF28481" w14:textId="77777777" w:rsidR="001F3592" w:rsidRDefault="001F3592">
      <w:pPr>
        <w:spacing w:line="360" w:lineRule="auto"/>
        <w:jc w:val="both"/>
        <w:rPr>
          <w:rFonts w:ascii="Times New Roman" w:hAnsi="Times New Roman" w:cs="Times New Roman"/>
          <w:sz w:val="24"/>
          <w:szCs w:val="24"/>
        </w:rPr>
      </w:pPr>
    </w:p>
    <w:p w14:paraId="28D2100C" w14:textId="77777777" w:rsidR="001F3592" w:rsidRDefault="001F3592">
      <w:pPr>
        <w:spacing w:line="360" w:lineRule="auto"/>
        <w:jc w:val="both"/>
        <w:rPr>
          <w:rFonts w:ascii="Times New Roman" w:hAnsi="Times New Roman" w:cs="Times New Roman"/>
          <w:sz w:val="24"/>
          <w:szCs w:val="24"/>
        </w:rPr>
      </w:pPr>
    </w:p>
    <w:p w14:paraId="1DBE6544" w14:textId="77777777" w:rsidR="001F3592" w:rsidRDefault="001F3592">
      <w:pPr>
        <w:spacing w:line="360" w:lineRule="auto"/>
        <w:jc w:val="both"/>
        <w:rPr>
          <w:rFonts w:ascii="Times New Roman" w:hAnsi="Times New Roman" w:cs="Times New Roman"/>
          <w:sz w:val="24"/>
          <w:szCs w:val="24"/>
        </w:rPr>
      </w:pPr>
    </w:p>
    <w:p w14:paraId="2C3FB16E" w14:textId="77777777" w:rsidR="001F3592" w:rsidRDefault="001F3592">
      <w:pPr>
        <w:spacing w:line="360" w:lineRule="auto"/>
        <w:jc w:val="both"/>
        <w:rPr>
          <w:rFonts w:ascii="Times New Roman" w:hAnsi="Times New Roman" w:cs="Times New Roman"/>
          <w:sz w:val="24"/>
          <w:szCs w:val="24"/>
        </w:rPr>
      </w:pPr>
    </w:p>
    <w:p w14:paraId="37B2D023" w14:textId="77777777" w:rsidR="001F3592" w:rsidRDefault="00A761D5">
      <w:pPr>
        <w:spacing w:line="360" w:lineRule="auto"/>
        <w:jc w:val="both"/>
        <w:rPr>
          <w:rFonts w:ascii="Times New Roman" w:hAnsi="Times New Roman" w:cs="Times New Roman"/>
          <w:b/>
          <w:sz w:val="24"/>
          <w:szCs w:val="24"/>
        </w:rPr>
      </w:pPr>
      <w:r>
        <w:rPr>
          <w:rFonts w:ascii="Times New Roman" w:hAnsi="Times New Roman" w:cs="Times New Roman"/>
          <w:b/>
          <w:sz w:val="24"/>
          <w:szCs w:val="24"/>
        </w:rPr>
        <w:t>R</w:t>
      </w:r>
      <w:r>
        <w:rPr>
          <w:rFonts w:ascii="Times New Roman" w:hAnsi="Times New Roman" w:cs="Times New Roman"/>
          <w:b/>
          <w:sz w:val="24"/>
          <w:szCs w:val="24"/>
        </w:rPr>
        <w:t>eferences</w:t>
      </w:r>
    </w:p>
    <w:p w14:paraId="7E13DCB7" w14:textId="237E49CB"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Balogun, T. M., Aile, K., Nnamani, A. C., Kareem, O. S., &amp; Salu, A. (2023). </w:t>
      </w:r>
      <w:proofErr w:type="spellStart"/>
      <w:r w:rsidRPr="003A77EB">
        <w:rPr>
          <w:rFonts w:ascii="Times New Roman" w:eastAsia="Times New Roman" w:hAnsi="Times New Roman" w:cs="Times New Roman"/>
          <w:sz w:val="24"/>
          <w:szCs w:val="24"/>
        </w:rPr>
        <w:t>Haematology</w:t>
      </w:r>
      <w:proofErr w:type="spellEnd"/>
      <w:r w:rsidRPr="003A77EB">
        <w:rPr>
          <w:rFonts w:ascii="Times New Roman" w:eastAsia="Times New Roman" w:hAnsi="Times New Roman" w:cs="Times New Roman"/>
          <w:sz w:val="24"/>
          <w:szCs w:val="24"/>
        </w:rPr>
        <w:t xml:space="preserve"> Parameters of Apparently Healthy Prospective Whole Blood Donors in a Nigerian Hospital Setting. Open Journal of Blood Diseases </w:t>
      </w:r>
      <w:hyperlink r:id="rId10" w:history="1">
        <w:r w:rsidRPr="008E5DBE">
          <w:rPr>
            <w:rStyle w:val="Hyperlink"/>
            <w:rFonts w:ascii="Times New Roman" w:eastAsia="Times New Roman" w:hAnsi="Times New Roman" w:cs="Times New Roman"/>
            <w:sz w:val="24"/>
            <w:szCs w:val="24"/>
          </w:rPr>
          <w:t>https://doi.org/10.4236/ojbd.2023.132008</w:t>
        </w:r>
      </w:hyperlink>
    </w:p>
    <w:p w14:paraId="0E067E16" w14:textId="57135D94"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Chaurasia, P., McClean, S. I., Mahdi, A. A., </w:t>
      </w:r>
      <w:proofErr w:type="spellStart"/>
      <w:r w:rsidRPr="003A77EB">
        <w:rPr>
          <w:rFonts w:ascii="Times New Roman" w:eastAsia="Times New Roman" w:hAnsi="Times New Roman" w:cs="Times New Roman"/>
          <w:sz w:val="24"/>
          <w:szCs w:val="24"/>
        </w:rPr>
        <w:t>Yogarajah</w:t>
      </w:r>
      <w:proofErr w:type="spellEnd"/>
      <w:r w:rsidRPr="003A77EB">
        <w:rPr>
          <w:rFonts w:ascii="Times New Roman" w:eastAsia="Times New Roman" w:hAnsi="Times New Roman" w:cs="Times New Roman"/>
          <w:sz w:val="24"/>
          <w:szCs w:val="24"/>
        </w:rPr>
        <w:t xml:space="preserve">, P., Ansari, J. A., Kunwar, S., &amp; Ahmad, M. K. (2023). Automated lead toxicity prediction using computational modelling framework. Health Information Science and Systems, 11(1), 56. </w:t>
      </w:r>
      <w:hyperlink r:id="rId11" w:history="1">
        <w:r w:rsidRPr="008E5DBE">
          <w:rPr>
            <w:rStyle w:val="Hyperlink"/>
            <w:rFonts w:ascii="Times New Roman" w:eastAsia="Times New Roman" w:hAnsi="Times New Roman" w:cs="Times New Roman"/>
            <w:sz w:val="24"/>
            <w:szCs w:val="24"/>
          </w:rPr>
          <w:t>https://doi.org/10.1007/s13755-023-00257-4</w:t>
        </w:r>
      </w:hyperlink>
    </w:p>
    <w:p w14:paraId="17D9560B" w14:textId="16187EF4"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A77EB">
        <w:rPr>
          <w:rFonts w:ascii="Times New Roman" w:eastAsia="Times New Roman" w:hAnsi="Times New Roman" w:cs="Times New Roman"/>
          <w:sz w:val="24"/>
          <w:szCs w:val="24"/>
        </w:rPr>
        <w:t>Disalvo</w:t>
      </w:r>
      <w:proofErr w:type="spellEnd"/>
      <w:r w:rsidRPr="003A77EB">
        <w:rPr>
          <w:rFonts w:ascii="Times New Roman" w:eastAsia="Times New Roman" w:hAnsi="Times New Roman" w:cs="Times New Roman"/>
          <w:sz w:val="24"/>
          <w:szCs w:val="24"/>
        </w:rPr>
        <w:t xml:space="preserve">, L., </w:t>
      </w:r>
      <w:proofErr w:type="spellStart"/>
      <w:r w:rsidRPr="003A77EB">
        <w:rPr>
          <w:rFonts w:ascii="Times New Roman" w:eastAsia="Times New Roman" w:hAnsi="Times New Roman" w:cs="Times New Roman"/>
          <w:sz w:val="24"/>
          <w:szCs w:val="24"/>
        </w:rPr>
        <w:t>Varea</w:t>
      </w:r>
      <w:proofErr w:type="spellEnd"/>
      <w:r w:rsidRPr="003A77EB">
        <w:rPr>
          <w:rFonts w:ascii="Times New Roman" w:eastAsia="Times New Roman" w:hAnsi="Times New Roman" w:cs="Times New Roman"/>
          <w:sz w:val="24"/>
          <w:szCs w:val="24"/>
        </w:rPr>
        <w:t xml:space="preserve">, A., Matamoros, N., Sala, M., Fasano, M. V., &amp; González, H. F. (2025). Blood Lead Levels and Their Association with Iron Deficiency and Anemia in Children. Biological Trace Element Research. </w:t>
      </w:r>
      <w:hyperlink r:id="rId12" w:history="1">
        <w:r w:rsidRPr="008E5DBE">
          <w:rPr>
            <w:rStyle w:val="Hyperlink"/>
            <w:rFonts w:ascii="Times New Roman" w:eastAsia="Times New Roman" w:hAnsi="Times New Roman" w:cs="Times New Roman"/>
            <w:sz w:val="24"/>
            <w:szCs w:val="24"/>
          </w:rPr>
          <w:t>https://doi.org/10.1007/s12011-024-04163-y</w:t>
        </w:r>
      </w:hyperlink>
    </w:p>
    <w:p w14:paraId="6920C69B" w14:textId="79235CBC"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A77EB">
        <w:rPr>
          <w:rFonts w:ascii="Times New Roman" w:eastAsia="Times New Roman" w:hAnsi="Times New Roman" w:cs="Times New Roman"/>
          <w:sz w:val="24"/>
          <w:szCs w:val="24"/>
        </w:rPr>
        <w:t>Hamadneh</w:t>
      </w:r>
      <w:proofErr w:type="spellEnd"/>
      <w:r w:rsidRPr="003A77EB">
        <w:rPr>
          <w:rFonts w:ascii="Times New Roman" w:eastAsia="Times New Roman" w:hAnsi="Times New Roman" w:cs="Times New Roman"/>
          <w:sz w:val="24"/>
          <w:szCs w:val="24"/>
        </w:rPr>
        <w:t xml:space="preserve">, J., </w:t>
      </w:r>
      <w:proofErr w:type="spellStart"/>
      <w:r w:rsidRPr="003A77EB">
        <w:rPr>
          <w:rFonts w:ascii="Times New Roman" w:eastAsia="Times New Roman" w:hAnsi="Times New Roman" w:cs="Times New Roman"/>
          <w:sz w:val="24"/>
          <w:szCs w:val="24"/>
        </w:rPr>
        <w:t>Hamadneh</w:t>
      </w:r>
      <w:proofErr w:type="spellEnd"/>
      <w:r w:rsidRPr="003A77EB">
        <w:rPr>
          <w:rFonts w:ascii="Times New Roman" w:eastAsia="Times New Roman" w:hAnsi="Times New Roman" w:cs="Times New Roman"/>
          <w:sz w:val="24"/>
          <w:szCs w:val="24"/>
        </w:rPr>
        <w:t xml:space="preserve">, S., </w:t>
      </w:r>
      <w:proofErr w:type="spellStart"/>
      <w:r w:rsidRPr="003A77EB">
        <w:rPr>
          <w:rFonts w:ascii="Times New Roman" w:eastAsia="Times New Roman" w:hAnsi="Times New Roman" w:cs="Times New Roman"/>
          <w:sz w:val="24"/>
          <w:szCs w:val="24"/>
        </w:rPr>
        <w:t>Massadeh</w:t>
      </w:r>
      <w:proofErr w:type="spellEnd"/>
      <w:r w:rsidRPr="003A77EB">
        <w:rPr>
          <w:rFonts w:ascii="Times New Roman" w:eastAsia="Times New Roman" w:hAnsi="Times New Roman" w:cs="Times New Roman"/>
          <w:sz w:val="24"/>
          <w:szCs w:val="24"/>
        </w:rPr>
        <w:t>, A., Kassab, M., Al-</w:t>
      </w:r>
      <w:proofErr w:type="spellStart"/>
      <w:r w:rsidRPr="003A77EB">
        <w:rPr>
          <w:rFonts w:ascii="Times New Roman" w:eastAsia="Times New Roman" w:hAnsi="Times New Roman" w:cs="Times New Roman"/>
          <w:sz w:val="24"/>
          <w:szCs w:val="24"/>
        </w:rPr>
        <w:t>Bayyari</w:t>
      </w:r>
      <w:proofErr w:type="spellEnd"/>
      <w:r w:rsidRPr="003A77EB">
        <w:rPr>
          <w:rFonts w:ascii="Times New Roman" w:eastAsia="Times New Roman" w:hAnsi="Times New Roman" w:cs="Times New Roman"/>
          <w:sz w:val="24"/>
          <w:szCs w:val="24"/>
        </w:rPr>
        <w:t xml:space="preserve">, N., Khader, Y., &amp; </w:t>
      </w:r>
      <w:proofErr w:type="spellStart"/>
      <w:r w:rsidRPr="003A77EB">
        <w:rPr>
          <w:rFonts w:ascii="Times New Roman" w:eastAsia="Times New Roman" w:hAnsi="Times New Roman" w:cs="Times New Roman"/>
          <w:sz w:val="24"/>
          <w:szCs w:val="24"/>
        </w:rPr>
        <w:t>Sbuihat</w:t>
      </w:r>
      <w:proofErr w:type="spellEnd"/>
      <w:r w:rsidRPr="003A77EB">
        <w:rPr>
          <w:rFonts w:ascii="Times New Roman" w:eastAsia="Times New Roman" w:hAnsi="Times New Roman" w:cs="Times New Roman"/>
          <w:sz w:val="24"/>
          <w:szCs w:val="24"/>
        </w:rPr>
        <w:t xml:space="preserve">, W. (2018). Blood lead level and correlation with pregnancy-associated </w:t>
      </w:r>
      <w:proofErr w:type="spellStart"/>
      <w:r w:rsidRPr="003A77EB">
        <w:rPr>
          <w:rFonts w:ascii="Times New Roman" w:eastAsia="Times New Roman" w:hAnsi="Times New Roman" w:cs="Times New Roman"/>
          <w:sz w:val="24"/>
          <w:szCs w:val="24"/>
        </w:rPr>
        <w:t>anaemia</w:t>
      </w:r>
      <w:proofErr w:type="spellEnd"/>
      <w:r w:rsidRPr="003A77EB">
        <w:rPr>
          <w:rFonts w:ascii="Times New Roman" w:eastAsia="Times New Roman" w:hAnsi="Times New Roman" w:cs="Times New Roman"/>
          <w:sz w:val="24"/>
          <w:szCs w:val="24"/>
        </w:rPr>
        <w:t xml:space="preserve">. Australasian Medical Journal. </w:t>
      </w:r>
      <w:hyperlink r:id="rId13" w:history="1">
        <w:r w:rsidRPr="008E5DBE">
          <w:rPr>
            <w:rStyle w:val="Hyperlink"/>
            <w:rFonts w:ascii="Times New Roman" w:eastAsia="Times New Roman" w:hAnsi="Times New Roman" w:cs="Times New Roman"/>
            <w:sz w:val="24"/>
            <w:szCs w:val="24"/>
          </w:rPr>
          <w:t>https://doi.org/10.21767/AMJ.2018.3375</w:t>
        </w:r>
      </w:hyperlink>
    </w:p>
    <w:p w14:paraId="7366956B" w14:textId="153A3BD7"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He, X., Fu, Y., Fu, Q., Song, L., Huang, J., Wang, R., Lu, T., &amp; Wu, H. (2024). Internal blood lead exposure levels in permanent residents of Jiangxi Province and its effects on routine hematological and biochemical indices. Frontiers in Public Health. </w:t>
      </w:r>
      <w:hyperlink r:id="rId14" w:history="1">
        <w:r w:rsidRPr="008E5DBE">
          <w:rPr>
            <w:rStyle w:val="Hyperlink"/>
            <w:rFonts w:ascii="Times New Roman" w:eastAsia="Times New Roman" w:hAnsi="Times New Roman" w:cs="Times New Roman"/>
            <w:sz w:val="24"/>
            <w:szCs w:val="24"/>
          </w:rPr>
          <w:t>https://doi.org/10.3389/fpubh.2024.1357588</w:t>
        </w:r>
      </w:hyperlink>
    </w:p>
    <w:p w14:paraId="49B0C2B9" w14:textId="49641613"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A77EB">
        <w:rPr>
          <w:rFonts w:ascii="Times New Roman" w:eastAsia="Times New Roman" w:hAnsi="Times New Roman" w:cs="Times New Roman"/>
          <w:sz w:val="24"/>
          <w:szCs w:val="24"/>
        </w:rPr>
        <w:lastRenderedPageBreak/>
        <w:t>Iriarte-Gahete</w:t>
      </w:r>
      <w:proofErr w:type="spellEnd"/>
      <w:r w:rsidRPr="003A77EB">
        <w:rPr>
          <w:rFonts w:ascii="Times New Roman" w:eastAsia="Times New Roman" w:hAnsi="Times New Roman" w:cs="Times New Roman"/>
          <w:sz w:val="24"/>
          <w:szCs w:val="24"/>
        </w:rPr>
        <w:t xml:space="preserve">, M., Tarancón-Díez, L., Garrido-Rodríguez, V., Leal, M., &amp; Pacheco, Y. M. (2024). Absolute and functional iron deficiency: Biomarkers, impact on immune system, and therapy. Blood Reviews. </w:t>
      </w:r>
      <w:hyperlink r:id="rId15" w:history="1">
        <w:r w:rsidRPr="008E5DBE">
          <w:rPr>
            <w:rStyle w:val="Hyperlink"/>
            <w:rFonts w:ascii="Times New Roman" w:eastAsia="Times New Roman" w:hAnsi="Times New Roman" w:cs="Times New Roman"/>
            <w:sz w:val="24"/>
            <w:szCs w:val="24"/>
          </w:rPr>
          <w:t>https://doi.org/10.1016/j.blre.2024.101227</w:t>
        </w:r>
      </w:hyperlink>
    </w:p>
    <w:p w14:paraId="1EFEBE20" w14:textId="691A00B8"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Kiss, J. E. (2014). Laboratory and genetic assessment of iron deficiency in blood donors. Clinics in Laboratory Medicine. </w:t>
      </w:r>
      <w:hyperlink r:id="rId16" w:history="1">
        <w:r w:rsidRPr="008E5DBE">
          <w:rPr>
            <w:rStyle w:val="Hyperlink"/>
            <w:rFonts w:ascii="Times New Roman" w:eastAsia="Times New Roman" w:hAnsi="Times New Roman" w:cs="Times New Roman"/>
            <w:sz w:val="24"/>
            <w:szCs w:val="24"/>
          </w:rPr>
          <w:t>https://doi.org/10.1016/j.cll.2014.10.011</w:t>
        </w:r>
      </w:hyperlink>
    </w:p>
    <w:p w14:paraId="0A68C2F4" w14:textId="7411F122"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Mast, A. E., Bialkowski, W., Bryant, B. J., Wright, D. J., Birch, R., Kiss, J. E., D'Andrea, P., Cable, R. G., &amp; Spencer, B. R. (2016). A randomized, blinded, placebo-controlled trial of education and iron supplementation for mitigation of iron deficiency in regular blood donors. Transfusion, 56(6 Pt 2), 1588-1597. </w:t>
      </w:r>
      <w:hyperlink r:id="rId17" w:history="1">
        <w:r w:rsidRPr="008E5DBE">
          <w:rPr>
            <w:rStyle w:val="Hyperlink"/>
            <w:rFonts w:ascii="Times New Roman" w:eastAsia="Times New Roman" w:hAnsi="Times New Roman" w:cs="Times New Roman"/>
            <w:sz w:val="24"/>
            <w:szCs w:val="24"/>
          </w:rPr>
          <w:t>https://doi.org/10.1111/trf.13469</w:t>
        </w:r>
      </w:hyperlink>
    </w:p>
    <w:p w14:paraId="08E99336" w14:textId="3EF1FBB7"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A77EB">
        <w:rPr>
          <w:rFonts w:ascii="Times New Roman" w:eastAsia="Times New Roman" w:hAnsi="Times New Roman" w:cs="Times New Roman"/>
          <w:sz w:val="24"/>
          <w:szCs w:val="24"/>
        </w:rPr>
        <w:t>Naibkhil</w:t>
      </w:r>
      <w:proofErr w:type="spellEnd"/>
      <w:r w:rsidRPr="003A77EB">
        <w:rPr>
          <w:rFonts w:ascii="Times New Roman" w:eastAsia="Times New Roman" w:hAnsi="Times New Roman" w:cs="Times New Roman"/>
          <w:sz w:val="24"/>
          <w:szCs w:val="24"/>
        </w:rPr>
        <w:t xml:space="preserve">, N., Azimi, Z., &amp; Ismail, Z. (2022). Effect of automotive oils on blood indices and liver function of adults and children automobile-repairing mechanics in Kabul City. Research Square. </w:t>
      </w:r>
      <w:hyperlink r:id="rId18" w:history="1">
        <w:r w:rsidRPr="008E5DBE">
          <w:rPr>
            <w:rStyle w:val="Hyperlink"/>
            <w:rFonts w:ascii="Times New Roman" w:eastAsia="Times New Roman" w:hAnsi="Times New Roman" w:cs="Times New Roman"/>
            <w:sz w:val="24"/>
            <w:szCs w:val="24"/>
          </w:rPr>
          <w:t>https://doi.org/10.21203/rs.3.rs-2195667/v1</w:t>
        </w:r>
      </w:hyperlink>
    </w:p>
    <w:p w14:paraId="3C294C23" w14:textId="64DEB4F0"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Nwabuko, O. C., &amp; Nnaji, T. O. (2021). Challenges of Blood Transfusion in a Developing Country and the Ways Forward. Biomedical Journal of Scientific &amp; Technical Research </w:t>
      </w:r>
      <w:hyperlink r:id="rId19" w:history="1">
        <w:r w:rsidRPr="008E5DBE">
          <w:rPr>
            <w:rStyle w:val="Hyperlink"/>
            <w:rFonts w:ascii="Times New Roman" w:eastAsia="Times New Roman" w:hAnsi="Times New Roman" w:cs="Times New Roman"/>
            <w:sz w:val="24"/>
            <w:szCs w:val="24"/>
          </w:rPr>
          <w:t>https://doi.org/10.26717/BJSTR.2021.33.005435</w:t>
        </w:r>
      </w:hyperlink>
    </w:p>
    <w:p w14:paraId="60FCF6AE" w14:textId="76BA2C23"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A77EB">
        <w:rPr>
          <w:rFonts w:ascii="Times New Roman" w:eastAsia="Times New Roman" w:hAnsi="Times New Roman" w:cs="Times New Roman"/>
          <w:sz w:val="24"/>
          <w:szCs w:val="24"/>
        </w:rPr>
        <w:t>Nwokoro</w:t>
      </w:r>
      <w:proofErr w:type="spellEnd"/>
      <w:r w:rsidRPr="003A77EB">
        <w:rPr>
          <w:rFonts w:ascii="Times New Roman" w:eastAsia="Times New Roman" w:hAnsi="Times New Roman" w:cs="Times New Roman"/>
          <w:sz w:val="24"/>
          <w:szCs w:val="24"/>
        </w:rPr>
        <w:t xml:space="preserve">, O. C., </w:t>
      </w:r>
      <w:proofErr w:type="spellStart"/>
      <w:r w:rsidRPr="003A77EB">
        <w:rPr>
          <w:rFonts w:ascii="Times New Roman" w:eastAsia="Times New Roman" w:hAnsi="Times New Roman" w:cs="Times New Roman"/>
          <w:sz w:val="24"/>
          <w:szCs w:val="24"/>
        </w:rPr>
        <w:t>Ukekwe</w:t>
      </w:r>
      <w:proofErr w:type="spellEnd"/>
      <w:r w:rsidRPr="003A77EB">
        <w:rPr>
          <w:rFonts w:ascii="Times New Roman" w:eastAsia="Times New Roman" w:hAnsi="Times New Roman" w:cs="Times New Roman"/>
          <w:sz w:val="24"/>
          <w:szCs w:val="24"/>
        </w:rPr>
        <w:t xml:space="preserve">, F. I., </w:t>
      </w:r>
      <w:proofErr w:type="spellStart"/>
      <w:r w:rsidRPr="003A77EB">
        <w:rPr>
          <w:rFonts w:ascii="Times New Roman" w:eastAsia="Times New Roman" w:hAnsi="Times New Roman" w:cs="Times New Roman"/>
          <w:sz w:val="24"/>
          <w:szCs w:val="24"/>
        </w:rPr>
        <w:t>Nzegwu</w:t>
      </w:r>
      <w:proofErr w:type="spellEnd"/>
      <w:r w:rsidRPr="003A77EB">
        <w:rPr>
          <w:rFonts w:ascii="Times New Roman" w:eastAsia="Times New Roman" w:hAnsi="Times New Roman" w:cs="Times New Roman"/>
          <w:sz w:val="24"/>
          <w:szCs w:val="24"/>
        </w:rPr>
        <w:t xml:space="preserve">, M. A., Okafor, O. C., &amp; Uche, E. O. (2023). Immunohistochemical patterns of pituitary adenomas in Southeastern Nigeria, a 10-year histopathologic review. Libyan Journal of Medicine. </w:t>
      </w:r>
      <w:hyperlink r:id="rId20" w:history="1">
        <w:r w:rsidRPr="008E5DBE">
          <w:rPr>
            <w:rStyle w:val="Hyperlink"/>
            <w:rFonts w:ascii="Times New Roman" w:eastAsia="Times New Roman" w:hAnsi="Times New Roman" w:cs="Times New Roman"/>
            <w:sz w:val="24"/>
            <w:szCs w:val="24"/>
          </w:rPr>
          <w:t>https://doi.org/10.1080/19932820.2023.2245587</w:t>
        </w:r>
      </w:hyperlink>
    </w:p>
    <w:p w14:paraId="6893EE51" w14:textId="785F158E"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Ramos, E. F. (2021). Actionable assessment of iron stores in blood donors. Hematology &amp; Transfusion International Journal. </w:t>
      </w:r>
      <w:hyperlink r:id="rId21" w:history="1">
        <w:r w:rsidRPr="008E5DBE">
          <w:rPr>
            <w:rStyle w:val="Hyperlink"/>
            <w:rFonts w:ascii="Times New Roman" w:eastAsia="Times New Roman" w:hAnsi="Times New Roman" w:cs="Times New Roman"/>
            <w:sz w:val="24"/>
            <w:szCs w:val="24"/>
          </w:rPr>
          <w:t>https://doi.org/10.15406/htij.2021.09.00250</w:t>
        </w:r>
      </w:hyperlink>
    </w:p>
    <w:p w14:paraId="15C2471A" w14:textId="0663F6DA"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Sab, P. C., Kaur, G., Kaur, P., </w:t>
      </w:r>
      <w:proofErr w:type="spellStart"/>
      <w:r w:rsidRPr="003A77EB">
        <w:rPr>
          <w:rFonts w:ascii="Times New Roman" w:eastAsia="Times New Roman" w:hAnsi="Times New Roman" w:cs="Times New Roman"/>
          <w:sz w:val="24"/>
          <w:szCs w:val="24"/>
        </w:rPr>
        <w:t>Tahlan</w:t>
      </w:r>
      <w:proofErr w:type="spellEnd"/>
      <w:r w:rsidRPr="003A77EB">
        <w:rPr>
          <w:rFonts w:ascii="Times New Roman" w:eastAsia="Times New Roman" w:hAnsi="Times New Roman" w:cs="Times New Roman"/>
          <w:sz w:val="24"/>
          <w:szCs w:val="24"/>
        </w:rPr>
        <w:t xml:space="preserve">, A., Bedi, R. K., Mittal, K., &amp; Sood, T. (2022). Assessment of serum iron stores in regular plateletpheresis donors. Transfusion and Apheresis Science, 61(1), 103291. </w:t>
      </w:r>
      <w:hyperlink r:id="rId22" w:history="1">
        <w:r w:rsidRPr="008E5DBE">
          <w:rPr>
            <w:rStyle w:val="Hyperlink"/>
            <w:rFonts w:ascii="Times New Roman" w:eastAsia="Times New Roman" w:hAnsi="Times New Roman" w:cs="Times New Roman"/>
            <w:sz w:val="24"/>
            <w:szCs w:val="24"/>
          </w:rPr>
          <w:t>https://doi.org/10.1016/j.transci.2021.103291</w:t>
        </w:r>
      </w:hyperlink>
    </w:p>
    <w:p w14:paraId="4D816FBD" w14:textId="3B77E920"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A77EB">
        <w:rPr>
          <w:rFonts w:ascii="Times New Roman" w:eastAsia="Times New Roman" w:hAnsi="Times New Roman" w:cs="Times New Roman"/>
          <w:sz w:val="24"/>
          <w:szCs w:val="24"/>
        </w:rPr>
        <w:t>Segbefia</w:t>
      </w:r>
      <w:proofErr w:type="spellEnd"/>
      <w:r w:rsidRPr="003A77EB">
        <w:rPr>
          <w:rFonts w:ascii="Times New Roman" w:eastAsia="Times New Roman" w:hAnsi="Times New Roman" w:cs="Times New Roman"/>
          <w:sz w:val="24"/>
          <w:szCs w:val="24"/>
        </w:rPr>
        <w:t xml:space="preserve">, C., </w:t>
      </w:r>
      <w:proofErr w:type="spellStart"/>
      <w:r w:rsidRPr="003A77EB">
        <w:rPr>
          <w:rFonts w:ascii="Times New Roman" w:eastAsia="Times New Roman" w:hAnsi="Times New Roman" w:cs="Times New Roman"/>
          <w:sz w:val="24"/>
          <w:szCs w:val="24"/>
        </w:rPr>
        <w:t>Telke</w:t>
      </w:r>
      <w:proofErr w:type="spellEnd"/>
      <w:r w:rsidRPr="003A77EB">
        <w:rPr>
          <w:rFonts w:ascii="Times New Roman" w:eastAsia="Times New Roman" w:hAnsi="Times New Roman" w:cs="Times New Roman"/>
          <w:sz w:val="24"/>
          <w:szCs w:val="24"/>
        </w:rPr>
        <w:t xml:space="preserve">, S., Olayemi, E., Ward, R., Asamoah-Akuoko, L., Appiah, S., </w:t>
      </w:r>
      <w:proofErr w:type="spellStart"/>
      <w:r w:rsidRPr="003A77EB">
        <w:rPr>
          <w:rFonts w:ascii="Times New Roman" w:eastAsia="Times New Roman" w:hAnsi="Times New Roman" w:cs="Times New Roman"/>
          <w:sz w:val="24"/>
          <w:szCs w:val="24"/>
        </w:rPr>
        <w:t>Yawson</w:t>
      </w:r>
      <w:proofErr w:type="spellEnd"/>
      <w:r w:rsidRPr="003A77EB">
        <w:rPr>
          <w:rFonts w:ascii="Times New Roman" w:eastAsia="Times New Roman" w:hAnsi="Times New Roman" w:cs="Times New Roman"/>
          <w:sz w:val="24"/>
          <w:szCs w:val="24"/>
        </w:rPr>
        <w:t xml:space="preserve">, R., Tancred, T., </w:t>
      </w:r>
      <w:proofErr w:type="spellStart"/>
      <w:r w:rsidRPr="003A77EB">
        <w:rPr>
          <w:rFonts w:ascii="Times New Roman" w:eastAsia="Times New Roman" w:hAnsi="Times New Roman" w:cs="Times New Roman"/>
          <w:sz w:val="24"/>
          <w:szCs w:val="24"/>
        </w:rPr>
        <w:t>Adu-Afarwuah</w:t>
      </w:r>
      <w:proofErr w:type="spellEnd"/>
      <w:r w:rsidRPr="003A77EB">
        <w:rPr>
          <w:rFonts w:ascii="Times New Roman" w:eastAsia="Times New Roman" w:hAnsi="Times New Roman" w:cs="Times New Roman"/>
          <w:sz w:val="24"/>
          <w:szCs w:val="24"/>
        </w:rPr>
        <w:t xml:space="preserve">, S., Kuma, A., Acquah, E., Ofori-Acquah, S., Adongo, P., </w:t>
      </w:r>
      <w:proofErr w:type="spellStart"/>
      <w:r w:rsidRPr="003A77EB">
        <w:rPr>
          <w:rFonts w:ascii="Times New Roman" w:eastAsia="Times New Roman" w:hAnsi="Times New Roman" w:cs="Times New Roman"/>
          <w:sz w:val="24"/>
          <w:szCs w:val="24"/>
        </w:rPr>
        <w:t>Ametorwo</w:t>
      </w:r>
      <w:proofErr w:type="spellEnd"/>
      <w:r w:rsidRPr="003A77EB">
        <w:rPr>
          <w:rFonts w:ascii="Times New Roman" w:eastAsia="Times New Roman" w:hAnsi="Times New Roman" w:cs="Times New Roman"/>
          <w:sz w:val="24"/>
          <w:szCs w:val="24"/>
        </w:rPr>
        <w:t>, B., Bates, I., Reilly, M., &amp; Dei-</w:t>
      </w:r>
      <w:proofErr w:type="spellStart"/>
      <w:r w:rsidRPr="003A77EB">
        <w:rPr>
          <w:rFonts w:ascii="Times New Roman" w:eastAsia="Times New Roman" w:hAnsi="Times New Roman" w:cs="Times New Roman"/>
          <w:sz w:val="24"/>
          <w:szCs w:val="24"/>
        </w:rPr>
        <w:t>Adomakoh</w:t>
      </w:r>
      <w:proofErr w:type="spellEnd"/>
      <w:r w:rsidRPr="003A77EB">
        <w:rPr>
          <w:rFonts w:ascii="Times New Roman" w:eastAsia="Times New Roman" w:hAnsi="Times New Roman" w:cs="Times New Roman"/>
          <w:sz w:val="24"/>
          <w:szCs w:val="24"/>
        </w:rPr>
        <w:t xml:space="preserve">, Y. (2025). Deferrals for low </w:t>
      </w:r>
      <w:proofErr w:type="spellStart"/>
      <w:r w:rsidRPr="003A77EB">
        <w:rPr>
          <w:rFonts w:ascii="Times New Roman" w:eastAsia="Times New Roman" w:hAnsi="Times New Roman" w:cs="Times New Roman"/>
          <w:sz w:val="24"/>
          <w:szCs w:val="24"/>
        </w:rPr>
        <w:t>haemoglobin</w:t>
      </w:r>
      <w:proofErr w:type="spellEnd"/>
      <w:r w:rsidRPr="003A77EB">
        <w:rPr>
          <w:rFonts w:ascii="Times New Roman" w:eastAsia="Times New Roman" w:hAnsi="Times New Roman" w:cs="Times New Roman"/>
          <w:sz w:val="24"/>
          <w:szCs w:val="24"/>
        </w:rPr>
        <w:t xml:space="preserve"> and </w:t>
      </w:r>
      <w:proofErr w:type="spellStart"/>
      <w:r w:rsidRPr="003A77EB">
        <w:rPr>
          <w:rFonts w:ascii="Times New Roman" w:eastAsia="Times New Roman" w:hAnsi="Times New Roman" w:cs="Times New Roman"/>
          <w:sz w:val="24"/>
          <w:szCs w:val="24"/>
        </w:rPr>
        <w:t>anaemia</w:t>
      </w:r>
      <w:proofErr w:type="spellEnd"/>
      <w:r w:rsidRPr="003A77EB">
        <w:rPr>
          <w:rFonts w:ascii="Times New Roman" w:eastAsia="Times New Roman" w:hAnsi="Times New Roman" w:cs="Times New Roman"/>
          <w:sz w:val="24"/>
          <w:szCs w:val="24"/>
        </w:rPr>
        <w:t xml:space="preserve"> among first-time prospective blood donors in Southern Ghana: Results from the BLOODSAFE Ghana—Iron and Nutritional Counselling Strategy Pilot (BLIS) Study. Advances in Hematology. </w:t>
      </w:r>
      <w:hyperlink r:id="rId23" w:history="1">
        <w:r w:rsidRPr="008E5DBE">
          <w:rPr>
            <w:rStyle w:val="Hyperlink"/>
            <w:rFonts w:ascii="Times New Roman" w:eastAsia="Times New Roman" w:hAnsi="Times New Roman" w:cs="Times New Roman"/>
            <w:sz w:val="24"/>
            <w:szCs w:val="24"/>
          </w:rPr>
          <w:t>https://doi.org/10.1155/ah/9971532</w:t>
        </w:r>
      </w:hyperlink>
    </w:p>
    <w:p w14:paraId="5DFCB593" w14:textId="11D7B8A4"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lastRenderedPageBreak/>
        <w:t xml:space="preserve">Słota, M., </w:t>
      </w:r>
      <w:proofErr w:type="spellStart"/>
      <w:r w:rsidRPr="003A77EB">
        <w:rPr>
          <w:rFonts w:ascii="Times New Roman" w:eastAsia="Times New Roman" w:hAnsi="Times New Roman" w:cs="Times New Roman"/>
          <w:sz w:val="24"/>
          <w:szCs w:val="24"/>
        </w:rPr>
        <w:t>Wąsik</w:t>
      </w:r>
      <w:proofErr w:type="spellEnd"/>
      <w:r w:rsidRPr="003A77EB">
        <w:rPr>
          <w:rFonts w:ascii="Times New Roman" w:eastAsia="Times New Roman" w:hAnsi="Times New Roman" w:cs="Times New Roman"/>
          <w:sz w:val="24"/>
          <w:szCs w:val="24"/>
        </w:rPr>
        <w:t xml:space="preserve">, M., </w:t>
      </w:r>
      <w:proofErr w:type="spellStart"/>
      <w:r w:rsidRPr="003A77EB">
        <w:rPr>
          <w:rFonts w:ascii="Times New Roman" w:eastAsia="Times New Roman" w:hAnsi="Times New Roman" w:cs="Times New Roman"/>
          <w:sz w:val="24"/>
          <w:szCs w:val="24"/>
        </w:rPr>
        <w:t>Stołtny</w:t>
      </w:r>
      <w:proofErr w:type="spellEnd"/>
      <w:r w:rsidRPr="003A77EB">
        <w:rPr>
          <w:rFonts w:ascii="Times New Roman" w:eastAsia="Times New Roman" w:hAnsi="Times New Roman" w:cs="Times New Roman"/>
          <w:sz w:val="24"/>
          <w:szCs w:val="24"/>
        </w:rPr>
        <w:t xml:space="preserve">, P., </w:t>
      </w:r>
      <w:proofErr w:type="spellStart"/>
      <w:r w:rsidRPr="003A77EB">
        <w:rPr>
          <w:rFonts w:ascii="Times New Roman" w:eastAsia="Times New Roman" w:hAnsi="Times New Roman" w:cs="Times New Roman"/>
          <w:sz w:val="24"/>
          <w:szCs w:val="24"/>
        </w:rPr>
        <w:t>Machoń-Grecka</w:t>
      </w:r>
      <w:proofErr w:type="spellEnd"/>
      <w:r w:rsidRPr="003A77EB">
        <w:rPr>
          <w:rFonts w:ascii="Times New Roman" w:eastAsia="Times New Roman" w:hAnsi="Times New Roman" w:cs="Times New Roman"/>
          <w:sz w:val="24"/>
          <w:szCs w:val="24"/>
        </w:rPr>
        <w:t xml:space="preserve">, A., &amp; </w:t>
      </w:r>
      <w:proofErr w:type="spellStart"/>
      <w:r w:rsidRPr="003A77EB">
        <w:rPr>
          <w:rFonts w:ascii="Times New Roman" w:eastAsia="Times New Roman" w:hAnsi="Times New Roman" w:cs="Times New Roman"/>
          <w:sz w:val="24"/>
          <w:szCs w:val="24"/>
        </w:rPr>
        <w:t>Kasperczyk</w:t>
      </w:r>
      <w:proofErr w:type="spellEnd"/>
      <w:r w:rsidRPr="003A77EB">
        <w:rPr>
          <w:rFonts w:ascii="Times New Roman" w:eastAsia="Times New Roman" w:hAnsi="Times New Roman" w:cs="Times New Roman"/>
          <w:sz w:val="24"/>
          <w:szCs w:val="24"/>
        </w:rPr>
        <w:t xml:space="preserve">, A. (2021). Effects of environmental and occupational lead toxicity and its association with iron metabolism. Toxicology and Applied Pharmacology. </w:t>
      </w:r>
      <w:hyperlink r:id="rId24" w:history="1">
        <w:r w:rsidRPr="008E5DBE">
          <w:rPr>
            <w:rStyle w:val="Hyperlink"/>
            <w:rFonts w:ascii="Times New Roman" w:eastAsia="Times New Roman" w:hAnsi="Times New Roman" w:cs="Times New Roman"/>
            <w:sz w:val="24"/>
            <w:szCs w:val="24"/>
          </w:rPr>
          <w:t>https://doi.org/10.1016/j.taap.2021.115794</w:t>
        </w:r>
      </w:hyperlink>
    </w:p>
    <w:p w14:paraId="5516D498" w14:textId="4C3A23A8"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Spencer, B. R., &amp; Mast, A. E. (2022). Iron status of blood donors. Current Opinion in Hematology. </w:t>
      </w:r>
      <w:hyperlink r:id="rId25" w:history="1">
        <w:r w:rsidRPr="008E5DBE">
          <w:rPr>
            <w:rStyle w:val="Hyperlink"/>
            <w:rFonts w:ascii="Times New Roman" w:eastAsia="Times New Roman" w:hAnsi="Times New Roman" w:cs="Times New Roman"/>
            <w:sz w:val="24"/>
            <w:szCs w:val="24"/>
          </w:rPr>
          <w:t>https://doi.org/10.1097/MOH.0000000000000733</w:t>
        </w:r>
      </w:hyperlink>
    </w:p>
    <w:p w14:paraId="4CFCD7B8" w14:textId="1E453F9B" w:rsidR="001F3592" w:rsidRPr="003A77EB" w:rsidRDefault="003A77EB" w:rsidP="003A77EB">
      <w:pPr>
        <w:pStyle w:val="ListParagraph"/>
        <w:numPr>
          <w:ilvl w:val="0"/>
          <w:numId w:val="2"/>
        </w:numPr>
        <w:spacing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World Health Organization. (2010). Towards 100% voluntary blood donation: A global framework for action. World Health Organization. </w:t>
      </w:r>
      <w:hyperlink r:id="rId26" w:history="1">
        <w:r w:rsidRPr="003A77EB">
          <w:rPr>
            <w:rStyle w:val="Hyperlink"/>
            <w:rFonts w:ascii="Times New Roman" w:eastAsia="Times New Roman" w:hAnsi="Times New Roman" w:cs="Times New Roman"/>
            <w:sz w:val="24"/>
            <w:szCs w:val="24"/>
          </w:rPr>
          <w:t>http://apps.who.int/iris/handle/10665/44359</w:t>
        </w:r>
      </w:hyperlink>
    </w:p>
    <w:p w14:paraId="27311E5C" w14:textId="77777777" w:rsidR="003A77EB" w:rsidRDefault="003A77EB">
      <w:pPr>
        <w:spacing w:line="360" w:lineRule="auto"/>
        <w:jc w:val="both"/>
        <w:rPr>
          <w:rFonts w:ascii="Times New Roman" w:hAnsi="Times New Roman" w:cs="Times New Roman"/>
          <w:b/>
          <w:sz w:val="24"/>
          <w:szCs w:val="24"/>
        </w:rPr>
      </w:pPr>
    </w:p>
    <w:sectPr w:rsidR="003A77EB">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120B1" w14:textId="77777777" w:rsidR="00A761D5" w:rsidRDefault="00A761D5" w:rsidP="005A355F">
      <w:pPr>
        <w:spacing w:after="0" w:line="240" w:lineRule="auto"/>
      </w:pPr>
      <w:r>
        <w:separator/>
      </w:r>
    </w:p>
  </w:endnote>
  <w:endnote w:type="continuationSeparator" w:id="0">
    <w:p w14:paraId="5D09C8CC" w14:textId="77777777" w:rsidR="00A761D5" w:rsidRDefault="00A761D5" w:rsidP="005A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FF8BD" w14:textId="77777777" w:rsidR="005A355F" w:rsidRDefault="005A3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6EE1C" w14:textId="77777777" w:rsidR="005A355F" w:rsidRDefault="005A3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496C" w14:textId="77777777" w:rsidR="005A355F" w:rsidRDefault="005A3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94095" w14:textId="77777777" w:rsidR="00A761D5" w:rsidRDefault="00A761D5" w:rsidP="005A355F">
      <w:pPr>
        <w:spacing w:after="0" w:line="240" w:lineRule="auto"/>
      </w:pPr>
      <w:r>
        <w:separator/>
      </w:r>
    </w:p>
  </w:footnote>
  <w:footnote w:type="continuationSeparator" w:id="0">
    <w:p w14:paraId="1E9856A3" w14:textId="77777777" w:rsidR="00A761D5" w:rsidRDefault="00A761D5" w:rsidP="005A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7E64" w14:textId="78A8F56C" w:rsidR="005A355F" w:rsidRDefault="005A355F">
    <w:pPr>
      <w:pStyle w:val="Header"/>
    </w:pPr>
    <w:r>
      <w:rPr>
        <w:noProof/>
      </w:rPr>
      <w:pict w14:anchorId="78E15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84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FB435" w14:textId="43170A70" w:rsidR="005A355F" w:rsidRDefault="005A355F">
    <w:pPr>
      <w:pStyle w:val="Header"/>
    </w:pPr>
    <w:r>
      <w:rPr>
        <w:noProof/>
      </w:rPr>
      <w:pict w14:anchorId="2B60F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84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3743" w14:textId="32B99330" w:rsidR="005A355F" w:rsidRDefault="005A355F">
    <w:pPr>
      <w:pStyle w:val="Header"/>
    </w:pPr>
    <w:r>
      <w:rPr>
        <w:noProof/>
      </w:rPr>
      <w:pict w14:anchorId="0DACA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84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82AD4"/>
    <w:multiLevelType w:val="hybridMultilevel"/>
    <w:tmpl w:val="9ECA2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85003"/>
    <w:multiLevelType w:val="multilevel"/>
    <w:tmpl w:val="10B8D6F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92"/>
    <w:rsid w:val="000B3826"/>
    <w:rsid w:val="001F3592"/>
    <w:rsid w:val="003A77EB"/>
    <w:rsid w:val="004E002E"/>
    <w:rsid w:val="005A355F"/>
    <w:rsid w:val="0089279A"/>
    <w:rsid w:val="00A37E31"/>
    <w:rsid w:val="00A761D5"/>
    <w:rsid w:val="00C26ADA"/>
    <w:rsid w:val="00DD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84FB4C"/>
  <w15:docId w15:val="{8995B8DB-8AFF-4219-8560-3D7AC01A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style>
  <w:style w:type="paragraph" w:customStyle="1" w:styleId="not-prose">
    <w:name w:val="not-pros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pPr>
      <w:spacing w:after="0" w:line="240" w:lineRule="auto"/>
    </w:pPr>
    <w:rPr>
      <w:rFonts w:eastAsia="Times New Roman"/>
      <w:kern w:val="2"/>
      <w:sz w:val="24"/>
      <w:szCs w:val="24"/>
      <w14:ligatures w14:val="standardContextual"/>
    </w:rPr>
    <w:tblPr>
      <w:tblCellMar>
        <w:top w:w="0" w:type="dxa"/>
        <w:left w:w="0" w:type="dxa"/>
        <w:bottom w:w="0" w:type="dxa"/>
        <w:right w:w="0" w:type="dxa"/>
      </w:tblCellMar>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26ADA"/>
    <w:rPr>
      <w:color w:val="605E5C"/>
      <w:shd w:val="clear" w:color="auto" w:fill="E1DFDD"/>
    </w:rPr>
  </w:style>
  <w:style w:type="paragraph" w:styleId="ListParagraph">
    <w:name w:val="List Paragraph"/>
    <w:basedOn w:val="Normal"/>
    <w:uiPriority w:val="34"/>
    <w:qFormat/>
    <w:rsid w:val="003A77EB"/>
    <w:pPr>
      <w:ind w:left="720"/>
      <w:contextualSpacing/>
    </w:pPr>
  </w:style>
  <w:style w:type="paragraph" w:styleId="Header">
    <w:name w:val="header"/>
    <w:basedOn w:val="Normal"/>
    <w:link w:val="HeaderChar"/>
    <w:uiPriority w:val="99"/>
    <w:unhideWhenUsed/>
    <w:rsid w:val="005A3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55F"/>
  </w:style>
  <w:style w:type="paragraph" w:styleId="Footer">
    <w:name w:val="footer"/>
    <w:basedOn w:val="Normal"/>
    <w:link w:val="FooterChar"/>
    <w:uiPriority w:val="99"/>
    <w:unhideWhenUsed/>
    <w:rsid w:val="005A3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21767/AMJ.2018.3375" TargetMode="External"/><Relationship Id="rId18" Type="http://schemas.openxmlformats.org/officeDocument/2006/relationships/hyperlink" Target="https://doi.org/10.21203/rs.3.rs-2195667/v1" TargetMode="External"/><Relationship Id="rId26" Type="http://schemas.openxmlformats.org/officeDocument/2006/relationships/hyperlink" Target="http://apps.who.int/iris/handle/10665/44359" TargetMode="External"/><Relationship Id="rId3" Type="http://schemas.openxmlformats.org/officeDocument/2006/relationships/settings" Target="settings.xml"/><Relationship Id="rId21" Type="http://schemas.openxmlformats.org/officeDocument/2006/relationships/hyperlink" Target="https://doi.org/10.15406/htij.2021.09.00250" TargetMode="Externa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doi.org/10.1007/s12011-024-04163-y" TargetMode="External"/><Relationship Id="rId17" Type="http://schemas.openxmlformats.org/officeDocument/2006/relationships/hyperlink" Target="https://doi.org/10.1111/trf.13469" TargetMode="External"/><Relationship Id="rId25" Type="http://schemas.openxmlformats.org/officeDocument/2006/relationships/hyperlink" Target="https://doi.org/10.1097/MOH.000000000000073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cll.2014.10.011" TargetMode="External"/><Relationship Id="rId20" Type="http://schemas.openxmlformats.org/officeDocument/2006/relationships/hyperlink" Target="https://doi.org/10.1080/19932820.2023.2245587"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755-023-00257-4" TargetMode="External"/><Relationship Id="rId24" Type="http://schemas.openxmlformats.org/officeDocument/2006/relationships/hyperlink" Target="https://doi.org/10.1016/j.taap.2021.115794"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blre.2024.101227" TargetMode="External"/><Relationship Id="rId23" Type="http://schemas.openxmlformats.org/officeDocument/2006/relationships/hyperlink" Target="https://doi.org/10.1155/ah/9971532" TargetMode="External"/><Relationship Id="rId28" Type="http://schemas.openxmlformats.org/officeDocument/2006/relationships/header" Target="header2.xml"/><Relationship Id="rId10" Type="http://schemas.openxmlformats.org/officeDocument/2006/relationships/hyperlink" Target="https://doi.org/10.4236/ojbd.2023.132008" TargetMode="External"/><Relationship Id="rId19" Type="http://schemas.openxmlformats.org/officeDocument/2006/relationships/hyperlink" Target="https://doi.org/10.26717/BJSTR.2021.33.005435"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89/fpubh.2024.1357588" TargetMode="External"/><Relationship Id="rId22" Type="http://schemas.openxmlformats.org/officeDocument/2006/relationships/hyperlink" Target="https://doi.org/10.1016/j.transci.2021.10329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18</Pages>
  <Words>4284</Words>
  <Characters>24422</Characters>
  <Application>Microsoft Office Word</Application>
  <DocSecurity>0</DocSecurity>
  <Lines>203</Lines>
  <Paragraphs>57</Paragraphs>
  <ScaleCrop>false</ScaleCrop>
  <Company/>
  <LinksUpToDate>false</LinksUpToDate>
  <CharactersWithSpaces>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SDI 1084</cp:lastModifiedBy>
  <cp:revision>9</cp:revision>
  <dcterms:created xsi:type="dcterms:W3CDTF">2025-11-27T19:40:00Z</dcterms:created>
  <dcterms:modified xsi:type="dcterms:W3CDTF">2025-12-04T11:44:00Z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575ca552f8bd4d4dbf5973f75babca7d</vt:lpwstr>
  </property>
</Properties>
</file>