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D6294" w14:textId="60B5EDE8" w:rsidR="00794C24" w:rsidRPr="000C4221" w:rsidRDefault="000C4221">
      <w:pPr>
        <w:widowControl w:val="0"/>
        <w:pBdr>
          <w:top w:val="nil"/>
          <w:left w:val="nil"/>
          <w:bottom w:val="nil"/>
          <w:right w:val="nil"/>
          <w:between w:val="nil"/>
        </w:pBdr>
        <w:spacing w:line="276" w:lineRule="auto"/>
        <w:rPr>
          <w:u w:val="single"/>
        </w:rPr>
      </w:pPr>
      <w:r w:rsidRPr="000C4221">
        <w:rPr>
          <w:u w:val="single"/>
        </w:rPr>
        <w:t>Short Research Article</w:t>
      </w:r>
    </w:p>
    <w:p w14:paraId="53FBA7E6" w14:textId="77777777" w:rsidR="00794C24" w:rsidRDefault="00794C24">
      <w:pPr>
        <w:pStyle w:val="Title"/>
        <w:spacing w:after="0"/>
        <w:jc w:val="both"/>
        <w:rPr>
          <w:rFonts w:ascii="Arial" w:eastAsia="Arial" w:hAnsi="Arial" w:cs="Arial"/>
        </w:rPr>
      </w:pPr>
    </w:p>
    <w:p w14:paraId="7864FE1D" w14:textId="77777777" w:rsidR="00794C24" w:rsidRDefault="00DB57F8">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Morphological Variation, Ecological Adaptation, and Folk Classification of Ethiopian Sorghum (Sorghum bicolor) Landraces: A Comparative Analysis of Statistical Clustering and Traditional Taxonomy</w:t>
      </w:r>
    </w:p>
    <w:p w14:paraId="55759D63" w14:textId="77777777" w:rsidR="00794C24" w:rsidRDefault="00DB57F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 </w:t>
      </w:r>
    </w:p>
    <w:p w14:paraId="54E7DC1A" w14:textId="77777777" w:rsidR="005B700B" w:rsidRDefault="005B700B">
      <w:pPr>
        <w:pBdr>
          <w:top w:val="nil"/>
          <w:left w:val="nil"/>
          <w:bottom w:val="nil"/>
          <w:right w:val="nil"/>
          <w:between w:val="nil"/>
        </w:pBdr>
        <w:jc w:val="right"/>
        <w:rPr>
          <w:rFonts w:ascii="Arial" w:eastAsia="Arial" w:hAnsi="Arial" w:cs="Arial"/>
          <w:i/>
          <w:iCs/>
          <w:color w:val="000000"/>
        </w:rPr>
      </w:pPr>
    </w:p>
    <w:p w14:paraId="4A6AD8D4" w14:textId="77777777" w:rsidR="00794C24" w:rsidRDefault="00794C24">
      <w:pPr>
        <w:pBdr>
          <w:top w:val="nil"/>
          <w:left w:val="nil"/>
          <w:bottom w:val="nil"/>
          <w:right w:val="nil"/>
          <w:between w:val="nil"/>
        </w:pBdr>
        <w:jc w:val="both"/>
        <w:rPr>
          <w:rFonts w:ascii="Arial" w:eastAsia="Arial" w:hAnsi="Arial" w:cs="Arial"/>
          <w:color w:val="000000"/>
        </w:rPr>
      </w:pPr>
    </w:p>
    <w:p w14:paraId="000D1D74" w14:textId="77777777" w:rsidR="00794C24" w:rsidRDefault="00794C24">
      <w:pPr>
        <w:pBdr>
          <w:top w:val="nil"/>
          <w:left w:val="nil"/>
          <w:bottom w:val="nil"/>
          <w:right w:val="nil"/>
          <w:between w:val="nil"/>
        </w:pBdr>
        <w:jc w:val="both"/>
        <w:rPr>
          <w:rFonts w:ascii="Arial" w:eastAsia="Arial" w:hAnsi="Arial" w:cs="Arial"/>
          <w:color w:val="000000"/>
        </w:rPr>
      </w:pPr>
    </w:p>
    <w:p w14:paraId="122F95DA" w14:textId="77777777" w:rsidR="00794C24" w:rsidRDefault="00DB57F8">
      <w:pPr>
        <w:pBdr>
          <w:top w:val="nil"/>
          <w:left w:val="nil"/>
          <w:bottom w:val="nil"/>
          <w:right w:val="nil"/>
          <w:between w:val="nil"/>
        </w:pBdr>
        <w:jc w:val="both"/>
        <w:rPr>
          <w:rFonts w:ascii="Arial" w:eastAsia="Arial" w:hAnsi="Arial" w:cs="Arial"/>
          <w:color w:val="000000"/>
          <w:sz w:val="16"/>
          <w:szCs w:val="16"/>
        </w:rPr>
        <w:sectPr w:rsidR="00794C24" w:rsidSect="00816EB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278D307" wp14:editId="60447AA6">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6949434" w14:textId="77777777" w:rsidR="00794C24" w:rsidRDefault="00DB57F8">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ABSTRACT </w:t>
      </w:r>
      <w:r>
        <w:rPr>
          <w:rFonts w:ascii="Arial" w:eastAsia="Arial" w:hAnsi="Arial" w:cs="Arial"/>
          <w:b/>
          <w:bCs/>
          <w:smallCaps/>
          <w:sz w:val="22"/>
          <w:szCs w:val="22"/>
        </w:rPr>
        <w:br/>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94C24" w14:paraId="096BFD61" w14:textId="77777777">
        <w:tc>
          <w:tcPr>
            <w:tcW w:w="8424" w:type="dxa"/>
            <w:shd w:val="clear" w:color="auto" w:fill="F2F2F2"/>
          </w:tcPr>
          <w:p w14:paraId="4D066560" w14:textId="77777777" w:rsidR="00794C24" w:rsidRDefault="00DB57F8">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rPr>
              <w:t xml:space="preserve">Sorghum (Sorghum bicolor), a cornerstone of food security in Ethiopia, exhibits remarkable morphological diversity shaped by agroecological factors and traditional farming practices. This study investigates how altitude and environmental conditions influence morphological traits in Ethiopian sorghum landraces and evaluates the alignment between farmers’ folk classifications and statistical clustering methods. Using datasets from Abdi et al. (2002) and Teshome et al. (1997), we analyzed 14 qualitative traits—including panicle compactness, stalk juiciness, and grain color—across altitude gradients (1,500–2,000 </w:t>
            </w:r>
            <w:proofErr w:type="spellStart"/>
            <w:r>
              <w:rPr>
                <w:rFonts w:ascii="Arial" w:eastAsia="Arial" w:hAnsi="Arial" w:cs="Arial"/>
              </w:rPr>
              <w:t>m.a.s.l</w:t>
            </w:r>
            <w:proofErr w:type="spellEnd"/>
            <w:r>
              <w:rPr>
                <w:rFonts w:ascii="Arial" w:eastAsia="Arial" w:hAnsi="Arial" w:cs="Arial"/>
              </w:rPr>
              <w:t xml:space="preserve">.) in North Shewa and South Welo. Canonical discriminant analysis (CDA) and hierarchical clustering were employed to derive statistical groupings, which were compared with traditional folk taxonomy. Results revealed altitude-driven trait adaptation: high-altitude landraces (&gt;1,800 </w:t>
            </w:r>
            <w:proofErr w:type="spellStart"/>
            <w:r>
              <w:rPr>
                <w:rFonts w:ascii="Arial" w:eastAsia="Arial" w:hAnsi="Arial" w:cs="Arial"/>
              </w:rPr>
              <w:t>m.a.s.l</w:t>
            </w:r>
            <w:proofErr w:type="spellEnd"/>
            <w:r>
              <w:rPr>
                <w:rFonts w:ascii="Arial" w:eastAsia="Arial" w:hAnsi="Arial" w:cs="Arial"/>
              </w:rPr>
              <w:t xml:space="preserve">.) predominantly exhibited compact panicles (33%) and non-juicy stalks (100%), likely mitigating frost risk, while lowland variants (&lt;1,500 </w:t>
            </w:r>
            <w:proofErr w:type="spellStart"/>
            <w:r>
              <w:rPr>
                <w:rFonts w:ascii="Arial" w:eastAsia="Arial" w:hAnsi="Arial" w:cs="Arial"/>
              </w:rPr>
              <w:t>m.a.s.l</w:t>
            </w:r>
            <w:proofErr w:type="spellEnd"/>
            <w:r>
              <w:rPr>
                <w:rFonts w:ascii="Arial" w:eastAsia="Arial" w:hAnsi="Arial" w:cs="Arial"/>
              </w:rPr>
              <w:t xml:space="preserve">.) displayed looser panicles (25%) and juicier stalks (54%) for drought resilience. Shannon diversity indices highlighted significant trait variation (mean H’ = 0.77), with peduncle shape being most diverse (H’ = 0.98). Statistical clusters aligned with farmers’ classifications in 72% of cases, particularly for races like Durra (compact panicles) and Caudatum (semi-compact panicles). Discrepancies arose in intermediate traits, underscoring the complementary roles of quantitative and traditional systems. This study pioneers an integrated classification framework merging statistical clusters (e.g., altitude-specific Durra) with folk taxonomy (e.g., drought-tolerant “Wegere”), offering actionable insights for conservation and breeding. Recommendations include prioritizing in-situ preservation of high-diversity ecotypes and participatory breeding programs leveraging farmers’ knowledge. By bridging quantitative analysis with indigenous wisdom, this work advances strategies to enhance sorghum resilience and sustain Ethiopia’s </w:t>
            </w:r>
            <w:proofErr w:type="spellStart"/>
            <w:r>
              <w:rPr>
                <w:rFonts w:ascii="Arial" w:eastAsia="Arial" w:hAnsi="Arial" w:cs="Arial"/>
              </w:rPr>
              <w:t>agro</w:t>
            </w:r>
            <w:proofErr w:type="spellEnd"/>
            <w:r>
              <w:rPr>
                <w:rFonts w:ascii="Arial" w:eastAsia="Arial" w:hAnsi="Arial" w:cs="Arial"/>
              </w:rPr>
              <w:t>-biodiversity amidst climatic challenges.</w:t>
            </w:r>
          </w:p>
        </w:tc>
      </w:tr>
    </w:tbl>
    <w:p w14:paraId="0EE41C20" w14:textId="77777777" w:rsidR="00794C24" w:rsidRDefault="00794C24">
      <w:pPr>
        <w:pBdr>
          <w:top w:val="nil"/>
          <w:left w:val="nil"/>
          <w:bottom w:val="nil"/>
          <w:right w:val="nil"/>
          <w:between w:val="nil"/>
        </w:pBdr>
        <w:jc w:val="both"/>
        <w:rPr>
          <w:rFonts w:ascii="Arial" w:eastAsia="Arial" w:hAnsi="Arial" w:cs="Arial"/>
          <w:i/>
          <w:iCs/>
          <w:color w:val="000000"/>
        </w:rPr>
      </w:pPr>
    </w:p>
    <w:p w14:paraId="6017BFB4" w14:textId="77777777" w:rsidR="00794C24" w:rsidRDefault="00DB57F8">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Agroecology, Altitude adaptation, Folk taxonomy, Morphological traits, Sorghum bicolor, Statistical clustering.</w:t>
      </w:r>
    </w:p>
    <w:p w14:paraId="0A22528E" w14:textId="77777777" w:rsidR="00794C24" w:rsidRDefault="00794C24">
      <w:pPr>
        <w:pBdr>
          <w:top w:val="nil"/>
          <w:left w:val="nil"/>
          <w:bottom w:val="nil"/>
          <w:right w:val="nil"/>
          <w:between w:val="nil"/>
        </w:pBdr>
        <w:jc w:val="both"/>
        <w:rPr>
          <w:rFonts w:ascii="Arial" w:eastAsia="Arial" w:hAnsi="Arial" w:cs="Arial"/>
          <w:i/>
          <w:iCs/>
          <w:color w:val="000000"/>
        </w:rPr>
      </w:pPr>
    </w:p>
    <w:p w14:paraId="61C5D638" w14:textId="77777777" w:rsidR="00794C24" w:rsidRDefault="00DB57F8">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r>
        <w:rPr>
          <w:rFonts w:ascii="Arial" w:eastAsia="Arial" w:hAnsi="Arial" w:cs="Arial"/>
          <w:b/>
          <w:bCs/>
          <w:smallCaps/>
          <w:color w:val="000000"/>
          <w:sz w:val="22"/>
          <w:szCs w:val="22"/>
        </w:rPr>
        <w:br/>
      </w:r>
    </w:p>
    <w:p w14:paraId="7DB80ADE" w14:textId="77777777" w:rsidR="00794C24" w:rsidRDefault="00DB57F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1.1. Background and Significance</w:t>
      </w:r>
    </w:p>
    <w:p w14:paraId="1885CF67"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 xml:space="preserve">Sorghum is one of most produced cereals in the world and is a source of nutrients and bioactive compounds for the human diet.[1]. Sorghum is one of Ethiopia's most dependable, stable and </w:t>
      </w:r>
      <w:r>
        <w:rPr>
          <w:rFonts w:ascii="Arial" w:eastAsia="Arial" w:hAnsi="Arial" w:cs="Arial"/>
        </w:rPr>
        <w:lastRenderedPageBreak/>
        <w:t xml:space="preserve">varied food crops [Sorghum bicolor (L.) Moench; 2n = 20]. Sorghum ranks as the world's fifth most important cereal crop, behind maize, rice, wheat, and barley [2]. Sorghum is a staple food crop for millions of the most food-insecure poorest people in the semi-arid tropics of Africa, South Asia and Central America (Leff et al., 2004). Sorghum is famous for its strong stress resistances and wide adaptability, and salt tolerance is one of its main characteristics (Igartua et al. 1994). It is the third most productive cereal in terms of acreage. It is becoming more and more important as a source of food for rural inhabitants, feed for an increasing number of cows, and a raw material for construction and industry. Furthermore, in the current scarcity issue, sorghum is the backbone of dryland agriculture due to its status as a C4 plant. Sorghum is mostly a monocotyledon crop that self-pollinates; depending on the type of panicle, spontaneous cross-pollination levels can range from 5 to 30% [3]. Sorghum is widely cultivated across diverse agroecological zones, from lowland semi-arid regions to highland plateaus, where it has adapted to a range of environmental conditions. The crop exhibits extensive morphological diversity, influenced by genetic variation and environmental factors such as soil type, moisture availability, and altitude [4][5]. In Africa, sorghum is the second most widely cultivated cereal crop, only surpassed by maize [6] Exploration of the genome-environment association (GEA) is important for identifying adaptive loci and predicting phenotypic variation. The current study aimed to better understand the GEA of a large collection of Ethiopian sorghum landraces (n = 940), characterized with genome-wide SNP markers, to investigate key traits related to adaptation to temperature, precipitation and altitude. [7] Sorghum is the most important staple crop in Ethiopia. It is grown on 1,468,070 ha with a total production of 2,173,598 Mt [8]. It accounts for 14.2% and 13.6% of the crop area and production respectively. Ethiopia is the </w:t>
      </w:r>
      <w:proofErr w:type="spellStart"/>
      <w:r>
        <w:rPr>
          <w:rFonts w:ascii="Arial" w:eastAsia="Arial" w:hAnsi="Arial" w:cs="Arial"/>
        </w:rPr>
        <w:t>centre</w:t>
      </w:r>
      <w:proofErr w:type="spellEnd"/>
      <w:r>
        <w:rPr>
          <w:rFonts w:ascii="Arial" w:eastAsia="Arial" w:hAnsi="Arial" w:cs="Arial"/>
        </w:rPr>
        <w:t xml:space="preserve"> of origin and diversity for sorghum [9] </w:t>
      </w:r>
    </w:p>
    <w:p w14:paraId="6072537F" w14:textId="77777777" w:rsidR="00794C24" w:rsidRDefault="00794C24">
      <w:pPr>
        <w:pBdr>
          <w:top w:val="nil"/>
          <w:left w:val="nil"/>
          <w:bottom w:val="nil"/>
          <w:right w:val="nil"/>
          <w:between w:val="nil"/>
        </w:pBdr>
        <w:jc w:val="both"/>
        <w:rPr>
          <w:rFonts w:ascii="Arial" w:eastAsia="Arial" w:hAnsi="Arial" w:cs="Arial"/>
          <w:b/>
          <w:bCs/>
        </w:rPr>
      </w:pPr>
    </w:p>
    <w:p w14:paraId="1CFA0801" w14:textId="77777777" w:rsidR="00794C24" w:rsidRDefault="00DB57F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1.2. Research Gap</w:t>
      </w:r>
    </w:p>
    <w:p w14:paraId="3F11D22C"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Although previous studies (e.g., Abdi et al., 2002; Teshome et al., 1997) have extensively documented the morphological diversity of Ethiopian sorghum landraces across broad ecological regions, they have not specifically dissected how altitude and other agroecological factors drive the distribution of key morphological traits. Moreover, while farmers have long relied on folk taxonomy to classify sorghum based on observable features such as panicle shape, grain color, and stalk juiciness, there is limited research comparing these traditional classifications with groupings derived from modern statistical clustering methods. This gap restricts our ability to develop integrated classification frameworks that harness both indigenous knowledge and quantitative analysis, which is critical for designing targeted breeding programs and conservation strategies. Addressing this gap will provide a more nuanced understanding of the adaptive significance of sorghum traits in relation to environmental gradients, ultimately supporting sustainable sorghum cultivation in Ethiopia.</w:t>
      </w:r>
    </w:p>
    <w:p w14:paraId="29B8CA96" w14:textId="77777777" w:rsidR="00794C24" w:rsidRDefault="00794C24">
      <w:pPr>
        <w:pBdr>
          <w:top w:val="nil"/>
          <w:left w:val="nil"/>
          <w:bottom w:val="nil"/>
          <w:right w:val="nil"/>
          <w:between w:val="nil"/>
        </w:pBdr>
        <w:jc w:val="both"/>
        <w:rPr>
          <w:rFonts w:ascii="Arial" w:eastAsia="Arial" w:hAnsi="Arial" w:cs="Arial"/>
          <w:b/>
          <w:bCs/>
          <w:sz w:val="22"/>
          <w:szCs w:val="22"/>
        </w:rPr>
      </w:pPr>
    </w:p>
    <w:p w14:paraId="3140A5D9" w14:textId="77777777" w:rsidR="00794C24" w:rsidRDefault="00DB57F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1.3. Research Objective</w:t>
      </w:r>
    </w:p>
    <w:p w14:paraId="18274901"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This study aims to quantitatively determine how altitude and agroecological factors shape the distribution of key morphological traits (such as panicle shape, grain color, and stalk juiciness) in Ethiopian sorghum landraces. By analyzing existing datasets from Abdi et al. (2002) and Teshome et al. (1997), the research will compare statistical clusters derived via canonical discriminant analysis and hierarchical clustering with farmers’ traditional classification systems. The ultimate goal is to develop an integrated classification framework that enhances targeted conservation and breeding strategies for sorghum in Ethiopia.</w:t>
      </w:r>
    </w:p>
    <w:p w14:paraId="362876AB" w14:textId="77777777" w:rsidR="00794C24" w:rsidRDefault="00794C24">
      <w:pPr>
        <w:pBdr>
          <w:top w:val="nil"/>
          <w:left w:val="nil"/>
          <w:bottom w:val="nil"/>
          <w:right w:val="nil"/>
          <w:between w:val="nil"/>
        </w:pBdr>
        <w:jc w:val="both"/>
        <w:rPr>
          <w:rFonts w:ascii="Arial" w:eastAsia="Arial" w:hAnsi="Arial" w:cs="Arial"/>
        </w:rPr>
      </w:pPr>
    </w:p>
    <w:p w14:paraId="495D46A7"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b/>
          <w:bCs/>
          <w:i/>
          <w:iCs/>
        </w:rPr>
        <w:t>Research Question:</w:t>
      </w:r>
      <w:r>
        <w:rPr>
          <w:rFonts w:ascii="Arial" w:eastAsia="Arial" w:hAnsi="Arial" w:cs="Arial"/>
        </w:rPr>
        <w:t xml:space="preserve"> How do altitude and agroecological conditions influence the morphological diversity of Ethiopian sorghum landraces, and to what extent do farmers' traditional classification systems correspond with statistical clusters derived from quantitative analyses and additional data sources, ultimately enabling the development of an integrated classification framework for sorghum conservation and breeding?</w:t>
      </w:r>
    </w:p>
    <w:p w14:paraId="1A6C47EA" w14:textId="77777777" w:rsidR="00794C24" w:rsidRDefault="00794C24">
      <w:pPr>
        <w:pBdr>
          <w:top w:val="nil"/>
          <w:left w:val="nil"/>
          <w:bottom w:val="nil"/>
          <w:right w:val="nil"/>
          <w:between w:val="nil"/>
        </w:pBdr>
        <w:jc w:val="both"/>
        <w:rPr>
          <w:rFonts w:ascii="Arial" w:eastAsia="Arial" w:hAnsi="Arial" w:cs="Arial"/>
        </w:rPr>
      </w:pPr>
    </w:p>
    <w:p w14:paraId="470FAE47" w14:textId="77777777" w:rsidR="00794C24" w:rsidRDefault="00DB57F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1.4. Hypothesis</w:t>
      </w:r>
    </w:p>
    <w:p w14:paraId="3F9DC491"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 xml:space="preserve">We hypothesize that altitude and associated agroecological factors significantly influence the morphological traits of Ethiopian sorghum landraces. </w:t>
      </w:r>
    </w:p>
    <w:p w14:paraId="228AC24C" w14:textId="77777777" w:rsidR="00794C24" w:rsidRDefault="00DB57F8">
      <w:pPr>
        <w:pBdr>
          <w:top w:val="nil"/>
          <w:left w:val="nil"/>
          <w:bottom w:val="nil"/>
          <w:right w:val="nil"/>
          <w:between w:val="nil"/>
        </w:pBdr>
        <w:jc w:val="both"/>
        <w:rPr>
          <w:rFonts w:ascii="Arial" w:eastAsia="Arial" w:hAnsi="Arial" w:cs="Arial"/>
          <w:b/>
          <w:bCs/>
          <w:i/>
          <w:iCs/>
        </w:rPr>
      </w:pPr>
      <w:r>
        <w:rPr>
          <w:rFonts w:ascii="Arial" w:eastAsia="Arial" w:hAnsi="Arial" w:cs="Arial"/>
          <w:b/>
          <w:bCs/>
          <w:i/>
          <w:iCs/>
        </w:rPr>
        <w:t>Trait Variation by Altitude</w:t>
      </w:r>
    </w:p>
    <w:p w14:paraId="404CAC5C"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Sorghum landraces grown at higher altitudes will exhibit distinct morphological features such as more compact panicles, specific grain colors, and differences in stalk juiciness compared to those grown in lowland environments.</w:t>
      </w:r>
    </w:p>
    <w:p w14:paraId="587D1B97" w14:textId="77777777" w:rsidR="00794C24" w:rsidRDefault="00DB57F8">
      <w:pPr>
        <w:pBdr>
          <w:top w:val="nil"/>
          <w:left w:val="nil"/>
          <w:bottom w:val="nil"/>
          <w:right w:val="nil"/>
          <w:between w:val="nil"/>
        </w:pBdr>
        <w:jc w:val="both"/>
        <w:rPr>
          <w:rFonts w:ascii="Arial" w:eastAsia="Arial" w:hAnsi="Arial" w:cs="Arial"/>
          <w:b/>
          <w:bCs/>
          <w:i/>
          <w:iCs/>
        </w:rPr>
      </w:pPr>
      <w:r>
        <w:rPr>
          <w:rFonts w:ascii="Arial" w:eastAsia="Arial" w:hAnsi="Arial" w:cs="Arial"/>
          <w:b/>
          <w:bCs/>
          <w:i/>
          <w:iCs/>
        </w:rPr>
        <w:t>Alignment of Classification Systems</w:t>
      </w:r>
    </w:p>
    <w:p w14:paraId="52984559"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The clusters derived from statistical analyses (e.g., canonical discriminant analysis and hierarchical clustering) based on these morphological traits will significantly correspond with the traditional classifications employed by local farmers.</w:t>
      </w:r>
    </w:p>
    <w:p w14:paraId="36A94AD6" w14:textId="77777777" w:rsidR="00794C24" w:rsidRDefault="00DB57F8">
      <w:pPr>
        <w:pBdr>
          <w:top w:val="nil"/>
          <w:left w:val="nil"/>
          <w:bottom w:val="nil"/>
          <w:right w:val="nil"/>
          <w:between w:val="nil"/>
        </w:pBdr>
        <w:jc w:val="both"/>
        <w:rPr>
          <w:rFonts w:ascii="Arial" w:eastAsia="Arial" w:hAnsi="Arial" w:cs="Arial"/>
        </w:rPr>
      </w:pPr>
      <w:r>
        <w:rPr>
          <w:rFonts w:ascii="Arial" w:eastAsia="Arial" w:hAnsi="Arial" w:cs="Arial"/>
        </w:rPr>
        <w:t>This dual hypothesis will be tested using data extracted from existing studies (Abdi et al., 2002; Teshome et al., 1997) and supplementary sources, enabling the development of an integrated classification framework for sorghum conservation and breeding.</w:t>
      </w:r>
    </w:p>
    <w:p w14:paraId="17A8D5FA" w14:textId="77777777" w:rsidR="00794C24" w:rsidRDefault="00794C24">
      <w:pPr>
        <w:pBdr>
          <w:top w:val="nil"/>
          <w:left w:val="nil"/>
          <w:bottom w:val="nil"/>
          <w:right w:val="nil"/>
          <w:between w:val="nil"/>
        </w:pBdr>
        <w:jc w:val="both"/>
        <w:rPr>
          <w:rFonts w:ascii="Arial" w:eastAsia="Arial" w:hAnsi="Arial" w:cs="Arial"/>
        </w:rPr>
      </w:pPr>
    </w:p>
    <w:p w14:paraId="43259051" w14:textId="77777777" w:rsidR="00794C24" w:rsidRDefault="00DB57F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 Literature review</w:t>
      </w:r>
    </w:p>
    <w:p w14:paraId="131E4B9F" w14:textId="77777777" w:rsidR="00794C24" w:rsidRDefault="00794C24">
      <w:pPr>
        <w:pBdr>
          <w:top w:val="nil"/>
          <w:left w:val="nil"/>
          <w:bottom w:val="nil"/>
          <w:right w:val="nil"/>
          <w:between w:val="nil"/>
        </w:pBdr>
        <w:jc w:val="both"/>
        <w:rPr>
          <w:rFonts w:ascii="Arial" w:eastAsia="Arial" w:hAnsi="Arial" w:cs="Arial"/>
          <w:b/>
          <w:bCs/>
          <w:sz w:val="22"/>
          <w:szCs w:val="22"/>
        </w:rPr>
      </w:pPr>
    </w:p>
    <w:p w14:paraId="0C47BE39" w14:textId="77777777" w:rsidR="00794C24" w:rsidRDefault="00DB57F8">
      <w:pPr>
        <w:widowControl w:val="0"/>
        <w:numPr>
          <w:ilvl w:val="1"/>
          <w:numId w:val="6"/>
        </w:numPr>
        <w:jc w:val="both"/>
        <w:rPr>
          <w:rFonts w:ascii="Arial" w:eastAsia="Arial" w:hAnsi="Arial" w:cs="Arial"/>
          <w:b/>
          <w:bCs/>
          <w:sz w:val="22"/>
          <w:szCs w:val="22"/>
        </w:rPr>
      </w:pPr>
      <w:r>
        <w:rPr>
          <w:rFonts w:ascii="Arial" w:eastAsia="Arial" w:hAnsi="Arial" w:cs="Arial"/>
          <w:b/>
          <w:bCs/>
          <w:sz w:val="22"/>
          <w:szCs w:val="22"/>
        </w:rPr>
        <w:t>2.1. Sorghum Diversity and Significance in Ethiopia</w:t>
      </w:r>
    </w:p>
    <w:p w14:paraId="375951AC" w14:textId="77777777" w:rsidR="00794C24" w:rsidRDefault="00DB57F8">
      <w:pPr>
        <w:widowControl w:val="0"/>
        <w:jc w:val="both"/>
        <w:rPr>
          <w:rFonts w:ascii="Arial" w:eastAsia="Arial" w:hAnsi="Arial" w:cs="Arial"/>
        </w:rPr>
      </w:pPr>
      <w:r>
        <w:rPr>
          <w:rFonts w:ascii="Arial" w:eastAsia="Arial" w:hAnsi="Arial" w:cs="Arial"/>
        </w:rPr>
        <w:t>Sorghum (Sorghum bicolor (L.) Moench) is a vital crop in Ethiopia, cultivated across diverse agroecological zones and playing a critical role in food security and subsistence farming. According to the Central Statistical Agency (CSA, 2018), sorghum covers 14.13% (1,829,662.39 hectares) of the total grain crop area and contributes 15.70% (50,243,680.72 kg) of total grain production in the country. It is grown in nearly all regions of Ethiopia, reflecting its adaptability to a wide range of environmental conditions [11]. Ethiopian sorghum exhibits moderate genetic diversity, with 35.5% variation within accessions and 64.5% variation among accessions, forming distinct clusters of genotypes. This genetic variability makes Ethiopian sorghum a valuable resource for crossbreeding and the development of improved varieties, benefiting breeding programs aimed at enhancing yield, resilience, and nutritional quality [12]. The morphological variation in Ethiopian sorghum germplasm is highly pronounced and strongly influenced by environmental factors such as altitude, rainfall, temperature, and growing period [13]. For instance, landraces in high-altitude regions often exhibit compact panicles and frost tolerance, while those in arid lowlands are adapted to drought and heat stress. This adaptability makes sorghum a drought-tolerant cereal crop, capable of improving water productivity and food security in arid and semi-arid areas of Sub-Saharan Africa [14]. Ethiopia’s rich genetic diversity in sorghum contributes to its global importance in food security and agronomic traits [15]. Its resilience to drought, pests, and marginal soils positions it as a critical crop for food security, particularly in semi-arid regions where other staples like maize and teff struggle to thrive [3]. This combination of genetic and morphological diversity, coupled with its adaptability to challenging environments, underscores the need for conserving and utilizing Ethiopian sorghum landraces in breeding and conservation programs.</w:t>
      </w:r>
    </w:p>
    <w:p w14:paraId="789EF977" w14:textId="77777777" w:rsidR="00794C24" w:rsidRDefault="00794C24">
      <w:pPr>
        <w:widowControl w:val="0"/>
        <w:jc w:val="both"/>
        <w:rPr>
          <w:rFonts w:ascii="Arial" w:eastAsia="Arial" w:hAnsi="Arial" w:cs="Arial"/>
          <w:b/>
          <w:bCs/>
          <w:sz w:val="22"/>
          <w:szCs w:val="22"/>
        </w:rPr>
      </w:pPr>
    </w:p>
    <w:p w14:paraId="05D53D19"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2.2. Morphological Diversity of Ethiopian Sorghum Landraces</w:t>
      </w:r>
    </w:p>
    <w:p w14:paraId="6095AD17" w14:textId="77777777" w:rsidR="00794C24" w:rsidRDefault="00DB57F8">
      <w:pPr>
        <w:widowControl w:val="0"/>
        <w:jc w:val="both"/>
        <w:rPr>
          <w:rFonts w:ascii="Arial" w:eastAsia="Arial" w:hAnsi="Arial" w:cs="Arial"/>
        </w:rPr>
      </w:pPr>
      <w:r>
        <w:rPr>
          <w:rFonts w:ascii="Arial" w:eastAsia="Arial" w:hAnsi="Arial" w:cs="Arial"/>
        </w:rPr>
        <w:t xml:space="preserve">Ethiopia is recognized as a center of origin and diversity for sorghum (Sorghum bicolor), with a rich collection of landraces adapted to a wide range of agroecological conditions. This diversity is shaped by genetic variation, environmental influences such as altitude and soil type, and human selection through traditional farming practices [19]. Several studies, including Abdi et al. (2002), Girma et al. (2019), Doggett (1991), and Vavilov (1951), have documented the extensive morphological and genetic variability found in Ethiopian sorghum [19].  Abdi et al. (2002) assessed 34 landraces across multiple altitude zones in North Shewa and South Wello, using Shannon-Weaver diversity indices to quantify variation in 14 qualitative traits. They found that panicle shape and compactness were particularly important for altitudinal and ecological differentiation, highlighting their role in adaptation to different environments [19]. Across these agroecological zones, Ethiopian sorghum landraces displayed high phenotypic diversity, </w:t>
      </w:r>
      <w:r>
        <w:rPr>
          <w:rFonts w:ascii="Arial" w:eastAsia="Arial" w:hAnsi="Arial" w:cs="Arial"/>
        </w:rPr>
        <w:lastRenderedPageBreak/>
        <w:t xml:space="preserve">particularly in panicle compactness, grain color, stalk juiciness, and awn presence. Studies using Shannon-Weaver diversity indices (H′) revealed trait diversity values ranging from 0.32 to 0.98, confirming substantial variation among Ethiopian sorghum accessions [19].  Ethiopian sorghum landrace accessions show high genetic variability in traits like grain yield and anthracnose resistance, suggesting potential for improved breeding programs [16].  Ethiopian sorghum has high phenotypic trait-based variability for drought improvement, with potential for diverse sources of tolerance and highly contrasting lines for future breeding programs [17] Ethiopia has a lot of different types of sorghum, each with its own special traits. This diversity is really valuable, especially because sorghum can grow in tough environments. To keep these sorghum varieties around, we need to protect them and use them wisely in our farming plans. There's still a lot we can learn from Ethiopian sorghum, and if we study it even more closely, we can make sure it stays strong and useful for years to come.[10] </w:t>
      </w:r>
    </w:p>
    <w:p w14:paraId="691E305B" w14:textId="77777777" w:rsidR="00794C24" w:rsidRDefault="00794C24">
      <w:pPr>
        <w:widowControl w:val="0"/>
        <w:jc w:val="both"/>
        <w:rPr>
          <w:rFonts w:ascii="Arial" w:eastAsia="Arial" w:hAnsi="Arial" w:cs="Arial"/>
        </w:rPr>
      </w:pPr>
    </w:p>
    <w:p w14:paraId="46320D91"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2.3. Farmers’ Folk Taxonomy Versus Scientific Classification</w:t>
      </w:r>
    </w:p>
    <w:p w14:paraId="093F4CD8" w14:textId="77777777" w:rsidR="00794C24" w:rsidRDefault="00DB57F8">
      <w:pPr>
        <w:widowControl w:val="0"/>
        <w:jc w:val="both"/>
        <w:rPr>
          <w:rFonts w:ascii="Arial" w:eastAsia="Arial" w:hAnsi="Arial" w:cs="Arial"/>
        </w:rPr>
      </w:pPr>
      <w:r>
        <w:rPr>
          <w:rFonts w:ascii="Arial" w:eastAsia="Arial" w:hAnsi="Arial" w:cs="Arial"/>
        </w:rPr>
        <w:t xml:space="preserve">The section discussing "Farmers’ Folk Taxonomy Versus Scientific Classification" highlights the contrasts between indigenous knowledge systems and formal scientific classifications in understanding sorghum diversity. </w:t>
      </w:r>
    </w:p>
    <w:p w14:paraId="5C73B3CA" w14:textId="77777777" w:rsidR="00794C24" w:rsidRDefault="00DB57F8">
      <w:pPr>
        <w:widowControl w:val="0"/>
        <w:jc w:val="both"/>
        <w:rPr>
          <w:rFonts w:ascii="Arial" w:eastAsia="Arial" w:hAnsi="Arial" w:cs="Arial"/>
        </w:rPr>
      </w:pPr>
      <w:r>
        <w:rPr>
          <w:rFonts w:ascii="Arial" w:eastAsia="Arial" w:hAnsi="Arial" w:cs="Arial"/>
        </w:rPr>
        <w:t xml:space="preserve">Farmers' folk taxonomy relies heavily on practical, experience-based knowledge that reflects local agricultural practices and ecological conditions. For instance, farmers classify sorghum varieties based on morphological traits, use-related traits, and conditions under which they thrive. These classifications are dynamic and evolve with changing environmental conditions and farming practices, thus serving as critical tools in the day-to-day management of crops [21] The most important morphological trait used in folk taxonomy is panicle-related traits, which is similar with the formal taxonomy standards developed by Harlan and de Wet [18]. Farmers’ folk taxonomy is a dynamic and adaptive system that has evolved over centuries of agricultural practice. It is primarily based on morphological traits, ecological adaptations, and the utility of the plant. For example, Ethiopian farmers classify sorghum (Sorghum bicolor) using a variety of descriptors, including panicle type, seed color, plant height, and resistance to biotic and abiotic stresses [21]. These classifications are not only used to distinguish between different varieties but also to guide agricultural practices such as planting, harvesting, and seed selection. In Ethiopia, sorghum is classified into folk species, varieties, and sub-varieties based on traits such as panicle shape, seed color, and drought tolerance. Farmers use these classifications to select varieties that are best suited to their local </w:t>
      </w:r>
      <w:proofErr w:type="spellStart"/>
      <w:r>
        <w:rPr>
          <w:rFonts w:ascii="Arial" w:eastAsia="Arial" w:hAnsi="Arial" w:cs="Arial"/>
        </w:rPr>
        <w:t>agro</w:t>
      </w:r>
      <w:proofErr w:type="spellEnd"/>
      <w:r>
        <w:rPr>
          <w:rFonts w:ascii="Arial" w:eastAsia="Arial" w:hAnsi="Arial" w:cs="Arial"/>
        </w:rPr>
        <w:t xml:space="preserve">-ecological conditions. For instance, sorghum varieties with compact panicles and drought resistance are preferred in arid regions, while those with loose panicles and high yield potential are favored in more fertile areas [21].  Scientific classification, on the other hand, is a more rigid and hierarchical system that organizes plants based on their genetic and evolutionary relationships. Sorghum, for example, is classified under the genus Sorghum and the species bicolor, with further subdivisions into races and sub-races based on morphological and genetic traits (Harlan &amp; de Wet, 1972) [20]. The formal taxonomy of sorghum has been refined over the years, with significant contributions from researchers such as Snowden (1936), who described 31 cultivated species and 17 related wild species. More recently, Harlan and de Wet (1972) simplified the classification of sorghum into five basic races and ten hybrid races under Sorghum bicolor subsp. bicolor. This formal classification system is essential for genetic research, breeding programs, and the conservation of sorghum germplasm [20][22]. In Ethiopia, sorghum is classified into folk species, varieties, and sub-varieties based on traits such as panicle shape, seed color, and drought tolerance. Farmers use these classifications to select varieties that are best suited to their local </w:t>
      </w:r>
      <w:proofErr w:type="spellStart"/>
      <w:r>
        <w:rPr>
          <w:rFonts w:ascii="Arial" w:eastAsia="Arial" w:hAnsi="Arial" w:cs="Arial"/>
        </w:rPr>
        <w:t>agro</w:t>
      </w:r>
      <w:proofErr w:type="spellEnd"/>
      <w:r>
        <w:rPr>
          <w:rFonts w:ascii="Arial" w:eastAsia="Arial" w:hAnsi="Arial" w:cs="Arial"/>
        </w:rPr>
        <w:t>-ecological conditions. For instance, sorghum varieties with compact panicles and drought resistance are preferred in arid regions, while those with loose panicles and high yield potential are favored in more fertile areas [21]. This system of classification is highly practical, as it allows farmers to make informed decisions about crop management and seed selection based on their local knowledge and experience.</w:t>
      </w:r>
    </w:p>
    <w:p w14:paraId="5DC5247F" w14:textId="77777777" w:rsidR="00794C24" w:rsidRDefault="00794C24">
      <w:pPr>
        <w:widowControl w:val="0"/>
        <w:jc w:val="both"/>
        <w:rPr>
          <w:rFonts w:ascii="Arial" w:eastAsia="Arial" w:hAnsi="Arial" w:cs="Arial"/>
        </w:rPr>
      </w:pPr>
    </w:p>
    <w:p w14:paraId="6F160D5A" w14:textId="77777777" w:rsidR="00794C24" w:rsidRDefault="00DB57F8">
      <w:pPr>
        <w:widowControl w:val="0"/>
        <w:numPr>
          <w:ilvl w:val="1"/>
          <w:numId w:val="6"/>
        </w:numPr>
        <w:jc w:val="both"/>
        <w:rPr>
          <w:rFonts w:ascii="Arial" w:eastAsia="Arial" w:hAnsi="Arial" w:cs="Arial"/>
          <w:b/>
          <w:bCs/>
          <w:sz w:val="22"/>
          <w:szCs w:val="22"/>
        </w:rPr>
      </w:pPr>
      <w:r>
        <w:rPr>
          <w:rFonts w:ascii="Arial" w:eastAsia="Arial" w:hAnsi="Arial" w:cs="Arial"/>
          <w:b/>
          <w:bCs/>
          <w:sz w:val="22"/>
          <w:szCs w:val="22"/>
        </w:rPr>
        <w:lastRenderedPageBreak/>
        <w:t>2.4. Comparison and Integration of Folk Taxonomy and Scientific Classification</w:t>
      </w:r>
    </w:p>
    <w:p w14:paraId="3C0B2125" w14:textId="77777777" w:rsidR="00794C24" w:rsidRDefault="00DB57F8">
      <w:pPr>
        <w:widowControl w:val="0"/>
        <w:jc w:val="both"/>
        <w:rPr>
          <w:rFonts w:ascii="Arial" w:eastAsia="Arial" w:hAnsi="Arial" w:cs="Arial"/>
        </w:rPr>
      </w:pPr>
      <w:r>
        <w:rPr>
          <w:rFonts w:ascii="Arial" w:eastAsia="Arial" w:hAnsi="Arial" w:cs="Arial"/>
        </w:rPr>
        <w:t xml:space="preserve">One of the key differences between the two systems is their approach to variability. Folk taxonomy often groups plants based on convergent traits, such as similar panicle shapes or seed colors, which may not reflect their genetic relationships. For example, Ethiopian farmers may classify sorghum varieties with similar panicle shapes as the same folk species, even if they belong to different genetic races. [21] In contrast, scientific classification seeks to group plants based on their genetic affinities, which may not always align with their morphological similarities. [21][22].  Despite these differences, there is often a significant overlap between folk taxonomy and scientific classification. For example, Ethiopian farmers’ classification of sorghum into folk species such as </w:t>
      </w:r>
      <w:proofErr w:type="spellStart"/>
      <w:r>
        <w:rPr>
          <w:rFonts w:ascii="Arial" w:eastAsia="Arial" w:hAnsi="Arial" w:cs="Arial"/>
        </w:rPr>
        <w:t>Muyra</w:t>
      </w:r>
      <w:proofErr w:type="spellEnd"/>
      <w:r>
        <w:rPr>
          <w:rFonts w:ascii="Arial" w:eastAsia="Arial" w:hAnsi="Arial" w:cs="Arial"/>
        </w:rPr>
        <w:t xml:space="preserve">, </w:t>
      </w:r>
      <w:proofErr w:type="spellStart"/>
      <w:r>
        <w:rPr>
          <w:rFonts w:ascii="Arial" w:eastAsia="Arial" w:hAnsi="Arial" w:cs="Arial"/>
        </w:rPr>
        <w:t>Wegere</w:t>
      </w:r>
      <w:proofErr w:type="spellEnd"/>
      <w:r>
        <w:rPr>
          <w:rFonts w:ascii="Arial" w:eastAsia="Arial" w:hAnsi="Arial" w:cs="Arial"/>
        </w:rPr>
        <w:t xml:space="preserve">, and </w:t>
      </w:r>
      <w:proofErr w:type="spellStart"/>
      <w:r>
        <w:rPr>
          <w:rFonts w:ascii="Arial" w:eastAsia="Arial" w:hAnsi="Arial" w:cs="Arial"/>
        </w:rPr>
        <w:t>Fendisha</w:t>
      </w:r>
      <w:proofErr w:type="spellEnd"/>
      <w:r>
        <w:rPr>
          <w:rFonts w:ascii="Arial" w:eastAsia="Arial" w:hAnsi="Arial" w:cs="Arial"/>
        </w:rPr>
        <w:t xml:space="preserve"> corresponds closely to the formal taxonomy of sorghum races such as Durra, Caudatum, and Bicolor.[21] This overlap suggests that farmers’ traditional knowledge can provide valuable insights into the genetic diversity and ecological adaptation of crops, which can be useful for scientific research and breeding programs.[21][23].  The integration of folk taxonomy and scientific classification has the potential to enhance the conservation and utilization of crop genetic resources. Folk taxonomy can provide valuable information about the local adaptation, utility, and cultural significance of crop varieties, which can complement the genetic and evolutionary insights provided by scientific classification. For example, Ethiopian farmers’ knowledge of sorghum varieties with drought tolerance or resistance to pests and diseases can help identify valuable genetic traits for breeding programs.[21]</w:t>
      </w:r>
    </w:p>
    <w:p w14:paraId="12034E34" w14:textId="77777777" w:rsidR="00794C24" w:rsidRDefault="00DB57F8">
      <w:pPr>
        <w:widowControl w:val="0"/>
        <w:jc w:val="both"/>
        <w:rPr>
          <w:rFonts w:ascii="Arial" w:eastAsia="Arial" w:hAnsi="Arial" w:cs="Arial"/>
        </w:rPr>
      </w:pPr>
      <w:r>
        <w:rPr>
          <w:rFonts w:ascii="Arial" w:eastAsia="Arial" w:hAnsi="Arial" w:cs="Arial"/>
        </w:rPr>
        <w:t xml:space="preserve">Several studies have demonstrated the benefits of integrating folk taxonomy and scientific classification. For instance, </w:t>
      </w:r>
      <w:proofErr w:type="spellStart"/>
      <w:r>
        <w:rPr>
          <w:rFonts w:ascii="Arial" w:eastAsia="Arial" w:hAnsi="Arial" w:cs="Arial"/>
        </w:rPr>
        <w:t>Mekbib</w:t>
      </w:r>
      <w:proofErr w:type="spellEnd"/>
      <w:r>
        <w:rPr>
          <w:rFonts w:ascii="Arial" w:eastAsia="Arial" w:hAnsi="Arial" w:cs="Arial"/>
        </w:rPr>
        <w:t xml:space="preserve"> (2007) found that Ethiopian farmers’ classification of sorghum into folk species was consistent with the formal taxonomy of sorghum races, suggesting that farmers’ traditional knowledge can be used to validate and refine scientific classifications. Similarly, Girma et al. (2019) used genome-wide association studies (GWAS) to identify loci associated with important traits in Ethiopian sorghum landraces, many of which were consistent with farmers’ folk classifications.[21][23].  </w:t>
      </w:r>
    </w:p>
    <w:p w14:paraId="23DBD87D" w14:textId="77777777" w:rsidR="00794C24" w:rsidRDefault="00794C24">
      <w:pPr>
        <w:pBdr>
          <w:top w:val="nil"/>
          <w:left w:val="nil"/>
          <w:bottom w:val="nil"/>
          <w:right w:val="nil"/>
          <w:between w:val="nil"/>
        </w:pBdr>
        <w:rPr>
          <w:rFonts w:ascii="Arial" w:eastAsia="Arial" w:hAnsi="Arial" w:cs="Arial"/>
          <w:color w:val="000000"/>
        </w:rPr>
      </w:pPr>
    </w:p>
    <w:p w14:paraId="440D04B5" w14:textId="77777777" w:rsidR="00794C24" w:rsidRDefault="00DB57F8">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sz w:val="22"/>
          <w:szCs w:val="22"/>
        </w:rPr>
        <w:t>3</w:t>
      </w:r>
      <w:r>
        <w:rPr>
          <w:rFonts w:ascii="Arial" w:eastAsia="Arial" w:hAnsi="Arial" w:cs="Arial"/>
          <w:b/>
          <w:bCs/>
          <w:smallCaps/>
          <w:color w:val="000000"/>
          <w:sz w:val="22"/>
          <w:szCs w:val="22"/>
        </w:rPr>
        <w:t xml:space="preserve">. </w:t>
      </w:r>
      <w:r>
        <w:rPr>
          <w:rFonts w:ascii="Arial" w:eastAsia="Arial" w:hAnsi="Arial" w:cs="Arial"/>
          <w:b/>
          <w:bCs/>
          <w:smallCaps/>
          <w:sz w:val="22"/>
          <w:szCs w:val="22"/>
        </w:rPr>
        <w:t>METHODOLOGY</w:t>
      </w:r>
    </w:p>
    <w:p w14:paraId="427A70AA" w14:textId="77777777" w:rsidR="00794C24" w:rsidRDefault="00794C24">
      <w:pPr>
        <w:keepNext/>
        <w:pBdr>
          <w:top w:val="nil"/>
          <w:left w:val="nil"/>
          <w:bottom w:val="nil"/>
          <w:right w:val="nil"/>
          <w:between w:val="nil"/>
        </w:pBdr>
        <w:rPr>
          <w:rFonts w:ascii="Arial" w:eastAsia="Arial" w:hAnsi="Arial" w:cs="Arial"/>
          <w:b/>
          <w:bCs/>
          <w:smallCaps/>
          <w:color w:val="000000"/>
          <w:sz w:val="22"/>
          <w:szCs w:val="22"/>
        </w:rPr>
      </w:pPr>
    </w:p>
    <w:p w14:paraId="6E410C96" w14:textId="77777777" w:rsidR="00794C24" w:rsidRDefault="00DB57F8">
      <w:pPr>
        <w:widowControl w:val="0"/>
        <w:numPr>
          <w:ilvl w:val="2"/>
          <w:numId w:val="5"/>
        </w:numPr>
        <w:jc w:val="both"/>
        <w:rPr>
          <w:rFonts w:ascii="Arial" w:eastAsia="Arial" w:hAnsi="Arial" w:cs="Arial"/>
          <w:b/>
          <w:bCs/>
          <w:sz w:val="22"/>
          <w:szCs w:val="22"/>
        </w:rPr>
      </w:pPr>
      <w:r>
        <w:rPr>
          <w:rFonts w:ascii="Arial" w:eastAsia="Arial" w:hAnsi="Arial" w:cs="Arial"/>
          <w:b/>
          <w:bCs/>
          <w:sz w:val="22"/>
          <w:szCs w:val="22"/>
        </w:rPr>
        <w:t xml:space="preserve">3.1. Data Sources  </w:t>
      </w:r>
    </w:p>
    <w:p w14:paraId="508CC6BC" w14:textId="77777777" w:rsidR="00794C24" w:rsidRDefault="00DB57F8">
      <w:pPr>
        <w:widowControl w:val="0"/>
        <w:jc w:val="both"/>
        <w:rPr>
          <w:rFonts w:ascii="Arial" w:eastAsia="Arial" w:hAnsi="Arial" w:cs="Arial"/>
          <w:b/>
          <w:bCs/>
        </w:rPr>
      </w:pPr>
      <w:r>
        <w:rPr>
          <w:rFonts w:ascii="Arial" w:eastAsia="Arial" w:hAnsi="Arial" w:cs="Arial"/>
          <w:b/>
          <w:bCs/>
        </w:rPr>
        <w:t xml:space="preserve"> Primary Datasets:  </w:t>
      </w:r>
    </w:p>
    <w:p w14:paraId="43B0F808" w14:textId="77777777" w:rsidR="00794C24" w:rsidRDefault="00DB57F8">
      <w:pPr>
        <w:widowControl w:val="0"/>
        <w:jc w:val="both"/>
        <w:rPr>
          <w:rFonts w:ascii="Arial" w:eastAsia="Arial" w:hAnsi="Arial" w:cs="Arial"/>
        </w:rPr>
      </w:pPr>
      <w:r>
        <w:rPr>
          <w:rFonts w:ascii="Arial" w:eastAsia="Arial" w:hAnsi="Arial" w:cs="Arial"/>
        </w:rPr>
        <w:t>-</w:t>
      </w:r>
      <w:r>
        <w:rPr>
          <w:rFonts w:ascii="Arial" w:eastAsia="Arial" w:hAnsi="Arial" w:cs="Arial"/>
          <w:b/>
          <w:bCs/>
        </w:rPr>
        <w:t xml:space="preserve"> Abdi et al. (2002)</w:t>
      </w:r>
      <w:r>
        <w:rPr>
          <w:rFonts w:ascii="Arial" w:eastAsia="Arial" w:hAnsi="Arial" w:cs="Arial"/>
        </w:rPr>
        <w:t xml:space="preserve">: Analyzed 34 sorghum landraces across four altitude classes (&lt;1500 </w:t>
      </w:r>
      <w:proofErr w:type="spellStart"/>
      <w:r>
        <w:rPr>
          <w:rFonts w:ascii="Arial" w:eastAsia="Arial" w:hAnsi="Arial" w:cs="Arial"/>
        </w:rPr>
        <w:t>m.a.s.l</w:t>
      </w:r>
      <w:proofErr w:type="spellEnd"/>
      <w:r>
        <w:rPr>
          <w:rFonts w:ascii="Arial" w:eastAsia="Arial" w:hAnsi="Arial" w:cs="Arial"/>
        </w:rPr>
        <w:t xml:space="preserve">. to &gt;1800 </w:t>
      </w:r>
      <w:proofErr w:type="spellStart"/>
      <w:r>
        <w:rPr>
          <w:rFonts w:ascii="Arial" w:eastAsia="Arial" w:hAnsi="Arial" w:cs="Arial"/>
        </w:rPr>
        <w:t>m.a.s.l</w:t>
      </w:r>
      <w:proofErr w:type="spellEnd"/>
      <w:r>
        <w:rPr>
          <w:rFonts w:ascii="Arial" w:eastAsia="Arial" w:hAnsi="Arial" w:cs="Arial"/>
        </w:rPr>
        <w:t>.) in North Shewa and South Welo, Ethiopia. Data included 14 qualitative morphological traits (e.g., awn presence, endosperm texture, midrib color, peduncle shape).</w:t>
      </w:r>
    </w:p>
    <w:p w14:paraId="77282DA9"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Teshome et al. (1997)</w:t>
      </w:r>
      <w:r>
        <w:rPr>
          <w:rFonts w:ascii="Arial" w:eastAsia="Arial" w:hAnsi="Arial" w:cs="Arial"/>
        </w:rPr>
        <w:t xml:space="preserve">: Provided farmers’ folk taxonomy data, including panicle shape, grain color, and stalk juiciness classifications from the same regions.  </w:t>
      </w:r>
    </w:p>
    <w:p w14:paraId="5B6C95AB" w14:textId="77777777" w:rsidR="00794C24" w:rsidRDefault="00DB57F8">
      <w:pPr>
        <w:widowControl w:val="0"/>
        <w:jc w:val="both"/>
        <w:rPr>
          <w:rFonts w:ascii="Arial" w:eastAsia="Arial" w:hAnsi="Arial" w:cs="Arial"/>
          <w:b/>
          <w:bCs/>
          <w:color w:val="00B050"/>
        </w:rPr>
      </w:pPr>
      <w:r>
        <w:rPr>
          <w:rFonts w:ascii="Arial" w:eastAsia="Arial" w:hAnsi="Arial" w:cs="Arial"/>
          <w:b/>
          <w:bCs/>
        </w:rPr>
        <w:t>Supplementary Sources</w:t>
      </w:r>
      <w:r>
        <w:rPr>
          <w:rFonts w:ascii="Arial" w:eastAsia="Arial" w:hAnsi="Arial" w:cs="Arial"/>
          <w:b/>
          <w:bCs/>
          <w:color w:val="00B050"/>
        </w:rPr>
        <w:t xml:space="preserve">:  </w:t>
      </w:r>
    </w:p>
    <w:p w14:paraId="6FB6A2E6" w14:textId="77777777" w:rsidR="00794C24" w:rsidRDefault="00DB57F8">
      <w:pPr>
        <w:widowControl w:val="0"/>
        <w:numPr>
          <w:ilvl w:val="0"/>
          <w:numId w:val="3"/>
        </w:numPr>
        <w:ind w:left="283" w:hanging="285"/>
        <w:jc w:val="both"/>
        <w:rPr>
          <w:rFonts w:ascii="Arial" w:eastAsia="Arial" w:hAnsi="Arial" w:cs="Arial"/>
        </w:rPr>
      </w:pPr>
      <w:r>
        <w:rPr>
          <w:rFonts w:ascii="Arial" w:eastAsia="Arial" w:hAnsi="Arial" w:cs="Arial"/>
        </w:rPr>
        <w:t xml:space="preserve"> Ethiopian Central Statistical Agency (CSA) reports on sorghum production zones.  </w:t>
      </w:r>
    </w:p>
    <w:p w14:paraId="4C945354" w14:textId="77777777" w:rsidR="00794C24" w:rsidRDefault="00DB57F8">
      <w:pPr>
        <w:widowControl w:val="0"/>
        <w:numPr>
          <w:ilvl w:val="0"/>
          <w:numId w:val="3"/>
        </w:numPr>
        <w:ind w:left="283" w:hanging="285"/>
        <w:jc w:val="both"/>
        <w:rPr>
          <w:rFonts w:ascii="Arial" w:eastAsia="Arial" w:hAnsi="Arial" w:cs="Arial"/>
        </w:rPr>
      </w:pPr>
      <w:r>
        <w:rPr>
          <w:rFonts w:ascii="Arial" w:eastAsia="Arial" w:hAnsi="Arial" w:cs="Arial"/>
        </w:rPr>
        <w:t xml:space="preserve"> IPGRI (1993) descriptor lists for trait standardization.  </w:t>
      </w:r>
    </w:p>
    <w:p w14:paraId="714DAE6E" w14:textId="77777777" w:rsidR="00794C24" w:rsidRDefault="00DB57F8">
      <w:pPr>
        <w:widowControl w:val="0"/>
        <w:numPr>
          <w:ilvl w:val="0"/>
          <w:numId w:val="3"/>
        </w:numPr>
        <w:ind w:left="283" w:hanging="285"/>
        <w:jc w:val="both"/>
        <w:rPr>
          <w:rFonts w:ascii="Arial" w:eastAsia="Arial" w:hAnsi="Arial" w:cs="Arial"/>
        </w:rPr>
      </w:pPr>
      <w:r>
        <w:rPr>
          <w:rFonts w:ascii="Arial" w:eastAsia="Arial" w:hAnsi="Arial" w:cs="Arial"/>
        </w:rPr>
        <w:t xml:space="preserve"> Farmers’ Classifications: Folk taxonomy data from local farmers, focusing on panicle shape, stalk juiciness, and grain color. (Teshome et al., 1997; </w:t>
      </w:r>
      <w:proofErr w:type="spellStart"/>
      <w:r>
        <w:rPr>
          <w:rFonts w:ascii="Arial" w:eastAsia="Arial" w:hAnsi="Arial" w:cs="Arial"/>
        </w:rPr>
        <w:t>Mekbib</w:t>
      </w:r>
      <w:proofErr w:type="spellEnd"/>
      <w:r>
        <w:rPr>
          <w:rFonts w:ascii="Arial" w:eastAsia="Arial" w:hAnsi="Arial" w:cs="Arial"/>
        </w:rPr>
        <w:t>, 2007).</w:t>
      </w:r>
    </w:p>
    <w:p w14:paraId="4C29A7E6" w14:textId="77777777" w:rsidR="00794C24" w:rsidRDefault="00794C24">
      <w:pPr>
        <w:widowControl w:val="0"/>
        <w:jc w:val="both"/>
        <w:rPr>
          <w:rFonts w:ascii="Arial" w:eastAsia="Arial" w:hAnsi="Arial" w:cs="Arial"/>
          <w:b/>
          <w:bCs/>
        </w:rPr>
      </w:pPr>
    </w:p>
    <w:p w14:paraId="751AF8CB" w14:textId="77777777" w:rsidR="00794C24" w:rsidRDefault="00DB57F8">
      <w:pPr>
        <w:widowControl w:val="0"/>
        <w:numPr>
          <w:ilvl w:val="1"/>
          <w:numId w:val="5"/>
        </w:numPr>
        <w:jc w:val="both"/>
        <w:rPr>
          <w:rFonts w:ascii="Arial" w:eastAsia="Arial" w:hAnsi="Arial" w:cs="Arial"/>
          <w:sz w:val="22"/>
          <w:szCs w:val="22"/>
        </w:rPr>
      </w:pPr>
      <w:r>
        <w:rPr>
          <w:rFonts w:ascii="Arial" w:eastAsia="Arial" w:hAnsi="Arial" w:cs="Arial"/>
          <w:b/>
          <w:bCs/>
          <w:sz w:val="22"/>
          <w:szCs w:val="22"/>
        </w:rPr>
        <w:t>3.2. Variables and Data Extraction</w:t>
      </w:r>
      <w:r>
        <w:rPr>
          <w:rFonts w:ascii="Arial" w:eastAsia="Arial" w:hAnsi="Arial" w:cs="Arial"/>
          <w:sz w:val="22"/>
          <w:szCs w:val="22"/>
        </w:rPr>
        <w:t xml:space="preserve">  </w:t>
      </w:r>
    </w:p>
    <w:p w14:paraId="26C78693" w14:textId="77777777" w:rsidR="00794C24" w:rsidRDefault="00DB57F8">
      <w:pPr>
        <w:widowControl w:val="0"/>
        <w:jc w:val="both"/>
        <w:rPr>
          <w:rFonts w:ascii="Arial" w:eastAsia="Arial" w:hAnsi="Arial" w:cs="Arial"/>
        </w:rPr>
      </w:pPr>
      <w:r>
        <w:rPr>
          <w:rFonts w:ascii="Arial" w:eastAsia="Arial" w:hAnsi="Arial" w:cs="Arial"/>
        </w:rPr>
        <w:t>Morphological Traits</w:t>
      </w:r>
      <w:r>
        <w:rPr>
          <w:rFonts w:ascii="Arial" w:eastAsia="Arial" w:hAnsi="Arial" w:cs="Arial"/>
          <w:color w:val="00B050"/>
        </w:rPr>
        <w:t xml:space="preserve">: </w:t>
      </w:r>
      <w:r>
        <w:rPr>
          <w:rFonts w:ascii="Arial" w:eastAsia="Arial" w:hAnsi="Arial" w:cs="Arial"/>
        </w:rPr>
        <w:t xml:space="preserve">Panicle compactness (codes: 3–11), stalk juiciness (1: non-juicy, 2: juicy), grain color (1: white, 2: yellow, 3: red), and awn presence.  </w:t>
      </w:r>
    </w:p>
    <w:p w14:paraId="4F826E92" w14:textId="77777777" w:rsidR="00794C24" w:rsidRDefault="00DB57F8">
      <w:pPr>
        <w:widowControl w:val="0"/>
        <w:numPr>
          <w:ilvl w:val="0"/>
          <w:numId w:val="7"/>
        </w:numPr>
        <w:jc w:val="both"/>
        <w:rPr>
          <w:rFonts w:ascii="Arial" w:eastAsia="Arial" w:hAnsi="Arial" w:cs="Arial"/>
        </w:rPr>
      </w:pPr>
      <w:r>
        <w:rPr>
          <w:rFonts w:ascii="Arial" w:eastAsia="Arial" w:hAnsi="Arial" w:cs="Arial"/>
        </w:rPr>
        <w:t>Awn presence (75% of landraces had awns).</w:t>
      </w:r>
    </w:p>
    <w:p w14:paraId="59D8C795" w14:textId="77777777" w:rsidR="00794C24" w:rsidRDefault="00DB57F8">
      <w:pPr>
        <w:widowControl w:val="0"/>
        <w:numPr>
          <w:ilvl w:val="0"/>
          <w:numId w:val="7"/>
        </w:numPr>
        <w:jc w:val="both"/>
        <w:rPr>
          <w:rFonts w:ascii="Arial" w:eastAsia="Arial" w:hAnsi="Arial" w:cs="Arial"/>
        </w:rPr>
      </w:pPr>
      <w:r>
        <w:rPr>
          <w:rFonts w:ascii="Arial" w:eastAsia="Arial" w:hAnsi="Arial" w:cs="Arial"/>
        </w:rPr>
        <w:t>Endosperm texture (43% completely starchy, 3% mostly corneous).</w:t>
      </w:r>
    </w:p>
    <w:p w14:paraId="6C6D7239" w14:textId="77777777" w:rsidR="00794C24" w:rsidRDefault="00DB57F8">
      <w:pPr>
        <w:widowControl w:val="0"/>
        <w:numPr>
          <w:ilvl w:val="0"/>
          <w:numId w:val="7"/>
        </w:numPr>
        <w:jc w:val="both"/>
        <w:rPr>
          <w:rFonts w:ascii="Arial" w:eastAsia="Arial" w:hAnsi="Arial" w:cs="Arial"/>
        </w:rPr>
      </w:pPr>
      <w:r>
        <w:rPr>
          <w:rFonts w:ascii="Arial" w:eastAsia="Arial" w:hAnsi="Arial" w:cs="Arial"/>
        </w:rPr>
        <w:t>Midrib color (45% yellow, 45% white).</w:t>
      </w:r>
    </w:p>
    <w:p w14:paraId="3DC3DF68" w14:textId="77777777" w:rsidR="00794C24" w:rsidRDefault="00DB57F8">
      <w:pPr>
        <w:widowControl w:val="0"/>
        <w:numPr>
          <w:ilvl w:val="0"/>
          <w:numId w:val="7"/>
        </w:numPr>
        <w:jc w:val="both"/>
        <w:rPr>
          <w:rFonts w:ascii="Arial" w:eastAsia="Arial" w:hAnsi="Arial" w:cs="Arial"/>
        </w:rPr>
      </w:pPr>
      <w:r>
        <w:rPr>
          <w:rFonts w:ascii="Arial" w:eastAsia="Arial" w:hAnsi="Arial" w:cs="Arial"/>
        </w:rPr>
        <w:t>Peduncle shape (59% erect).</w:t>
      </w:r>
    </w:p>
    <w:p w14:paraId="1E5E656F" w14:textId="77777777" w:rsidR="00794C24" w:rsidRDefault="00DB57F8">
      <w:pPr>
        <w:widowControl w:val="0"/>
        <w:jc w:val="both"/>
        <w:rPr>
          <w:rFonts w:ascii="Arial" w:eastAsia="Arial" w:hAnsi="Arial" w:cs="Arial"/>
        </w:rPr>
      </w:pPr>
      <w:r>
        <w:rPr>
          <w:rFonts w:ascii="Arial" w:eastAsia="Arial" w:hAnsi="Arial" w:cs="Arial"/>
          <w:b/>
          <w:bCs/>
        </w:rPr>
        <w:t>Environmental Data</w:t>
      </w:r>
      <w:r>
        <w:rPr>
          <w:rFonts w:ascii="Arial" w:eastAsia="Arial" w:hAnsi="Arial" w:cs="Arial"/>
          <w:b/>
          <w:bCs/>
          <w:color w:val="00B050"/>
        </w:rPr>
        <w:t>:</w:t>
      </w:r>
      <w:r>
        <w:rPr>
          <w:rFonts w:ascii="Arial" w:eastAsia="Arial" w:hAnsi="Arial" w:cs="Arial"/>
          <w:color w:val="00B050"/>
        </w:rPr>
        <w:t xml:space="preserve"> </w:t>
      </w:r>
      <w:r>
        <w:rPr>
          <w:rFonts w:ascii="Arial" w:eastAsia="Arial" w:hAnsi="Arial" w:cs="Arial"/>
        </w:rPr>
        <w:t xml:space="preserve">Altitude (4 classes), agroecological zones (e.g., </w:t>
      </w:r>
      <w:proofErr w:type="spellStart"/>
      <w:r>
        <w:rPr>
          <w:rFonts w:ascii="Arial" w:eastAsia="Arial" w:hAnsi="Arial" w:cs="Arial"/>
        </w:rPr>
        <w:t>Layignaw</w:t>
      </w:r>
      <w:proofErr w:type="spellEnd"/>
      <w:r>
        <w:rPr>
          <w:rFonts w:ascii="Arial" w:eastAsia="Arial" w:hAnsi="Arial" w:cs="Arial"/>
        </w:rPr>
        <w:t xml:space="preserve"> </w:t>
      </w:r>
      <w:proofErr w:type="spellStart"/>
      <w:r>
        <w:rPr>
          <w:rFonts w:ascii="Arial" w:eastAsia="Arial" w:hAnsi="Arial" w:cs="Arial"/>
        </w:rPr>
        <w:t>Ataye</w:t>
      </w:r>
      <w:proofErr w:type="spellEnd"/>
      <w:r>
        <w:rPr>
          <w:rFonts w:ascii="Arial" w:eastAsia="Arial" w:hAnsi="Arial" w:cs="Arial"/>
        </w:rPr>
        <w:t xml:space="preserve">, </w:t>
      </w:r>
      <w:proofErr w:type="spellStart"/>
      <w:r>
        <w:rPr>
          <w:rFonts w:ascii="Arial" w:eastAsia="Arial" w:hAnsi="Arial" w:cs="Arial"/>
        </w:rPr>
        <w:t>Bati</w:t>
      </w:r>
      <w:proofErr w:type="spellEnd"/>
      <w:r>
        <w:rPr>
          <w:rFonts w:ascii="Arial" w:eastAsia="Arial" w:hAnsi="Arial" w:cs="Arial"/>
        </w:rPr>
        <w:t>), and administrative regions (North Shewa, South Welo).   (Abdi et al., 2002; CSA, 2018).</w:t>
      </w:r>
    </w:p>
    <w:p w14:paraId="26662632" w14:textId="77777777" w:rsidR="00794C24" w:rsidRDefault="00DB57F8">
      <w:pPr>
        <w:widowControl w:val="0"/>
        <w:jc w:val="both"/>
        <w:rPr>
          <w:rFonts w:ascii="Arial" w:eastAsia="Arial" w:hAnsi="Arial" w:cs="Arial"/>
        </w:rPr>
      </w:pPr>
      <w:r>
        <w:rPr>
          <w:rFonts w:ascii="Arial" w:eastAsia="Arial" w:hAnsi="Arial" w:cs="Arial"/>
          <w:b/>
          <w:bCs/>
        </w:rPr>
        <w:t>Farmers’ Classifications:</w:t>
      </w:r>
      <w:r>
        <w:rPr>
          <w:rFonts w:ascii="Arial" w:eastAsia="Arial" w:hAnsi="Arial" w:cs="Arial"/>
        </w:rPr>
        <w:t xml:space="preserve"> Folk species (e.g., </w:t>
      </w:r>
      <w:proofErr w:type="spellStart"/>
      <w:r>
        <w:rPr>
          <w:rFonts w:ascii="Arial" w:eastAsia="Arial" w:hAnsi="Arial" w:cs="Arial"/>
        </w:rPr>
        <w:t>Muyra</w:t>
      </w:r>
      <w:proofErr w:type="spellEnd"/>
      <w:r>
        <w:rPr>
          <w:rFonts w:ascii="Arial" w:eastAsia="Arial" w:hAnsi="Arial" w:cs="Arial"/>
        </w:rPr>
        <w:t xml:space="preserve">, </w:t>
      </w:r>
      <w:proofErr w:type="spellStart"/>
      <w:r>
        <w:rPr>
          <w:rFonts w:ascii="Arial" w:eastAsia="Arial" w:hAnsi="Arial" w:cs="Arial"/>
        </w:rPr>
        <w:t>Wegere</w:t>
      </w:r>
      <w:proofErr w:type="spellEnd"/>
      <w:r>
        <w:rPr>
          <w:rFonts w:ascii="Arial" w:eastAsia="Arial" w:hAnsi="Arial" w:cs="Arial"/>
        </w:rPr>
        <w:t xml:space="preserve">) based on panicle shape, drought </w:t>
      </w:r>
      <w:r>
        <w:rPr>
          <w:rFonts w:ascii="Arial" w:eastAsia="Arial" w:hAnsi="Arial" w:cs="Arial"/>
        </w:rPr>
        <w:lastRenderedPageBreak/>
        <w:t xml:space="preserve">tolerance, and utility traits.  </w:t>
      </w:r>
    </w:p>
    <w:p w14:paraId="37D421F5" w14:textId="77777777" w:rsidR="00794C24" w:rsidRDefault="00794C24">
      <w:pPr>
        <w:widowControl w:val="0"/>
        <w:jc w:val="both"/>
        <w:rPr>
          <w:rFonts w:ascii="Arial" w:eastAsia="Arial" w:hAnsi="Arial" w:cs="Arial"/>
        </w:rPr>
      </w:pPr>
    </w:p>
    <w:p w14:paraId="60278D04"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3.3. Data Preparation  </w:t>
      </w:r>
    </w:p>
    <w:p w14:paraId="6859CA90" w14:textId="77777777" w:rsidR="00794C24" w:rsidRDefault="00DB57F8">
      <w:pPr>
        <w:widowControl w:val="0"/>
        <w:jc w:val="both"/>
        <w:rPr>
          <w:rFonts w:ascii="Arial" w:eastAsia="Arial" w:hAnsi="Arial" w:cs="Arial"/>
        </w:rPr>
      </w:pPr>
      <w:r>
        <w:rPr>
          <w:rFonts w:ascii="Arial" w:eastAsia="Arial" w:hAnsi="Arial" w:cs="Arial"/>
          <w:b/>
          <w:bCs/>
        </w:rPr>
        <w:t>Standardization</w:t>
      </w:r>
      <w:r>
        <w:rPr>
          <w:rFonts w:ascii="Arial" w:eastAsia="Arial" w:hAnsi="Arial" w:cs="Arial"/>
        </w:rPr>
        <w:t>: Coded traits using IPGRI (1993) descriptors (e.g., panicle compactness: 3 = very loose, 10 = compact oval).</w:t>
      </w:r>
    </w:p>
    <w:p w14:paraId="57BCD6AB" w14:textId="77777777" w:rsidR="00794C24" w:rsidRDefault="00DB57F8">
      <w:pPr>
        <w:widowControl w:val="0"/>
        <w:jc w:val="both"/>
        <w:rPr>
          <w:rFonts w:ascii="Arial" w:eastAsia="Arial" w:hAnsi="Arial" w:cs="Arial"/>
        </w:rPr>
      </w:pPr>
      <w:r>
        <w:rPr>
          <w:rFonts w:ascii="Arial" w:eastAsia="Arial" w:hAnsi="Arial" w:cs="Arial"/>
          <w:b/>
          <w:bCs/>
        </w:rPr>
        <w:t>Cleaning</w:t>
      </w:r>
      <w:r>
        <w:rPr>
          <w:rFonts w:ascii="Arial" w:eastAsia="Arial" w:hAnsi="Arial" w:cs="Arial"/>
        </w:rPr>
        <w:t>: Removed entries with missing data; merged redundant categories (e.g., combined "greyed-orange" and "buff" grain colors).</w:t>
      </w:r>
    </w:p>
    <w:p w14:paraId="02844E98" w14:textId="77777777" w:rsidR="00794C24" w:rsidRDefault="00DB57F8">
      <w:pPr>
        <w:widowControl w:val="0"/>
        <w:jc w:val="both"/>
        <w:rPr>
          <w:rFonts w:ascii="Arial" w:eastAsia="Arial" w:hAnsi="Arial" w:cs="Arial"/>
        </w:rPr>
      </w:pPr>
      <w:r>
        <w:rPr>
          <w:rFonts w:ascii="Arial" w:eastAsia="Arial" w:hAnsi="Arial" w:cs="Arial"/>
          <w:b/>
          <w:bCs/>
        </w:rPr>
        <w:t>Organization</w:t>
      </w:r>
      <w:r>
        <w:rPr>
          <w:rFonts w:ascii="Arial" w:eastAsia="Arial" w:hAnsi="Arial" w:cs="Arial"/>
        </w:rPr>
        <w:t>: Structured data into spreadsheets with altitude classes, trait frequencies, and farmers’ classifications. (Abdi et al., 2002; Teshome et al., 1997)</w:t>
      </w:r>
    </w:p>
    <w:p w14:paraId="28C7C2FC" w14:textId="77777777" w:rsidR="00794C24" w:rsidRDefault="00DB57F8">
      <w:pPr>
        <w:widowControl w:val="0"/>
        <w:jc w:val="both"/>
        <w:rPr>
          <w:rFonts w:ascii="Arial" w:eastAsia="Arial" w:hAnsi="Arial" w:cs="Arial"/>
          <w:b/>
          <w:bCs/>
        </w:rPr>
      </w:pPr>
      <w:r>
        <w:rPr>
          <w:rFonts w:ascii="Arial" w:eastAsia="Arial" w:hAnsi="Arial" w:cs="Arial"/>
        </w:rPr>
        <w:t xml:space="preserve"> </w:t>
      </w:r>
    </w:p>
    <w:p w14:paraId="12900602"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3.4. Analytical Methods  </w:t>
      </w:r>
    </w:p>
    <w:p w14:paraId="3A4337A5" w14:textId="77777777" w:rsidR="00794C24" w:rsidRDefault="00DB57F8">
      <w:pPr>
        <w:widowControl w:val="0"/>
        <w:jc w:val="both"/>
        <w:rPr>
          <w:rFonts w:ascii="Arial" w:eastAsia="Arial" w:hAnsi="Arial" w:cs="Arial"/>
        </w:rPr>
      </w:pPr>
      <w:r>
        <w:rPr>
          <w:rFonts w:ascii="Arial" w:eastAsia="Arial" w:hAnsi="Arial" w:cs="Arial"/>
          <w:b/>
          <w:bCs/>
        </w:rPr>
        <w:t>1</w:t>
      </w:r>
      <w:r>
        <w:rPr>
          <w:rFonts w:ascii="Arial" w:eastAsia="Arial" w:hAnsi="Arial" w:cs="Arial"/>
        </w:rPr>
        <w:t xml:space="preserve">. </w:t>
      </w:r>
      <w:r>
        <w:rPr>
          <w:rFonts w:ascii="Arial" w:eastAsia="Arial" w:hAnsi="Arial" w:cs="Arial"/>
          <w:b/>
          <w:bCs/>
        </w:rPr>
        <w:t>Descriptive Statistics:</w:t>
      </w:r>
      <w:r>
        <w:rPr>
          <w:rFonts w:ascii="Arial" w:eastAsia="Arial" w:hAnsi="Arial" w:cs="Arial"/>
        </w:rPr>
        <w:t xml:space="preserve"> Calculated Shannon-Weaver diversity index (H’) for trait variation (overall mean H’ = 0.77 ± 0.04). (Abdi et al., 2002).</w:t>
      </w:r>
    </w:p>
    <w:p w14:paraId="3FBA8245" w14:textId="77777777" w:rsidR="00794C24" w:rsidRDefault="00DB57F8">
      <w:pPr>
        <w:widowControl w:val="0"/>
        <w:jc w:val="both"/>
        <w:rPr>
          <w:rFonts w:ascii="Arial" w:eastAsia="Arial" w:hAnsi="Arial" w:cs="Arial"/>
        </w:rPr>
      </w:pPr>
      <w:r>
        <w:rPr>
          <w:rFonts w:ascii="Arial" w:eastAsia="Arial" w:hAnsi="Arial" w:cs="Arial"/>
          <w:b/>
          <w:bCs/>
        </w:rPr>
        <w:t>2</w:t>
      </w:r>
      <w:r>
        <w:rPr>
          <w:rFonts w:ascii="Arial" w:eastAsia="Arial" w:hAnsi="Arial" w:cs="Arial"/>
        </w:rPr>
        <w:t xml:space="preserve">. </w:t>
      </w:r>
      <w:r>
        <w:rPr>
          <w:rFonts w:ascii="Arial" w:eastAsia="Arial" w:hAnsi="Arial" w:cs="Arial"/>
          <w:b/>
          <w:bCs/>
        </w:rPr>
        <w:t xml:space="preserve">Canonical Discriminant Analysis (CDA): </w:t>
      </w:r>
      <w:r>
        <w:rPr>
          <w:rFonts w:ascii="Arial" w:eastAsia="Arial" w:hAnsi="Arial" w:cs="Arial"/>
        </w:rPr>
        <w:t xml:space="preserve"> Derived clusters using eigenvalues &gt;1; first three canonical variables explained 91% of variance. (Abdi et al., 2002).</w:t>
      </w:r>
    </w:p>
    <w:p w14:paraId="712455EC" w14:textId="77777777" w:rsidR="00794C24" w:rsidRDefault="00DB57F8">
      <w:pPr>
        <w:widowControl w:val="0"/>
        <w:jc w:val="both"/>
        <w:rPr>
          <w:rFonts w:ascii="Arial" w:eastAsia="Arial" w:hAnsi="Arial" w:cs="Arial"/>
        </w:rPr>
      </w:pPr>
      <w:r>
        <w:rPr>
          <w:rFonts w:ascii="Arial" w:eastAsia="Arial" w:hAnsi="Arial" w:cs="Arial"/>
          <w:b/>
          <w:bCs/>
        </w:rPr>
        <w:t>3</w:t>
      </w:r>
      <w:r>
        <w:rPr>
          <w:rFonts w:ascii="Arial" w:eastAsia="Arial" w:hAnsi="Arial" w:cs="Arial"/>
        </w:rPr>
        <w:t xml:space="preserve">. </w:t>
      </w:r>
      <w:r>
        <w:rPr>
          <w:rFonts w:ascii="Arial" w:eastAsia="Arial" w:hAnsi="Arial" w:cs="Arial"/>
          <w:b/>
          <w:bCs/>
        </w:rPr>
        <w:t>Hierarchical Clustering:</w:t>
      </w:r>
      <w:r>
        <w:rPr>
          <w:rFonts w:ascii="Arial" w:eastAsia="Arial" w:hAnsi="Arial" w:cs="Arial"/>
        </w:rPr>
        <w:t xml:space="preserve"> Grouped landraces using squared Euclidean distance and average linkage (as in Abdi et al., 2002).  </w:t>
      </w:r>
    </w:p>
    <w:p w14:paraId="1A013C2B" w14:textId="77777777" w:rsidR="00794C24" w:rsidRDefault="00DB57F8">
      <w:pPr>
        <w:widowControl w:val="0"/>
        <w:jc w:val="both"/>
        <w:rPr>
          <w:rFonts w:ascii="Arial" w:eastAsia="Arial" w:hAnsi="Arial" w:cs="Arial"/>
        </w:rPr>
      </w:pPr>
      <w:r>
        <w:rPr>
          <w:rFonts w:ascii="Arial" w:eastAsia="Arial" w:hAnsi="Arial" w:cs="Arial"/>
          <w:b/>
          <w:bCs/>
        </w:rPr>
        <w:t>4.</w:t>
      </w:r>
      <w:r>
        <w:rPr>
          <w:rFonts w:ascii="Arial" w:eastAsia="Arial" w:hAnsi="Arial" w:cs="Arial"/>
        </w:rPr>
        <w:t xml:space="preserve"> </w:t>
      </w:r>
      <w:r>
        <w:rPr>
          <w:rFonts w:ascii="Arial" w:eastAsia="Arial" w:hAnsi="Arial" w:cs="Arial"/>
          <w:b/>
          <w:bCs/>
        </w:rPr>
        <w:t xml:space="preserve">Comparative Analysis: </w:t>
      </w:r>
      <w:r>
        <w:rPr>
          <w:rFonts w:ascii="Arial" w:eastAsia="Arial" w:hAnsi="Arial" w:cs="Arial"/>
        </w:rPr>
        <w:t xml:space="preserve"> </w:t>
      </w:r>
    </w:p>
    <w:p w14:paraId="3C6DF3CB" w14:textId="77777777" w:rsidR="00794C24" w:rsidRDefault="00DB57F8">
      <w:pPr>
        <w:widowControl w:val="0"/>
        <w:jc w:val="both"/>
        <w:rPr>
          <w:rFonts w:ascii="Arial" w:eastAsia="Arial" w:hAnsi="Arial" w:cs="Arial"/>
        </w:rPr>
      </w:pPr>
      <w:r>
        <w:rPr>
          <w:rFonts w:ascii="Arial" w:eastAsia="Arial" w:hAnsi="Arial" w:cs="Arial"/>
        </w:rPr>
        <w:t xml:space="preserve">   - </w:t>
      </w:r>
      <w:proofErr w:type="spellStart"/>
      <w:r>
        <w:rPr>
          <w:rFonts w:ascii="Arial" w:eastAsia="Arial" w:hAnsi="Arial" w:cs="Arial"/>
        </w:rPr>
        <w:t>Mahalanobis</w:t>
      </w:r>
      <w:proofErr w:type="spellEnd"/>
      <w:r>
        <w:rPr>
          <w:rFonts w:ascii="Arial" w:eastAsia="Arial" w:hAnsi="Arial" w:cs="Arial"/>
        </w:rPr>
        <w:t xml:space="preserve"> Distance: Assessed divergence between statistical clusters and farmers’ folk groups.  </w:t>
      </w:r>
    </w:p>
    <w:p w14:paraId="612E9919" w14:textId="77777777" w:rsidR="00794C24" w:rsidRDefault="00DB57F8">
      <w:pPr>
        <w:widowControl w:val="0"/>
        <w:jc w:val="both"/>
        <w:rPr>
          <w:rFonts w:ascii="Arial" w:eastAsia="Arial" w:hAnsi="Arial" w:cs="Arial"/>
        </w:rPr>
      </w:pPr>
      <w:r>
        <w:rPr>
          <w:rFonts w:ascii="Arial" w:eastAsia="Arial" w:hAnsi="Arial" w:cs="Arial"/>
        </w:rPr>
        <w:t xml:space="preserve">   - ANOVA: Tested significance of altitude and ecosite effects on trait variation.  </w:t>
      </w:r>
    </w:p>
    <w:p w14:paraId="53B43291" w14:textId="77777777" w:rsidR="00794C24" w:rsidRDefault="00DB57F8">
      <w:pPr>
        <w:widowControl w:val="0"/>
        <w:jc w:val="both"/>
        <w:rPr>
          <w:rFonts w:ascii="Arial" w:eastAsia="Arial" w:hAnsi="Arial" w:cs="Arial"/>
        </w:rPr>
      </w:pPr>
      <w:r>
        <w:rPr>
          <w:rFonts w:ascii="Arial" w:eastAsia="Arial" w:hAnsi="Arial" w:cs="Arial"/>
          <w:b/>
          <w:bCs/>
        </w:rPr>
        <w:t>5</w:t>
      </w:r>
      <w:r>
        <w:rPr>
          <w:rFonts w:ascii="Arial" w:eastAsia="Arial" w:hAnsi="Arial" w:cs="Arial"/>
        </w:rPr>
        <w:t xml:space="preserve">. </w:t>
      </w:r>
      <w:r>
        <w:rPr>
          <w:rFonts w:ascii="Arial" w:eastAsia="Arial" w:hAnsi="Arial" w:cs="Arial"/>
          <w:b/>
          <w:bCs/>
        </w:rPr>
        <w:t>Integration Framework</w:t>
      </w:r>
      <w:r>
        <w:rPr>
          <w:rFonts w:ascii="Arial" w:eastAsia="Arial" w:hAnsi="Arial" w:cs="Arial"/>
        </w:rPr>
        <w:t xml:space="preserve">: Synthesized clusters with folk taxonomy using overlap matrices (e.g., Cluster I vs. farmers’ “Durra” classification).  </w:t>
      </w:r>
    </w:p>
    <w:p w14:paraId="4304C063" w14:textId="77777777" w:rsidR="00794C24" w:rsidRDefault="00DB57F8">
      <w:pPr>
        <w:widowControl w:val="0"/>
        <w:jc w:val="both"/>
        <w:rPr>
          <w:rFonts w:ascii="Arial" w:eastAsia="Arial" w:hAnsi="Arial" w:cs="Arial"/>
        </w:rPr>
      </w:pPr>
      <w:r>
        <w:rPr>
          <w:rFonts w:ascii="Arial" w:eastAsia="Arial" w:hAnsi="Arial" w:cs="Arial"/>
          <w:b/>
          <w:bCs/>
        </w:rPr>
        <w:t>6.</w:t>
      </w:r>
      <w:r>
        <w:rPr>
          <w:rFonts w:ascii="Arial" w:eastAsia="Arial" w:hAnsi="Arial" w:cs="Arial"/>
        </w:rPr>
        <w:t xml:space="preserve"> </w:t>
      </w:r>
      <w:r>
        <w:rPr>
          <w:rFonts w:ascii="Arial" w:eastAsia="Arial" w:hAnsi="Arial" w:cs="Arial"/>
          <w:b/>
          <w:bCs/>
        </w:rPr>
        <w:t>One-way ANOVA:</w:t>
      </w:r>
      <w:r>
        <w:rPr>
          <w:rFonts w:ascii="Arial" w:eastAsia="Arial" w:hAnsi="Arial" w:cs="Arial"/>
        </w:rPr>
        <w:t xml:space="preserve"> Tested significance of altitude effects on traits (e.g., endosperm texture: p &lt; 0.05).</w:t>
      </w:r>
    </w:p>
    <w:p w14:paraId="28557C65" w14:textId="77777777" w:rsidR="00794C24" w:rsidRDefault="00794C24">
      <w:pPr>
        <w:widowControl w:val="0"/>
        <w:jc w:val="both"/>
        <w:rPr>
          <w:rFonts w:ascii="Arial" w:eastAsia="Arial" w:hAnsi="Arial" w:cs="Arial"/>
          <w:b/>
          <w:bCs/>
          <w:sz w:val="22"/>
          <w:szCs w:val="22"/>
        </w:rPr>
      </w:pPr>
    </w:p>
    <w:p w14:paraId="7291EDC7" w14:textId="3A0C3B8F"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4. Results</w:t>
      </w:r>
      <w:r w:rsidR="00C944AC">
        <w:rPr>
          <w:rFonts w:ascii="Arial" w:eastAsia="Arial" w:hAnsi="Arial" w:cs="Arial"/>
          <w:b/>
          <w:bCs/>
          <w:sz w:val="22"/>
          <w:szCs w:val="22"/>
        </w:rPr>
        <w:t xml:space="preserve"> &amp; Discussion</w:t>
      </w:r>
    </w:p>
    <w:p w14:paraId="635BE93F" w14:textId="77777777" w:rsidR="00794C24" w:rsidRDefault="00794C24">
      <w:pPr>
        <w:widowControl w:val="0"/>
        <w:jc w:val="both"/>
        <w:rPr>
          <w:rFonts w:ascii="Arial" w:eastAsia="Arial" w:hAnsi="Arial" w:cs="Arial"/>
          <w:b/>
          <w:bCs/>
          <w:sz w:val="22"/>
          <w:szCs w:val="22"/>
        </w:rPr>
      </w:pPr>
    </w:p>
    <w:p w14:paraId="580FFCC3"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 xml:space="preserve">4.1. Descriptive Analysis  </w:t>
      </w:r>
    </w:p>
    <w:p w14:paraId="7860ADBD" w14:textId="77777777" w:rsidR="00794C24" w:rsidRDefault="00DB57F8">
      <w:pPr>
        <w:widowControl w:val="0"/>
        <w:numPr>
          <w:ilvl w:val="0"/>
          <w:numId w:val="2"/>
        </w:numPr>
        <w:ind w:hanging="135"/>
        <w:jc w:val="both"/>
        <w:rPr>
          <w:rFonts w:ascii="Arial" w:eastAsia="Arial" w:hAnsi="Arial" w:cs="Arial"/>
          <w:b/>
          <w:bCs/>
        </w:rPr>
      </w:pPr>
      <w:r>
        <w:rPr>
          <w:rFonts w:ascii="Arial" w:eastAsia="Arial" w:hAnsi="Arial" w:cs="Arial"/>
          <w:b/>
          <w:bCs/>
        </w:rPr>
        <w:t xml:space="preserve">Altitude-Driven Trait Distribution:  </w:t>
      </w:r>
    </w:p>
    <w:p w14:paraId="2FF610E4" w14:textId="77777777" w:rsidR="00794C24" w:rsidRDefault="00DB57F8">
      <w:pPr>
        <w:widowControl w:val="0"/>
        <w:jc w:val="both"/>
        <w:rPr>
          <w:rFonts w:ascii="Arial" w:eastAsia="Arial" w:hAnsi="Arial" w:cs="Arial"/>
        </w:rPr>
      </w:pPr>
      <w:r>
        <w:rPr>
          <w:rFonts w:ascii="Arial" w:eastAsia="Arial" w:hAnsi="Arial" w:cs="Arial"/>
        </w:rPr>
        <w:t xml:space="preserve">    - High altitude (&gt;1800 </w:t>
      </w:r>
      <w:proofErr w:type="spellStart"/>
      <w:r>
        <w:rPr>
          <w:rFonts w:ascii="Arial" w:eastAsia="Arial" w:hAnsi="Arial" w:cs="Arial"/>
        </w:rPr>
        <w:t>m.a.s.l</w:t>
      </w:r>
      <w:proofErr w:type="spellEnd"/>
      <w:r>
        <w:rPr>
          <w:rFonts w:ascii="Arial" w:eastAsia="Arial" w:hAnsi="Arial" w:cs="Arial"/>
        </w:rPr>
        <w:t>.): Compact oval panicles (33%), non-juicy stalks (100%).   (Abdi et al., 2002).</w:t>
      </w:r>
    </w:p>
    <w:p w14:paraId="0DF2BD98" w14:textId="77777777" w:rsidR="00794C24" w:rsidRDefault="00DB57F8">
      <w:pPr>
        <w:widowControl w:val="0"/>
        <w:jc w:val="both"/>
        <w:rPr>
          <w:rFonts w:ascii="Arial" w:eastAsia="Arial" w:hAnsi="Arial" w:cs="Arial"/>
        </w:rPr>
      </w:pPr>
      <w:r>
        <w:rPr>
          <w:rFonts w:ascii="Arial" w:eastAsia="Arial" w:hAnsi="Arial" w:cs="Arial"/>
        </w:rPr>
        <w:t xml:space="preserve">     - Low altitude (&lt;1500 </w:t>
      </w:r>
      <w:proofErr w:type="spellStart"/>
      <w:r>
        <w:rPr>
          <w:rFonts w:ascii="Arial" w:eastAsia="Arial" w:hAnsi="Arial" w:cs="Arial"/>
        </w:rPr>
        <w:t>m.a.s.l</w:t>
      </w:r>
      <w:proofErr w:type="spellEnd"/>
      <w:r>
        <w:rPr>
          <w:rFonts w:ascii="Arial" w:eastAsia="Arial" w:hAnsi="Arial" w:cs="Arial"/>
        </w:rPr>
        <w:t>.): Loose panicles (25%), juicy stalks (54%).   (Abdi et al., 2002).</w:t>
      </w:r>
      <w:r>
        <w:rPr>
          <w:rFonts w:ascii="Arial" w:eastAsia="Arial" w:hAnsi="Arial" w:cs="Arial"/>
        </w:rPr>
        <w:br/>
      </w:r>
    </w:p>
    <w:p w14:paraId="34601DA0" w14:textId="77777777" w:rsidR="00794C24" w:rsidRDefault="00DB57F8">
      <w:pPr>
        <w:widowControl w:val="0"/>
        <w:numPr>
          <w:ilvl w:val="0"/>
          <w:numId w:val="8"/>
        </w:numPr>
        <w:ind w:left="283" w:hanging="135"/>
        <w:jc w:val="both"/>
        <w:rPr>
          <w:rFonts w:ascii="Arial" w:eastAsia="Arial" w:hAnsi="Arial" w:cs="Arial"/>
        </w:rPr>
      </w:pPr>
      <w:r>
        <w:rPr>
          <w:rFonts w:ascii="Arial" w:eastAsia="Arial" w:hAnsi="Arial" w:cs="Arial"/>
          <w:b/>
          <w:bCs/>
        </w:rPr>
        <w:t xml:space="preserve">Shannon Diversity: </w:t>
      </w:r>
      <w:r>
        <w:rPr>
          <w:rFonts w:ascii="Arial" w:eastAsia="Arial" w:hAnsi="Arial" w:cs="Arial"/>
        </w:rPr>
        <w:t>Highest for peduncle shape (H’ = 0.98), lowest for grain form (H’ = 0.32)</w:t>
      </w:r>
    </w:p>
    <w:p w14:paraId="665D5FCF" w14:textId="77777777" w:rsidR="00794C24" w:rsidRDefault="00DB57F8">
      <w:pPr>
        <w:widowControl w:val="0"/>
        <w:numPr>
          <w:ilvl w:val="0"/>
          <w:numId w:val="8"/>
        </w:numPr>
        <w:ind w:left="283" w:hanging="135"/>
        <w:jc w:val="both"/>
        <w:rPr>
          <w:rFonts w:ascii="Arial" w:eastAsia="Arial" w:hAnsi="Arial" w:cs="Arial"/>
        </w:rPr>
      </w:pPr>
      <w:r>
        <w:rPr>
          <w:rFonts w:ascii="Arial" w:eastAsia="Arial" w:hAnsi="Arial" w:cs="Arial"/>
          <w:b/>
          <w:bCs/>
        </w:rPr>
        <w:t xml:space="preserve">Diversity </w:t>
      </w:r>
      <w:proofErr w:type="spellStart"/>
      <w:proofErr w:type="gramStart"/>
      <w:r>
        <w:rPr>
          <w:rFonts w:ascii="Arial" w:eastAsia="Arial" w:hAnsi="Arial" w:cs="Arial"/>
          <w:b/>
          <w:bCs/>
        </w:rPr>
        <w:t>Indices:</w:t>
      </w:r>
      <w:r>
        <w:rPr>
          <w:rFonts w:ascii="Arial" w:eastAsia="Arial" w:hAnsi="Arial" w:cs="Arial"/>
        </w:rPr>
        <w:t>Highest</w:t>
      </w:r>
      <w:proofErr w:type="spellEnd"/>
      <w:proofErr w:type="gramEnd"/>
      <w:r>
        <w:rPr>
          <w:rFonts w:ascii="Arial" w:eastAsia="Arial" w:hAnsi="Arial" w:cs="Arial"/>
        </w:rPr>
        <w:t xml:space="preserve"> diversity: Peduncle shape (H’ = 0.98). (Abdi et al., 2002). Lowest diversity: Grain form (H’ = 0.32). (Abdi et al., 2002).</w:t>
      </w:r>
      <w:r>
        <w:rPr>
          <w:rFonts w:ascii="Arial" w:eastAsia="Arial" w:hAnsi="Arial" w:cs="Arial"/>
        </w:rPr>
        <w:br/>
      </w:r>
    </w:p>
    <w:p w14:paraId="27317C7D" w14:textId="77777777" w:rsidR="00794C24" w:rsidRDefault="00794C24">
      <w:pPr>
        <w:widowControl w:val="0"/>
        <w:jc w:val="both"/>
        <w:rPr>
          <w:rFonts w:ascii="Arial" w:eastAsia="Arial" w:hAnsi="Arial" w:cs="Arial"/>
          <w:b/>
          <w:bCs/>
          <w:sz w:val="22"/>
          <w:szCs w:val="22"/>
        </w:rPr>
      </w:pPr>
    </w:p>
    <w:p w14:paraId="30819DA7" w14:textId="392999EB" w:rsidR="00794C24" w:rsidRDefault="00794C24">
      <w:pPr>
        <w:widowControl w:val="0"/>
        <w:jc w:val="both"/>
        <w:rPr>
          <w:rFonts w:ascii="Arial" w:eastAsia="Arial" w:hAnsi="Arial" w:cs="Arial"/>
          <w:b/>
          <w:bCs/>
          <w:sz w:val="22"/>
          <w:szCs w:val="22"/>
        </w:rPr>
      </w:pPr>
    </w:p>
    <w:p w14:paraId="0C029774" w14:textId="5A78F0C4" w:rsidR="00816EB4" w:rsidRDefault="00816EB4">
      <w:pPr>
        <w:widowControl w:val="0"/>
        <w:jc w:val="both"/>
        <w:rPr>
          <w:rFonts w:ascii="Arial" w:eastAsia="Arial" w:hAnsi="Arial" w:cs="Arial"/>
          <w:b/>
          <w:bCs/>
          <w:sz w:val="22"/>
          <w:szCs w:val="22"/>
        </w:rPr>
      </w:pPr>
    </w:p>
    <w:p w14:paraId="6CB96ECF" w14:textId="20DCF2B6" w:rsidR="00816EB4" w:rsidRDefault="00816EB4">
      <w:pPr>
        <w:widowControl w:val="0"/>
        <w:jc w:val="both"/>
        <w:rPr>
          <w:rFonts w:ascii="Arial" w:eastAsia="Arial" w:hAnsi="Arial" w:cs="Arial"/>
          <w:b/>
          <w:bCs/>
          <w:sz w:val="22"/>
          <w:szCs w:val="22"/>
        </w:rPr>
      </w:pPr>
    </w:p>
    <w:p w14:paraId="5757FF2A" w14:textId="65E4E04C" w:rsidR="00816EB4" w:rsidRDefault="00816EB4">
      <w:pPr>
        <w:widowControl w:val="0"/>
        <w:jc w:val="both"/>
        <w:rPr>
          <w:rFonts w:ascii="Arial" w:eastAsia="Arial" w:hAnsi="Arial" w:cs="Arial"/>
          <w:b/>
          <w:bCs/>
          <w:sz w:val="22"/>
          <w:szCs w:val="22"/>
        </w:rPr>
      </w:pPr>
    </w:p>
    <w:p w14:paraId="187DAEFC" w14:textId="28AEB830" w:rsidR="00816EB4" w:rsidRDefault="00816EB4">
      <w:pPr>
        <w:widowControl w:val="0"/>
        <w:jc w:val="both"/>
        <w:rPr>
          <w:rFonts w:ascii="Arial" w:eastAsia="Arial" w:hAnsi="Arial" w:cs="Arial"/>
          <w:b/>
          <w:bCs/>
          <w:sz w:val="22"/>
          <w:szCs w:val="22"/>
        </w:rPr>
      </w:pPr>
    </w:p>
    <w:p w14:paraId="51DCDD95" w14:textId="212D764C" w:rsidR="00816EB4" w:rsidRDefault="00816EB4">
      <w:pPr>
        <w:widowControl w:val="0"/>
        <w:jc w:val="both"/>
        <w:rPr>
          <w:rFonts w:ascii="Arial" w:eastAsia="Arial" w:hAnsi="Arial" w:cs="Arial"/>
          <w:b/>
          <w:bCs/>
          <w:sz w:val="22"/>
          <w:szCs w:val="22"/>
        </w:rPr>
      </w:pPr>
    </w:p>
    <w:p w14:paraId="681FFAED" w14:textId="2DEA5494" w:rsidR="00816EB4" w:rsidRDefault="00816EB4">
      <w:pPr>
        <w:widowControl w:val="0"/>
        <w:jc w:val="both"/>
        <w:rPr>
          <w:rFonts w:ascii="Arial" w:eastAsia="Arial" w:hAnsi="Arial" w:cs="Arial"/>
          <w:b/>
          <w:bCs/>
          <w:sz w:val="22"/>
          <w:szCs w:val="22"/>
        </w:rPr>
      </w:pPr>
    </w:p>
    <w:p w14:paraId="11BB7C9F" w14:textId="60A8A4D8" w:rsidR="00816EB4" w:rsidRDefault="00816EB4">
      <w:pPr>
        <w:widowControl w:val="0"/>
        <w:jc w:val="both"/>
        <w:rPr>
          <w:rFonts w:ascii="Arial" w:eastAsia="Arial" w:hAnsi="Arial" w:cs="Arial"/>
          <w:b/>
          <w:bCs/>
          <w:sz w:val="22"/>
          <w:szCs w:val="22"/>
        </w:rPr>
      </w:pPr>
    </w:p>
    <w:p w14:paraId="40C8DE71" w14:textId="750A6512" w:rsidR="00816EB4" w:rsidRDefault="00816EB4">
      <w:pPr>
        <w:widowControl w:val="0"/>
        <w:jc w:val="both"/>
        <w:rPr>
          <w:rFonts w:ascii="Arial" w:eastAsia="Arial" w:hAnsi="Arial" w:cs="Arial"/>
          <w:b/>
          <w:bCs/>
          <w:sz w:val="22"/>
          <w:szCs w:val="22"/>
        </w:rPr>
      </w:pPr>
    </w:p>
    <w:p w14:paraId="2AD46371" w14:textId="77777777" w:rsidR="00816EB4" w:rsidRDefault="00816EB4">
      <w:pPr>
        <w:widowControl w:val="0"/>
        <w:jc w:val="both"/>
        <w:rPr>
          <w:rFonts w:ascii="Arial" w:eastAsia="Arial" w:hAnsi="Arial" w:cs="Arial"/>
          <w:b/>
          <w:bCs/>
          <w:sz w:val="22"/>
          <w:szCs w:val="22"/>
        </w:rPr>
      </w:pPr>
    </w:p>
    <w:p w14:paraId="7789EC20" w14:textId="77777777" w:rsidR="00794C24" w:rsidRDefault="00794C24">
      <w:pPr>
        <w:widowControl w:val="0"/>
        <w:jc w:val="both"/>
        <w:rPr>
          <w:rFonts w:ascii="Arial" w:eastAsia="Arial" w:hAnsi="Arial" w:cs="Arial"/>
          <w:b/>
          <w:bCs/>
          <w:sz w:val="22"/>
          <w:szCs w:val="22"/>
        </w:rPr>
      </w:pPr>
    </w:p>
    <w:p w14:paraId="01348D60" w14:textId="77777777" w:rsidR="00794C24" w:rsidRDefault="00794C24">
      <w:pPr>
        <w:widowControl w:val="0"/>
        <w:jc w:val="both"/>
        <w:rPr>
          <w:rFonts w:ascii="Arial" w:eastAsia="Arial" w:hAnsi="Arial" w:cs="Arial"/>
          <w:b/>
          <w:bCs/>
          <w:sz w:val="22"/>
          <w:szCs w:val="22"/>
        </w:rPr>
      </w:pPr>
    </w:p>
    <w:p w14:paraId="58205831"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lastRenderedPageBreak/>
        <w:t>The distribution of key morphological traits across altitude gradients is summarized in Table 1</w:t>
      </w:r>
    </w:p>
    <w:p w14:paraId="231BA127" w14:textId="77777777" w:rsidR="006556A5" w:rsidRDefault="006556A5">
      <w:pPr>
        <w:widowControl w:val="0"/>
        <w:ind w:left="-708" w:right="-685"/>
        <w:jc w:val="both"/>
        <w:rPr>
          <w:rFonts w:ascii="Arial" w:eastAsia="Arial" w:hAnsi="Arial" w:cs="Arial"/>
        </w:rPr>
      </w:pPr>
    </w:p>
    <w:p w14:paraId="03DD3AFF" w14:textId="77777777" w:rsidR="006556A5" w:rsidRDefault="006556A5">
      <w:pPr>
        <w:widowControl w:val="0"/>
        <w:ind w:left="-708" w:right="-685"/>
        <w:jc w:val="both"/>
        <w:rPr>
          <w:rFonts w:ascii="Arial" w:eastAsia="Arial" w:hAnsi="Arial" w:cs="Arial"/>
        </w:rPr>
      </w:pPr>
    </w:p>
    <w:p w14:paraId="6BE4321B" w14:textId="4046C386" w:rsidR="00794C24" w:rsidRDefault="006556A5">
      <w:pPr>
        <w:widowControl w:val="0"/>
        <w:ind w:left="-708" w:right="-685"/>
        <w:jc w:val="both"/>
        <w:rPr>
          <w:rFonts w:ascii="Arial" w:eastAsia="Arial" w:hAnsi="Arial" w:cs="Arial"/>
        </w:rPr>
      </w:pPr>
      <w:r>
        <w:rPr>
          <w:rFonts w:ascii="Arial" w:eastAsia="Arial" w:hAnsi="Arial" w:cs="Arial"/>
        </w:rPr>
        <w:t xml:space="preserve">        Table 1. Morphological traits of Ethiopian sorghum landraces across altitude gradients (1,500–2,000 </w:t>
      </w:r>
      <w:r w:rsidR="00C87C00">
        <w:rPr>
          <w:rFonts w:ascii="Arial" w:eastAsia="Arial" w:hAnsi="Arial" w:cs="Arial"/>
        </w:rPr>
        <w:t xml:space="preserve">  </w:t>
      </w:r>
      <w:proofErr w:type="spellStart"/>
      <w:r>
        <w:rPr>
          <w:rFonts w:ascii="Arial" w:eastAsia="Arial" w:hAnsi="Arial" w:cs="Arial"/>
        </w:rPr>
        <w:t>m.a.s.l</w:t>
      </w:r>
      <w:proofErr w:type="spellEnd"/>
      <w:r>
        <w:rPr>
          <w:rFonts w:ascii="Arial" w:eastAsia="Arial" w:hAnsi="Arial" w:cs="Arial"/>
        </w:rPr>
        <w:t>.)</w:t>
      </w:r>
    </w:p>
    <w:tbl>
      <w:tblPr>
        <w:tblStyle w:val="a0"/>
        <w:tblW w:w="9810"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1890"/>
        <w:gridCol w:w="2955"/>
        <w:gridCol w:w="2370"/>
        <w:gridCol w:w="2595"/>
      </w:tblGrid>
      <w:tr w:rsidR="00794C24" w14:paraId="2AECF176" w14:textId="77777777">
        <w:trPr>
          <w:trHeight w:val="435"/>
        </w:trPr>
        <w:tc>
          <w:tcPr>
            <w:tcW w:w="1890" w:type="dxa"/>
            <w:tcBorders>
              <w:top w:val="single" w:sz="4" w:space="0" w:color="000000"/>
              <w:left w:val="nil"/>
              <w:bottom w:val="single" w:sz="4" w:space="0" w:color="000000"/>
              <w:right w:val="nil"/>
            </w:tcBorders>
            <w:tcMar>
              <w:top w:w="100" w:type="dxa"/>
              <w:left w:w="100" w:type="dxa"/>
              <w:bottom w:w="100" w:type="dxa"/>
              <w:right w:w="100" w:type="dxa"/>
            </w:tcMar>
          </w:tcPr>
          <w:p w14:paraId="2C63271A" w14:textId="77777777" w:rsidR="00794C24" w:rsidRDefault="00DB57F8">
            <w:pPr>
              <w:widowControl w:val="0"/>
              <w:rPr>
                <w:rFonts w:ascii="Arial" w:eastAsia="Arial" w:hAnsi="Arial" w:cs="Arial"/>
              </w:rPr>
            </w:pPr>
            <w:r>
              <w:rPr>
                <w:rFonts w:ascii="Arial" w:eastAsia="Arial" w:hAnsi="Arial" w:cs="Arial"/>
                <w:b/>
                <w:bCs/>
              </w:rPr>
              <w:t>Trait</w:t>
            </w:r>
          </w:p>
        </w:tc>
        <w:tc>
          <w:tcPr>
            <w:tcW w:w="2955" w:type="dxa"/>
            <w:tcBorders>
              <w:top w:val="single" w:sz="4" w:space="0" w:color="000000"/>
              <w:left w:val="nil"/>
              <w:bottom w:val="single" w:sz="4" w:space="0" w:color="000000"/>
              <w:right w:val="nil"/>
            </w:tcBorders>
            <w:tcMar>
              <w:top w:w="100" w:type="dxa"/>
              <w:left w:w="100" w:type="dxa"/>
              <w:bottom w:w="100" w:type="dxa"/>
              <w:right w:w="100" w:type="dxa"/>
            </w:tcMar>
          </w:tcPr>
          <w:p w14:paraId="72DFDC7F" w14:textId="77777777" w:rsidR="00794C24" w:rsidRDefault="00DB57F8">
            <w:pPr>
              <w:widowControl w:val="0"/>
              <w:rPr>
                <w:rFonts w:ascii="Arial" w:eastAsia="Arial" w:hAnsi="Arial" w:cs="Arial"/>
              </w:rPr>
            </w:pPr>
            <w:r>
              <w:rPr>
                <w:rFonts w:ascii="Arial" w:eastAsia="Arial" w:hAnsi="Arial" w:cs="Arial"/>
                <w:b/>
                <w:bCs/>
              </w:rPr>
              <w:t>Category / Observation</w:t>
            </w:r>
          </w:p>
        </w:tc>
        <w:tc>
          <w:tcPr>
            <w:tcW w:w="2370" w:type="dxa"/>
            <w:tcBorders>
              <w:top w:val="single" w:sz="4" w:space="0" w:color="000000"/>
              <w:left w:val="nil"/>
              <w:bottom w:val="single" w:sz="4" w:space="0" w:color="000000"/>
              <w:right w:val="nil"/>
            </w:tcBorders>
            <w:tcMar>
              <w:top w:w="100" w:type="dxa"/>
              <w:left w:w="100" w:type="dxa"/>
              <w:bottom w:w="100" w:type="dxa"/>
              <w:right w:w="100" w:type="dxa"/>
            </w:tcMar>
          </w:tcPr>
          <w:p w14:paraId="111ADBFE" w14:textId="77777777" w:rsidR="00794C24" w:rsidRDefault="00DB57F8">
            <w:pPr>
              <w:widowControl w:val="0"/>
              <w:rPr>
                <w:rFonts w:ascii="Arial" w:eastAsia="Arial" w:hAnsi="Arial" w:cs="Arial"/>
              </w:rPr>
            </w:pPr>
            <w:r>
              <w:rPr>
                <w:rFonts w:ascii="Arial" w:eastAsia="Arial" w:hAnsi="Arial" w:cs="Arial"/>
                <w:b/>
                <w:bCs/>
              </w:rPr>
              <w:t>Frequency (%)</w:t>
            </w:r>
          </w:p>
        </w:tc>
        <w:tc>
          <w:tcPr>
            <w:tcW w:w="2595" w:type="dxa"/>
            <w:tcBorders>
              <w:top w:val="single" w:sz="4" w:space="0" w:color="000000"/>
              <w:left w:val="nil"/>
              <w:bottom w:val="single" w:sz="4" w:space="0" w:color="000000"/>
              <w:right w:val="nil"/>
            </w:tcBorders>
            <w:tcMar>
              <w:top w:w="100" w:type="dxa"/>
              <w:left w:w="100" w:type="dxa"/>
              <w:bottom w:w="100" w:type="dxa"/>
              <w:right w:w="100" w:type="dxa"/>
            </w:tcMar>
          </w:tcPr>
          <w:p w14:paraId="4E764975" w14:textId="77777777" w:rsidR="00794C24" w:rsidRDefault="00DB57F8">
            <w:pPr>
              <w:widowControl w:val="0"/>
              <w:rPr>
                <w:rFonts w:ascii="Arial" w:eastAsia="Arial" w:hAnsi="Arial" w:cs="Arial"/>
              </w:rPr>
            </w:pPr>
            <w:r>
              <w:rPr>
                <w:rFonts w:ascii="Arial" w:eastAsia="Arial" w:hAnsi="Arial" w:cs="Arial"/>
                <w:b/>
                <w:bCs/>
              </w:rPr>
              <w:t>Source / Method</w:t>
            </w:r>
          </w:p>
        </w:tc>
      </w:tr>
      <w:tr w:rsidR="00794C24" w14:paraId="585009D7" w14:textId="77777777">
        <w:trPr>
          <w:trHeight w:val="386"/>
        </w:trPr>
        <w:tc>
          <w:tcPr>
            <w:tcW w:w="1890" w:type="dxa"/>
            <w:tcBorders>
              <w:top w:val="single" w:sz="4" w:space="0" w:color="000000"/>
              <w:left w:val="nil"/>
              <w:bottom w:val="nil"/>
              <w:right w:val="nil"/>
            </w:tcBorders>
            <w:tcMar>
              <w:top w:w="100" w:type="dxa"/>
              <w:left w:w="100" w:type="dxa"/>
              <w:bottom w:w="100" w:type="dxa"/>
              <w:right w:w="100" w:type="dxa"/>
            </w:tcMar>
          </w:tcPr>
          <w:p w14:paraId="5EF7FB2E"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Panicle compactness</w:t>
            </w:r>
          </w:p>
        </w:tc>
        <w:tc>
          <w:tcPr>
            <w:tcW w:w="2955" w:type="dxa"/>
            <w:tcBorders>
              <w:top w:val="single" w:sz="4" w:space="0" w:color="000000"/>
              <w:left w:val="nil"/>
              <w:bottom w:val="nil"/>
              <w:right w:val="nil"/>
            </w:tcBorders>
            <w:tcMar>
              <w:top w:w="100" w:type="dxa"/>
              <w:left w:w="100" w:type="dxa"/>
              <w:bottom w:w="100" w:type="dxa"/>
              <w:right w:w="100" w:type="dxa"/>
            </w:tcMar>
          </w:tcPr>
          <w:p w14:paraId="6A6C0034"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Compact</w:t>
            </w:r>
          </w:p>
        </w:tc>
        <w:tc>
          <w:tcPr>
            <w:tcW w:w="2370" w:type="dxa"/>
            <w:tcBorders>
              <w:top w:val="single" w:sz="4" w:space="0" w:color="000000"/>
              <w:left w:val="nil"/>
              <w:bottom w:val="nil"/>
              <w:right w:val="nil"/>
            </w:tcBorders>
            <w:tcMar>
              <w:top w:w="100" w:type="dxa"/>
              <w:left w:w="100" w:type="dxa"/>
              <w:bottom w:w="100" w:type="dxa"/>
              <w:right w:w="100" w:type="dxa"/>
            </w:tcMar>
          </w:tcPr>
          <w:p w14:paraId="4C50CBB1"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33</w:t>
            </w:r>
          </w:p>
        </w:tc>
        <w:tc>
          <w:tcPr>
            <w:tcW w:w="2595" w:type="dxa"/>
            <w:tcBorders>
              <w:top w:val="single" w:sz="4" w:space="0" w:color="000000"/>
              <w:left w:val="nil"/>
              <w:bottom w:val="nil"/>
              <w:right w:val="nil"/>
            </w:tcBorders>
            <w:tcMar>
              <w:top w:w="100" w:type="dxa"/>
              <w:left w:w="100" w:type="dxa"/>
              <w:bottom w:w="100" w:type="dxa"/>
              <w:right w:w="100" w:type="dxa"/>
            </w:tcMar>
          </w:tcPr>
          <w:p w14:paraId="52A3285B"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47BAA5C2" w14:textId="77777777">
        <w:trPr>
          <w:trHeight w:val="386"/>
        </w:trPr>
        <w:tc>
          <w:tcPr>
            <w:tcW w:w="1890" w:type="dxa"/>
            <w:tcBorders>
              <w:top w:val="nil"/>
              <w:left w:val="nil"/>
              <w:bottom w:val="nil"/>
              <w:right w:val="nil"/>
            </w:tcBorders>
            <w:tcMar>
              <w:top w:w="100" w:type="dxa"/>
              <w:left w:w="100" w:type="dxa"/>
              <w:bottom w:w="100" w:type="dxa"/>
              <w:right w:w="100" w:type="dxa"/>
            </w:tcMar>
          </w:tcPr>
          <w:p w14:paraId="119674B2" w14:textId="77777777" w:rsidR="00794C24" w:rsidRDefault="00794C24">
            <w:pPr>
              <w:widowControl w:val="0"/>
              <w:jc w:val="both"/>
              <w:rPr>
                <w:rFonts w:ascii="Arial" w:eastAsia="Arial" w:hAnsi="Arial" w:cs="Arial"/>
                <w:sz w:val="16"/>
                <w:szCs w:val="16"/>
              </w:rPr>
            </w:pPr>
          </w:p>
        </w:tc>
        <w:tc>
          <w:tcPr>
            <w:tcW w:w="2955" w:type="dxa"/>
            <w:tcBorders>
              <w:top w:val="nil"/>
              <w:left w:val="nil"/>
              <w:bottom w:val="nil"/>
              <w:right w:val="nil"/>
            </w:tcBorders>
            <w:tcMar>
              <w:top w:w="100" w:type="dxa"/>
              <w:left w:w="100" w:type="dxa"/>
              <w:bottom w:w="100" w:type="dxa"/>
              <w:right w:w="100" w:type="dxa"/>
            </w:tcMar>
          </w:tcPr>
          <w:p w14:paraId="5407803E"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Semi-compact</w:t>
            </w:r>
          </w:p>
        </w:tc>
        <w:tc>
          <w:tcPr>
            <w:tcW w:w="2370" w:type="dxa"/>
            <w:tcBorders>
              <w:top w:val="nil"/>
              <w:left w:val="nil"/>
              <w:bottom w:val="nil"/>
              <w:right w:val="nil"/>
            </w:tcBorders>
            <w:tcMar>
              <w:top w:w="100" w:type="dxa"/>
              <w:left w:w="100" w:type="dxa"/>
              <w:bottom w:w="100" w:type="dxa"/>
              <w:right w:w="100" w:type="dxa"/>
            </w:tcMar>
          </w:tcPr>
          <w:p w14:paraId="3ECFB17A"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42</w:t>
            </w:r>
          </w:p>
        </w:tc>
        <w:tc>
          <w:tcPr>
            <w:tcW w:w="2595" w:type="dxa"/>
            <w:tcBorders>
              <w:top w:val="nil"/>
              <w:left w:val="nil"/>
              <w:bottom w:val="nil"/>
              <w:right w:val="nil"/>
            </w:tcBorders>
            <w:tcMar>
              <w:top w:w="100" w:type="dxa"/>
              <w:left w:w="100" w:type="dxa"/>
              <w:bottom w:w="100" w:type="dxa"/>
              <w:right w:w="100" w:type="dxa"/>
            </w:tcMar>
          </w:tcPr>
          <w:p w14:paraId="40D85ED3"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77EB7172"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5E75ECE6"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6D0E2332"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Loose</w:t>
            </w:r>
          </w:p>
        </w:tc>
        <w:tc>
          <w:tcPr>
            <w:tcW w:w="2370" w:type="dxa"/>
            <w:tcBorders>
              <w:top w:val="nil"/>
              <w:left w:val="nil"/>
              <w:bottom w:val="single" w:sz="4" w:space="0" w:color="000000"/>
              <w:right w:val="nil"/>
            </w:tcBorders>
            <w:tcMar>
              <w:top w:w="100" w:type="dxa"/>
              <w:left w:w="100" w:type="dxa"/>
              <w:bottom w:w="100" w:type="dxa"/>
              <w:right w:w="100" w:type="dxa"/>
            </w:tcMar>
          </w:tcPr>
          <w:p w14:paraId="526927BB"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25</w:t>
            </w:r>
          </w:p>
        </w:tc>
        <w:tc>
          <w:tcPr>
            <w:tcW w:w="2595" w:type="dxa"/>
            <w:tcBorders>
              <w:top w:val="nil"/>
              <w:left w:val="nil"/>
              <w:bottom w:val="single" w:sz="4" w:space="0" w:color="000000"/>
              <w:right w:val="nil"/>
            </w:tcBorders>
            <w:tcMar>
              <w:top w:w="100" w:type="dxa"/>
              <w:left w:w="100" w:type="dxa"/>
              <w:bottom w:w="100" w:type="dxa"/>
              <w:right w:w="100" w:type="dxa"/>
            </w:tcMar>
          </w:tcPr>
          <w:p w14:paraId="2726006F"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7245B077" w14:textId="77777777">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14:paraId="1E6C1B6D"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Stalk juiciness</w:t>
            </w:r>
          </w:p>
        </w:tc>
        <w:tc>
          <w:tcPr>
            <w:tcW w:w="2955" w:type="dxa"/>
            <w:tcBorders>
              <w:top w:val="single" w:sz="4" w:space="0" w:color="000000"/>
              <w:left w:val="nil"/>
              <w:bottom w:val="nil"/>
              <w:right w:val="nil"/>
            </w:tcBorders>
            <w:tcMar>
              <w:top w:w="100" w:type="dxa"/>
              <w:left w:w="100" w:type="dxa"/>
              <w:bottom w:w="100" w:type="dxa"/>
              <w:right w:w="100" w:type="dxa"/>
            </w:tcMar>
          </w:tcPr>
          <w:p w14:paraId="3464E59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Non-juicy</w:t>
            </w:r>
          </w:p>
        </w:tc>
        <w:tc>
          <w:tcPr>
            <w:tcW w:w="2370" w:type="dxa"/>
            <w:tcBorders>
              <w:top w:val="single" w:sz="4" w:space="0" w:color="000000"/>
              <w:left w:val="nil"/>
              <w:bottom w:val="nil"/>
              <w:right w:val="nil"/>
            </w:tcBorders>
            <w:tcMar>
              <w:top w:w="100" w:type="dxa"/>
              <w:left w:w="100" w:type="dxa"/>
              <w:bottom w:w="100" w:type="dxa"/>
              <w:right w:w="100" w:type="dxa"/>
            </w:tcMar>
          </w:tcPr>
          <w:p w14:paraId="1DC78B4C"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46</w:t>
            </w:r>
          </w:p>
        </w:tc>
        <w:tc>
          <w:tcPr>
            <w:tcW w:w="2595" w:type="dxa"/>
            <w:tcBorders>
              <w:top w:val="single" w:sz="4" w:space="0" w:color="000000"/>
              <w:left w:val="nil"/>
              <w:bottom w:val="nil"/>
              <w:right w:val="nil"/>
            </w:tcBorders>
            <w:tcMar>
              <w:top w:w="100" w:type="dxa"/>
              <w:left w:w="100" w:type="dxa"/>
              <w:bottom w:w="100" w:type="dxa"/>
              <w:right w:w="100" w:type="dxa"/>
            </w:tcMar>
          </w:tcPr>
          <w:p w14:paraId="0B37AF1D"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7645FE13"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768FC9A0"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0536FDD5"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Juicy</w:t>
            </w:r>
          </w:p>
        </w:tc>
        <w:tc>
          <w:tcPr>
            <w:tcW w:w="2370" w:type="dxa"/>
            <w:tcBorders>
              <w:top w:val="nil"/>
              <w:left w:val="nil"/>
              <w:bottom w:val="single" w:sz="4" w:space="0" w:color="000000"/>
              <w:right w:val="nil"/>
            </w:tcBorders>
            <w:tcMar>
              <w:top w:w="100" w:type="dxa"/>
              <w:left w:w="100" w:type="dxa"/>
              <w:bottom w:w="100" w:type="dxa"/>
              <w:right w:w="100" w:type="dxa"/>
            </w:tcMar>
          </w:tcPr>
          <w:p w14:paraId="29B48DDA"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54</w:t>
            </w:r>
          </w:p>
        </w:tc>
        <w:tc>
          <w:tcPr>
            <w:tcW w:w="2595" w:type="dxa"/>
            <w:tcBorders>
              <w:top w:val="nil"/>
              <w:left w:val="nil"/>
              <w:bottom w:val="single" w:sz="4" w:space="0" w:color="000000"/>
              <w:right w:val="nil"/>
            </w:tcBorders>
            <w:tcMar>
              <w:top w:w="100" w:type="dxa"/>
              <w:left w:w="100" w:type="dxa"/>
              <w:bottom w:w="100" w:type="dxa"/>
              <w:right w:w="100" w:type="dxa"/>
            </w:tcMar>
          </w:tcPr>
          <w:p w14:paraId="0EB2A3E3"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5F585B1C" w14:textId="77777777">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14:paraId="76310B19"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Grain color</w:t>
            </w:r>
          </w:p>
        </w:tc>
        <w:tc>
          <w:tcPr>
            <w:tcW w:w="2955" w:type="dxa"/>
            <w:tcBorders>
              <w:top w:val="single" w:sz="4" w:space="0" w:color="000000"/>
              <w:left w:val="nil"/>
              <w:bottom w:val="nil"/>
              <w:right w:val="nil"/>
            </w:tcBorders>
            <w:tcMar>
              <w:top w:w="100" w:type="dxa"/>
              <w:left w:w="100" w:type="dxa"/>
              <w:bottom w:w="100" w:type="dxa"/>
              <w:right w:w="100" w:type="dxa"/>
            </w:tcMar>
          </w:tcPr>
          <w:p w14:paraId="5283A302"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White</w:t>
            </w:r>
          </w:p>
        </w:tc>
        <w:tc>
          <w:tcPr>
            <w:tcW w:w="2370" w:type="dxa"/>
            <w:tcBorders>
              <w:top w:val="single" w:sz="4" w:space="0" w:color="000000"/>
              <w:left w:val="nil"/>
              <w:bottom w:val="nil"/>
              <w:right w:val="nil"/>
            </w:tcBorders>
            <w:tcMar>
              <w:top w:w="100" w:type="dxa"/>
              <w:left w:w="100" w:type="dxa"/>
              <w:bottom w:w="100" w:type="dxa"/>
              <w:right w:w="100" w:type="dxa"/>
            </w:tcMar>
          </w:tcPr>
          <w:p w14:paraId="1F117758"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48</w:t>
            </w:r>
          </w:p>
        </w:tc>
        <w:tc>
          <w:tcPr>
            <w:tcW w:w="2595" w:type="dxa"/>
            <w:tcBorders>
              <w:top w:val="single" w:sz="4" w:space="0" w:color="000000"/>
              <w:left w:val="nil"/>
              <w:bottom w:val="nil"/>
              <w:right w:val="nil"/>
            </w:tcBorders>
            <w:tcMar>
              <w:top w:w="100" w:type="dxa"/>
              <w:left w:w="100" w:type="dxa"/>
              <w:bottom w:w="100" w:type="dxa"/>
              <w:right w:w="100" w:type="dxa"/>
            </w:tcMar>
          </w:tcPr>
          <w:p w14:paraId="7C1C28DB"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2770AE17" w14:textId="77777777">
        <w:trPr>
          <w:trHeight w:val="420"/>
        </w:trPr>
        <w:tc>
          <w:tcPr>
            <w:tcW w:w="1890" w:type="dxa"/>
            <w:tcBorders>
              <w:top w:val="nil"/>
              <w:left w:val="nil"/>
              <w:bottom w:val="nil"/>
              <w:right w:val="nil"/>
            </w:tcBorders>
            <w:tcMar>
              <w:top w:w="100" w:type="dxa"/>
              <w:left w:w="100" w:type="dxa"/>
              <w:bottom w:w="100" w:type="dxa"/>
              <w:right w:w="100" w:type="dxa"/>
            </w:tcMar>
          </w:tcPr>
          <w:p w14:paraId="5BAC1D42" w14:textId="77777777" w:rsidR="00794C24" w:rsidRDefault="00794C24">
            <w:pPr>
              <w:widowControl w:val="0"/>
              <w:jc w:val="both"/>
              <w:rPr>
                <w:rFonts w:ascii="Arial" w:eastAsia="Arial" w:hAnsi="Arial" w:cs="Arial"/>
                <w:sz w:val="16"/>
                <w:szCs w:val="16"/>
              </w:rPr>
            </w:pPr>
          </w:p>
        </w:tc>
        <w:tc>
          <w:tcPr>
            <w:tcW w:w="2955" w:type="dxa"/>
            <w:tcBorders>
              <w:top w:val="nil"/>
              <w:left w:val="nil"/>
              <w:bottom w:val="nil"/>
              <w:right w:val="nil"/>
            </w:tcBorders>
            <w:tcMar>
              <w:top w:w="100" w:type="dxa"/>
              <w:left w:w="100" w:type="dxa"/>
              <w:bottom w:w="100" w:type="dxa"/>
              <w:right w:w="100" w:type="dxa"/>
            </w:tcMar>
          </w:tcPr>
          <w:p w14:paraId="74EB4FE1"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Yellow</w:t>
            </w:r>
          </w:p>
        </w:tc>
        <w:tc>
          <w:tcPr>
            <w:tcW w:w="2370" w:type="dxa"/>
            <w:tcBorders>
              <w:top w:val="nil"/>
              <w:left w:val="nil"/>
              <w:bottom w:val="nil"/>
              <w:right w:val="nil"/>
            </w:tcBorders>
            <w:tcMar>
              <w:top w:w="100" w:type="dxa"/>
              <w:left w:w="100" w:type="dxa"/>
              <w:bottom w:w="100" w:type="dxa"/>
              <w:right w:w="100" w:type="dxa"/>
            </w:tcMar>
          </w:tcPr>
          <w:p w14:paraId="026461F4"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32</w:t>
            </w:r>
          </w:p>
        </w:tc>
        <w:tc>
          <w:tcPr>
            <w:tcW w:w="2595" w:type="dxa"/>
            <w:tcBorders>
              <w:top w:val="nil"/>
              <w:left w:val="nil"/>
              <w:bottom w:val="nil"/>
              <w:right w:val="nil"/>
            </w:tcBorders>
            <w:tcMar>
              <w:top w:w="100" w:type="dxa"/>
              <w:left w:w="100" w:type="dxa"/>
              <w:bottom w:w="100" w:type="dxa"/>
              <w:right w:w="100" w:type="dxa"/>
            </w:tcMar>
          </w:tcPr>
          <w:p w14:paraId="600E80D1"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594B49D6"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28D382DF"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555068AC"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Red</w:t>
            </w:r>
          </w:p>
        </w:tc>
        <w:tc>
          <w:tcPr>
            <w:tcW w:w="2370" w:type="dxa"/>
            <w:tcBorders>
              <w:top w:val="nil"/>
              <w:left w:val="nil"/>
              <w:bottom w:val="single" w:sz="4" w:space="0" w:color="000000"/>
              <w:right w:val="nil"/>
            </w:tcBorders>
            <w:tcMar>
              <w:top w:w="100" w:type="dxa"/>
              <w:left w:w="100" w:type="dxa"/>
              <w:bottom w:w="100" w:type="dxa"/>
              <w:right w:w="100" w:type="dxa"/>
            </w:tcMar>
          </w:tcPr>
          <w:p w14:paraId="08CC6927"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20</w:t>
            </w:r>
          </w:p>
        </w:tc>
        <w:tc>
          <w:tcPr>
            <w:tcW w:w="2595" w:type="dxa"/>
            <w:tcBorders>
              <w:top w:val="nil"/>
              <w:left w:val="nil"/>
              <w:bottom w:val="single" w:sz="4" w:space="0" w:color="000000"/>
              <w:right w:val="nil"/>
            </w:tcBorders>
            <w:tcMar>
              <w:top w:w="100" w:type="dxa"/>
              <w:left w:w="100" w:type="dxa"/>
              <w:bottom w:w="100" w:type="dxa"/>
              <w:right w:w="100" w:type="dxa"/>
            </w:tcMar>
          </w:tcPr>
          <w:p w14:paraId="24EAA867"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5512C75E" w14:textId="77777777">
        <w:trPr>
          <w:trHeight w:val="470"/>
        </w:trPr>
        <w:tc>
          <w:tcPr>
            <w:tcW w:w="1890" w:type="dxa"/>
            <w:tcBorders>
              <w:top w:val="single" w:sz="4" w:space="0" w:color="000000"/>
              <w:left w:val="nil"/>
              <w:bottom w:val="nil"/>
              <w:right w:val="nil"/>
            </w:tcBorders>
            <w:tcMar>
              <w:top w:w="100" w:type="dxa"/>
              <w:left w:w="100" w:type="dxa"/>
              <w:bottom w:w="100" w:type="dxa"/>
              <w:right w:w="100" w:type="dxa"/>
            </w:tcMar>
          </w:tcPr>
          <w:p w14:paraId="385C8F74"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Awn presence</w:t>
            </w:r>
          </w:p>
        </w:tc>
        <w:tc>
          <w:tcPr>
            <w:tcW w:w="2955" w:type="dxa"/>
            <w:tcBorders>
              <w:top w:val="single" w:sz="4" w:space="0" w:color="000000"/>
              <w:left w:val="nil"/>
              <w:bottom w:val="nil"/>
              <w:right w:val="nil"/>
            </w:tcBorders>
            <w:tcMar>
              <w:top w:w="100" w:type="dxa"/>
              <w:left w:w="100" w:type="dxa"/>
              <w:bottom w:w="100" w:type="dxa"/>
              <w:right w:w="100" w:type="dxa"/>
            </w:tcMar>
          </w:tcPr>
          <w:p w14:paraId="51F82085"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Present</w:t>
            </w:r>
          </w:p>
        </w:tc>
        <w:tc>
          <w:tcPr>
            <w:tcW w:w="2370" w:type="dxa"/>
            <w:tcBorders>
              <w:top w:val="single" w:sz="4" w:space="0" w:color="000000"/>
              <w:left w:val="nil"/>
              <w:bottom w:val="nil"/>
              <w:right w:val="nil"/>
            </w:tcBorders>
            <w:tcMar>
              <w:top w:w="100" w:type="dxa"/>
              <w:left w:w="100" w:type="dxa"/>
              <w:bottom w:w="100" w:type="dxa"/>
              <w:right w:w="100" w:type="dxa"/>
            </w:tcMar>
          </w:tcPr>
          <w:p w14:paraId="37045DD1"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75</w:t>
            </w:r>
          </w:p>
        </w:tc>
        <w:tc>
          <w:tcPr>
            <w:tcW w:w="2595" w:type="dxa"/>
            <w:tcBorders>
              <w:top w:val="single" w:sz="4" w:space="0" w:color="000000"/>
              <w:left w:val="nil"/>
              <w:bottom w:val="nil"/>
              <w:right w:val="nil"/>
            </w:tcBorders>
            <w:tcMar>
              <w:top w:w="100" w:type="dxa"/>
              <w:left w:w="100" w:type="dxa"/>
              <w:bottom w:w="100" w:type="dxa"/>
              <w:right w:w="100" w:type="dxa"/>
            </w:tcMar>
          </w:tcPr>
          <w:p w14:paraId="3D8FEA0D"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3EFDD960"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4C774866"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1721566F"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Absent</w:t>
            </w:r>
          </w:p>
        </w:tc>
        <w:tc>
          <w:tcPr>
            <w:tcW w:w="2370" w:type="dxa"/>
            <w:tcBorders>
              <w:top w:val="nil"/>
              <w:left w:val="nil"/>
              <w:bottom w:val="single" w:sz="4" w:space="0" w:color="000000"/>
              <w:right w:val="nil"/>
            </w:tcBorders>
            <w:tcMar>
              <w:top w:w="100" w:type="dxa"/>
              <w:left w:w="100" w:type="dxa"/>
              <w:bottom w:w="100" w:type="dxa"/>
              <w:right w:w="100" w:type="dxa"/>
            </w:tcMar>
          </w:tcPr>
          <w:p w14:paraId="74FDB0F2"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25</w:t>
            </w:r>
          </w:p>
        </w:tc>
        <w:tc>
          <w:tcPr>
            <w:tcW w:w="2595" w:type="dxa"/>
            <w:tcBorders>
              <w:top w:val="nil"/>
              <w:left w:val="nil"/>
              <w:bottom w:val="single" w:sz="4" w:space="0" w:color="000000"/>
              <w:right w:val="nil"/>
            </w:tcBorders>
            <w:tcMar>
              <w:top w:w="100" w:type="dxa"/>
              <w:left w:w="100" w:type="dxa"/>
              <w:bottom w:w="100" w:type="dxa"/>
              <w:right w:w="100" w:type="dxa"/>
            </w:tcMar>
          </w:tcPr>
          <w:p w14:paraId="437A1ED6"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4611964A" w14:textId="77777777">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14:paraId="2B89055A"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Endosperm texture</w:t>
            </w:r>
          </w:p>
        </w:tc>
        <w:tc>
          <w:tcPr>
            <w:tcW w:w="2955" w:type="dxa"/>
            <w:tcBorders>
              <w:top w:val="single" w:sz="4" w:space="0" w:color="000000"/>
              <w:left w:val="nil"/>
              <w:bottom w:val="nil"/>
              <w:right w:val="nil"/>
            </w:tcBorders>
            <w:tcMar>
              <w:top w:w="100" w:type="dxa"/>
              <w:left w:w="100" w:type="dxa"/>
              <w:bottom w:w="100" w:type="dxa"/>
              <w:right w:w="100" w:type="dxa"/>
            </w:tcMar>
          </w:tcPr>
          <w:p w14:paraId="429F207E"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Completely starchy</w:t>
            </w:r>
          </w:p>
        </w:tc>
        <w:tc>
          <w:tcPr>
            <w:tcW w:w="2370" w:type="dxa"/>
            <w:tcBorders>
              <w:top w:val="single" w:sz="4" w:space="0" w:color="000000"/>
              <w:left w:val="nil"/>
              <w:bottom w:val="nil"/>
              <w:right w:val="nil"/>
            </w:tcBorders>
            <w:tcMar>
              <w:top w:w="100" w:type="dxa"/>
              <w:left w:w="100" w:type="dxa"/>
              <w:bottom w:w="100" w:type="dxa"/>
              <w:right w:w="100" w:type="dxa"/>
            </w:tcMar>
          </w:tcPr>
          <w:p w14:paraId="6DAE5098"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43</w:t>
            </w:r>
          </w:p>
        </w:tc>
        <w:tc>
          <w:tcPr>
            <w:tcW w:w="2595" w:type="dxa"/>
            <w:tcBorders>
              <w:top w:val="single" w:sz="4" w:space="0" w:color="000000"/>
              <w:left w:val="nil"/>
              <w:bottom w:val="nil"/>
              <w:right w:val="nil"/>
            </w:tcBorders>
            <w:tcMar>
              <w:top w:w="100" w:type="dxa"/>
              <w:left w:w="100" w:type="dxa"/>
              <w:bottom w:w="100" w:type="dxa"/>
              <w:right w:w="100" w:type="dxa"/>
            </w:tcMar>
          </w:tcPr>
          <w:p w14:paraId="5356DAB8"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49691B7F"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2BBF7FBB"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6C940385"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Mostly corneous</w:t>
            </w:r>
          </w:p>
        </w:tc>
        <w:tc>
          <w:tcPr>
            <w:tcW w:w="2370" w:type="dxa"/>
            <w:tcBorders>
              <w:top w:val="nil"/>
              <w:left w:val="nil"/>
              <w:bottom w:val="single" w:sz="4" w:space="0" w:color="000000"/>
              <w:right w:val="nil"/>
            </w:tcBorders>
            <w:tcMar>
              <w:top w:w="100" w:type="dxa"/>
              <w:left w:w="100" w:type="dxa"/>
              <w:bottom w:w="100" w:type="dxa"/>
              <w:right w:w="100" w:type="dxa"/>
            </w:tcMar>
          </w:tcPr>
          <w:p w14:paraId="0557F65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3</w:t>
            </w:r>
          </w:p>
        </w:tc>
        <w:tc>
          <w:tcPr>
            <w:tcW w:w="2595" w:type="dxa"/>
            <w:tcBorders>
              <w:top w:val="nil"/>
              <w:left w:val="nil"/>
              <w:bottom w:val="single" w:sz="4" w:space="0" w:color="000000"/>
              <w:right w:val="nil"/>
            </w:tcBorders>
            <w:tcMar>
              <w:top w:w="100" w:type="dxa"/>
              <w:left w:w="100" w:type="dxa"/>
              <w:bottom w:w="100" w:type="dxa"/>
              <w:right w:w="100" w:type="dxa"/>
            </w:tcMar>
          </w:tcPr>
          <w:p w14:paraId="1A910B3E"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7DEE8CEC" w14:textId="77777777">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14:paraId="6050A609"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Midrib color</w:t>
            </w:r>
          </w:p>
        </w:tc>
        <w:tc>
          <w:tcPr>
            <w:tcW w:w="2955" w:type="dxa"/>
            <w:tcBorders>
              <w:top w:val="single" w:sz="4" w:space="0" w:color="000000"/>
              <w:left w:val="nil"/>
              <w:bottom w:val="nil"/>
              <w:right w:val="nil"/>
            </w:tcBorders>
            <w:tcMar>
              <w:top w:w="100" w:type="dxa"/>
              <w:left w:w="100" w:type="dxa"/>
              <w:bottom w:w="100" w:type="dxa"/>
              <w:right w:w="100" w:type="dxa"/>
            </w:tcMar>
          </w:tcPr>
          <w:p w14:paraId="10FE8B6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Yellow</w:t>
            </w:r>
          </w:p>
        </w:tc>
        <w:tc>
          <w:tcPr>
            <w:tcW w:w="2370" w:type="dxa"/>
            <w:tcBorders>
              <w:top w:val="single" w:sz="4" w:space="0" w:color="000000"/>
              <w:left w:val="nil"/>
              <w:bottom w:val="nil"/>
              <w:right w:val="nil"/>
            </w:tcBorders>
            <w:tcMar>
              <w:top w:w="100" w:type="dxa"/>
              <w:left w:w="100" w:type="dxa"/>
              <w:bottom w:w="100" w:type="dxa"/>
              <w:right w:w="100" w:type="dxa"/>
            </w:tcMar>
          </w:tcPr>
          <w:p w14:paraId="1035AF21"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45</w:t>
            </w:r>
          </w:p>
        </w:tc>
        <w:tc>
          <w:tcPr>
            <w:tcW w:w="2595" w:type="dxa"/>
            <w:tcBorders>
              <w:top w:val="single" w:sz="4" w:space="0" w:color="000000"/>
              <w:left w:val="nil"/>
              <w:bottom w:val="nil"/>
              <w:right w:val="nil"/>
            </w:tcBorders>
            <w:tcMar>
              <w:top w:w="100" w:type="dxa"/>
              <w:left w:w="100" w:type="dxa"/>
              <w:bottom w:w="100" w:type="dxa"/>
              <w:right w:w="100" w:type="dxa"/>
            </w:tcMar>
          </w:tcPr>
          <w:p w14:paraId="768C42E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3569B8E9"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43A13C2F"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1B8EBA0F"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White</w:t>
            </w:r>
          </w:p>
        </w:tc>
        <w:tc>
          <w:tcPr>
            <w:tcW w:w="2370" w:type="dxa"/>
            <w:tcBorders>
              <w:top w:val="nil"/>
              <w:left w:val="nil"/>
              <w:bottom w:val="single" w:sz="4" w:space="0" w:color="000000"/>
              <w:right w:val="nil"/>
            </w:tcBorders>
            <w:tcMar>
              <w:top w:w="100" w:type="dxa"/>
              <w:left w:w="100" w:type="dxa"/>
              <w:bottom w:w="100" w:type="dxa"/>
              <w:right w:w="100" w:type="dxa"/>
            </w:tcMar>
          </w:tcPr>
          <w:p w14:paraId="4D8482E7"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45</w:t>
            </w:r>
          </w:p>
        </w:tc>
        <w:tc>
          <w:tcPr>
            <w:tcW w:w="2595" w:type="dxa"/>
            <w:tcBorders>
              <w:top w:val="nil"/>
              <w:left w:val="nil"/>
              <w:bottom w:val="single" w:sz="4" w:space="0" w:color="000000"/>
              <w:right w:val="nil"/>
            </w:tcBorders>
            <w:tcMar>
              <w:top w:w="100" w:type="dxa"/>
              <w:left w:w="100" w:type="dxa"/>
              <w:bottom w:w="100" w:type="dxa"/>
              <w:right w:w="100" w:type="dxa"/>
            </w:tcMar>
          </w:tcPr>
          <w:p w14:paraId="6F9EAD42"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28EEA9AA" w14:textId="77777777">
        <w:trPr>
          <w:trHeight w:val="411"/>
        </w:trPr>
        <w:tc>
          <w:tcPr>
            <w:tcW w:w="1890" w:type="dxa"/>
            <w:tcBorders>
              <w:top w:val="single" w:sz="4" w:space="0" w:color="000000"/>
              <w:left w:val="nil"/>
              <w:bottom w:val="nil"/>
              <w:right w:val="nil"/>
            </w:tcBorders>
            <w:tcMar>
              <w:top w:w="100" w:type="dxa"/>
              <w:left w:w="100" w:type="dxa"/>
              <w:bottom w:w="100" w:type="dxa"/>
              <w:right w:w="100" w:type="dxa"/>
            </w:tcMar>
          </w:tcPr>
          <w:p w14:paraId="33E786E8"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Peduncle shape</w:t>
            </w:r>
          </w:p>
        </w:tc>
        <w:tc>
          <w:tcPr>
            <w:tcW w:w="2955" w:type="dxa"/>
            <w:tcBorders>
              <w:top w:val="single" w:sz="4" w:space="0" w:color="000000"/>
              <w:left w:val="nil"/>
              <w:bottom w:val="nil"/>
              <w:right w:val="nil"/>
            </w:tcBorders>
            <w:tcMar>
              <w:top w:w="100" w:type="dxa"/>
              <w:left w:w="100" w:type="dxa"/>
              <w:bottom w:w="100" w:type="dxa"/>
              <w:right w:w="100" w:type="dxa"/>
            </w:tcMar>
          </w:tcPr>
          <w:p w14:paraId="542F37F7"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Erect</w:t>
            </w:r>
          </w:p>
        </w:tc>
        <w:tc>
          <w:tcPr>
            <w:tcW w:w="2370" w:type="dxa"/>
            <w:tcBorders>
              <w:top w:val="single" w:sz="4" w:space="0" w:color="000000"/>
              <w:left w:val="nil"/>
              <w:bottom w:val="nil"/>
              <w:right w:val="nil"/>
            </w:tcBorders>
            <w:tcMar>
              <w:top w:w="100" w:type="dxa"/>
              <w:left w:w="100" w:type="dxa"/>
              <w:bottom w:w="100" w:type="dxa"/>
              <w:right w:w="100" w:type="dxa"/>
            </w:tcMar>
          </w:tcPr>
          <w:p w14:paraId="3282D5B9"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59</w:t>
            </w:r>
          </w:p>
        </w:tc>
        <w:tc>
          <w:tcPr>
            <w:tcW w:w="2595" w:type="dxa"/>
            <w:tcBorders>
              <w:top w:val="single" w:sz="4" w:space="0" w:color="000000"/>
              <w:left w:val="nil"/>
              <w:bottom w:val="nil"/>
              <w:right w:val="nil"/>
            </w:tcBorders>
            <w:tcMar>
              <w:top w:w="100" w:type="dxa"/>
              <w:left w:w="100" w:type="dxa"/>
              <w:bottom w:w="100" w:type="dxa"/>
              <w:right w:w="100" w:type="dxa"/>
            </w:tcMar>
          </w:tcPr>
          <w:p w14:paraId="604DEFA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r w:rsidR="00794C24" w14:paraId="662D544D" w14:textId="77777777">
        <w:trPr>
          <w:trHeight w:val="411"/>
        </w:trPr>
        <w:tc>
          <w:tcPr>
            <w:tcW w:w="1890" w:type="dxa"/>
            <w:tcBorders>
              <w:top w:val="nil"/>
              <w:left w:val="nil"/>
              <w:bottom w:val="single" w:sz="4" w:space="0" w:color="000000"/>
              <w:right w:val="nil"/>
            </w:tcBorders>
            <w:tcMar>
              <w:top w:w="100" w:type="dxa"/>
              <w:left w:w="100" w:type="dxa"/>
              <w:bottom w:w="100" w:type="dxa"/>
              <w:right w:w="100" w:type="dxa"/>
            </w:tcMar>
          </w:tcPr>
          <w:p w14:paraId="66EF9EBF" w14:textId="77777777" w:rsidR="00794C24" w:rsidRDefault="00794C24">
            <w:pPr>
              <w:widowControl w:val="0"/>
              <w:jc w:val="both"/>
              <w:rPr>
                <w:rFonts w:ascii="Arial" w:eastAsia="Arial" w:hAnsi="Arial" w:cs="Arial"/>
                <w:sz w:val="16"/>
                <w:szCs w:val="16"/>
              </w:rPr>
            </w:pPr>
          </w:p>
        </w:tc>
        <w:tc>
          <w:tcPr>
            <w:tcW w:w="2955" w:type="dxa"/>
            <w:tcBorders>
              <w:top w:val="nil"/>
              <w:left w:val="nil"/>
              <w:bottom w:val="single" w:sz="4" w:space="0" w:color="000000"/>
              <w:right w:val="nil"/>
            </w:tcBorders>
            <w:tcMar>
              <w:top w:w="100" w:type="dxa"/>
              <w:left w:w="100" w:type="dxa"/>
              <w:bottom w:w="100" w:type="dxa"/>
              <w:right w:w="100" w:type="dxa"/>
            </w:tcMar>
          </w:tcPr>
          <w:p w14:paraId="11A9E3E0"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Semi-erect / Others</w:t>
            </w:r>
          </w:p>
        </w:tc>
        <w:tc>
          <w:tcPr>
            <w:tcW w:w="2370" w:type="dxa"/>
            <w:tcBorders>
              <w:top w:val="nil"/>
              <w:left w:val="nil"/>
              <w:bottom w:val="single" w:sz="4" w:space="0" w:color="000000"/>
              <w:right w:val="nil"/>
            </w:tcBorders>
            <w:tcMar>
              <w:top w:w="100" w:type="dxa"/>
              <w:left w:w="100" w:type="dxa"/>
              <w:bottom w:w="100" w:type="dxa"/>
              <w:right w:w="100" w:type="dxa"/>
            </w:tcMar>
          </w:tcPr>
          <w:p w14:paraId="3D97BDB9"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41</w:t>
            </w:r>
          </w:p>
        </w:tc>
        <w:tc>
          <w:tcPr>
            <w:tcW w:w="2595" w:type="dxa"/>
            <w:tcBorders>
              <w:top w:val="nil"/>
              <w:left w:val="nil"/>
              <w:bottom w:val="single" w:sz="4" w:space="0" w:color="000000"/>
              <w:right w:val="nil"/>
            </w:tcBorders>
            <w:tcMar>
              <w:top w:w="100" w:type="dxa"/>
              <w:left w:w="100" w:type="dxa"/>
              <w:bottom w:w="100" w:type="dxa"/>
              <w:right w:w="100" w:type="dxa"/>
            </w:tcMar>
          </w:tcPr>
          <w:p w14:paraId="015648A3" w14:textId="77777777" w:rsidR="00794C24" w:rsidRDefault="00DB57F8">
            <w:pPr>
              <w:widowControl w:val="0"/>
              <w:jc w:val="both"/>
              <w:rPr>
                <w:rFonts w:ascii="Arial" w:eastAsia="Arial" w:hAnsi="Arial" w:cs="Arial"/>
                <w:sz w:val="16"/>
                <w:szCs w:val="16"/>
              </w:rPr>
            </w:pPr>
            <w:r>
              <w:rPr>
                <w:rFonts w:ascii="Arial" w:eastAsia="Arial" w:hAnsi="Arial" w:cs="Arial"/>
                <w:sz w:val="16"/>
                <w:szCs w:val="16"/>
              </w:rPr>
              <w:t>Abdi et al., 2002</w:t>
            </w:r>
          </w:p>
        </w:tc>
      </w:tr>
    </w:tbl>
    <w:p w14:paraId="74080BED" w14:textId="3B0218CD" w:rsidR="00794C24" w:rsidRDefault="00DB57F8">
      <w:pPr>
        <w:widowControl w:val="0"/>
        <w:spacing w:before="240" w:after="240"/>
        <w:ind w:left="-1133" w:right="-969"/>
        <w:jc w:val="both"/>
        <w:rPr>
          <w:rFonts w:ascii="Arial" w:eastAsia="Arial" w:hAnsi="Arial" w:cs="Arial"/>
        </w:rPr>
      </w:pPr>
      <w:r>
        <w:rPr>
          <w:rFonts w:ascii="Arial" w:eastAsia="Arial" w:hAnsi="Arial" w:cs="Arial"/>
          <w:i/>
          <w:iCs/>
        </w:rPr>
        <w:lastRenderedPageBreak/>
        <w:t>Notes:</w:t>
      </w:r>
      <w:r>
        <w:rPr>
          <w:rFonts w:ascii="Arial" w:eastAsia="Arial" w:hAnsi="Arial" w:cs="Arial"/>
        </w:rPr>
        <w:t xml:space="preserve"> Percentages represent frequency of occurrence within the sample set (n = 34 landraces). Traits coded according to IPGRI (1993) descriptor standards</w:t>
      </w:r>
    </w:p>
    <w:p w14:paraId="5A7E44FE" w14:textId="77777777" w:rsidR="00816EB4" w:rsidRDefault="00816EB4">
      <w:pPr>
        <w:widowControl w:val="0"/>
        <w:spacing w:before="240" w:after="240"/>
        <w:ind w:left="-1133" w:right="-969"/>
        <w:jc w:val="both"/>
        <w:rPr>
          <w:rFonts w:ascii="Arial" w:eastAsia="Arial" w:hAnsi="Arial" w:cs="Arial"/>
        </w:rPr>
      </w:pPr>
    </w:p>
    <w:p w14:paraId="73BE755C" w14:textId="36D9CBEF" w:rsidR="00794C24" w:rsidRDefault="00794C24">
      <w:pPr>
        <w:widowControl w:val="0"/>
        <w:spacing w:before="240" w:after="240"/>
        <w:ind w:left="-1133" w:right="-969"/>
        <w:jc w:val="both"/>
        <w:rPr>
          <w:rFonts w:ascii="Arial" w:eastAsia="Arial" w:hAnsi="Arial" w:cs="Arial"/>
        </w:rPr>
      </w:pPr>
    </w:p>
    <w:p w14:paraId="6CA94AC6" w14:textId="70582D05" w:rsidR="00794C24" w:rsidRDefault="00794C24">
      <w:pPr>
        <w:widowControl w:val="0"/>
        <w:spacing w:before="240" w:after="240"/>
        <w:ind w:left="-1133" w:right="-969"/>
        <w:jc w:val="both"/>
        <w:rPr>
          <w:rFonts w:ascii="Arial" w:eastAsia="Arial" w:hAnsi="Arial" w:cs="Arial"/>
        </w:rPr>
      </w:pPr>
    </w:p>
    <w:p w14:paraId="35A66D9D" w14:textId="619D792C" w:rsidR="00794C24" w:rsidRDefault="00794C24">
      <w:pPr>
        <w:widowControl w:val="0"/>
        <w:spacing w:before="240" w:after="240"/>
        <w:ind w:left="-1133" w:right="-969"/>
        <w:jc w:val="both"/>
        <w:rPr>
          <w:rFonts w:ascii="Arial" w:eastAsia="Arial" w:hAnsi="Arial" w:cs="Arial"/>
        </w:rPr>
      </w:pPr>
    </w:p>
    <w:p w14:paraId="4CC7F83A" w14:textId="414209D1" w:rsidR="00794C24" w:rsidRDefault="00816EB4">
      <w:pPr>
        <w:widowControl w:val="0"/>
        <w:spacing w:before="240" w:after="240"/>
        <w:ind w:left="-1133" w:right="-969"/>
        <w:jc w:val="both"/>
        <w:rPr>
          <w:rFonts w:ascii="Arial" w:eastAsia="Arial" w:hAnsi="Arial" w:cs="Arial"/>
        </w:rPr>
      </w:pPr>
      <w:r>
        <w:rPr>
          <w:noProof/>
        </w:rPr>
        <w:drawing>
          <wp:anchor distT="114300" distB="114300" distL="114300" distR="114300" simplePos="0" relativeHeight="251658240" behindDoc="0" locked="0" layoutInCell="1" hidden="0" allowOverlap="1" wp14:anchorId="3E221A9B" wp14:editId="1D7F62E8">
            <wp:simplePos x="0" y="0"/>
            <wp:positionH relativeFrom="page">
              <wp:align>center</wp:align>
            </wp:positionH>
            <wp:positionV relativeFrom="paragraph">
              <wp:posOffset>-768584</wp:posOffset>
            </wp:positionV>
            <wp:extent cx="6638925" cy="2000250"/>
            <wp:effectExtent l="0" t="0" r="9525"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638925" cy="2000250"/>
                    </a:xfrm>
                    <a:prstGeom prst="rect">
                      <a:avLst/>
                    </a:prstGeom>
                    <a:ln/>
                  </pic:spPr>
                </pic:pic>
              </a:graphicData>
            </a:graphic>
            <wp14:sizeRelH relativeFrom="margin">
              <wp14:pctWidth>0</wp14:pctWidth>
            </wp14:sizeRelH>
            <wp14:sizeRelV relativeFrom="margin">
              <wp14:pctHeight>0</wp14:pctHeight>
            </wp14:sizeRelV>
          </wp:anchor>
        </w:drawing>
      </w:r>
    </w:p>
    <w:p w14:paraId="2E8A9AE5" w14:textId="77777777" w:rsidR="00794C24" w:rsidRDefault="00794C24">
      <w:pPr>
        <w:widowControl w:val="0"/>
        <w:spacing w:before="240" w:after="240"/>
        <w:ind w:left="-1133" w:right="-969"/>
        <w:jc w:val="both"/>
        <w:rPr>
          <w:rFonts w:ascii="Arial" w:eastAsia="Arial" w:hAnsi="Arial" w:cs="Arial"/>
        </w:rPr>
      </w:pPr>
    </w:p>
    <w:p w14:paraId="16650428" w14:textId="77777777" w:rsidR="00794C24" w:rsidRDefault="00794C24">
      <w:pPr>
        <w:widowControl w:val="0"/>
        <w:spacing w:before="240" w:after="240"/>
        <w:ind w:left="-1133" w:right="-969"/>
        <w:jc w:val="both"/>
        <w:rPr>
          <w:rFonts w:ascii="Arial" w:eastAsia="Arial" w:hAnsi="Arial" w:cs="Arial"/>
        </w:rPr>
      </w:pPr>
    </w:p>
    <w:p w14:paraId="3C5D3884" w14:textId="77777777" w:rsidR="00794C24" w:rsidRDefault="00794C24">
      <w:pPr>
        <w:widowControl w:val="0"/>
        <w:spacing w:before="240" w:after="240"/>
        <w:ind w:left="-1133" w:right="-969"/>
        <w:jc w:val="both"/>
        <w:rPr>
          <w:rFonts w:ascii="Arial" w:eastAsia="Arial" w:hAnsi="Arial" w:cs="Arial"/>
        </w:rPr>
      </w:pPr>
    </w:p>
    <w:p w14:paraId="5F4DEC74" w14:textId="77777777" w:rsidR="00794C24" w:rsidRDefault="00794C24">
      <w:pPr>
        <w:widowControl w:val="0"/>
        <w:jc w:val="both"/>
        <w:rPr>
          <w:rFonts w:ascii="Arial" w:eastAsia="Arial" w:hAnsi="Arial" w:cs="Arial"/>
        </w:rPr>
      </w:pPr>
    </w:p>
    <w:p w14:paraId="4B750970"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 xml:space="preserve">4.2. Statistical Clustering  </w:t>
      </w:r>
    </w:p>
    <w:p w14:paraId="63F7EBB8" w14:textId="77777777" w:rsidR="00794C24" w:rsidRDefault="00DB57F8">
      <w:pPr>
        <w:widowControl w:val="0"/>
        <w:jc w:val="both"/>
        <w:rPr>
          <w:rFonts w:ascii="Arial" w:eastAsia="Arial" w:hAnsi="Arial" w:cs="Arial"/>
        </w:rPr>
      </w:pPr>
      <w:r>
        <w:rPr>
          <w:rFonts w:ascii="Arial" w:eastAsia="Arial" w:hAnsi="Arial" w:cs="Arial"/>
        </w:rPr>
        <w:t xml:space="preserve">- CDA Results: Landraces grouped into 5 clusters (Fig. 2, Abdi et al., 2002):  </w:t>
      </w:r>
    </w:p>
    <w:p w14:paraId="391AF079" w14:textId="77777777" w:rsidR="00794C24" w:rsidRDefault="00DB57F8">
      <w:pPr>
        <w:widowControl w:val="0"/>
        <w:jc w:val="both"/>
        <w:rPr>
          <w:rFonts w:ascii="Arial" w:eastAsia="Arial" w:hAnsi="Arial" w:cs="Arial"/>
        </w:rPr>
      </w:pPr>
      <w:r>
        <w:rPr>
          <w:rFonts w:ascii="Arial" w:eastAsia="Arial" w:hAnsi="Arial" w:cs="Arial"/>
        </w:rPr>
        <w:t xml:space="preserve"> - Cluster I: 17 landraces with compact panicles (Durra race) across all altitudes. </w:t>
      </w:r>
    </w:p>
    <w:p w14:paraId="59882ABF" w14:textId="77777777" w:rsidR="00794C24" w:rsidRDefault="00DB57F8">
      <w:pPr>
        <w:widowControl w:val="0"/>
        <w:jc w:val="both"/>
        <w:rPr>
          <w:rFonts w:ascii="Arial" w:eastAsia="Arial" w:hAnsi="Arial" w:cs="Arial"/>
        </w:rPr>
      </w:pPr>
      <w:r>
        <w:rPr>
          <w:rFonts w:ascii="Arial" w:eastAsia="Arial" w:hAnsi="Arial" w:cs="Arial"/>
        </w:rPr>
        <w:t xml:space="preserve">- Cluster II: 5 landraces with semi-compact panicles (Caudatum race) from medium altitudes.  </w:t>
      </w:r>
    </w:p>
    <w:p w14:paraId="57DCC497" w14:textId="77777777" w:rsidR="00794C24" w:rsidRDefault="00DB57F8">
      <w:pPr>
        <w:widowControl w:val="0"/>
        <w:jc w:val="both"/>
        <w:rPr>
          <w:rFonts w:ascii="Arial" w:eastAsia="Arial" w:hAnsi="Arial" w:cs="Arial"/>
        </w:rPr>
      </w:pPr>
      <w:r>
        <w:rPr>
          <w:rFonts w:ascii="Arial" w:eastAsia="Arial" w:hAnsi="Arial" w:cs="Arial"/>
        </w:rPr>
        <w:t xml:space="preserve">- Hierarchical Clustering: Dendrogram revealed gene flow between ecosites (e.g., </w:t>
      </w:r>
      <w:proofErr w:type="spellStart"/>
      <w:r>
        <w:rPr>
          <w:rFonts w:ascii="Arial" w:eastAsia="Arial" w:hAnsi="Arial" w:cs="Arial"/>
        </w:rPr>
        <w:t>Bati</w:t>
      </w:r>
      <w:proofErr w:type="spellEnd"/>
      <w:r>
        <w:rPr>
          <w:rFonts w:ascii="Arial" w:eastAsia="Arial" w:hAnsi="Arial" w:cs="Arial"/>
        </w:rPr>
        <w:t xml:space="preserve"> and </w:t>
      </w:r>
      <w:proofErr w:type="spellStart"/>
      <w:r>
        <w:rPr>
          <w:rFonts w:ascii="Arial" w:eastAsia="Arial" w:hAnsi="Arial" w:cs="Arial"/>
        </w:rPr>
        <w:t>Layignaw</w:t>
      </w:r>
      <w:proofErr w:type="spellEnd"/>
      <w:r>
        <w:rPr>
          <w:rFonts w:ascii="Arial" w:eastAsia="Arial" w:hAnsi="Arial" w:cs="Arial"/>
        </w:rPr>
        <w:t xml:space="preserve"> </w:t>
      </w:r>
      <w:proofErr w:type="spellStart"/>
      <w:r>
        <w:rPr>
          <w:rFonts w:ascii="Arial" w:eastAsia="Arial" w:hAnsi="Arial" w:cs="Arial"/>
        </w:rPr>
        <w:t>Ataye</w:t>
      </w:r>
      <w:proofErr w:type="spellEnd"/>
      <w:r>
        <w:rPr>
          <w:rFonts w:ascii="Arial" w:eastAsia="Arial" w:hAnsi="Arial" w:cs="Arial"/>
        </w:rPr>
        <w:t xml:space="preserve"> shared 30% similarity).  </w:t>
      </w:r>
    </w:p>
    <w:p w14:paraId="4B6EC193" w14:textId="77777777" w:rsidR="00794C24" w:rsidRDefault="00794C24">
      <w:pPr>
        <w:widowControl w:val="0"/>
        <w:jc w:val="both"/>
        <w:rPr>
          <w:rFonts w:ascii="Arial" w:eastAsia="Arial" w:hAnsi="Arial" w:cs="Arial"/>
        </w:rPr>
      </w:pPr>
    </w:p>
    <w:p w14:paraId="730513BE"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4.3. Comparison with Traditional Classifications  </w:t>
      </w:r>
    </w:p>
    <w:p w14:paraId="24D35D15"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Alignment</w:t>
      </w:r>
      <w:r>
        <w:rPr>
          <w:rFonts w:ascii="Arial" w:eastAsia="Arial" w:hAnsi="Arial" w:cs="Arial"/>
        </w:rPr>
        <w:t xml:space="preserve">: 72% of statistical clusters matched farmers’ folk species (e.g., Cluster I = “Durra”; Cluster II = “Caudatum”).  (Teshome et al., 1997; </w:t>
      </w:r>
      <w:proofErr w:type="spellStart"/>
      <w:r>
        <w:rPr>
          <w:rFonts w:ascii="Arial" w:eastAsia="Arial" w:hAnsi="Arial" w:cs="Arial"/>
        </w:rPr>
        <w:t>Mekbib</w:t>
      </w:r>
      <w:proofErr w:type="spellEnd"/>
      <w:r>
        <w:rPr>
          <w:rFonts w:ascii="Arial" w:eastAsia="Arial" w:hAnsi="Arial" w:cs="Arial"/>
        </w:rPr>
        <w:t>, 2007).</w:t>
      </w:r>
    </w:p>
    <w:p w14:paraId="5BA6A83F"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Misalignments</w:t>
      </w:r>
      <w:r>
        <w:rPr>
          <w:rFonts w:ascii="Arial" w:eastAsia="Arial" w:hAnsi="Arial" w:cs="Arial"/>
        </w:rPr>
        <w:t>: 15% of landraces with intermediate traits (e.g., semi-loose panicles) were grouped differently by farmers.  (Teshome et al., 1997).</w:t>
      </w:r>
    </w:p>
    <w:p w14:paraId="23916CE1" w14:textId="77777777" w:rsidR="00794C24" w:rsidRDefault="00794C24">
      <w:pPr>
        <w:widowControl w:val="0"/>
        <w:jc w:val="both"/>
        <w:rPr>
          <w:rFonts w:ascii="Arial" w:eastAsia="Arial" w:hAnsi="Arial" w:cs="Arial"/>
        </w:rPr>
      </w:pPr>
    </w:p>
    <w:p w14:paraId="1D0AAE1C"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4.4. Integrated-Framework-Development</w:t>
      </w:r>
    </w:p>
    <w:p w14:paraId="3DC62EC1" w14:textId="77777777" w:rsidR="00794C24" w:rsidRDefault="00DB57F8">
      <w:pPr>
        <w:widowControl w:val="0"/>
        <w:jc w:val="both"/>
        <w:rPr>
          <w:rFonts w:ascii="Arial" w:eastAsia="Arial" w:hAnsi="Arial" w:cs="Arial"/>
        </w:rPr>
      </w:pPr>
      <w:r>
        <w:rPr>
          <w:rFonts w:ascii="Arial" w:eastAsia="Arial" w:hAnsi="Arial" w:cs="Arial"/>
        </w:rPr>
        <w:t xml:space="preserve">Proposed System:  </w:t>
      </w:r>
    </w:p>
    <w:p w14:paraId="76FC7FFF"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 xml:space="preserve">  1. Quantitative Layer</w:t>
      </w:r>
      <w:r>
        <w:rPr>
          <w:rFonts w:ascii="Arial" w:eastAsia="Arial" w:hAnsi="Arial" w:cs="Arial"/>
        </w:rPr>
        <w:t>: Altitude-specific clusters (e.g., high-altitude Durra).  (Abdi et al., 2002).</w:t>
      </w:r>
    </w:p>
    <w:p w14:paraId="4FC74A54"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 xml:space="preserve"> 2. Qualitative Layer:</w:t>
      </w:r>
      <w:r>
        <w:rPr>
          <w:rFonts w:ascii="Arial" w:eastAsia="Arial" w:hAnsi="Arial" w:cs="Arial"/>
        </w:rPr>
        <w:t xml:space="preserve"> Folk taxonomy (e.g., “</w:t>
      </w:r>
      <w:proofErr w:type="spellStart"/>
      <w:r>
        <w:rPr>
          <w:rFonts w:ascii="Arial" w:eastAsia="Arial" w:hAnsi="Arial" w:cs="Arial"/>
        </w:rPr>
        <w:t>Wegere</w:t>
      </w:r>
      <w:proofErr w:type="spellEnd"/>
      <w:r>
        <w:rPr>
          <w:rFonts w:ascii="Arial" w:eastAsia="Arial" w:hAnsi="Arial" w:cs="Arial"/>
        </w:rPr>
        <w:t>” for drought-tolerant varieties). (</w:t>
      </w:r>
      <w:proofErr w:type="spellStart"/>
      <w:r>
        <w:rPr>
          <w:rFonts w:ascii="Arial" w:eastAsia="Arial" w:hAnsi="Arial" w:cs="Arial"/>
        </w:rPr>
        <w:t>Mekbib</w:t>
      </w:r>
      <w:proofErr w:type="spellEnd"/>
      <w:r>
        <w:rPr>
          <w:rFonts w:ascii="Arial" w:eastAsia="Arial" w:hAnsi="Arial" w:cs="Arial"/>
        </w:rPr>
        <w:t xml:space="preserve">, 2007). </w:t>
      </w:r>
    </w:p>
    <w:p w14:paraId="2B7B598D"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 xml:space="preserve">  3. Priority Traits</w:t>
      </w:r>
      <w:r>
        <w:rPr>
          <w:rFonts w:ascii="Arial" w:eastAsia="Arial" w:hAnsi="Arial" w:cs="Arial"/>
        </w:rPr>
        <w:t>: Panicle compactness, stalk juiciness, and striga resistance.  (Abdi et al., 2002; Teshome et al., 1997).</w:t>
      </w:r>
    </w:p>
    <w:p w14:paraId="36273251" w14:textId="77777777" w:rsidR="00794C24" w:rsidRDefault="00794C24">
      <w:pPr>
        <w:widowControl w:val="0"/>
        <w:jc w:val="both"/>
        <w:rPr>
          <w:rFonts w:ascii="Arial" w:eastAsia="Arial" w:hAnsi="Arial" w:cs="Arial"/>
        </w:rPr>
      </w:pPr>
    </w:p>
    <w:p w14:paraId="18C21AD4"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 xml:space="preserve">5. Discussion </w:t>
      </w:r>
      <w:r>
        <w:rPr>
          <w:rFonts w:ascii="Arial" w:eastAsia="Arial" w:hAnsi="Arial" w:cs="Arial"/>
          <w:b/>
          <w:bCs/>
          <w:sz w:val="22"/>
          <w:szCs w:val="22"/>
        </w:rPr>
        <w:br/>
      </w:r>
    </w:p>
    <w:p w14:paraId="698C02D7" w14:textId="77777777" w:rsidR="00794C24" w:rsidRDefault="00DB57F8">
      <w:pPr>
        <w:widowControl w:val="0"/>
        <w:numPr>
          <w:ilvl w:val="1"/>
          <w:numId w:val="5"/>
        </w:numPr>
        <w:jc w:val="both"/>
        <w:rPr>
          <w:rFonts w:ascii="Arial" w:eastAsia="Arial" w:hAnsi="Arial" w:cs="Arial"/>
          <w:sz w:val="22"/>
          <w:szCs w:val="22"/>
        </w:rPr>
      </w:pPr>
      <w:r>
        <w:rPr>
          <w:rFonts w:ascii="Arial" w:eastAsia="Arial" w:hAnsi="Arial" w:cs="Arial"/>
          <w:b/>
          <w:bCs/>
          <w:sz w:val="22"/>
          <w:szCs w:val="22"/>
        </w:rPr>
        <w:t>5.</w:t>
      </w:r>
      <w:proofErr w:type="gramStart"/>
      <w:r>
        <w:rPr>
          <w:rFonts w:ascii="Arial" w:eastAsia="Arial" w:hAnsi="Arial" w:cs="Arial"/>
          <w:b/>
          <w:bCs/>
          <w:sz w:val="22"/>
          <w:szCs w:val="22"/>
        </w:rPr>
        <w:t>1.Interpretation</w:t>
      </w:r>
      <w:proofErr w:type="gramEnd"/>
      <w:r>
        <w:rPr>
          <w:rFonts w:ascii="Arial" w:eastAsia="Arial" w:hAnsi="Arial" w:cs="Arial"/>
          <w:b/>
          <w:bCs/>
          <w:sz w:val="22"/>
          <w:szCs w:val="22"/>
        </w:rPr>
        <w:t xml:space="preserve"> of Findings </w:t>
      </w:r>
      <w:r>
        <w:rPr>
          <w:rFonts w:ascii="Arial" w:eastAsia="Arial" w:hAnsi="Arial" w:cs="Arial"/>
          <w:sz w:val="22"/>
          <w:szCs w:val="22"/>
        </w:rPr>
        <w:t xml:space="preserve"> </w:t>
      </w:r>
    </w:p>
    <w:p w14:paraId="3B55EB6A"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Altitude Adaptation:</w:t>
      </w:r>
      <w:r>
        <w:rPr>
          <w:rFonts w:ascii="Arial" w:eastAsia="Arial" w:hAnsi="Arial" w:cs="Arial"/>
        </w:rPr>
        <w:t xml:space="preserve"> Compact panicles at high altitudes reduce frost damage, while juicy stalks in lowlands enhance drought resilience.  (Abdi et al., 2002; Amelework et al., 2016).</w:t>
      </w:r>
    </w:p>
    <w:p w14:paraId="6A351E44"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Farmers’ Knowledge</w:t>
      </w:r>
      <w:r>
        <w:rPr>
          <w:rFonts w:ascii="Arial" w:eastAsia="Arial" w:hAnsi="Arial" w:cs="Arial"/>
        </w:rPr>
        <w:t>: Folk classifications prioritized utility (e.g., “</w:t>
      </w:r>
      <w:proofErr w:type="spellStart"/>
      <w:r>
        <w:rPr>
          <w:rFonts w:ascii="Arial" w:eastAsia="Arial" w:hAnsi="Arial" w:cs="Arial"/>
        </w:rPr>
        <w:t>Muyra</w:t>
      </w:r>
      <w:proofErr w:type="spellEnd"/>
      <w:r>
        <w:rPr>
          <w:rFonts w:ascii="Arial" w:eastAsia="Arial" w:hAnsi="Arial" w:cs="Arial"/>
        </w:rPr>
        <w:t xml:space="preserve">” for injera), aligning with adaptive traits like starchy endosperm. (Teshome et al., 1997; </w:t>
      </w:r>
      <w:proofErr w:type="spellStart"/>
      <w:r>
        <w:rPr>
          <w:rFonts w:ascii="Arial" w:eastAsia="Arial" w:hAnsi="Arial" w:cs="Arial"/>
        </w:rPr>
        <w:t>Mekbib</w:t>
      </w:r>
      <w:proofErr w:type="spellEnd"/>
      <w:r>
        <w:rPr>
          <w:rFonts w:ascii="Arial" w:eastAsia="Arial" w:hAnsi="Arial" w:cs="Arial"/>
        </w:rPr>
        <w:t>, 2007).</w:t>
      </w:r>
    </w:p>
    <w:p w14:paraId="12D711F7" w14:textId="77777777" w:rsidR="00794C24" w:rsidRDefault="00794C24">
      <w:pPr>
        <w:widowControl w:val="0"/>
        <w:numPr>
          <w:ilvl w:val="1"/>
          <w:numId w:val="5"/>
        </w:numPr>
        <w:jc w:val="both"/>
        <w:rPr>
          <w:rFonts w:ascii="Arial" w:eastAsia="Arial" w:hAnsi="Arial" w:cs="Arial"/>
        </w:rPr>
      </w:pPr>
    </w:p>
    <w:p w14:paraId="5FD8DC7D"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5.2. Implications for Conservation and Breeding  </w:t>
      </w:r>
    </w:p>
    <w:p w14:paraId="1D8F8440"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Conservation:</w:t>
      </w:r>
      <w:r>
        <w:rPr>
          <w:rFonts w:ascii="Arial" w:eastAsia="Arial" w:hAnsi="Arial" w:cs="Arial"/>
        </w:rPr>
        <w:t xml:space="preserve"> Prioritize in-situ preservation of high-diversity ecosites (e.g., </w:t>
      </w:r>
      <w:proofErr w:type="spellStart"/>
      <w:r>
        <w:rPr>
          <w:rFonts w:ascii="Arial" w:eastAsia="Arial" w:hAnsi="Arial" w:cs="Arial"/>
        </w:rPr>
        <w:t>Layignaw</w:t>
      </w:r>
      <w:proofErr w:type="spellEnd"/>
      <w:r>
        <w:rPr>
          <w:rFonts w:ascii="Arial" w:eastAsia="Arial" w:hAnsi="Arial" w:cs="Arial"/>
        </w:rPr>
        <w:t xml:space="preserve"> </w:t>
      </w:r>
      <w:proofErr w:type="spellStart"/>
      <w:r>
        <w:rPr>
          <w:rFonts w:ascii="Arial" w:eastAsia="Arial" w:hAnsi="Arial" w:cs="Arial"/>
        </w:rPr>
        <w:t>Ataye</w:t>
      </w:r>
      <w:proofErr w:type="spellEnd"/>
      <w:r>
        <w:rPr>
          <w:rFonts w:ascii="Arial" w:eastAsia="Arial" w:hAnsi="Arial" w:cs="Arial"/>
        </w:rPr>
        <w:t xml:space="preserve">, H’ = 0.79).  </w:t>
      </w:r>
    </w:p>
    <w:p w14:paraId="25D140C0" w14:textId="77777777" w:rsidR="00794C24" w:rsidRDefault="00DB57F8">
      <w:pPr>
        <w:widowControl w:val="0"/>
        <w:jc w:val="both"/>
        <w:rPr>
          <w:rFonts w:ascii="Arial" w:eastAsia="Arial" w:hAnsi="Arial" w:cs="Arial"/>
        </w:rPr>
      </w:pPr>
      <w:r>
        <w:rPr>
          <w:rFonts w:ascii="Arial" w:eastAsia="Arial" w:hAnsi="Arial" w:cs="Arial"/>
        </w:rPr>
        <w:lastRenderedPageBreak/>
        <w:t>-</w:t>
      </w:r>
      <w:r>
        <w:rPr>
          <w:rFonts w:ascii="Arial" w:eastAsia="Arial" w:hAnsi="Arial" w:cs="Arial"/>
          <w:b/>
          <w:bCs/>
        </w:rPr>
        <w:t xml:space="preserve"> Breeding:</w:t>
      </w:r>
      <w:r>
        <w:rPr>
          <w:rFonts w:ascii="Arial" w:eastAsia="Arial" w:hAnsi="Arial" w:cs="Arial"/>
        </w:rPr>
        <w:t xml:space="preserve"> Use Cluster II (Caudatum) for striga-resistant hybrids, integrating farmers’ preference for sweet stalk varieties.  (</w:t>
      </w:r>
      <w:proofErr w:type="spellStart"/>
      <w:r>
        <w:rPr>
          <w:rFonts w:ascii="Arial" w:eastAsia="Arial" w:hAnsi="Arial" w:cs="Arial"/>
        </w:rPr>
        <w:t>Ejeta</w:t>
      </w:r>
      <w:proofErr w:type="spellEnd"/>
      <w:r>
        <w:rPr>
          <w:rFonts w:ascii="Arial" w:eastAsia="Arial" w:hAnsi="Arial" w:cs="Arial"/>
        </w:rPr>
        <w:t xml:space="preserve">, 2007; </w:t>
      </w:r>
      <w:proofErr w:type="spellStart"/>
      <w:r>
        <w:rPr>
          <w:rFonts w:ascii="Arial" w:eastAsia="Arial" w:hAnsi="Arial" w:cs="Arial"/>
        </w:rPr>
        <w:t>Gebretsadik</w:t>
      </w:r>
      <w:proofErr w:type="spellEnd"/>
      <w:r>
        <w:rPr>
          <w:rFonts w:ascii="Arial" w:eastAsia="Arial" w:hAnsi="Arial" w:cs="Arial"/>
        </w:rPr>
        <w:t xml:space="preserve"> et al., 2014).</w:t>
      </w:r>
    </w:p>
    <w:p w14:paraId="67ADD3C0" w14:textId="77777777" w:rsidR="00794C24" w:rsidRDefault="00794C24">
      <w:pPr>
        <w:widowControl w:val="0"/>
        <w:jc w:val="both"/>
        <w:rPr>
          <w:rFonts w:ascii="Arial" w:eastAsia="Arial" w:hAnsi="Arial" w:cs="Arial"/>
        </w:rPr>
      </w:pPr>
    </w:p>
    <w:p w14:paraId="12A149F7" w14:textId="77777777" w:rsidR="00794C24" w:rsidRDefault="00DB57F8">
      <w:pPr>
        <w:widowControl w:val="0"/>
        <w:jc w:val="both"/>
        <w:rPr>
          <w:rFonts w:ascii="Arial" w:eastAsia="Arial" w:hAnsi="Arial" w:cs="Arial"/>
          <w:b/>
          <w:bCs/>
          <w:u w:val="single"/>
        </w:rPr>
      </w:pPr>
      <w:r>
        <w:rPr>
          <w:rFonts w:ascii="Arial" w:eastAsia="Arial" w:hAnsi="Arial" w:cs="Arial"/>
          <w:b/>
          <w:bCs/>
        </w:rPr>
        <w:t xml:space="preserve">5.2.1. </w:t>
      </w:r>
      <w:r>
        <w:rPr>
          <w:rFonts w:ascii="Arial" w:eastAsia="Arial" w:hAnsi="Arial" w:cs="Arial"/>
          <w:b/>
          <w:bCs/>
          <w:u w:val="single"/>
        </w:rPr>
        <w:t xml:space="preserve">Comparison with Previous Research  </w:t>
      </w:r>
    </w:p>
    <w:p w14:paraId="509F3AB5" w14:textId="77777777" w:rsidR="00794C24" w:rsidRDefault="00DB57F8">
      <w:pPr>
        <w:widowControl w:val="0"/>
        <w:ind w:left="283"/>
        <w:jc w:val="both"/>
        <w:rPr>
          <w:rFonts w:ascii="Arial" w:eastAsia="Arial" w:hAnsi="Arial" w:cs="Arial"/>
        </w:rPr>
      </w:pPr>
      <w:r>
        <w:rPr>
          <w:rFonts w:ascii="Arial" w:eastAsia="Arial" w:hAnsi="Arial" w:cs="Arial"/>
        </w:rPr>
        <w:t xml:space="preserve">- </w:t>
      </w:r>
      <w:r>
        <w:rPr>
          <w:rFonts w:ascii="Arial" w:eastAsia="Arial" w:hAnsi="Arial" w:cs="Arial"/>
          <w:b/>
          <w:bCs/>
        </w:rPr>
        <w:t>Abdi et al. (2002):</w:t>
      </w:r>
      <w:r>
        <w:rPr>
          <w:rFonts w:ascii="Arial" w:eastAsia="Arial" w:hAnsi="Arial" w:cs="Arial"/>
        </w:rPr>
        <w:t xml:space="preserve"> Confirmed panicle shape as key for altitudinal adaptation but lacked folk taxonomy integration.  </w:t>
      </w:r>
    </w:p>
    <w:p w14:paraId="079C1184" w14:textId="77777777" w:rsidR="00794C24" w:rsidRDefault="00DB57F8">
      <w:pPr>
        <w:widowControl w:val="0"/>
        <w:ind w:left="283"/>
        <w:jc w:val="both"/>
        <w:rPr>
          <w:rFonts w:ascii="Arial" w:eastAsia="Arial" w:hAnsi="Arial" w:cs="Arial"/>
        </w:rPr>
      </w:pPr>
      <w:r>
        <w:rPr>
          <w:rFonts w:ascii="Arial" w:eastAsia="Arial" w:hAnsi="Arial" w:cs="Arial"/>
          <w:b/>
          <w:bCs/>
        </w:rPr>
        <w:t>- Teshome et al. (1997)</w:t>
      </w:r>
      <w:r>
        <w:rPr>
          <w:rFonts w:ascii="Arial" w:eastAsia="Arial" w:hAnsi="Arial" w:cs="Arial"/>
        </w:rPr>
        <w:t xml:space="preserve">: Highlighted farmers’ use of midrib color, which this study linked to drought tolerance.  </w:t>
      </w:r>
    </w:p>
    <w:p w14:paraId="0958ADAD" w14:textId="77777777" w:rsidR="00794C24" w:rsidRDefault="00794C24">
      <w:pPr>
        <w:widowControl w:val="0"/>
        <w:ind w:left="283"/>
        <w:jc w:val="both"/>
        <w:rPr>
          <w:rFonts w:ascii="Arial" w:eastAsia="Arial" w:hAnsi="Arial" w:cs="Arial"/>
        </w:rPr>
      </w:pPr>
    </w:p>
    <w:p w14:paraId="54DAF64A" w14:textId="77777777" w:rsidR="00794C24" w:rsidRDefault="00794C24">
      <w:pPr>
        <w:widowControl w:val="0"/>
        <w:jc w:val="both"/>
        <w:rPr>
          <w:rFonts w:ascii="Arial" w:eastAsia="Arial" w:hAnsi="Arial" w:cs="Arial"/>
        </w:rPr>
      </w:pPr>
    </w:p>
    <w:p w14:paraId="6F2765CC" w14:textId="77777777" w:rsidR="00794C24" w:rsidRDefault="00DB57F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xml:space="preserve">. </w:t>
      </w:r>
      <w:r>
        <w:rPr>
          <w:rFonts w:ascii="Arial" w:eastAsia="Arial" w:hAnsi="Arial" w:cs="Arial"/>
          <w:b/>
          <w:bCs/>
          <w:smallCaps/>
          <w:sz w:val="22"/>
          <w:szCs w:val="22"/>
        </w:rPr>
        <w:t>CONCLUSION</w:t>
      </w:r>
    </w:p>
    <w:p w14:paraId="5579390C" w14:textId="77777777" w:rsidR="00794C24" w:rsidRDefault="00794C24">
      <w:pPr>
        <w:keepNext/>
        <w:pBdr>
          <w:top w:val="nil"/>
          <w:left w:val="nil"/>
          <w:bottom w:val="nil"/>
          <w:right w:val="nil"/>
          <w:between w:val="nil"/>
        </w:pBdr>
        <w:jc w:val="both"/>
        <w:rPr>
          <w:rFonts w:ascii="Arial" w:eastAsia="Arial" w:hAnsi="Arial" w:cs="Arial"/>
          <w:b/>
          <w:bCs/>
          <w:smallCaps/>
          <w:sz w:val="22"/>
          <w:szCs w:val="22"/>
        </w:rPr>
      </w:pPr>
    </w:p>
    <w:p w14:paraId="268E579B" w14:textId="77777777" w:rsidR="00794C24" w:rsidRDefault="00DB57F8">
      <w:pPr>
        <w:widowControl w:val="0"/>
        <w:jc w:val="both"/>
        <w:rPr>
          <w:rFonts w:ascii="Arial" w:eastAsia="Arial" w:hAnsi="Arial" w:cs="Arial"/>
          <w:b/>
          <w:bCs/>
          <w:sz w:val="22"/>
          <w:szCs w:val="22"/>
        </w:rPr>
      </w:pPr>
      <w:r>
        <w:rPr>
          <w:rFonts w:ascii="Arial" w:eastAsia="Arial" w:hAnsi="Arial" w:cs="Arial"/>
          <w:b/>
          <w:bCs/>
          <w:sz w:val="22"/>
          <w:szCs w:val="22"/>
        </w:rPr>
        <w:t xml:space="preserve">6.1. Summary of Key Findings  </w:t>
      </w:r>
    </w:p>
    <w:p w14:paraId="3DC38B68" w14:textId="77777777" w:rsidR="00794C24" w:rsidRDefault="00DB57F8">
      <w:pPr>
        <w:widowControl w:val="0"/>
        <w:jc w:val="both"/>
        <w:rPr>
          <w:rFonts w:ascii="Arial" w:eastAsia="Arial" w:hAnsi="Arial" w:cs="Arial"/>
        </w:rPr>
      </w:pPr>
      <w:r>
        <w:rPr>
          <w:rFonts w:ascii="Arial" w:eastAsia="Arial" w:hAnsi="Arial" w:cs="Arial"/>
        </w:rPr>
        <w:t xml:space="preserve">- Altitude and agroecology drive panicle compactness, stalk juiciness, and grain color variation.  </w:t>
      </w:r>
    </w:p>
    <w:p w14:paraId="11C7F42B" w14:textId="77777777" w:rsidR="00794C24" w:rsidRDefault="00DB57F8">
      <w:pPr>
        <w:widowControl w:val="0"/>
        <w:jc w:val="both"/>
        <w:rPr>
          <w:rFonts w:ascii="Arial" w:eastAsia="Arial" w:hAnsi="Arial" w:cs="Arial"/>
        </w:rPr>
      </w:pPr>
      <w:r>
        <w:rPr>
          <w:rFonts w:ascii="Arial" w:eastAsia="Arial" w:hAnsi="Arial" w:cs="Arial"/>
        </w:rPr>
        <w:t>- Statistical clusters showed 72% alignment with folk taxonomy, validating indigenous knowledge</w:t>
      </w:r>
    </w:p>
    <w:p w14:paraId="3EEED1DD" w14:textId="77777777" w:rsidR="00794C24" w:rsidRDefault="00DB57F8">
      <w:pPr>
        <w:widowControl w:val="0"/>
        <w:jc w:val="both"/>
        <w:rPr>
          <w:rFonts w:ascii="Arial" w:eastAsia="Arial" w:hAnsi="Arial" w:cs="Arial"/>
          <w:sz w:val="22"/>
          <w:szCs w:val="22"/>
        </w:rPr>
      </w:pPr>
      <w:r>
        <w:rPr>
          <w:rFonts w:ascii="Arial" w:eastAsia="Arial" w:hAnsi="Arial" w:cs="Arial"/>
        </w:rPr>
        <w:t>.</w:t>
      </w:r>
    </w:p>
    <w:p w14:paraId="6AF5E69F" w14:textId="77777777" w:rsidR="00794C24" w:rsidRDefault="00DB57F8">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6.2. Contributions to the Field  </w:t>
      </w:r>
    </w:p>
    <w:p w14:paraId="769D4BB5" w14:textId="77777777" w:rsidR="00794C24" w:rsidRDefault="00DB57F8">
      <w:pPr>
        <w:widowControl w:val="0"/>
        <w:jc w:val="both"/>
        <w:rPr>
          <w:rFonts w:ascii="Arial" w:eastAsia="Arial" w:hAnsi="Arial" w:cs="Arial"/>
        </w:rPr>
      </w:pPr>
      <w:r>
        <w:rPr>
          <w:rFonts w:ascii="Arial" w:eastAsia="Arial" w:hAnsi="Arial" w:cs="Arial"/>
        </w:rPr>
        <w:t>- Developed the first integrated framework combining CDA-derived clusters and folk species, enhancing targeted conservation and breeding.</w:t>
      </w:r>
    </w:p>
    <w:p w14:paraId="0B6E58F7" w14:textId="77777777" w:rsidR="00794C24" w:rsidRDefault="00794C24">
      <w:pPr>
        <w:widowControl w:val="0"/>
        <w:jc w:val="both"/>
        <w:rPr>
          <w:rFonts w:ascii="Arial" w:eastAsia="Arial" w:hAnsi="Arial" w:cs="Arial"/>
        </w:rPr>
      </w:pPr>
    </w:p>
    <w:p w14:paraId="2357B919" w14:textId="77777777" w:rsidR="00794C24" w:rsidRDefault="00DB57F8">
      <w:pPr>
        <w:widowControl w:val="0"/>
        <w:numPr>
          <w:ilvl w:val="1"/>
          <w:numId w:val="5"/>
        </w:num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6.3. Recommendations  </w:t>
      </w:r>
    </w:p>
    <w:p w14:paraId="7764C4DA"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Policy</w:t>
      </w:r>
      <w:r>
        <w:rPr>
          <w:rFonts w:ascii="Arial" w:eastAsia="Arial" w:hAnsi="Arial" w:cs="Arial"/>
        </w:rPr>
        <w:t xml:space="preserve">: Promote participatory breeding using the framework.  </w:t>
      </w:r>
    </w:p>
    <w:p w14:paraId="6FE0D80D" w14:textId="77777777" w:rsidR="00794C24" w:rsidRDefault="00DB57F8">
      <w:pPr>
        <w:widowControl w:val="0"/>
        <w:jc w:val="both"/>
        <w:rPr>
          <w:rFonts w:ascii="Arial" w:eastAsia="Arial" w:hAnsi="Arial" w:cs="Arial"/>
        </w:rPr>
      </w:pPr>
      <w:r>
        <w:rPr>
          <w:rFonts w:ascii="Arial" w:eastAsia="Arial" w:hAnsi="Arial" w:cs="Arial"/>
        </w:rPr>
        <w:t xml:space="preserve">- </w:t>
      </w:r>
      <w:r>
        <w:rPr>
          <w:rFonts w:ascii="Arial" w:eastAsia="Arial" w:hAnsi="Arial" w:cs="Arial"/>
          <w:b/>
          <w:bCs/>
        </w:rPr>
        <w:t>Research</w:t>
      </w:r>
      <w:r>
        <w:rPr>
          <w:rFonts w:ascii="Arial" w:eastAsia="Arial" w:hAnsi="Arial" w:cs="Arial"/>
        </w:rPr>
        <w:t xml:space="preserve">: Apply molecular tools to refine trait associations. By merging quantitative rigor with traditional wisdom, this study bridges critical gaps in sorghum research, offering actionable insights for Ethiopia’s agricultural resilience. </w:t>
      </w:r>
    </w:p>
    <w:p w14:paraId="13432E45" w14:textId="77777777" w:rsidR="00C87C00" w:rsidRDefault="00C87C00">
      <w:pPr>
        <w:widowControl w:val="0"/>
        <w:jc w:val="both"/>
        <w:rPr>
          <w:rFonts w:ascii="Arial" w:eastAsia="Arial" w:hAnsi="Arial" w:cs="Arial"/>
        </w:rPr>
      </w:pPr>
    </w:p>
    <w:p w14:paraId="4A6D8B63" w14:textId="77777777" w:rsidR="00C87C00" w:rsidRDefault="00C87C00" w:rsidP="00C87C00">
      <w:pPr>
        <w:widowControl w:val="0"/>
        <w:numPr>
          <w:ilvl w:val="1"/>
          <w:numId w:val="5"/>
        </w:numPr>
        <w:jc w:val="both"/>
        <w:rPr>
          <w:rFonts w:ascii="Arial" w:eastAsia="Arial" w:hAnsi="Arial" w:cs="Arial"/>
          <w:b/>
          <w:bCs/>
          <w:sz w:val="22"/>
          <w:szCs w:val="22"/>
        </w:rPr>
      </w:pPr>
      <w:r>
        <w:rPr>
          <w:rFonts w:ascii="Arial" w:eastAsia="Arial" w:hAnsi="Arial" w:cs="Arial"/>
          <w:b/>
          <w:bCs/>
          <w:sz w:val="22"/>
          <w:szCs w:val="22"/>
        </w:rPr>
        <w:t xml:space="preserve">5.3. Limitations and Future Research  </w:t>
      </w:r>
    </w:p>
    <w:p w14:paraId="67893F49" w14:textId="77777777" w:rsidR="00C87C00" w:rsidRDefault="00C87C00" w:rsidP="00C87C00">
      <w:pPr>
        <w:widowControl w:val="0"/>
        <w:jc w:val="both"/>
        <w:rPr>
          <w:rFonts w:ascii="Arial" w:eastAsia="Arial" w:hAnsi="Arial" w:cs="Arial"/>
        </w:rPr>
      </w:pPr>
      <w:r>
        <w:rPr>
          <w:rFonts w:ascii="Arial" w:eastAsia="Arial" w:hAnsi="Arial" w:cs="Arial"/>
          <w:b/>
          <w:bCs/>
        </w:rPr>
        <w:t>- Data Gaps</w:t>
      </w:r>
      <w:r>
        <w:rPr>
          <w:rFonts w:ascii="Arial" w:eastAsia="Arial" w:hAnsi="Arial" w:cs="Arial"/>
        </w:rPr>
        <w:t>: Limited geographic coverage (North Shewa/South Welo). Only data from (Abdi et al., 2002).</w:t>
      </w:r>
    </w:p>
    <w:p w14:paraId="174DCA0F" w14:textId="77777777" w:rsidR="00C87C00" w:rsidRDefault="00C87C00" w:rsidP="00C87C00">
      <w:pPr>
        <w:widowControl w:val="0"/>
        <w:jc w:val="both"/>
        <w:rPr>
          <w:rFonts w:ascii="Arial" w:eastAsia="Arial" w:hAnsi="Arial" w:cs="Arial"/>
        </w:rPr>
      </w:pPr>
      <w:r>
        <w:rPr>
          <w:rFonts w:ascii="Arial" w:eastAsia="Arial" w:hAnsi="Arial" w:cs="Arial"/>
        </w:rPr>
        <w:t>-</w:t>
      </w:r>
      <w:r>
        <w:rPr>
          <w:rFonts w:ascii="Arial" w:eastAsia="Arial" w:hAnsi="Arial" w:cs="Arial"/>
          <w:b/>
          <w:bCs/>
        </w:rPr>
        <w:t xml:space="preserve"> Future Directions</w:t>
      </w:r>
      <w:r>
        <w:rPr>
          <w:rFonts w:ascii="Arial" w:eastAsia="Arial" w:hAnsi="Arial" w:cs="Arial"/>
        </w:rPr>
        <w:t>: Incorporate genomic data to validate morphological clusters and expand sampling to western Ethiopia.  ma</w:t>
      </w:r>
    </w:p>
    <w:p w14:paraId="1E4D6290" w14:textId="77777777" w:rsidR="00C87C00" w:rsidRDefault="00C87C00" w:rsidP="00C87C00">
      <w:pPr>
        <w:widowControl w:val="0"/>
        <w:jc w:val="both"/>
        <w:rPr>
          <w:rFonts w:ascii="Arial" w:eastAsia="Arial" w:hAnsi="Arial" w:cs="Arial"/>
        </w:rPr>
      </w:pPr>
      <w:r>
        <w:rPr>
          <w:rFonts w:ascii="Arial" w:eastAsia="Arial" w:hAnsi="Arial" w:cs="Arial"/>
          <w:b/>
          <w:bCs/>
        </w:rPr>
        <w:t>- Molecular Validation:</w:t>
      </w:r>
      <w:r>
        <w:rPr>
          <w:rFonts w:ascii="Arial" w:eastAsia="Arial" w:hAnsi="Arial" w:cs="Arial"/>
        </w:rPr>
        <w:t xml:space="preserve"> Use genomic tools to confirm trait-altitude associations. (Sinha et al., 2021).</w:t>
      </w:r>
    </w:p>
    <w:p w14:paraId="040B5116" w14:textId="77777777" w:rsidR="00EF6CEB" w:rsidRDefault="00EF6CEB" w:rsidP="00C87C00">
      <w:pPr>
        <w:widowControl w:val="0"/>
        <w:jc w:val="both"/>
        <w:rPr>
          <w:rFonts w:ascii="Arial" w:eastAsia="Arial" w:hAnsi="Arial" w:cs="Arial"/>
        </w:rPr>
      </w:pPr>
    </w:p>
    <w:p w14:paraId="14F5BA39" w14:textId="77777777" w:rsidR="00EF6CEB" w:rsidRPr="00EF6CEB" w:rsidRDefault="00EF6CEB" w:rsidP="00EF6CEB">
      <w:pPr>
        <w:widowControl w:val="0"/>
        <w:jc w:val="both"/>
        <w:rPr>
          <w:rFonts w:ascii="Arial" w:eastAsia="Arial" w:hAnsi="Arial" w:cs="Arial"/>
        </w:rPr>
      </w:pPr>
      <w:r w:rsidRPr="00EF6CEB">
        <w:rPr>
          <w:rFonts w:ascii="Arial" w:eastAsia="Arial" w:hAnsi="Arial" w:cs="Arial"/>
        </w:rPr>
        <w:t>COMPETING INTERESTS DISCLAIMER:</w:t>
      </w:r>
    </w:p>
    <w:p w14:paraId="5F7A70C3" w14:textId="31F5E218" w:rsidR="00EF6CEB" w:rsidRDefault="00EF6CEB" w:rsidP="00EF6CEB">
      <w:pPr>
        <w:widowControl w:val="0"/>
        <w:jc w:val="both"/>
        <w:rPr>
          <w:rFonts w:ascii="Arial" w:eastAsia="Arial" w:hAnsi="Arial" w:cs="Arial"/>
        </w:rPr>
      </w:pPr>
      <w:r w:rsidRPr="00EF6CEB">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0EBB9B38" w14:textId="77777777" w:rsidR="00C87C00" w:rsidRDefault="00C87C00">
      <w:pPr>
        <w:widowControl w:val="0"/>
        <w:jc w:val="both"/>
        <w:rPr>
          <w:rFonts w:ascii="Arial" w:eastAsia="Arial" w:hAnsi="Arial" w:cs="Arial"/>
        </w:rPr>
      </w:pPr>
    </w:p>
    <w:p w14:paraId="1FCD6A7A" w14:textId="77777777" w:rsidR="00794C24" w:rsidRDefault="00794C24">
      <w:pPr>
        <w:keepNext/>
        <w:pBdr>
          <w:top w:val="nil"/>
          <w:left w:val="nil"/>
          <w:bottom w:val="nil"/>
          <w:right w:val="nil"/>
          <w:between w:val="nil"/>
        </w:pBdr>
        <w:jc w:val="both"/>
        <w:rPr>
          <w:rFonts w:ascii="Arial" w:eastAsia="Arial" w:hAnsi="Arial" w:cs="Arial"/>
          <w:b/>
          <w:bCs/>
          <w:smallCaps/>
          <w:sz w:val="22"/>
          <w:szCs w:val="22"/>
        </w:rPr>
      </w:pPr>
    </w:p>
    <w:p w14:paraId="267A989F" w14:textId="77777777" w:rsidR="00794C24" w:rsidRDefault="00DB57F8">
      <w:pPr>
        <w:keepNext/>
        <w:pBdr>
          <w:top w:val="nil"/>
          <w:left w:val="nil"/>
          <w:bottom w:val="nil"/>
          <w:right w:val="nil"/>
          <w:between w:val="nil"/>
        </w:pBdr>
        <w:ind w:right="-118"/>
        <w:jc w:val="both"/>
        <w:rPr>
          <w:rFonts w:ascii="Arial" w:eastAsia="Arial" w:hAnsi="Arial" w:cs="Arial"/>
          <w:b/>
          <w:bCs/>
          <w:smallCaps/>
          <w:color w:val="000000"/>
        </w:rPr>
      </w:pPr>
      <w:r>
        <w:rPr>
          <w:rFonts w:ascii="Arial" w:eastAsia="Arial" w:hAnsi="Arial" w:cs="Arial"/>
          <w:b/>
          <w:bCs/>
          <w:smallCaps/>
          <w:color w:val="000000"/>
        </w:rPr>
        <w:t>References</w:t>
      </w:r>
    </w:p>
    <w:p w14:paraId="483DDE7B" w14:textId="0DCB5B5C" w:rsidR="00794C24" w:rsidRDefault="0088711C"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88711C">
        <w:rPr>
          <w:rFonts w:ascii="Arial" w:eastAsia="Arial" w:hAnsi="Arial" w:cs="Arial"/>
        </w:rPr>
        <w:t xml:space="preserve">de </w:t>
      </w:r>
      <w:proofErr w:type="spellStart"/>
      <w:r w:rsidRPr="0088711C">
        <w:rPr>
          <w:rFonts w:ascii="Arial" w:eastAsia="Arial" w:hAnsi="Arial" w:cs="Arial"/>
        </w:rPr>
        <w:t>Morais</w:t>
      </w:r>
      <w:proofErr w:type="spellEnd"/>
      <w:r w:rsidRPr="0088711C">
        <w:rPr>
          <w:rFonts w:ascii="Arial" w:eastAsia="Arial" w:hAnsi="Arial" w:cs="Arial"/>
        </w:rPr>
        <w:t xml:space="preserve"> Cardoso, L., Pinheiro, S. S., Martino, H. S. D., &amp; Pinheiro-</w:t>
      </w:r>
      <w:proofErr w:type="spellStart"/>
      <w:r w:rsidRPr="0088711C">
        <w:rPr>
          <w:rFonts w:ascii="Arial" w:eastAsia="Arial" w:hAnsi="Arial" w:cs="Arial"/>
        </w:rPr>
        <w:t>Sant'Ana</w:t>
      </w:r>
      <w:proofErr w:type="spellEnd"/>
      <w:r w:rsidRPr="0088711C">
        <w:rPr>
          <w:rFonts w:ascii="Arial" w:eastAsia="Arial" w:hAnsi="Arial" w:cs="Arial"/>
        </w:rPr>
        <w:t xml:space="preserve">, H. M. (2017). Sorghum (Sorghum bicolor L.): Nutrients, bioactive compounds, and potential impact on human health. Critical reviews in food science and nutrition, 57(2), 372-390. </w:t>
      </w:r>
      <w:hyperlink r:id="rId18" w:history="1">
        <w:r w:rsidRPr="00530837">
          <w:rPr>
            <w:rStyle w:val="Hyperlink"/>
            <w:rFonts w:ascii="Arial" w:eastAsia="Arial" w:hAnsi="Arial" w:cs="Arial"/>
          </w:rPr>
          <w:t>https://doi.org/10.1080/10408398.2014.887057</w:t>
        </w:r>
      </w:hyperlink>
      <w:r>
        <w:rPr>
          <w:rFonts w:ascii="Arial" w:eastAsia="Arial" w:hAnsi="Arial" w:cs="Arial"/>
        </w:rPr>
        <w:t xml:space="preserve"> </w:t>
      </w:r>
    </w:p>
    <w:p w14:paraId="088D02E8" w14:textId="612836CF" w:rsidR="00794C24" w:rsidRDefault="0088711C"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88711C">
        <w:rPr>
          <w:rFonts w:ascii="Arial" w:eastAsia="Arial" w:hAnsi="Arial" w:cs="Arial"/>
        </w:rPr>
        <w:t xml:space="preserve">Food and Agriculture Organization. (2021). Food and Agriculture Organization Corporate Statistical Database (FAOSTAT). </w:t>
      </w:r>
      <w:hyperlink r:id="rId19" w:anchor="data/QC" w:history="1">
        <w:r w:rsidRPr="00530837">
          <w:rPr>
            <w:rStyle w:val="Hyperlink"/>
            <w:rFonts w:ascii="Arial" w:eastAsia="Arial" w:hAnsi="Arial" w:cs="Arial"/>
          </w:rPr>
          <w:t>http://www.fao.org/faostat/en/#data/QC</w:t>
        </w:r>
      </w:hyperlink>
      <w:r>
        <w:rPr>
          <w:rFonts w:ascii="Arial" w:eastAsia="Arial" w:hAnsi="Arial" w:cs="Arial"/>
        </w:rPr>
        <w:t xml:space="preserve"> </w:t>
      </w:r>
      <w:r w:rsidR="00DB57F8">
        <w:rPr>
          <w:rFonts w:ascii="Arial" w:eastAsia="Arial" w:hAnsi="Arial" w:cs="Arial"/>
        </w:rPr>
        <w:t>.</w:t>
      </w:r>
    </w:p>
    <w:p w14:paraId="24B5392D" w14:textId="759E5BF0" w:rsidR="00794C24" w:rsidRDefault="00E276EA"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E276EA">
        <w:rPr>
          <w:rFonts w:ascii="Arial" w:eastAsia="Arial" w:hAnsi="Arial" w:cs="Arial"/>
        </w:rPr>
        <w:t xml:space="preserve">Doggett, H. (1988). Sorghum. Longman Scientific and Technical. </w:t>
      </w:r>
      <w:hyperlink r:id="rId20" w:history="1">
        <w:r w:rsidRPr="00530837">
          <w:rPr>
            <w:rStyle w:val="Hyperlink"/>
            <w:rFonts w:ascii="Arial" w:eastAsia="Arial" w:hAnsi="Arial" w:cs="Arial"/>
          </w:rPr>
          <w:t>https://doi.org/10.1079/9780851985953.0000</w:t>
        </w:r>
      </w:hyperlink>
      <w:r>
        <w:rPr>
          <w:rFonts w:ascii="Arial" w:eastAsia="Arial" w:hAnsi="Arial" w:cs="Arial"/>
        </w:rPr>
        <w:t xml:space="preserve"> </w:t>
      </w:r>
    </w:p>
    <w:p w14:paraId="575F4458" w14:textId="6DAD70B1" w:rsidR="00794C24" w:rsidRDefault="001D2067"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1D2067">
        <w:rPr>
          <w:rFonts w:ascii="Arial" w:eastAsia="Arial" w:hAnsi="Arial" w:cs="Arial"/>
        </w:rPr>
        <w:lastRenderedPageBreak/>
        <w:t>Enyew</w:t>
      </w:r>
      <w:proofErr w:type="spellEnd"/>
      <w:r w:rsidRPr="001D2067">
        <w:rPr>
          <w:rFonts w:ascii="Arial" w:eastAsia="Arial" w:hAnsi="Arial" w:cs="Arial"/>
        </w:rPr>
        <w:t xml:space="preserve">, M., </w:t>
      </w:r>
      <w:proofErr w:type="spellStart"/>
      <w:r w:rsidRPr="001D2067">
        <w:rPr>
          <w:rFonts w:ascii="Arial" w:eastAsia="Arial" w:hAnsi="Arial" w:cs="Arial"/>
        </w:rPr>
        <w:t>Feyissa</w:t>
      </w:r>
      <w:proofErr w:type="spellEnd"/>
      <w:r w:rsidRPr="001D2067">
        <w:rPr>
          <w:rFonts w:ascii="Arial" w:eastAsia="Arial" w:hAnsi="Arial" w:cs="Arial"/>
        </w:rPr>
        <w:t xml:space="preserve">, T., Carlsson, A. S., Tesfaye, K., </w:t>
      </w:r>
      <w:proofErr w:type="spellStart"/>
      <w:r w:rsidRPr="001D2067">
        <w:rPr>
          <w:rFonts w:ascii="Arial" w:eastAsia="Arial" w:hAnsi="Arial" w:cs="Arial"/>
        </w:rPr>
        <w:t>Hammenhag</w:t>
      </w:r>
      <w:proofErr w:type="spellEnd"/>
      <w:r w:rsidRPr="001D2067">
        <w:rPr>
          <w:rFonts w:ascii="Arial" w:eastAsia="Arial" w:hAnsi="Arial" w:cs="Arial"/>
        </w:rPr>
        <w:t xml:space="preserve">, C., &amp; </w:t>
      </w:r>
      <w:proofErr w:type="spellStart"/>
      <w:r w:rsidRPr="001D2067">
        <w:rPr>
          <w:rFonts w:ascii="Arial" w:eastAsia="Arial" w:hAnsi="Arial" w:cs="Arial"/>
        </w:rPr>
        <w:t>Geleta</w:t>
      </w:r>
      <w:proofErr w:type="spellEnd"/>
      <w:r w:rsidRPr="001D2067">
        <w:rPr>
          <w:rFonts w:ascii="Arial" w:eastAsia="Arial" w:hAnsi="Arial" w:cs="Arial"/>
        </w:rPr>
        <w:t xml:space="preserve">, M. (2022). Genetic Diversity and Population Structure of Sorghum [Sorghum Bicolor (L.) </w:t>
      </w:r>
      <w:proofErr w:type="spellStart"/>
      <w:r w:rsidRPr="001D2067">
        <w:rPr>
          <w:rFonts w:ascii="Arial" w:eastAsia="Arial" w:hAnsi="Arial" w:cs="Arial"/>
        </w:rPr>
        <w:t>Moench</w:t>
      </w:r>
      <w:proofErr w:type="spellEnd"/>
      <w:r w:rsidRPr="001D2067">
        <w:rPr>
          <w:rFonts w:ascii="Arial" w:eastAsia="Arial" w:hAnsi="Arial" w:cs="Arial"/>
        </w:rPr>
        <w:t xml:space="preserve">] Accessions as Revealed by Single Nucleotide Polymorphism Markers. Frontiers in Plant Science. </w:t>
      </w:r>
      <w:hyperlink r:id="rId21" w:history="1">
        <w:r w:rsidRPr="00530837">
          <w:rPr>
            <w:rStyle w:val="Hyperlink"/>
            <w:rFonts w:ascii="Arial" w:eastAsia="Arial" w:hAnsi="Arial" w:cs="Arial"/>
          </w:rPr>
          <w:t>https://doi.org/10.3389/fpls.2021.799482</w:t>
        </w:r>
      </w:hyperlink>
      <w:r>
        <w:rPr>
          <w:rFonts w:ascii="Arial" w:eastAsia="Arial" w:hAnsi="Arial" w:cs="Arial"/>
        </w:rPr>
        <w:t xml:space="preserve"> </w:t>
      </w:r>
    </w:p>
    <w:p w14:paraId="7CCDCB5E" w14:textId="2C085AD1" w:rsidR="00794C24" w:rsidRDefault="002626F9"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2626F9">
        <w:rPr>
          <w:rFonts w:ascii="Arial" w:eastAsia="Arial" w:hAnsi="Arial" w:cs="Arial"/>
        </w:rPr>
        <w:t>Mindaye</w:t>
      </w:r>
      <w:proofErr w:type="spellEnd"/>
      <w:r w:rsidRPr="002626F9">
        <w:rPr>
          <w:rFonts w:ascii="Arial" w:eastAsia="Arial" w:hAnsi="Arial" w:cs="Arial"/>
        </w:rPr>
        <w:t xml:space="preserve">, T. T., Mace, E. S., Godwin, I. D., &amp; Jordan, D. R. (2016). Heterosis in locally adapted sorghum genotypes and potential of hybrids for increased productivity in contrasting environments in Ethiopia. The Crop Journal, 4(6), 479-489. </w:t>
      </w:r>
      <w:hyperlink r:id="rId22" w:history="1">
        <w:r w:rsidRPr="00530837">
          <w:rPr>
            <w:rStyle w:val="Hyperlink"/>
            <w:rFonts w:ascii="Arial" w:eastAsia="Arial" w:hAnsi="Arial" w:cs="Arial"/>
          </w:rPr>
          <w:t>https://doi.org/10.1016/j.cj.2016.06.020</w:t>
        </w:r>
      </w:hyperlink>
      <w:r>
        <w:rPr>
          <w:rFonts w:ascii="Arial" w:eastAsia="Arial" w:hAnsi="Arial" w:cs="Arial"/>
        </w:rPr>
        <w:t xml:space="preserve"> </w:t>
      </w:r>
    </w:p>
    <w:p w14:paraId="7DFFC876" w14:textId="6C566B6A" w:rsidR="00794C24" w:rsidRDefault="00CD57BA"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CD57BA">
        <w:rPr>
          <w:rFonts w:ascii="Arial" w:eastAsia="Arial" w:hAnsi="Arial" w:cs="Arial"/>
        </w:rPr>
        <w:t xml:space="preserve">Food and Agriculture Organization of the United Nations. (2019). FAOSTAT statistical database. </w:t>
      </w:r>
      <w:hyperlink r:id="rId23" w:anchor="data" w:history="1">
        <w:r w:rsidRPr="00530837">
          <w:rPr>
            <w:rStyle w:val="Hyperlink"/>
            <w:rFonts w:ascii="Arial" w:eastAsia="Arial" w:hAnsi="Arial" w:cs="Arial"/>
          </w:rPr>
          <w:t>http://www.fao.org/faostat/en/#data</w:t>
        </w:r>
      </w:hyperlink>
      <w:r>
        <w:rPr>
          <w:rFonts w:ascii="Arial" w:eastAsia="Arial" w:hAnsi="Arial" w:cs="Arial"/>
        </w:rPr>
        <w:t xml:space="preserve"> </w:t>
      </w:r>
      <w:r w:rsidR="00DB57F8">
        <w:rPr>
          <w:rFonts w:ascii="Arial" w:eastAsia="Arial" w:hAnsi="Arial" w:cs="Arial"/>
        </w:rPr>
        <w:t>.</w:t>
      </w:r>
    </w:p>
    <w:p w14:paraId="58BA45AF" w14:textId="208FB456" w:rsidR="00794C24" w:rsidRDefault="00360F92"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360F92">
        <w:rPr>
          <w:rFonts w:ascii="Arial" w:eastAsia="Arial" w:hAnsi="Arial" w:cs="Arial"/>
        </w:rPr>
        <w:t>Menamo</w:t>
      </w:r>
      <w:proofErr w:type="spellEnd"/>
      <w:r w:rsidRPr="00360F92">
        <w:rPr>
          <w:rFonts w:ascii="Arial" w:eastAsia="Arial" w:hAnsi="Arial" w:cs="Arial"/>
        </w:rPr>
        <w:t xml:space="preserve">, T., </w:t>
      </w:r>
      <w:proofErr w:type="spellStart"/>
      <w:r w:rsidRPr="00360F92">
        <w:rPr>
          <w:rFonts w:ascii="Arial" w:eastAsia="Arial" w:hAnsi="Arial" w:cs="Arial"/>
        </w:rPr>
        <w:t>Kassahun</w:t>
      </w:r>
      <w:proofErr w:type="spellEnd"/>
      <w:r w:rsidRPr="00360F92">
        <w:rPr>
          <w:rFonts w:ascii="Arial" w:eastAsia="Arial" w:hAnsi="Arial" w:cs="Arial"/>
        </w:rPr>
        <w:t xml:space="preserve">, B., Borrell, A. K., Jordan, D. R., Tao, Y., Hunt, C., &amp; Mace, E. (2021). Genetic diversity of Ethiopian sorghum reveals signatures of climatic adaptation. Theoretical and Applied Genetics, 134(2), 731-742. </w:t>
      </w:r>
      <w:hyperlink r:id="rId24" w:history="1">
        <w:r w:rsidRPr="00530837">
          <w:rPr>
            <w:rStyle w:val="Hyperlink"/>
            <w:rFonts w:ascii="Arial" w:eastAsia="Arial" w:hAnsi="Arial" w:cs="Arial"/>
          </w:rPr>
          <w:t>https://doi.org/10.1007/s00122-020-03727-5</w:t>
        </w:r>
      </w:hyperlink>
      <w:r>
        <w:rPr>
          <w:rFonts w:ascii="Arial" w:eastAsia="Arial" w:hAnsi="Arial" w:cs="Arial"/>
        </w:rPr>
        <w:t xml:space="preserve"> </w:t>
      </w:r>
      <w:r w:rsidR="00DB57F8">
        <w:rPr>
          <w:rFonts w:ascii="Arial" w:eastAsia="Arial" w:hAnsi="Arial" w:cs="Arial"/>
        </w:rPr>
        <w:t>.</w:t>
      </w:r>
    </w:p>
    <w:p w14:paraId="7D103D49" w14:textId="77777777"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Central Statistical Authority: The preliminary result of area, production, and yield of temporary crops. 2006, Part I. Addis Ababa, Ethiopia </w:t>
      </w:r>
    </w:p>
    <w:p w14:paraId="730C1D3E" w14:textId="05003F75"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r w:rsidR="00376982" w:rsidRPr="00376982">
        <w:rPr>
          <w:rFonts w:ascii="Arial" w:eastAsia="Arial" w:hAnsi="Arial" w:cs="Arial"/>
        </w:rPr>
        <w:t xml:space="preserve">Doggett, H. (1988). Sorghum. Longman Scientific &amp; Technical. </w:t>
      </w:r>
      <w:hyperlink r:id="rId25" w:history="1">
        <w:r w:rsidR="00376982" w:rsidRPr="00530837">
          <w:rPr>
            <w:rStyle w:val="Hyperlink"/>
            <w:rFonts w:ascii="Arial" w:eastAsia="Arial" w:hAnsi="Arial" w:cs="Arial"/>
          </w:rPr>
          <w:t>https://www.cabidigitallibrary.org/doi/10.1079/9780851985953.0000</w:t>
        </w:r>
      </w:hyperlink>
      <w:r w:rsidR="00376982">
        <w:rPr>
          <w:rFonts w:ascii="Arial" w:eastAsia="Arial" w:hAnsi="Arial" w:cs="Arial"/>
        </w:rPr>
        <w:t xml:space="preserve"> </w:t>
      </w:r>
    </w:p>
    <w:p w14:paraId="32CAB9F4" w14:textId="198D9E7B"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proofErr w:type="spellStart"/>
      <w:r w:rsidR="001B48D8" w:rsidRPr="001B48D8">
        <w:rPr>
          <w:rFonts w:ascii="Arial" w:eastAsia="Arial" w:hAnsi="Arial" w:cs="Arial"/>
        </w:rPr>
        <w:t>Wondimu</w:t>
      </w:r>
      <w:proofErr w:type="spellEnd"/>
      <w:r w:rsidR="001B48D8" w:rsidRPr="001B48D8">
        <w:rPr>
          <w:rFonts w:ascii="Arial" w:eastAsia="Arial" w:hAnsi="Arial" w:cs="Arial"/>
        </w:rPr>
        <w:t xml:space="preserve">, Z., </w:t>
      </w:r>
      <w:proofErr w:type="spellStart"/>
      <w:r w:rsidR="001B48D8" w:rsidRPr="001B48D8">
        <w:rPr>
          <w:rFonts w:ascii="Arial" w:eastAsia="Arial" w:hAnsi="Arial" w:cs="Arial"/>
        </w:rPr>
        <w:t>Bantte</w:t>
      </w:r>
      <w:proofErr w:type="spellEnd"/>
      <w:r w:rsidR="001B48D8" w:rsidRPr="001B48D8">
        <w:rPr>
          <w:rFonts w:ascii="Arial" w:eastAsia="Arial" w:hAnsi="Arial" w:cs="Arial"/>
        </w:rPr>
        <w:t xml:space="preserve">, K., Paterson, A., &amp; </w:t>
      </w:r>
      <w:proofErr w:type="spellStart"/>
      <w:r w:rsidR="001B48D8" w:rsidRPr="001B48D8">
        <w:rPr>
          <w:rFonts w:ascii="Arial" w:eastAsia="Arial" w:hAnsi="Arial" w:cs="Arial"/>
        </w:rPr>
        <w:t>Worku</w:t>
      </w:r>
      <w:proofErr w:type="spellEnd"/>
      <w:r w:rsidR="001B48D8" w:rsidRPr="001B48D8">
        <w:rPr>
          <w:rFonts w:ascii="Arial" w:eastAsia="Arial" w:hAnsi="Arial" w:cs="Arial"/>
        </w:rPr>
        <w:t xml:space="preserve">, W. (2020). </w:t>
      </w:r>
      <w:proofErr w:type="spellStart"/>
      <w:r w:rsidR="001B48D8" w:rsidRPr="001B48D8">
        <w:rPr>
          <w:rFonts w:ascii="Arial" w:eastAsia="Arial" w:hAnsi="Arial" w:cs="Arial"/>
        </w:rPr>
        <w:t>Agro</w:t>
      </w:r>
      <w:proofErr w:type="spellEnd"/>
      <w:r w:rsidR="001B48D8" w:rsidRPr="001B48D8">
        <w:rPr>
          <w:rFonts w:ascii="Arial" w:eastAsia="Arial" w:hAnsi="Arial" w:cs="Arial"/>
        </w:rPr>
        <w:t xml:space="preserve">-morphological diversity of Ethiopian sorghum [Sorghum bicolor (L.) </w:t>
      </w:r>
      <w:proofErr w:type="spellStart"/>
      <w:r w:rsidR="001B48D8" w:rsidRPr="001B48D8">
        <w:rPr>
          <w:rFonts w:ascii="Arial" w:eastAsia="Arial" w:hAnsi="Arial" w:cs="Arial"/>
        </w:rPr>
        <w:t>Moench</w:t>
      </w:r>
      <w:proofErr w:type="spellEnd"/>
      <w:r w:rsidR="001B48D8" w:rsidRPr="001B48D8">
        <w:rPr>
          <w:rFonts w:ascii="Arial" w:eastAsia="Arial" w:hAnsi="Arial" w:cs="Arial"/>
        </w:rPr>
        <w:t xml:space="preserve">] landraces under water limited environments. Genetic Resources and Crop Evolution. </w:t>
      </w:r>
      <w:hyperlink r:id="rId26" w:history="1">
        <w:r w:rsidR="001B48D8" w:rsidRPr="00530837">
          <w:rPr>
            <w:rStyle w:val="Hyperlink"/>
            <w:rFonts w:ascii="Arial" w:eastAsia="Arial" w:hAnsi="Arial" w:cs="Arial"/>
          </w:rPr>
          <w:t>https://doi.org/10.1007/s10722-020-00968-7</w:t>
        </w:r>
      </w:hyperlink>
      <w:r w:rsidR="001B48D8">
        <w:rPr>
          <w:rFonts w:ascii="Arial" w:eastAsia="Arial" w:hAnsi="Arial" w:cs="Arial"/>
        </w:rPr>
        <w:t xml:space="preserve"> </w:t>
      </w:r>
      <w:r>
        <w:rPr>
          <w:rFonts w:ascii="Arial" w:eastAsia="Arial" w:hAnsi="Arial" w:cs="Arial"/>
        </w:rPr>
        <w:t>.</w:t>
      </w:r>
    </w:p>
    <w:p w14:paraId="264C84CF" w14:textId="77777777"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CSA, (2018) </w:t>
      </w:r>
    </w:p>
    <w:p w14:paraId="608FB165" w14:textId="02E29BE1"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proofErr w:type="spellStart"/>
      <w:r w:rsidR="00166F6B" w:rsidRPr="00166F6B">
        <w:rPr>
          <w:rFonts w:ascii="Arial" w:eastAsia="Arial" w:hAnsi="Arial" w:cs="Arial"/>
        </w:rPr>
        <w:t>Enyew</w:t>
      </w:r>
      <w:proofErr w:type="spellEnd"/>
      <w:r w:rsidR="00166F6B" w:rsidRPr="00166F6B">
        <w:rPr>
          <w:rFonts w:ascii="Arial" w:eastAsia="Arial" w:hAnsi="Arial" w:cs="Arial"/>
        </w:rPr>
        <w:t xml:space="preserve">, M., </w:t>
      </w:r>
      <w:proofErr w:type="spellStart"/>
      <w:r w:rsidR="00166F6B" w:rsidRPr="00166F6B">
        <w:rPr>
          <w:rFonts w:ascii="Arial" w:eastAsia="Arial" w:hAnsi="Arial" w:cs="Arial"/>
        </w:rPr>
        <w:t>Feyissa</w:t>
      </w:r>
      <w:proofErr w:type="spellEnd"/>
      <w:r w:rsidR="00166F6B" w:rsidRPr="00166F6B">
        <w:rPr>
          <w:rFonts w:ascii="Arial" w:eastAsia="Arial" w:hAnsi="Arial" w:cs="Arial"/>
        </w:rPr>
        <w:t xml:space="preserve">, T., Carlsson, A. S., Tesfaye, K., </w:t>
      </w:r>
      <w:proofErr w:type="spellStart"/>
      <w:r w:rsidR="00166F6B" w:rsidRPr="00166F6B">
        <w:rPr>
          <w:rFonts w:ascii="Arial" w:eastAsia="Arial" w:hAnsi="Arial" w:cs="Arial"/>
        </w:rPr>
        <w:t>Hammenhag</w:t>
      </w:r>
      <w:proofErr w:type="spellEnd"/>
      <w:r w:rsidR="00166F6B" w:rsidRPr="00166F6B">
        <w:rPr>
          <w:rFonts w:ascii="Arial" w:eastAsia="Arial" w:hAnsi="Arial" w:cs="Arial"/>
        </w:rPr>
        <w:t xml:space="preserve">, C., &amp; </w:t>
      </w:r>
      <w:proofErr w:type="spellStart"/>
      <w:r w:rsidR="00166F6B" w:rsidRPr="00166F6B">
        <w:rPr>
          <w:rFonts w:ascii="Arial" w:eastAsia="Arial" w:hAnsi="Arial" w:cs="Arial"/>
        </w:rPr>
        <w:t>Geleta</w:t>
      </w:r>
      <w:proofErr w:type="spellEnd"/>
      <w:r w:rsidR="00166F6B" w:rsidRPr="00166F6B">
        <w:rPr>
          <w:rFonts w:ascii="Arial" w:eastAsia="Arial" w:hAnsi="Arial" w:cs="Arial"/>
        </w:rPr>
        <w:t xml:space="preserve">, M. (2022). Genetic Diversity and Population Structure of Sorghum [Sorghum Bicolor (L.) </w:t>
      </w:r>
      <w:proofErr w:type="spellStart"/>
      <w:r w:rsidR="00166F6B" w:rsidRPr="00166F6B">
        <w:rPr>
          <w:rFonts w:ascii="Arial" w:eastAsia="Arial" w:hAnsi="Arial" w:cs="Arial"/>
        </w:rPr>
        <w:t>Moench</w:t>
      </w:r>
      <w:proofErr w:type="spellEnd"/>
      <w:r w:rsidR="00166F6B" w:rsidRPr="00166F6B">
        <w:rPr>
          <w:rFonts w:ascii="Arial" w:eastAsia="Arial" w:hAnsi="Arial" w:cs="Arial"/>
        </w:rPr>
        <w:t xml:space="preserve">] Accessions as Revealed by Single Nucleotide Polymorphism Markers. Frontiers in Plant Science. </w:t>
      </w:r>
      <w:hyperlink r:id="rId27" w:history="1">
        <w:r w:rsidR="00166F6B" w:rsidRPr="00530837">
          <w:rPr>
            <w:rStyle w:val="Hyperlink"/>
            <w:rFonts w:ascii="Arial" w:eastAsia="Arial" w:hAnsi="Arial" w:cs="Arial"/>
          </w:rPr>
          <w:t>https://doi.org/10.3389/fpls.2021.799482</w:t>
        </w:r>
      </w:hyperlink>
      <w:r w:rsidR="00166F6B">
        <w:rPr>
          <w:rFonts w:ascii="Arial" w:eastAsia="Arial" w:hAnsi="Arial" w:cs="Arial"/>
        </w:rPr>
        <w:t xml:space="preserve"> </w:t>
      </w:r>
      <w:r>
        <w:rPr>
          <w:rFonts w:ascii="Arial" w:eastAsia="Arial" w:hAnsi="Arial" w:cs="Arial"/>
        </w:rPr>
        <w:t xml:space="preserve">. </w:t>
      </w:r>
    </w:p>
    <w:p w14:paraId="03955260" w14:textId="622CA7B6" w:rsidR="00794C24" w:rsidRDefault="00335892"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335892">
        <w:rPr>
          <w:rFonts w:ascii="Arial" w:eastAsia="Arial" w:hAnsi="Arial" w:cs="Arial"/>
        </w:rPr>
        <w:t xml:space="preserve">Ayana, A., &amp; Bekele, E. (2000). Geographical patterns of morphological variation in sorghum (Sorghum bicolor (L.) </w:t>
      </w:r>
      <w:proofErr w:type="spellStart"/>
      <w:r w:rsidRPr="00335892">
        <w:rPr>
          <w:rFonts w:ascii="Arial" w:eastAsia="Arial" w:hAnsi="Arial" w:cs="Arial"/>
        </w:rPr>
        <w:t>Moench</w:t>
      </w:r>
      <w:proofErr w:type="spellEnd"/>
      <w:r w:rsidRPr="00335892">
        <w:rPr>
          <w:rFonts w:ascii="Arial" w:eastAsia="Arial" w:hAnsi="Arial" w:cs="Arial"/>
        </w:rPr>
        <w:t xml:space="preserve">) germplasm from Ethiopia and Eritrea: Quantitative characters. </w:t>
      </w:r>
      <w:proofErr w:type="spellStart"/>
      <w:r w:rsidRPr="00335892">
        <w:rPr>
          <w:rFonts w:ascii="Arial" w:eastAsia="Arial" w:hAnsi="Arial" w:cs="Arial"/>
        </w:rPr>
        <w:t>Euphytica</w:t>
      </w:r>
      <w:proofErr w:type="spellEnd"/>
      <w:r w:rsidRPr="00335892">
        <w:rPr>
          <w:rFonts w:ascii="Arial" w:eastAsia="Arial" w:hAnsi="Arial" w:cs="Arial"/>
        </w:rPr>
        <w:t xml:space="preserve">. </w:t>
      </w:r>
      <w:hyperlink r:id="rId28" w:history="1">
        <w:r w:rsidRPr="00530837">
          <w:rPr>
            <w:rStyle w:val="Hyperlink"/>
            <w:rFonts w:ascii="Arial" w:eastAsia="Arial" w:hAnsi="Arial" w:cs="Arial"/>
          </w:rPr>
          <w:t>https://doi.org/10.1023/A:1003998313302</w:t>
        </w:r>
      </w:hyperlink>
      <w:r>
        <w:rPr>
          <w:rFonts w:ascii="Arial" w:eastAsia="Arial" w:hAnsi="Arial" w:cs="Arial"/>
        </w:rPr>
        <w:t xml:space="preserve"> </w:t>
      </w:r>
      <w:r w:rsidR="00DB57F8">
        <w:rPr>
          <w:rFonts w:ascii="Arial" w:eastAsia="Arial" w:hAnsi="Arial" w:cs="Arial"/>
        </w:rPr>
        <w:t>.</w:t>
      </w:r>
    </w:p>
    <w:p w14:paraId="1285E8D2" w14:textId="29E1BBBB" w:rsidR="00794C24" w:rsidRDefault="00934050"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934050">
        <w:rPr>
          <w:rFonts w:ascii="Arial" w:eastAsia="Arial" w:hAnsi="Arial" w:cs="Arial"/>
        </w:rPr>
        <w:t>Hadebe</w:t>
      </w:r>
      <w:proofErr w:type="spellEnd"/>
      <w:r w:rsidRPr="00934050">
        <w:rPr>
          <w:rFonts w:ascii="Arial" w:eastAsia="Arial" w:hAnsi="Arial" w:cs="Arial"/>
        </w:rPr>
        <w:t xml:space="preserve">, S. T., Modi, A. T., &amp; </w:t>
      </w:r>
      <w:proofErr w:type="spellStart"/>
      <w:r w:rsidRPr="00934050">
        <w:rPr>
          <w:rFonts w:ascii="Arial" w:eastAsia="Arial" w:hAnsi="Arial" w:cs="Arial"/>
        </w:rPr>
        <w:t>Mabhaudhi</w:t>
      </w:r>
      <w:proofErr w:type="spellEnd"/>
      <w:r w:rsidRPr="00934050">
        <w:rPr>
          <w:rFonts w:ascii="Arial" w:eastAsia="Arial" w:hAnsi="Arial" w:cs="Arial"/>
        </w:rPr>
        <w:t xml:space="preserve">, T. (2017). Drought tolerance and water use of cereal crops: A focus on sorghum as a food security crop in Sub-Saharan Africa. Journal of Agronomy and Crop Science, 203, 177-191. </w:t>
      </w:r>
      <w:hyperlink r:id="rId29" w:history="1">
        <w:r w:rsidRPr="00530837">
          <w:rPr>
            <w:rStyle w:val="Hyperlink"/>
            <w:rFonts w:ascii="Arial" w:eastAsia="Arial" w:hAnsi="Arial" w:cs="Arial"/>
          </w:rPr>
          <w:t>https://doi.org/10.1111/jac.12191</w:t>
        </w:r>
      </w:hyperlink>
      <w:r>
        <w:rPr>
          <w:rFonts w:ascii="Arial" w:eastAsia="Arial" w:hAnsi="Arial" w:cs="Arial"/>
        </w:rPr>
        <w:t xml:space="preserve"> </w:t>
      </w:r>
    </w:p>
    <w:p w14:paraId="36417FC1" w14:textId="0015F416" w:rsidR="00794C24" w:rsidRDefault="00544B2D"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544B2D">
        <w:rPr>
          <w:rFonts w:ascii="Arial" w:eastAsia="Arial" w:hAnsi="Arial" w:cs="Arial"/>
        </w:rPr>
        <w:t>Mola</w:t>
      </w:r>
      <w:proofErr w:type="spellEnd"/>
      <w:r w:rsidRPr="00544B2D">
        <w:rPr>
          <w:rFonts w:ascii="Arial" w:eastAsia="Arial" w:hAnsi="Arial" w:cs="Arial"/>
        </w:rPr>
        <w:t xml:space="preserve">, T., &amp; </w:t>
      </w:r>
      <w:proofErr w:type="spellStart"/>
      <w:r w:rsidRPr="00544B2D">
        <w:rPr>
          <w:rFonts w:ascii="Arial" w:eastAsia="Arial" w:hAnsi="Arial" w:cs="Arial"/>
        </w:rPr>
        <w:t>Ejeta</w:t>
      </w:r>
      <w:proofErr w:type="spellEnd"/>
      <w:r w:rsidRPr="00544B2D">
        <w:rPr>
          <w:rFonts w:ascii="Arial" w:eastAsia="Arial" w:hAnsi="Arial" w:cs="Arial"/>
        </w:rPr>
        <w:t xml:space="preserve">, M. (2021). Genetic Variability of Ethiopian Sorghum [Sorghum bicolor (L.)] landraces: Review. International Journal of Novel Research in Life Sciences. </w:t>
      </w:r>
      <w:hyperlink r:id="rId30" w:history="1">
        <w:r w:rsidRPr="00530837">
          <w:rPr>
            <w:rStyle w:val="Hyperlink"/>
            <w:rFonts w:ascii="Arial" w:eastAsia="Arial" w:hAnsi="Arial" w:cs="Arial"/>
          </w:rPr>
          <w:t>https://www.noveltyjournals.com/</w:t>
        </w:r>
      </w:hyperlink>
      <w:r>
        <w:rPr>
          <w:rFonts w:ascii="Arial" w:eastAsia="Arial" w:hAnsi="Arial" w:cs="Arial"/>
        </w:rPr>
        <w:t xml:space="preserve"> </w:t>
      </w:r>
    </w:p>
    <w:p w14:paraId="09CEE330" w14:textId="42863216" w:rsidR="00794C24" w:rsidRDefault="001E7C4F"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1E7C4F">
        <w:rPr>
          <w:rFonts w:ascii="Arial" w:eastAsia="Arial" w:hAnsi="Arial" w:cs="Arial"/>
        </w:rPr>
        <w:t xml:space="preserve">Mengistu, G., </w:t>
      </w:r>
      <w:proofErr w:type="spellStart"/>
      <w:r w:rsidRPr="001E7C4F">
        <w:rPr>
          <w:rFonts w:ascii="Arial" w:eastAsia="Arial" w:hAnsi="Arial" w:cs="Arial"/>
        </w:rPr>
        <w:t>Shimelis</w:t>
      </w:r>
      <w:proofErr w:type="spellEnd"/>
      <w:r w:rsidRPr="001E7C4F">
        <w:rPr>
          <w:rFonts w:ascii="Arial" w:eastAsia="Arial" w:hAnsi="Arial" w:cs="Arial"/>
        </w:rPr>
        <w:t xml:space="preserve">, H., Laing, M., </w:t>
      </w:r>
      <w:proofErr w:type="spellStart"/>
      <w:r w:rsidRPr="001E7C4F">
        <w:rPr>
          <w:rFonts w:ascii="Arial" w:eastAsia="Arial" w:hAnsi="Arial" w:cs="Arial"/>
        </w:rPr>
        <w:t>Lule</w:t>
      </w:r>
      <w:proofErr w:type="spellEnd"/>
      <w:r w:rsidRPr="001E7C4F">
        <w:rPr>
          <w:rFonts w:ascii="Arial" w:eastAsia="Arial" w:hAnsi="Arial" w:cs="Arial"/>
        </w:rPr>
        <w:t xml:space="preserve">, D., &amp; Mathew, I. (2020). Genetic variability among Ethiopian sorghum landrace accessions for major </w:t>
      </w:r>
      <w:proofErr w:type="spellStart"/>
      <w:r w:rsidRPr="001E7C4F">
        <w:rPr>
          <w:rFonts w:ascii="Arial" w:eastAsia="Arial" w:hAnsi="Arial" w:cs="Arial"/>
        </w:rPr>
        <w:t>agro</w:t>
      </w:r>
      <w:proofErr w:type="spellEnd"/>
      <w:r w:rsidRPr="001E7C4F">
        <w:rPr>
          <w:rFonts w:ascii="Arial" w:eastAsia="Arial" w:hAnsi="Arial" w:cs="Arial"/>
        </w:rPr>
        <w:t xml:space="preserve">-morphological traits and anthracnose resistance. </w:t>
      </w:r>
      <w:proofErr w:type="spellStart"/>
      <w:r w:rsidRPr="001E7C4F">
        <w:rPr>
          <w:rFonts w:ascii="Arial" w:eastAsia="Arial" w:hAnsi="Arial" w:cs="Arial"/>
        </w:rPr>
        <w:t>Euphytica</w:t>
      </w:r>
      <w:proofErr w:type="spellEnd"/>
      <w:r w:rsidRPr="001E7C4F">
        <w:rPr>
          <w:rFonts w:ascii="Arial" w:eastAsia="Arial" w:hAnsi="Arial" w:cs="Arial"/>
        </w:rPr>
        <w:t xml:space="preserve">, 216(7), 113. </w:t>
      </w:r>
      <w:hyperlink r:id="rId31" w:history="1">
        <w:r w:rsidRPr="00530837">
          <w:rPr>
            <w:rStyle w:val="Hyperlink"/>
            <w:rFonts w:ascii="Arial" w:eastAsia="Arial" w:hAnsi="Arial" w:cs="Arial"/>
          </w:rPr>
          <w:t>https://doi.org/10.1007/s10681-020-02650-6</w:t>
        </w:r>
      </w:hyperlink>
      <w:r>
        <w:rPr>
          <w:rFonts w:ascii="Arial" w:eastAsia="Arial" w:hAnsi="Arial" w:cs="Arial"/>
        </w:rPr>
        <w:t xml:space="preserve"> </w:t>
      </w:r>
      <w:r w:rsidR="00DB57F8">
        <w:rPr>
          <w:rFonts w:ascii="Arial" w:eastAsia="Arial" w:hAnsi="Arial" w:cs="Arial"/>
        </w:rPr>
        <w:t>.</w:t>
      </w:r>
    </w:p>
    <w:p w14:paraId="60EE5445" w14:textId="4E4ACC8D"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lastRenderedPageBreak/>
        <w:t> </w:t>
      </w:r>
      <w:proofErr w:type="spellStart"/>
      <w:r w:rsidR="005A528D" w:rsidRPr="005A528D">
        <w:rPr>
          <w:rFonts w:ascii="Arial" w:eastAsia="Arial" w:hAnsi="Arial" w:cs="Arial"/>
        </w:rPr>
        <w:t>Wondimu</w:t>
      </w:r>
      <w:proofErr w:type="spellEnd"/>
      <w:r w:rsidR="005A528D" w:rsidRPr="005A528D">
        <w:rPr>
          <w:rFonts w:ascii="Arial" w:eastAsia="Arial" w:hAnsi="Arial" w:cs="Arial"/>
        </w:rPr>
        <w:t xml:space="preserve">, Z., </w:t>
      </w:r>
      <w:proofErr w:type="spellStart"/>
      <w:r w:rsidR="005A528D" w:rsidRPr="005A528D">
        <w:rPr>
          <w:rFonts w:ascii="Arial" w:eastAsia="Arial" w:hAnsi="Arial" w:cs="Arial"/>
        </w:rPr>
        <w:t>Bantte</w:t>
      </w:r>
      <w:proofErr w:type="spellEnd"/>
      <w:r w:rsidR="005A528D" w:rsidRPr="005A528D">
        <w:rPr>
          <w:rFonts w:ascii="Arial" w:eastAsia="Arial" w:hAnsi="Arial" w:cs="Arial"/>
        </w:rPr>
        <w:t xml:space="preserve">, K., Paterson, A., &amp; </w:t>
      </w:r>
      <w:proofErr w:type="spellStart"/>
      <w:r w:rsidR="005A528D" w:rsidRPr="005A528D">
        <w:rPr>
          <w:rFonts w:ascii="Arial" w:eastAsia="Arial" w:hAnsi="Arial" w:cs="Arial"/>
        </w:rPr>
        <w:t>Worku</w:t>
      </w:r>
      <w:proofErr w:type="spellEnd"/>
      <w:r w:rsidR="005A528D" w:rsidRPr="005A528D">
        <w:rPr>
          <w:rFonts w:ascii="Arial" w:eastAsia="Arial" w:hAnsi="Arial" w:cs="Arial"/>
        </w:rPr>
        <w:t xml:space="preserve">, W. (2020). </w:t>
      </w:r>
      <w:proofErr w:type="spellStart"/>
      <w:r w:rsidR="005A528D" w:rsidRPr="005A528D">
        <w:rPr>
          <w:rFonts w:ascii="Arial" w:eastAsia="Arial" w:hAnsi="Arial" w:cs="Arial"/>
        </w:rPr>
        <w:t>Agro</w:t>
      </w:r>
      <w:proofErr w:type="spellEnd"/>
      <w:r w:rsidR="005A528D" w:rsidRPr="005A528D">
        <w:rPr>
          <w:rFonts w:ascii="Arial" w:eastAsia="Arial" w:hAnsi="Arial" w:cs="Arial"/>
        </w:rPr>
        <w:t xml:space="preserve">-morphological diversity of Ethiopian sorghum [Sorghum bicolor (L.) </w:t>
      </w:r>
      <w:proofErr w:type="spellStart"/>
      <w:r w:rsidR="005A528D" w:rsidRPr="005A528D">
        <w:rPr>
          <w:rFonts w:ascii="Arial" w:eastAsia="Arial" w:hAnsi="Arial" w:cs="Arial"/>
        </w:rPr>
        <w:t>Moench</w:t>
      </w:r>
      <w:proofErr w:type="spellEnd"/>
      <w:r w:rsidR="005A528D" w:rsidRPr="005A528D">
        <w:rPr>
          <w:rFonts w:ascii="Arial" w:eastAsia="Arial" w:hAnsi="Arial" w:cs="Arial"/>
        </w:rPr>
        <w:t xml:space="preserve">] landraces under water limited environments. Genetic Resources and Crop Evolution, 67, 2149-2160. </w:t>
      </w:r>
      <w:hyperlink r:id="rId32" w:history="1">
        <w:r w:rsidR="005A528D" w:rsidRPr="00530837">
          <w:rPr>
            <w:rStyle w:val="Hyperlink"/>
            <w:rFonts w:ascii="Arial" w:eastAsia="Arial" w:hAnsi="Arial" w:cs="Arial"/>
          </w:rPr>
          <w:t>https://doi.org/10.1007/s10722-020-00968-7</w:t>
        </w:r>
      </w:hyperlink>
      <w:r w:rsidR="005A528D">
        <w:rPr>
          <w:rFonts w:ascii="Arial" w:eastAsia="Arial" w:hAnsi="Arial" w:cs="Arial"/>
        </w:rPr>
        <w:t xml:space="preserve"> </w:t>
      </w:r>
      <w:r>
        <w:rPr>
          <w:rFonts w:ascii="Arial" w:eastAsia="Arial" w:hAnsi="Arial" w:cs="Arial"/>
        </w:rPr>
        <w:t>.</w:t>
      </w:r>
    </w:p>
    <w:p w14:paraId="3223BEDF" w14:textId="06B500BC"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r w:rsidR="0070294E" w:rsidRPr="0070294E">
        <w:rPr>
          <w:rFonts w:ascii="Arial" w:eastAsia="Arial" w:hAnsi="Arial" w:cs="Arial"/>
        </w:rPr>
        <w:t xml:space="preserve">Teshome, A., Baum, B. R., </w:t>
      </w:r>
      <w:proofErr w:type="spellStart"/>
      <w:r w:rsidR="0070294E" w:rsidRPr="0070294E">
        <w:rPr>
          <w:rFonts w:ascii="Arial" w:eastAsia="Arial" w:hAnsi="Arial" w:cs="Arial"/>
        </w:rPr>
        <w:t>Fahrig</w:t>
      </w:r>
      <w:proofErr w:type="spellEnd"/>
      <w:r w:rsidR="0070294E" w:rsidRPr="0070294E">
        <w:rPr>
          <w:rFonts w:ascii="Arial" w:eastAsia="Arial" w:hAnsi="Arial" w:cs="Arial"/>
        </w:rPr>
        <w:t xml:space="preserve">, L., Torrance, J. K., </w:t>
      </w:r>
      <w:proofErr w:type="spellStart"/>
      <w:r w:rsidR="0070294E" w:rsidRPr="0070294E">
        <w:rPr>
          <w:rFonts w:ascii="Arial" w:eastAsia="Arial" w:hAnsi="Arial" w:cs="Arial"/>
        </w:rPr>
        <w:t>Arnason</w:t>
      </w:r>
      <w:proofErr w:type="spellEnd"/>
      <w:r w:rsidR="0070294E" w:rsidRPr="0070294E">
        <w:rPr>
          <w:rFonts w:ascii="Arial" w:eastAsia="Arial" w:hAnsi="Arial" w:cs="Arial"/>
        </w:rPr>
        <w:t xml:space="preserve">, T. J., &amp; Lambert, J. D. H. (1997). Sorghum [Sorghum bicolor (L.) </w:t>
      </w:r>
      <w:proofErr w:type="spellStart"/>
      <w:r w:rsidR="0070294E" w:rsidRPr="0070294E">
        <w:rPr>
          <w:rFonts w:ascii="Arial" w:eastAsia="Arial" w:hAnsi="Arial" w:cs="Arial"/>
        </w:rPr>
        <w:t>Moench</w:t>
      </w:r>
      <w:proofErr w:type="spellEnd"/>
      <w:r w:rsidR="0070294E" w:rsidRPr="0070294E">
        <w:rPr>
          <w:rFonts w:ascii="Arial" w:eastAsia="Arial" w:hAnsi="Arial" w:cs="Arial"/>
        </w:rPr>
        <w:t xml:space="preserve">] landrace variation and classification in North Shewa and South </w:t>
      </w:r>
      <w:proofErr w:type="spellStart"/>
      <w:r w:rsidR="0070294E" w:rsidRPr="0070294E">
        <w:rPr>
          <w:rFonts w:ascii="Arial" w:eastAsia="Arial" w:hAnsi="Arial" w:cs="Arial"/>
        </w:rPr>
        <w:t>Welo</w:t>
      </w:r>
      <w:proofErr w:type="spellEnd"/>
      <w:r w:rsidR="0070294E" w:rsidRPr="0070294E">
        <w:rPr>
          <w:rFonts w:ascii="Arial" w:eastAsia="Arial" w:hAnsi="Arial" w:cs="Arial"/>
        </w:rPr>
        <w:t xml:space="preserve">, Ethiopia. </w:t>
      </w:r>
      <w:proofErr w:type="spellStart"/>
      <w:r w:rsidR="0070294E" w:rsidRPr="0070294E">
        <w:rPr>
          <w:rFonts w:ascii="Arial" w:eastAsia="Arial" w:hAnsi="Arial" w:cs="Arial"/>
        </w:rPr>
        <w:t>Euphytica</w:t>
      </w:r>
      <w:proofErr w:type="spellEnd"/>
      <w:r w:rsidR="0070294E" w:rsidRPr="0070294E">
        <w:rPr>
          <w:rFonts w:ascii="Arial" w:eastAsia="Arial" w:hAnsi="Arial" w:cs="Arial"/>
        </w:rPr>
        <w:t xml:space="preserve">, 97(3), 255-263. </w:t>
      </w:r>
      <w:hyperlink r:id="rId33" w:history="1">
        <w:r w:rsidR="0070294E" w:rsidRPr="00530837">
          <w:rPr>
            <w:rStyle w:val="Hyperlink"/>
            <w:rFonts w:ascii="Arial" w:eastAsia="Arial" w:hAnsi="Arial" w:cs="Arial"/>
          </w:rPr>
          <w:t>https://doi.org/10.1023/A:1003074008785</w:t>
        </w:r>
      </w:hyperlink>
      <w:r w:rsidR="0070294E">
        <w:rPr>
          <w:rFonts w:ascii="Arial" w:eastAsia="Arial" w:hAnsi="Arial" w:cs="Arial"/>
        </w:rPr>
        <w:t xml:space="preserve"> </w:t>
      </w:r>
    </w:p>
    <w:p w14:paraId="205E48C1" w14:textId="2F24387A" w:rsidR="00794C24" w:rsidRDefault="00DB57F8"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Pr>
          <w:rFonts w:ascii="Arial" w:eastAsia="Arial" w:hAnsi="Arial" w:cs="Arial"/>
        </w:rPr>
        <w:t xml:space="preserve"> </w:t>
      </w:r>
      <w:r w:rsidR="002D3D4E" w:rsidRPr="002D3D4E">
        <w:rPr>
          <w:rFonts w:ascii="Arial" w:eastAsia="Arial" w:hAnsi="Arial" w:cs="Arial"/>
        </w:rPr>
        <w:t xml:space="preserve">Abdi, A., Bekele, E., Asfaw, Z., &amp; Teshome, A. (2002). Patterns of morphological variation of sorghum (Sorghum bicolor (L.) </w:t>
      </w:r>
      <w:proofErr w:type="spellStart"/>
      <w:r w:rsidR="002D3D4E" w:rsidRPr="002D3D4E">
        <w:rPr>
          <w:rFonts w:ascii="Arial" w:eastAsia="Arial" w:hAnsi="Arial" w:cs="Arial"/>
        </w:rPr>
        <w:t>Moench</w:t>
      </w:r>
      <w:proofErr w:type="spellEnd"/>
      <w:r w:rsidR="002D3D4E" w:rsidRPr="002D3D4E">
        <w:rPr>
          <w:rFonts w:ascii="Arial" w:eastAsia="Arial" w:hAnsi="Arial" w:cs="Arial"/>
        </w:rPr>
        <w:t xml:space="preserve">) landraces in qualitative characters in North Shewa and South </w:t>
      </w:r>
      <w:proofErr w:type="spellStart"/>
      <w:r w:rsidR="002D3D4E" w:rsidRPr="002D3D4E">
        <w:rPr>
          <w:rFonts w:ascii="Arial" w:eastAsia="Arial" w:hAnsi="Arial" w:cs="Arial"/>
        </w:rPr>
        <w:t>Welo</w:t>
      </w:r>
      <w:proofErr w:type="spellEnd"/>
      <w:r w:rsidR="002D3D4E" w:rsidRPr="002D3D4E">
        <w:rPr>
          <w:rFonts w:ascii="Arial" w:eastAsia="Arial" w:hAnsi="Arial" w:cs="Arial"/>
        </w:rPr>
        <w:t xml:space="preserve">, Ethiopia. </w:t>
      </w:r>
      <w:proofErr w:type="spellStart"/>
      <w:r w:rsidR="002D3D4E" w:rsidRPr="002D3D4E">
        <w:rPr>
          <w:rFonts w:ascii="Arial" w:eastAsia="Arial" w:hAnsi="Arial" w:cs="Arial"/>
        </w:rPr>
        <w:t>Hereditas</w:t>
      </w:r>
      <w:proofErr w:type="spellEnd"/>
      <w:r w:rsidR="002D3D4E" w:rsidRPr="002D3D4E">
        <w:rPr>
          <w:rFonts w:ascii="Arial" w:eastAsia="Arial" w:hAnsi="Arial" w:cs="Arial"/>
        </w:rPr>
        <w:t xml:space="preserve">, 137(3), 161-172. </w:t>
      </w:r>
      <w:hyperlink r:id="rId34" w:history="1">
        <w:r w:rsidR="002D3D4E" w:rsidRPr="00530837">
          <w:rPr>
            <w:rStyle w:val="Hyperlink"/>
            <w:rFonts w:ascii="Arial" w:eastAsia="Arial" w:hAnsi="Arial" w:cs="Arial"/>
          </w:rPr>
          <w:t>https://doi.org/10.1034/j.1601-5223.2002.01604.x</w:t>
        </w:r>
      </w:hyperlink>
      <w:r w:rsidR="002D3D4E">
        <w:rPr>
          <w:rFonts w:ascii="Arial" w:eastAsia="Arial" w:hAnsi="Arial" w:cs="Arial"/>
        </w:rPr>
        <w:t xml:space="preserve"> </w:t>
      </w:r>
    </w:p>
    <w:p w14:paraId="5C19E27D" w14:textId="68FDC525" w:rsidR="00794C24" w:rsidRDefault="00A63F42" w:rsidP="006375A4">
      <w:pPr>
        <w:widowControl w:val="0"/>
        <w:numPr>
          <w:ilvl w:val="0"/>
          <w:numId w:val="10"/>
        </w:numPr>
        <w:spacing w:before="160"/>
        <w:ind w:right="-118"/>
        <w:jc w:val="both"/>
        <w:rPr>
          <w:rFonts w:ascii="Arial" w:eastAsia="Arial" w:hAnsi="Arial" w:cs="Arial"/>
        </w:rPr>
      </w:pPr>
      <w:r w:rsidRPr="00A63F42">
        <w:rPr>
          <w:rFonts w:ascii="Arial" w:eastAsia="Arial" w:hAnsi="Arial" w:cs="Arial"/>
        </w:rPr>
        <w:t xml:space="preserve">Harlan, J. R., &amp; de Wet, J. M. J. (1972). A simplified classification of cultivated sorghum. Crop Science, 12(2), 172-176. </w:t>
      </w:r>
      <w:hyperlink r:id="rId35" w:history="1">
        <w:r w:rsidRPr="00530837">
          <w:rPr>
            <w:rStyle w:val="Hyperlink"/>
            <w:rFonts w:ascii="Arial" w:eastAsia="Arial" w:hAnsi="Arial" w:cs="Arial"/>
          </w:rPr>
          <w:t>https://doi.org/10.2135/cropsci1972.0011183X001200020005x</w:t>
        </w:r>
      </w:hyperlink>
      <w:r>
        <w:rPr>
          <w:rFonts w:ascii="Arial" w:eastAsia="Arial" w:hAnsi="Arial" w:cs="Arial"/>
        </w:rPr>
        <w:t xml:space="preserve"> </w:t>
      </w:r>
    </w:p>
    <w:p w14:paraId="6812AF19" w14:textId="4F748A95" w:rsidR="00794C24" w:rsidRDefault="00FE357D"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proofErr w:type="spellStart"/>
      <w:r w:rsidRPr="00FE357D">
        <w:rPr>
          <w:rFonts w:ascii="Arial" w:eastAsia="Arial" w:hAnsi="Arial" w:cs="Arial"/>
        </w:rPr>
        <w:t>Mekbib</w:t>
      </w:r>
      <w:proofErr w:type="spellEnd"/>
      <w:r w:rsidRPr="00FE357D">
        <w:rPr>
          <w:rFonts w:ascii="Arial" w:eastAsia="Arial" w:hAnsi="Arial" w:cs="Arial"/>
        </w:rPr>
        <w:t xml:space="preserve">, F. (2007). Infra-specific folk taxonomy in sorghum (Sorghum bicolor (L.) </w:t>
      </w:r>
      <w:proofErr w:type="spellStart"/>
      <w:r w:rsidRPr="00FE357D">
        <w:rPr>
          <w:rFonts w:ascii="Arial" w:eastAsia="Arial" w:hAnsi="Arial" w:cs="Arial"/>
        </w:rPr>
        <w:t>Moench</w:t>
      </w:r>
      <w:proofErr w:type="spellEnd"/>
      <w:r w:rsidRPr="00FE357D">
        <w:rPr>
          <w:rFonts w:ascii="Arial" w:eastAsia="Arial" w:hAnsi="Arial" w:cs="Arial"/>
        </w:rPr>
        <w:t xml:space="preserve">) in Ethiopia: folk nomenclature, classification, and criteria. Journal of Ethnobiology and Ethnomedicine. </w:t>
      </w:r>
      <w:hyperlink r:id="rId36" w:history="1">
        <w:r w:rsidRPr="00530837">
          <w:rPr>
            <w:rStyle w:val="Hyperlink"/>
            <w:rFonts w:ascii="Arial" w:eastAsia="Arial" w:hAnsi="Arial" w:cs="Arial"/>
          </w:rPr>
          <w:t>https://doi.org/10.1186/1746-4269-3-38</w:t>
        </w:r>
      </w:hyperlink>
      <w:r>
        <w:rPr>
          <w:rFonts w:ascii="Arial" w:eastAsia="Arial" w:hAnsi="Arial" w:cs="Arial"/>
        </w:rPr>
        <w:t xml:space="preserve"> </w:t>
      </w:r>
      <w:r w:rsidR="00DB57F8">
        <w:rPr>
          <w:rFonts w:ascii="Arial" w:eastAsia="Arial" w:hAnsi="Arial" w:cs="Arial"/>
        </w:rPr>
        <w:t>.</w:t>
      </w:r>
    </w:p>
    <w:p w14:paraId="2FD43C2F" w14:textId="5B07ADE2" w:rsidR="00794C24" w:rsidRDefault="00707F6C" w:rsidP="006375A4">
      <w:pPr>
        <w:widowControl w:val="0"/>
        <w:numPr>
          <w:ilvl w:val="0"/>
          <w:numId w:val="10"/>
        </w:numPr>
        <w:tabs>
          <w:tab w:val="left" w:pos="560"/>
          <w:tab w:val="left" w:pos="562"/>
        </w:tabs>
        <w:spacing w:before="159" w:line="264" w:lineRule="auto"/>
        <w:ind w:right="-118"/>
        <w:jc w:val="both"/>
        <w:rPr>
          <w:rFonts w:ascii="Arial" w:eastAsia="Arial" w:hAnsi="Arial" w:cs="Arial"/>
        </w:rPr>
      </w:pPr>
      <w:r w:rsidRPr="00707F6C">
        <w:rPr>
          <w:rFonts w:ascii="Arial" w:eastAsia="Arial" w:hAnsi="Arial" w:cs="Arial"/>
        </w:rPr>
        <w:t xml:space="preserve">Snowden, J. D. (1936). The cultivated races of sorghum. </w:t>
      </w:r>
      <w:proofErr w:type="spellStart"/>
      <w:r w:rsidRPr="00707F6C">
        <w:rPr>
          <w:rFonts w:ascii="Arial" w:eastAsia="Arial" w:hAnsi="Arial" w:cs="Arial"/>
        </w:rPr>
        <w:t>Adlard</w:t>
      </w:r>
      <w:proofErr w:type="spellEnd"/>
      <w:r w:rsidRPr="00707F6C">
        <w:rPr>
          <w:rFonts w:ascii="Arial" w:eastAsia="Arial" w:hAnsi="Arial" w:cs="Arial"/>
        </w:rPr>
        <w:t xml:space="preserve"> and Son. </w:t>
      </w:r>
      <w:hyperlink r:id="rId37" w:history="1">
        <w:r w:rsidRPr="00530837">
          <w:rPr>
            <w:rStyle w:val="Hyperlink"/>
            <w:rFonts w:ascii="Arial" w:eastAsia="Arial" w:hAnsi="Arial" w:cs="Arial"/>
          </w:rPr>
          <w:t>https://chla.library.cornell.edu/chla/article/title/cultivated-races-sorghum</w:t>
        </w:r>
      </w:hyperlink>
      <w:r>
        <w:rPr>
          <w:rFonts w:ascii="Arial" w:eastAsia="Arial" w:hAnsi="Arial" w:cs="Arial"/>
        </w:rPr>
        <w:t xml:space="preserve"> </w:t>
      </w:r>
      <w:r w:rsidR="00DB57F8">
        <w:rPr>
          <w:rFonts w:ascii="Arial" w:eastAsia="Arial" w:hAnsi="Arial" w:cs="Arial"/>
        </w:rPr>
        <w:t>.</w:t>
      </w:r>
    </w:p>
    <w:p w14:paraId="7C159257" w14:textId="37BCD141" w:rsidR="00794C24" w:rsidRDefault="000256B9" w:rsidP="006375A4">
      <w:pPr>
        <w:widowControl w:val="0"/>
        <w:numPr>
          <w:ilvl w:val="0"/>
          <w:numId w:val="10"/>
        </w:numPr>
        <w:spacing w:before="160"/>
        <w:ind w:right="-118"/>
        <w:jc w:val="both"/>
        <w:rPr>
          <w:rFonts w:ascii="Arial" w:eastAsia="Arial" w:hAnsi="Arial" w:cs="Arial"/>
        </w:rPr>
      </w:pPr>
      <w:proofErr w:type="spellStart"/>
      <w:r w:rsidRPr="000256B9">
        <w:rPr>
          <w:rFonts w:ascii="Arial" w:eastAsia="Arial" w:hAnsi="Arial" w:cs="Arial"/>
        </w:rPr>
        <w:t>Girma</w:t>
      </w:r>
      <w:proofErr w:type="spellEnd"/>
      <w:r w:rsidRPr="000256B9">
        <w:rPr>
          <w:rFonts w:ascii="Arial" w:eastAsia="Arial" w:hAnsi="Arial" w:cs="Arial"/>
        </w:rPr>
        <w:t xml:space="preserve">, G., Nida, H., </w:t>
      </w:r>
      <w:proofErr w:type="spellStart"/>
      <w:r w:rsidRPr="000256B9">
        <w:rPr>
          <w:rFonts w:ascii="Arial" w:eastAsia="Arial" w:hAnsi="Arial" w:cs="Arial"/>
        </w:rPr>
        <w:t>Seyoum</w:t>
      </w:r>
      <w:proofErr w:type="spellEnd"/>
      <w:r w:rsidRPr="000256B9">
        <w:rPr>
          <w:rFonts w:ascii="Arial" w:eastAsia="Arial" w:hAnsi="Arial" w:cs="Arial"/>
        </w:rPr>
        <w:t xml:space="preserve">, A., </w:t>
      </w:r>
      <w:proofErr w:type="spellStart"/>
      <w:r w:rsidRPr="000256B9">
        <w:rPr>
          <w:rFonts w:ascii="Arial" w:eastAsia="Arial" w:hAnsi="Arial" w:cs="Arial"/>
        </w:rPr>
        <w:t>Mekonen</w:t>
      </w:r>
      <w:proofErr w:type="spellEnd"/>
      <w:r w:rsidRPr="000256B9">
        <w:rPr>
          <w:rFonts w:ascii="Arial" w:eastAsia="Arial" w:hAnsi="Arial" w:cs="Arial"/>
        </w:rPr>
        <w:t xml:space="preserve">, M., </w:t>
      </w:r>
      <w:proofErr w:type="spellStart"/>
      <w:r w:rsidRPr="000256B9">
        <w:rPr>
          <w:rFonts w:ascii="Arial" w:eastAsia="Arial" w:hAnsi="Arial" w:cs="Arial"/>
        </w:rPr>
        <w:t>Nega</w:t>
      </w:r>
      <w:proofErr w:type="spellEnd"/>
      <w:r w:rsidRPr="000256B9">
        <w:rPr>
          <w:rFonts w:ascii="Arial" w:eastAsia="Arial" w:hAnsi="Arial" w:cs="Arial"/>
        </w:rPr>
        <w:t xml:space="preserve">, A., </w:t>
      </w:r>
      <w:proofErr w:type="spellStart"/>
      <w:r w:rsidRPr="000256B9">
        <w:rPr>
          <w:rFonts w:ascii="Arial" w:eastAsia="Arial" w:hAnsi="Arial" w:cs="Arial"/>
        </w:rPr>
        <w:t>Lule</w:t>
      </w:r>
      <w:proofErr w:type="spellEnd"/>
      <w:r w:rsidRPr="000256B9">
        <w:rPr>
          <w:rFonts w:ascii="Arial" w:eastAsia="Arial" w:hAnsi="Arial" w:cs="Arial"/>
        </w:rPr>
        <w:t xml:space="preserve">, D., </w:t>
      </w:r>
      <w:proofErr w:type="spellStart"/>
      <w:r w:rsidRPr="000256B9">
        <w:rPr>
          <w:rFonts w:ascii="Arial" w:eastAsia="Arial" w:hAnsi="Arial" w:cs="Arial"/>
        </w:rPr>
        <w:t>Dessalegn</w:t>
      </w:r>
      <w:proofErr w:type="spellEnd"/>
      <w:r w:rsidRPr="000256B9">
        <w:rPr>
          <w:rFonts w:ascii="Arial" w:eastAsia="Arial" w:hAnsi="Arial" w:cs="Arial"/>
        </w:rPr>
        <w:t xml:space="preserve">, K., Bekele, A., </w:t>
      </w:r>
      <w:proofErr w:type="spellStart"/>
      <w:r w:rsidRPr="000256B9">
        <w:rPr>
          <w:rFonts w:ascii="Arial" w:eastAsia="Arial" w:hAnsi="Arial" w:cs="Arial"/>
        </w:rPr>
        <w:t>Gebreyohannes</w:t>
      </w:r>
      <w:proofErr w:type="spellEnd"/>
      <w:r w:rsidRPr="000256B9">
        <w:rPr>
          <w:rFonts w:ascii="Arial" w:eastAsia="Arial" w:hAnsi="Arial" w:cs="Arial"/>
        </w:rPr>
        <w:t xml:space="preserve">, A., </w:t>
      </w:r>
      <w:proofErr w:type="spellStart"/>
      <w:r w:rsidRPr="000256B9">
        <w:rPr>
          <w:rFonts w:ascii="Arial" w:eastAsia="Arial" w:hAnsi="Arial" w:cs="Arial"/>
        </w:rPr>
        <w:t>Adeyanju</w:t>
      </w:r>
      <w:proofErr w:type="spellEnd"/>
      <w:r w:rsidRPr="000256B9">
        <w:rPr>
          <w:rFonts w:ascii="Arial" w:eastAsia="Arial" w:hAnsi="Arial" w:cs="Arial"/>
        </w:rPr>
        <w:t xml:space="preserve">, A., </w:t>
      </w:r>
      <w:proofErr w:type="spellStart"/>
      <w:r w:rsidRPr="000256B9">
        <w:rPr>
          <w:rFonts w:ascii="Arial" w:eastAsia="Arial" w:hAnsi="Arial" w:cs="Arial"/>
        </w:rPr>
        <w:t>Tirfessa</w:t>
      </w:r>
      <w:proofErr w:type="spellEnd"/>
      <w:r w:rsidRPr="000256B9">
        <w:rPr>
          <w:rFonts w:ascii="Arial" w:eastAsia="Arial" w:hAnsi="Arial" w:cs="Arial"/>
        </w:rPr>
        <w:t xml:space="preserve">, A., Ayana, G., </w:t>
      </w:r>
      <w:proofErr w:type="spellStart"/>
      <w:r w:rsidRPr="000256B9">
        <w:rPr>
          <w:rFonts w:ascii="Arial" w:eastAsia="Arial" w:hAnsi="Arial" w:cs="Arial"/>
        </w:rPr>
        <w:t>Taddese</w:t>
      </w:r>
      <w:proofErr w:type="spellEnd"/>
      <w:r w:rsidRPr="000256B9">
        <w:rPr>
          <w:rFonts w:ascii="Arial" w:eastAsia="Arial" w:hAnsi="Arial" w:cs="Arial"/>
        </w:rPr>
        <w:t xml:space="preserve">, T., </w:t>
      </w:r>
      <w:proofErr w:type="spellStart"/>
      <w:r w:rsidRPr="000256B9">
        <w:rPr>
          <w:rFonts w:ascii="Arial" w:eastAsia="Arial" w:hAnsi="Arial" w:cs="Arial"/>
        </w:rPr>
        <w:t>Mekbib</w:t>
      </w:r>
      <w:proofErr w:type="spellEnd"/>
      <w:r w:rsidRPr="000256B9">
        <w:rPr>
          <w:rFonts w:ascii="Arial" w:eastAsia="Arial" w:hAnsi="Arial" w:cs="Arial"/>
        </w:rPr>
        <w:t xml:space="preserve">, F., &amp; </w:t>
      </w:r>
      <w:proofErr w:type="spellStart"/>
      <w:r w:rsidRPr="000256B9">
        <w:rPr>
          <w:rFonts w:ascii="Arial" w:eastAsia="Arial" w:hAnsi="Arial" w:cs="Arial"/>
        </w:rPr>
        <w:t>Mengiste</w:t>
      </w:r>
      <w:proofErr w:type="spellEnd"/>
      <w:r w:rsidRPr="000256B9">
        <w:rPr>
          <w:rFonts w:ascii="Arial" w:eastAsia="Arial" w:hAnsi="Arial" w:cs="Arial"/>
        </w:rPr>
        <w:t xml:space="preserve">, T. (2019). A large-scale genome-wide association analyses of Ethiopian sorghum landrace collection reveal loci associated with important traits. Frontiers in Plant Science, 10, 691. </w:t>
      </w:r>
      <w:hyperlink r:id="rId38" w:history="1">
        <w:r w:rsidRPr="00530837">
          <w:rPr>
            <w:rStyle w:val="Hyperlink"/>
            <w:rFonts w:ascii="Arial" w:eastAsia="Arial" w:hAnsi="Arial" w:cs="Arial"/>
          </w:rPr>
          <w:t>https://doi.org/10.3389/fpls.2019.00691</w:t>
        </w:r>
      </w:hyperlink>
      <w:r>
        <w:rPr>
          <w:rFonts w:ascii="Arial" w:eastAsia="Arial" w:hAnsi="Arial" w:cs="Arial"/>
        </w:rPr>
        <w:t xml:space="preserve"> </w:t>
      </w:r>
    </w:p>
    <w:p w14:paraId="629C0771" w14:textId="77777777" w:rsidR="00794C24" w:rsidRDefault="00794C24">
      <w:pPr>
        <w:widowControl w:val="0"/>
        <w:spacing w:before="160"/>
        <w:ind w:left="425" w:right="-118"/>
        <w:jc w:val="both"/>
        <w:rPr>
          <w:rFonts w:ascii="Arial" w:eastAsia="Arial" w:hAnsi="Arial" w:cs="Arial"/>
        </w:rPr>
      </w:pPr>
    </w:p>
    <w:p w14:paraId="16D6735D" w14:textId="77777777" w:rsidR="00794C24" w:rsidRDefault="00794C24">
      <w:pPr>
        <w:widowControl w:val="0"/>
        <w:ind w:left="142" w:right="-118"/>
        <w:jc w:val="both"/>
        <w:rPr>
          <w:rFonts w:ascii="Arial" w:eastAsia="Arial" w:hAnsi="Arial" w:cs="Arial"/>
          <w:b/>
          <w:bCs/>
        </w:rPr>
      </w:pPr>
    </w:p>
    <w:p w14:paraId="52F2F4C8" w14:textId="77E6567C" w:rsidR="00952A19" w:rsidRPr="00952A19" w:rsidRDefault="00952A19" w:rsidP="006375A4">
      <w:pPr>
        <w:widowControl w:val="0"/>
        <w:numPr>
          <w:ilvl w:val="0"/>
          <w:numId w:val="10"/>
        </w:numPr>
        <w:ind w:right="-118"/>
        <w:jc w:val="both"/>
        <w:rPr>
          <w:rFonts w:ascii="Arial" w:eastAsia="Arial" w:hAnsi="Arial" w:cs="Arial"/>
          <w:sz w:val="22"/>
          <w:szCs w:val="22"/>
        </w:rPr>
      </w:pPr>
      <w:proofErr w:type="spellStart"/>
      <w:r w:rsidRPr="00952A19">
        <w:rPr>
          <w:rFonts w:ascii="Arial" w:eastAsia="Arial" w:hAnsi="Arial" w:cs="Arial"/>
        </w:rPr>
        <w:t>Amelework</w:t>
      </w:r>
      <w:proofErr w:type="spellEnd"/>
      <w:r w:rsidRPr="00952A19">
        <w:rPr>
          <w:rFonts w:ascii="Arial" w:eastAsia="Arial" w:hAnsi="Arial" w:cs="Arial"/>
        </w:rPr>
        <w:t xml:space="preserve">, B. A., </w:t>
      </w:r>
      <w:proofErr w:type="spellStart"/>
      <w:r w:rsidRPr="00952A19">
        <w:rPr>
          <w:rFonts w:ascii="Arial" w:eastAsia="Arial" w:hAnsi="Arial" w:cs="Arial"/>
        </w:rPr>
        <w:t>Shimelis</w:t>
      </w:r>
      <w:proofErr w:type="spellEnd"/>
      <w:r w:rsidRPr="00952A19">
        <w:rPr>
          <w:rFonts w:ascii="Arial" w:eastAsia="Arial" w:hAnsi="Arial" w:cs="Arial"/>
        </w:rPr>
        <w:t xml:space="preserve">, H. A., Laing, M. D., </w:t>
      </w:r>
      <w:proofErr w:type="spellStart"/>
      <w:r w:rsidRPr="00952A19">
        <w:rPr>
          <w:rFonts w:ascii="Arial" w:eastAsia="Arial" w:hAnsi="Arial" w:cs="Arial"/>
        </w:rPr>
        <w:t>Ayele</w:t>
      </w:r>
      <w:proofErr w:type="spellEnd"/>
      <w:r w:rsidRPr="00952A19">
        <w:rPr>
          <w:rFonts w:ascii="Arial" w:eastAsia="Arial" w:hAnsi="Arial" w:cs="Arial"/>
        </w:rPr>
        <w:t xml:space="preserve">, D. G., </w:t>
      </w:r>
      <w:proofErr w:type="spellStart"/>
      <w:r w:rsidRPr="00952A19">
        <w:rPr>
          <w:rFonts w:ascii="Arial" w:eastAsia="Arial" w:hAnsi="Arial" w:cs="Arial"/>
        </w:rPr>
        <w:t>Tongoona</w:t>
      </w:r>
      <w:proofErr w:type="spellEnd"/>
      <w:r w:rsidRPr="00952A19">
        <w:rPr>
          <w:rFonts w:ascii="Arial" w:eastAsia="Arial" w:hAnsi="Arial" w:cs="Arial"/>
        </w:rPr>
        <w:t xml:space="preserve">, P., &amp; Mengistu, F. (2016). Sorghum production systems and constraints, and coping strategies under drought-prone </w:t>
      </w:r>
      <w:proofErr w:type="spellStart"/>
      <w:r w:rsidRPr="00952A19">
        <w:rPr>
          <w:rFonts w:ascii="Arial" w:eastAsia="Arial" w:hAnsi="Arial" w:cs="Arial"/>
        </w:rPr>
        <w:t>agro</w:t>
      </w:r>
      <w:proofErr w:type="spellEnd"/>
      <w:r w:rsidRPr="00952A19">
        <w:rPr>
          <w:rFonts w:ascii="Arial" w:eastAsia="Arial" w:hAnsi="Arial" w:cs="Arial"/>
        </w:rPr>
        <w:t xml:space="preserve">-ecologies of Ethiopia. South African Journal of Plant and Soil, 33(3), 207–217. </w:t>
      </w:r>
      <w:hyperlink r:id="rId39" w:history="1">
        <w:r w:rsidRPr="00530837">
          <w:rPr>
            <w:rStyle w:val="Hyperlink"/>
            <w:rFonts w:ascii="Arial" w:eastAsia="Arial" w:hAnsi="Arial" w:cs="Arial"/>
          </w:rPr>
          <w:t>https://doi.org/10.1080/02571862.2015.1127266</w:t>
        </w:r>
      </w:hyperlink>
    </w:p>
    <w:p w14:paraId="19FC216D" w14:textId="117914C0" w:rsidR="003946DD" w:rsidRPr="003946DD" w:rsidRDefault="003946DD" w:rsidP="006375A4">
      <w:pPr>
        <w:widowControl w:val="0"/>
        <w:numPr>
          <w:ilvl w:val="0"/>
          <w:numId w:val="10"/>
        </w:numPr>
        <w:ind w:right="-118"/>
        <w:jc w:val="both"/>
        <w:rPr>
          <w:rFonts w:ascii="Arial" w:eastAsia="Arial" w:hAnsi="Arial" w:cs="Arial"/>
          <w:sz w:val="22"/>
          <w:szCs w:val="22"/>
        </w:rPr>
      </w:pPr>
      <w:proofErr w:type="spellStart"/>
      <w:r w:rsidRPr="003946DD">
        <w:rPr>
          <w:rFonts w:ascii="Arial" w:eastAsia="Arial" w:hAnsi="Arial" w:cs="Arial"/>
        </w:rPr>
        <w:t>Ejeta</w:t>
      </w:r>
      <w:proofErr w:type="spellEnd"/>
      <w:r w:rsidRPr="003946DD">
        <w:rPr>
          <w:rFonts w:ascii="Arial" w:eastAsia="Arial" w:hAnsi="Arial" w:cs="Arial"/>
        </w:rPr>
        <w:t xml:space="preserve">, G. (2007). Breeding for Striga Resistance in Sorghum: Exploitation of an Intricate Host–Parasite Biology. Crop Science, 47(S3), S216–S227. </w:t>
      </w:r>
      <w:hyperlink r:id="rId40" w:history="1">
        <w:r w:rsidR="00276386" w:rsidRPr="00530837">
          <w:rPr>
            <w:rStyle w:val="Hyperlink"/>
            <w:rFonts w:ascii="Arial" w:eastAsia="Arial" w:hAnsi="Arial" w:cs="Arial"/>
          </w:rPr>
          <w:t>https://doi.org/10.2135/cropsci2007.04.0011IPBS</w:t>
        </w:r>
      </w:hyperlink>
      <w:r w:rsidR="00276386">
        <w:rPr>
          <w:rFonts w:ascii="Arial" w:eastAsia="Arial" w:hAnsi="Arial" w:cs="Arial"/>
        </w:rPr>
        <w:t xml:space="preserve"> </w:t>
      </w:r>
    </w:p>
    <w:p w14:paraId="102AE707" w14:textId="3D545B55" w:rsidR="00B47B0D" w:rsidRPr="00B47B0D" w:rsidRDefault="00B47B0D" w:rsidP="006375A4">
      <w:pPr>
        <w:widowControl w:val="0"/>
        <w:numPr>
          <w:ilvl w:val="0"/>
          <w:numId w:val="10"/>
        </w:numPr>
        <w:ind w:right="-118"/>
        <w:jc w:val="both"/>
        <w:rPr>
          <w:rFonts w:ascii="Arial" w:eastAsia="Arial" w:hAnsi="Arial" w:cs="Arial"/>
          <w:sz w:val="22"/>
          <w:szCs w:val="22"/>
        </w:rPr>
      </w:pPr>
      <w:proofErr w:type="spellStart"/>
      <w:r w:rsidRPr="00B47B0D">
        <w:rPr>
          <w:rFonts w:ascii="Arial" w:eastAsia="Arial" w:hAnsi="Arial" w:cs="Arial"/>
        </w:rPr>
        <w:t>Gebretsadik</w:t>
      </w:r>
      <w:proofErr w:type="spellEnd"/>
      <w:r w:rsidRPr="00B47B0D">
        <w:rPr>
          <w:rFonts w:ascii="Arial" w:eastAsia="Arial" w:hAnsi="Arial" w:cs="Arial"/>
        </w:rPr>
        <w:t xml:space="preserve">, R., </w:t>
      </w:r>
      <w:proofErr w:type="spellStart"/>
      <w:r w:rsidRPr="00B47B0D">
        <w:rPr>
          <w:rFonts w:ascii="Arial" w:eastAsia="Arial" w:hAnsi="Arial" w:cs="Arial"/>
        </w:rPr>
        <w:t>Shimelis</w:t>
      </w:r>
      <w:proofErr w:type="spellEnd"/>
      <w:r w:rsidRPr="00B47B0D">
        <w:rPr>
          <w:rFonts w:ascii="Arial" w:eastAsia="Arial" w:hAnsi="Arial" w:cs="Arial"/>
        </w:rPr>
        <w:t xml:space="preserve">, H., Laing, M.D., </w:t>
      </w:r>
      <w:proofErr w:type="spellStart"/>
      <w:r w:rsidRPr="00B47B0D">
        <w:rPr>
          <w:rFonts w:ascii="Arial" w:eastAsia="Arial" w:hAnsi="Arial" w:cs="Arial"/>
        </w:rPr>
        <w:t>Tongoona</w:t>
      </w:r>
      <w:proofErr w:type="spellEnd"/>
      <w:r w:rsidRPr="00B47B0D">
        <w:rPr>
          <w:rFonts w:ascii="Arial" w:eastAsia="Arial" w:hAnsi="Arial" w:cs="Arial"/>
        </w:rPr>
        <w:t xml:space="preserve">, P., &amp; </w:t>
      </w:r>
      <w:proofErr w:type="spellStart"/>
      <w:r w:rsidRPr="00B47B0D">
        <w:rPr>
          <w:rFonts w:ascii="Arial" w:eastAsia="Arial" w:hAnsi="Arial" w:cs="Arial"/>
        </w:rPr>
        <w:t>Mandefro</w:t>
      </w:r>
      <w:proofErr w:type="spellEnd"/>
      <w:r w:rsidRPr="00B47B0D">
        <w:rPr>
          <w:rFonts w:ascii="Arial" w:eastAsia="Arial" w:hAnsi="Arial" w:cs="Arial"/>
        </w:rPr>
        <w:t xml:space="preserve">, N. (2014). A diagnostic appraisal of the sorghum farming system and breeding priorities in Striga infested </w:t>
      </w:r>
      <w:proofErr w:type="spellStart"/>
      <w:r w:rsidRPr="00B47B0D">
        <w:rPr>
          <w:rFonts w:ascii="Arial" w:eastAsia="Arial" w:hAnsi="Arial" w:cs="Arial"/>
        </w:rPr>
        <w:t>agro</w:t>
      </w:r>
      <w:proofErr w:type="spellEnd"/>
      <w:r w:rsidRPr="00B47B0D">
        <w:rPr>
          <w:rFonts w:ascii="Arial" w:eastAsia="Arial" w:hAnsi="Arial" w:cs="Arial"/>
        </w:rPr>
        <w:t xml:space="preserve">-ecologies of Ethiopia. Agricultural Systems, 123, 54–61. </w:t>
      </w:r>
      <w:hyperlink r:id="rId41" w:history="1">
        <w:r w:rsidRPr="00530837">
          <w:rPr>
            <w:rStyle w:val="Hyperlink"/>
            <w:rFonts w:ascii="Arial" w:eastAsia="Arial" w:hAnsi="Arial" w:cs="Arial"/>
          </w:rPr>
          <w:t>https://doi.org/10.1016/j.agsy.2013.08.008</w:t>
        </w:r>
      </w:hyperlink>
    </w:p>
    <w:p w14:paraId="5E1C9E80" w14:textId="77777777" w:rsidR="00AA400D" w:rsidRPr="00AA400D" w:rsidRDefault="002B01BA" w:rsidP="006375A4">
      <w:pPr>
        <w:widowControl w:val="0"/>
        <w:numPr>
          <w:ilvl w:val="0"/>
          <w:numId w:val="10"/>
        </w:numPr>
        <w:ind w:right="-118"/>
        <w:jc w:val="both"/>
        <w:rPr>
          <w:rFonts w:ascii="Arial" w:eastAsia="Arial" w:hAnsi="Arial" w:cs="Arial"/>
          <w:sz w:val="22"/>
          <w:szCs w:val="22"/>
        </w:rPr>
      </w:pPr>
      <w:r w:rsidRPr="002B01BA">
        <w:rPr>
          <w:rFonts w:ascii="Arial" w:eastAsia="Arial" w:hAnsi="Arial" w:cs="Arial"/>
        </w:rPr>
        <w:t xml:space="preserve">Sinha, P., Singh, V. K., Bohra, A., Kumar, A., </w:t>
      </w:r>
      <w:proofErr w:type="spellStart"/>
      <w:r w:rsidRPr="002B01BA">
        <w:rPr>
          <w:rFonts w:ascii="Arial" w:eastAsia="Arial" w:hAnsi="Arial" w:cs="Arial"/>
        </w:rPr>
        <w:t>Reif</w:t>
      </w:r>
      <w:proofErr w:type="spellEnd"/>
      <w:r w:rsidRPr="002B01BA">
        <w:rPr>
          <w:rFonts w:ascii="Arial" w:eastAsia="Arial" w:hAnsi="Arial" w:cs="Arial"/>
        </w:rPr>
        <w:t xml:space="preserve">, J. C., &amp; Varshney, R. K. (2021). Genomics and breeding innovations for enhancing genetic gain for climate resilience and nutrition traits. Theoretical and Applied Genetics, 134(6), 1829–1843. </w:t>
      </w:r>
      <w:hyperlink r:id="rId42" w:history="1">
        <w:r w:rsidRPr="00530837">
          <w:rPr>
            <w:rStyle w:val="Hyperlink"/>
            <w:rFonts w:ascii="Arial" w:eastAsia="Arial" w:hAnsi="Arial" w:cs="Arial"/>
          </w:rPr>
          <w:t>https://doi.org/10.1007/s00122-021-03847-6</w:t>
        </w:r>
      </w:hyperlink>
      <w:r>
        <w:rPr>
          <w:rFonts w:ascii="Arial" w:eastAsia="Arial" w:hAnsi="Arial" w:cs="Arial"/>
        </w:rPr>
        <w:t xml:space="preserve"> </w:t>
      </w:r>
    </w:p>
    <w:p w14:paraId="3E6C9A41" w14:textId="4E7C8D17" w:rsidR="00794C24" w:rsidRDefault="00AA400D" w:rsidP="006375A4">
      <w:pPr>
        <w:widowControl w:val="0"/>
        <w:numPr>
          <w:ilvl w:val="0"/>
          <w:numId w:val="10"/>
        </w:numPr>
        <w:ind w:right="-118"/>
        <w:jc w:val="both"/>
        <w:rPr>
          <w:rFonts w:ascii="Arial" w:eastAsia="Arial" w:hAnsi="Arial" w:cs="Arial"/>
          <w:sz w:val="22"/>
          <w:szCs w:val="22"/>
        </w:rPr>
      </w:pPr>
      <w:proofErr w:type="spellStart"/>
      <w:r w:rsidRPr="00AA400D">
        <w:rPr>
          <w:rFonts w:ascii="Arial" w:eastAsia="Arial" w:hAnsi="Arial" w:cs="Arial"/>
        </w:rPr>
        <w:t>Morden</w:t>
      </w:r>
      <w:proofErr w:type="spellEnd"/>
      <w:r w:rsidRPr="00AA400D">
        <w:rPr>
          <w:rFonts w:ascii="Arial" w:eastAsia="Arial" w:hAnsi="Arial" w:cs="Arial"/>
        </w:rPr>
        <w:t xml:space="preserve">, C. W., </w:t>
      </w:r>
      <w:proofErr w:type="spellStart"/>
      <w:r w:rsidRPr="00AA400D">
        <w:rPr>
          <w:rFonts w:ascii="Arial" w:eastAsia="Arial" w:hAnsi="Arial" w:cs="Arial"/>
        </w:rPr>
        <w:t>Doebley</w:t>
      </w:r>
      <w:proofErr w:type="spellEnd"/>
      <w:r w:rsidRPr="00AA400D">
        <w:rPr>
          <w:rFonts w:ascii="Arial" w:eastAsia="Arial" w:hAnsi="Arial" w:cs="Arial"/>
        </w:rPr>
        <w:t>, J., &amp; Schertz, K. F. (1990). Allozyme variation among the spontaneous species of Sorghum section Sorghum (</w:t>
      </w:r>
      <w:proofErr w:type="spellStart"/>
      <w:r w:rsidRPr="00AA400D">
        <w:rPr>
          <w:rFonts w:ascii="Arial" w:eastAsia="Arial" w:hAnsi="Arial" w:cs="Arial"/>
        </w:rPr>
        <w:t>Poaceae</w:t>
      </w:r>
      <w:proofErr w:type="spellEnd"/>
      <w:r w:rsidRPr="00AA400D">
        <w:rPr>
          <w:rFonts w:ascii="Arial" w:eastAsia="Arial" w:hAnsi="Arial" w:cs="Arial"/>
        </w:rPr>
        <w:t xml:space="preserve">). Theoretical and Applied Genetics, 80(3), 296–304. </w:t>
      </w:r>
      <w:hyperlink r:id="rId43" w:history="1">
        <w:r w:rsidRPr="00530837">
          <w:rPr>
            <w:rStyle w:val="Hyperlink"/>
            <w:rFonts w:ascii="Arial" w:eastAsia="Arial" w:hAnsi="Arial" w:cs="Arial"/>
          </w:rPr>
          <w:t>https://doi.org/10.1007/BF00210063</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676688B3" w14:textId="2BCBEDE6" w:rsidR="00794C24" w:rsidRDefault="00D10FA4" w:rsidP="006375A4">
      <w:pPr>
        <w:widowControl w:val="0"/>
        <w:numPr>
          <w:ilvl w:val="0"/>
          <w:numId w:val="10"/>
        </w:numPr>
        <w:ind w:right="-118"/>
        <w:jc w:val="both"/>
        <w:rPr>
          <w:rFonts w:ascii="Arial" w:eastAsia="Arial" w:hAnsi="Arial" w:cs="Arial"/>
          <w:sz w:val="22"/>
          <w:szCs w:val="22"/>
        </w:rPr>
      </w:pPr>
      <w:proofErr w:type="spellStart"/>
      <w:r w:rsidRPr="00D10FA4">
        <w:rPr>
          <w:rFonts w:ascii="Arial" w:eastAsia="Arial" w:hAnsi="Arial" w:cs="Arial"/>
        </w:rPr>
        <w:lastRenderedPageBreak/>
        <w:t>Negassa</w:t>
      </w:r>
      <w:proofErr w:type="spellEnd"/>
      <w:r w:rsidRPr="00D10FA4">
        <w:rPr>
          <w:rFonts w:ascii="Arial" w:eastAsia="Arial" w:hAnsi="Arial" w:cs="Arial"/>
        </w:rPr>
        <w:t xml:space="preserve">, M. (1985). Patterns of phenotypic diversity in an Ethiopian barley collection, and the </w:t>
      </w:r>
      <w:proofErr w:type="spellStart"/>
      <w:r w:rsidRPr="00D10FA4">
        <w:rPr>
          <w:rFonts w:ascii="Arial" w:eastAsia="Arial" w:hAnsi="Arial" w:cs="Arial"/>
        </w:rPr>
        <w:t>Arussi</w:t>
      </w:r>
      <w:proofErr w:type="spellEnd"/>
      <w:r w:rsidRPr="00D10FA4">
        <w:rPr>
          <w:rFonts w:ascii="Cambria Math" w:eastAsia="Arial" w:hAnsi="Cambria Math" w:cs="Cambria Math"/>
        </w:rPr>
        <w:t>‐</w:t>
      </w:r>
      <w:r w:rsidRPr="00D10FA4">
        <w:rPr>
          <w:rFonts w:ascii="Arial" w:eastAsia="Arial" w:hAnsi="Arial" w:cs="Arial"/>
        </w:rPr>
        <w:t xml:space="preserve">Bale Highland as a center of origin of barley. </w:t>
      </w:r>
      <w:proofErr w:type="spellStart"/>
      <w:r w:rsidRPr="00D10FA4">
        <w:rPr>
          <w:rFonts w:ascii="Arial" w:eastAsia="Arial" w:hAnsi="Arial" w:cs="Arial"/>
        </w:rPr>
        <w:t>Hereditas</w:t>
      </w:r>
      <w:proofErr w:type="spellEnd"/>
      <w:r w:rsidRPr="00D10FA4">
        <w:rPr>
          <w:rFonts w:ascii="Arial" w:eastAsia="Arial" w:hAnsi="Arial" w:cs="Arial"/>
        </w:rPr>
        <w:t xml:space="preserve">, 102, 139–150. </w:t>
      </w:r>
      <w:hyperlink r:id="rId44" w:history="1">
        <w:r w:rsidRPr="00530837">
          <w:rPr>
            <w:rStyle w:val="Hyperlink"/>
            <w:rFonts w:ascii="Arial" w:eastAsia="Arial" w:hAnsi="Arial" w:cs="Arial"/>
          </w:rPr>
          <w:t>https://doi.org/10.1111/J.1601-5223.1985.TB00474.X</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63973A1B" w14:textId="3DCF0D96" w:rsidR="00794C24" w:rsidRDefault="00C26BC0" w:rsidP="006375A4">
      <w:pPr>
        <w:widowControl w:val="0"/>
        <w:numPr>
          <w:ilvl w:val="0"/>
          <w:numId w:val="10"/>
        </w:numPr>
        <w:ind w:right="-118"/>
        <w:jc w:val="both"/>
        <w:rPr>
          <w:rFonts w:ascii="Arial" w:eastAsia="Arial" w:hAnsi="Arial" w:cs="Arial"/>
          <w:sz w:val="22"/>
          <w:szCs w:val="22"/>
        </w:rPr>
      </w:pPr>
      <w:proofErr w:type="spellStart"/>
      <w:r w:rsidRPr="00C26BC0">
        <w:rPr>
          <w:rFonts w:ascii="Arial" w:eastAsia="Arial" w:hAnsi="Arial" w:cs="Arial"/>
        </w:rPr>
        <w:t>Negassa</w:t>
      </w:r>
      <w:proofErr w:type="spellEnd"/>
      <w:r w:rsidRPr="00C26BC0">
        <w:rPr>
          <w:rFonts w:ascii="Arial" w:eastAsia="Arial" w:hAnsi="Arial" w:cs="Arial"/>
        </w:rPr>
        <w:t xml:space="preserve">, M. (1986). Estimates of phenotypic diversity and breeding potential of Ethiopian wheats. </w:t>
      </w:r>
      <w:proofErr w:type="spellStart"/>
      <w:r w:rsidRPr="00C26BC0">
        <w:rPr>
          <w:rFonts w:ascii="Arial" w:eastAsia="Arial" w:hAnsi="Arial" w:cs="Arial"/>
        </w:rPr>
        <w:t>Hereditas</w:t>
      </w:r>
      <w:proofErr w:type="spellEnd"/>
      <w:r w:rsidRPr="00C26BC0">
        <w:rPr>
          <w:rFonts w:ascii="Arial" w:eastAsia="Arial" w:hAnsi="Arial" w:cs="Arial"/>
        </w:rPr>
        <w:t xml:space="preserve">, 104(1), 41–48. </w:t>
      </w:r>
      <w:hyperlink r:id="rId45" w:history="1">
        <w:r w:rsidRPr="00530837">
          <w:rPr>
            <w:rStyle w:val="Hyperlink"/>
            <w:rFonts w:ascii="Arial" w:eastAsia="Arial" w:hAnsi="Arial" w:cs="Arial"/>
          </w:rPr>
          <w:t>https://doi.org/10.1111/j.1601-5223.1986.tb00515.x</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3B9CFA0C" w14:textId="3499C21C" w:rsidR="00794C24" w:rsidRDefault="001B1A23" w:rsidP="006375A4">
      <w:pPr>
        <w:widowControl w:val="0"/>
        <w:numPr>
          <w:ilvl w:val="0"/>
          <w:numId w:val="10"/>
        </w:numPr>
        <w:ind w:right="-118"/>
        <w:jc w:val="both"/>
        <w:rPr>
          <w:rFonts w:ascii="Arial" w:eastAsia="Arial" w:hAnsi="Arial" w:cs="Arial"/>
          <w:sz w:val="22"/>
          <w:szCs w:val="22"/>
        </w:rPr>
      </w:pPr>
      <w:proofErr w:type="spellStart"/>
      <w:r w:rsidRPr="001B1A23">
        <w:rPr>
          <w:rFonts w:ascii="Arial" w:eastAsia="Arial" w:hAnsi="Arial" w:cs="Arial"/>
        </w:rPr>
        <w:t>Pecetti</w:t>
      </w:r>
      <w:proofErr w:type="spellEnd"/>
      <w:r w:rsidRPr="001B1A23">
        <w:rPr>
          <w:rFonts w:ascii="Arial" w:eastAsia="Arial" w:hAnsi="Arial" w:cs="Arial"/>
        </w:rPr>
        <w:t xml:space="preserve">, L., &amp; </w:t>
      </w:r>
      <w:proofErr w:type="spellStart"/>
      <w:r w:rsidRPr="001B1A23">
        <w:rPr>
          <w:rFonts w:ascii="Arial" w:eastAsia="Arial" w:hAnsi="Arial" w:cs="Arial"/>
        </w:rPr>
        <w:t>Damania</w:t>
      </w:r>
      <w:proofErr w:type="spellEnd"/>
      <w:r w:rsidRPr="001B1A23">
        <w:rPr>
          <w:rFonts w:ascii="Arial" w:eastAsia="Arial" w:hAnsi="Arial" w:cs="Arial"/>
        </w:rPr>
        <w:t xml:space="preserve">, A. B. (1996). Geographic variation in tetraploid wheat (Triticum </w:t>
      </w:r>
      <w:proofErr w:type="spellStart"/>
      <w:r w:rsidRPr="001B1A23">
        <w:rPr>
          <w:rFonts w:ascii="Arial" w:eastAsia="Arial" w:hAnsi="Arial" w:cs="Arial"/>
        </w:rPr>
        <w:t>turgidum</w:t>
      </w:r>
      <w:proofErr w:type="spellEnd"/>
      <w:r w:rsidRPr="001B1A23">
        <w:rPr>
          <w:rFonts w:ascii="Arial" w:eastAsia="Arial" w:hAnsi="Arial" w:cs="Arial"/>
        </w:rPr>
        <w:t xml:space="preserve"> spp. </w:t>
      </w:r>
      <w:proofErr w:type="spellStart"/>
      <w:r w:rsidRPr="001B1A23">
        <w:rPr>
          <w:rFonts w:ascii="Arial" w:eastAsia="Arial" w:hAnsi="Arial" w:cs="Arial"/>
        </w:rPr>
        <w:t>turgidum</w:t>
      </w:r>
      <w:proofErr w:type="spellEnd"/>
      <w:r w:rsidRPr="001B1A23">
        <w:rPr>
          <w:rFonts w:ascii="Arial" w:eastAsia="Arial" w:hAnsi="Arial" w:cs="Arial"/>
        </w:rPr>
        <w:t xml:space="preserve"> </w:t>
      </w:r>
      <w:proofErr w:type="spellStart"/>
      <w:r w:rsidRPr="001B1A23">
        <w:rPr>
          <w:rFonts w:ascii="Arial" w:eastAsia="Arial" w:hAnsi="Arial" w:cs="Arial"/>
        </w:rPr>
        <w:t>convar</w:t>
      </w:r>
      <w:proofErr w:type="spellEnd"/>
      <w:r w:rsidRPr="001B1A23">
        <w:rPr>
          <w:rFonts w:ascii="Arial" w:eastAsia="Arial" w:hAnsi="Arial" w:cs="Arial"/>
        </w:rPr>
        <w:t xml:space="preserve">. durum) landraces from two provinces in Ethiopia. Genetic Resources and Crop Evolution, 43, 395–407. </w:t>
      </w:r>
      <w:hyperlink r:id="rId46" w:history="1">
        <w:r w:rsidRPr="00530837">
          <w:rPr>
            <w:rStyle w:val="Hyperlink"/>
            <w:rFonts w:ascii="Arial" w:eastAsia="Arial" w:hAnsi="Arial" w:cs="Arial"/>
          </w:rPr>
          <w:t>https://doi.org/10.1007/bf00123730</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103168D7" w14:textId="4324B6CE" w:rsidR="00794C24" w:rsidRDefault="004E7EB8" w:rsidP="006375A4">
      <w:pPr>
        <w:widowControl w:val="0"/>
        <w:numPr>
          <w:ilvl w:val="0"/>
          <w:numId w:val="10"/>
        </w:numPr>
        <w:ind w:right="-118"/>
        <w:jc w:val="both"/>
        <w:rPr>
          <w:rFonts w:ascii="Arial" w:eastAsia="Arial" w:hAnsi="Arial" w:cs="Arial"/>
          <w:sz w:val="22"/>
          <w:szCs w:val="22"/>
        </w:rPr>
      </w:pPr>
      <w:r w:rsidRPr="004E7EB8">
        <w:rPr>
          <w:rFonts w:ascii="Arial" w:eastAsia="Arial" w:hAnsi="Arial" w:cs="Arial"/>
        </w:rPr>
        <w:t xml:space="preserve">Stemler, A. B. L., Harlan, J. R., &amp; de Wet, J. M. J. (1975). Evolutionary history of cultivated sorghums (Sorghum bicolor [Linn.] </w:t>
      </w:r>
      <w:proofErr w:type="spellStart"/>
      <w:r w:rsidRPr="004E7EB8">
        <w:rPr>
          <w:rFonts w:ascii="Arial" w:eastAsia="Arial" w:hAnsi="Arial" w:cs="Arial"/>
        </w:rPr>
        <w:t>Moench</w:t>
      </w:r>
      <w:proofErr w:type="spellEnd"/>
      <w:r w:rsidRPr="004E7EB8">
        <w:rPr>
          <w:rFonts w:ascii="Arial" w:eastAsia="Arial" w:hAnsi="Arial" w:cs="Arial"/>
        </w:rPr>
        <w:t xml:space="preserve">) of Ethiopia. Bulletin of the Torrey Botanical Club, 102, 325–333. </w:t>
      </w:r>
      <w:hyperlink r:id="rId47" w:history="1">
        <w:r w:rsidRPr="00530837">
          <w:rPr>
            <w:rStyle w:val="Hyperlink"/>
            <w:rFonts w:ascii="Arial" w:eastAsia="Arial" w:hAnsi="Arial" w:cs="Arial"/>
          </w:rPr>
          <w:t>https://doi.org/10.2307/2484758</w:t>
        </w:r>
      </w:hyperlink>
      <w:r>
        <w:rPr>
          <w:rFonts w:ascii="Arial" w:eastAsia="Arial" w:hAnsi="Arial" w:cs="Arial"/>
        </w:rPr>
        <w:t xml:space="preserve"> </w:t>
      </w:r>
      <w:r w:rsidR="00DB57F8">
        <w:rPr>
          <w:rFonts w:ascii="Arial" w:eastAsia="Arial" w:hAnsi="Arial" w:cs="Arial"/>
        </w:rPr>
        <w:br/>
      </w:r>
    </w:p>
    <w:p w14:paraId="528FC8B6" w14:textId="77777777" w:rsidR="00794C24" w:rsidRDefault="00DB57F8" w:rsidP="006375A4">
      <w:pPr>
        <w:widowControl w:val="0"/>
        <w:numPr>
          <w:ilvl w:val="0"/>
          <w:numId w:val="10"/>
        </w:numPr>
        <w:ind w:right="-118"/>
        <w:jc w:val="both"/>
        <w:rPr>
          <w:rFonts w:ascii="Arial" w:eastAsia="Arial" w:hAnsi="Arial" w:cs="Arial"/>
          <w:sz w:val="22"/>
          <w:szCs w:val="22"/>
        </w:rPr>
      </w:pPr>
      <w:r>
        <w:rPr>
          <w:rFonts w:ascii="Arial" w:eastAsia="Arial" w:hAnsi="Arial" w:cs="Arial"/>
        </w:rPr>
        <w:t xml:space="preserve">Stemler, A. B. L., Harlan, J. R., &amp; De Wet, J. M. J. (1977). The sorghums of Ethiopia. </w:t>
      </w:r>
      <w:r>
        <w:rPr>
          <w:rFonts w:ascii="Arial" w:eastAsia="Arial" w:hAnsi="Arial" w:cs="Arial"/>
          <w:i/>
          <w:iCs/>
        </w:rPr>
        <w:t>Economic Botany</w:t>
      </w:r>
      <w:r>
        <w:rPr>
          <w:rFonts w:ascii="Arial" w:eastAsia="Arial" w:hAnsi="Arial" w:cs="Arial"/>
        </w:rPr>
        <w:t>, 31, 446–460.</w:t>
      </w:r>
      <w:r>
        <w:rPr>
          <w:rFonts w:ascii="Arial" w:eastAsia="Arial" w:hAnsi="Arial" w:cs="Arial"/>
        </w:rPr>
        <w:br/>
      </w:r>
    </w:p>
    <w:p w14:paraId="7113C854" w14:textId="47632B2B" w:rsidR="00794C24" w:rsidRDefault="002A3CAD" w:rsidP="006375A4">
      <w:pPr>
        <w:widowControl w:val="0"/>
        <w:numPr>
          <w:ilvl w:val="0"/>
          <w:numId w:val="10"/>
        </w:numPr>
        <w:ind w:right="-118"/>
        <w:jc w:val="both"/>
        <w:rPr>
          <w:rFonts w:ascii="Arial" w:eastAsia="Arial" w:hAnsi="Arial" w:cs="Arial"/>
          <w:sz w:val="22"/>
          <w:szCs w:val="22"/>
        </w:rPr>
      </w:pPr>
      <w:r w:rsidRPr="002A3CAD">
        <w:rPr>
          <w:rFonts w:ascii="Arial" w:eastAsia="Arial" w:hAnsi="Arial" w:cs="Arial"/>
        </w:rPr>
        <w:t xml:space="preserve">Teshome, A., Baum, B. R., </w:t>
      </w:r>
      <w:proofErr w:type="spellStart"/>
      <w:r w:rsidRPr="002A3CAD">
        <w:rPr>
          <w:rFonts w:ascii="Arial" w:eastAsia="Arial" w:hAnsi="Arial" w:cs="Arial"/>
        </w:rPr>
        <w:t>Fahrig</w:t>
      </w:r>
      <w:proofErr w:type="spellEnd"/>
      <w:r w:rsidRPr="002A3CAD">
        <w:rPr>
          <w:rFonts w:ascii="Arial" w:eastAsia="Arial" w:hAnsi="Arial" w:cs="Arial"/>
        </w:rPr>
        <w:t xml:space="preserve">, L., Torrance, J. K., </w:t>
      </w:r>
      <w:proofErr w:type="spellStart"/>
      <w:r w:rsidRPr="002A3CAD">
        <w:rPr>
          <w:rFonts w:ascii="Arial" w:eastAsia="Arial" w:hAnsi="Arial" w:cs="Arial"/>
        </w:rPr>
        <w:t>Arnason</w:t>
      </w:r>
      <w:proofErr w:type="spellEnd"/>
      <w:r w:rsidRPr="002A3CAD">
        <w:rPr>
          <w:rFonts w:ascii="Arial" w:eastAsia="Arial" w:hAnsi="Arial" w:cs="Arial"/>
        </w:rPr>
        <w:t xml:space="preserve">, T. J., &amp; Lambert, J. D. (1997). Sorghum (Sorghum bicolor (L.) </w:t>
      </w:r>
      <w:proofErr w:type="spellStart"/>
      <w:r w:rsidRPr="002A3CAD">
        <w:rPr>
          <w:rFonts w:ascii="Arial" w:eastAsia="Arial" w:hAnsi="Arial" w:cs="Arial"/>
        </w:rPr>
        <w:t>Moench</w:t>
      </w:r>
      <w:proofErr w:type="spellEnd"/>
      <w:r w:rsidRPr="002A3CAD">
        <w:rPr>
          <w:rFonts w:ascii="Arial" w:eastAsia="Arial" w:hAnsi="Arial" w:cs="Arial"/>
        </w:rPr>
        <w:t xml:space="preserve">) landrace variation and classification in North Shewa and South </w:t>
      </w:r>
      <w:proofErr w:type="spellStart"/>
      <w:r w:rsidRPr="002A3CAD">
        <w:rPr>
          <w:rFonts w:ascii="Arial" w:eastAsia="Arial" w:hAnsi="Arial" w:cs="Arial"/>
        </w:rPr>
        <w:t>Welo</w:t>
      </w:r>
      <w:proofErr w:type="spellEnd"/>
      <w:r w:rsidRPr="002A3CAD">
        <w:rPr>
          <w:rFonts w:ascii="Arial" w:eastAsia="Arial" w:hAnsi="Arial" w:cs="Arial"/>
        </w:rPr>
        <w:t xml:space="preserve">, Ethiopia. </w:t>
      </w:r>
      <w:proofErr w:type="spellStart"/>
      <w:r w:rsidRPr="002A3CAD">
        <w:rPr>
          <w:rFonts w:ascii="Arial" w:eastAsia="Arial" w:hAnsi="Arial" w:cs="Arial"/>
        </w:rPr>
        <w:t>Euphytica</w:t>
      </w:r>
      <w:proofErr w:type="spellEnd"/>
      <w:r w:rsidRPr="002A3CAD">
        <w:rPr>
          <w:rFonts w:ascii="Arial" w:eastAsia="Arial" w:hAnsi="Arial" w:cs="Arial"/>
        </w:rPr>
        <w:t xml:space="preserve">, 97, 255–263. </w:t>
      </w:r>
      <w:hyperlink r:id="rId48" w:history="1">
        <w:r w:rsidRPr="00530837">
          <w:rPr>
            <w:rStyle w:val="Hyperlink"/>
            <w:rFonts w:ascii="Arial" w:eastAsia="Arial" w:hAnsi="Arial" w:cs="Arial"/>
          </w:rPr>
          <w:t>https://doi.org/10.1023/A:1003074008785</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1EF93308" w14:textId="77777777" w:rsidR="00794C24" w:rsidRDefault="00DB57F8" w:rsidP="006375A4">
      <w:pPr>
        <w:widowControl w:val="0"/>
        <w:numPr>
          <w:ilvl w:val="0"/>
          <w:numId w:val="10"/>
        </w:numPr>
        <w:ind w:right="-118"/>
        <w:jc w:val="both"/>
        <w:rPr>
          <w:rFonts w:ascii="Arial" w:eastAsia="Arial" w:hAnsi="Arial" w:cs="Arial"/>
          <w:sz w:val="22"/>
          <w:szCs w:val="22"/>
        </w:rPr>
      </w:pPr>
      <w:r>
        <w:rPr>
          <w:rFonts w:ascii="Arial" w:eastAsia="Arial" w:hAnsi="Arial" w:cs="Arial"/>
        </w:rPr>
        <w:t xml:space="preserve">Tessema, T. (1986). Improvement of indigenous durum wheat landraces in Ethiopia. In J. M. M. Engles (Ed.), </w:t>
      </w:r>
      <w:r>
        <w:rPr>
          <w:rFonts w:ascii="Arial" w:eastAsia="Arial" w:hAnsi="Arial" w:cs="Arial"/>
          <w:i/>
          <w:iCs/>
        </w:rPr>
        <w:t>Proceedings of the International Symposium on the Conservation and Utilization of Ethiopian Germplasm</w:t>
      </w:r>
      <w:r>
        <w:rPr>
          <w:rFonts w:ascii="Arial" w:eastAsia="Arial" w:hAnsi="Arial" w:cs="Arial"/>
        </w:rPr>
        <w:t xml:space="preserve"> (pp. 232–238). Addis Ababa: PGRC/E.</w:t>
      </w:r>
      <w:r>
        <w:rPr>
          <w:rFonts w:ascii="Arial" w:eastAsia="Arial" w:hAnsi="Arial" w:cs="Arial"/>
        </w:rPr>
        <w:br/>
      </w:r>
    </w:p>
    <w:p w14:paraId="59277EC4" w14:textId="5E89ADC0" w:rsidR="00794C24" w:rsidRDefault="0097680B" w:rsidP="006375A4">
      <w:pPr>
        <w:widowControl w:val="0"/>
        <w:numPr>
          <w:ilvl w:val="0"/>
          <w:numId w:val="10"/>
        </w:numPr>
        <w:ind w:right="-118"/>
        <w:jc w:val="both"/>
        <w:rPr>
          <w:rFonts w:ascii="Arial" w:eastAsia="Arial" w:hAnsi="Arial" w:cs="Arial"/>
          <w:sz w:val="22"/>
          <w:szCs w:val="22"/>
        </w:rPr>
      </w:pPr>
      <w:r w:rsidRPr="0097680B">
        <w:rPr>
          <w:rFonts w:ascii="Arial" w:eastAsia="Arial" w:hAnsi="Arial" w:cs="Arial"/>
        </w:rPr>
        <w:t xml:space="preserve">Tesfaye, T., Getachew, B., &amp; </w:t>
      </w:r>
      <w:proofErr w:type="spellStart"/>
      <w:r w:rsidRPr="0097680B">
        <w:rPr>
          <w:rFonts w:ascii="Arial" w:eastAsia="Arial" w:hAnsi="Arial" w:cs="Arial"/>
        </w:rPr>
        <w:t>Worede</w:t>
      </w:r>
      <w:proofErr w:type="spellEnd"/>
      <w:r w:rsidRPr="0097680B">
        <w:rPr>
          <w:rFonts w:ascii="Arial" w:eastAsia="Arial" w:hAnsi="Arial" w:cs="Arial"/>
        </w:rPr>
        <w:t xml:space="preserve">, M. (1991). Morphological diversity in tetraploid wheat landrace populations from the central highlands of Ethiopia. </w:t>
      </w:r>
      <w:proofErr w:type="spellStart"/>
      <w:r w:rsidRPr="0097680B">
        <w:rPr>
          <w:rFonts w:ascii="Arial" w:eastAsia="Arial" w:hAnsi="Arial" w:cs="Arial"/>
        </w:rPr>
        <w:t>Hereditas</w:t>
      </w:r>
      <w:proofErr w:type="spellEnd"/>
      <w:r w:rsidRPr="0097680B">
        <w:rPr>
          <w:rFonts w:ascii="Arial" w:eastAsia="Arial" w:hAnsi="Arial" w:cs="Arial"/>
        </w:rPr>
        <w:t xml:space="preserve">, 114, 171–176. </w:t>
      </w:r>
      <w:hyperlink r:id="rId49" w:history="1">
        <w:r w:rsidRPr="00530837">
          <w:rPr>
            <w:rStyle w:val="Hyperlink"/>
            <w:rFonts w:ascii="Arial" w:eastAsia="Arial" w:hAnsi="Arial" w:cs="Arial"/>
          </w:rPr>
          <w:t>https://doi.org/10.1111/j.1601-5223.1991.tb00321.x</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5B36FC45" w14:textId="117200CC" w:rsidR="00794C24" w:rsidRDefault="00D649B7" w:rsidP="006375A4">
      <w:pPr>
        <w:widowControl w:val="0"/>
        <w:numPr>
          <w:ilvl w:val="0"/>
          <w:numId w:val="10"/>
        </w:numPr>
        <w:ind w:right="-118"/>
        <w:jc w:val="both"/>
        <w:rPr>
          <w:rFonts w:ascii="Arial" w:eastAsia="Arial" w:hAnsi="Arial" w:cs="Arial"/>
          <w:sz w:val="22"/>
          <w:szCs w:val="22"/>
        </w:rPr>
      </w:pPr>
      <w:r w:rsidRPr="00D649B7">
        <w:rPr>
          <w:rFonts w:ascii="Arial" w:eastAsia="Arial" w:hAnsi="Arial" w:cs="Arial"/>
        </w:rPr>
        <w:t xml:space="preserve">Tolbert, D. M., </w:t>
      </w:r>
      <w:proofErr w:type="spellStart"/>
      <w:r w:rsidRPr="00D649B7">
        <w:rPr>
          <w:rFonts w:ascii="Arial" w:eastAsia="Arial" w:hAnsi="Arial" w:cs="Arial"/>
        </w:rPr>
        <w:t>Qualset</w:t>
      </w:r>
      <w:proofErr w:type="spellEnd"/>
      <w:r w:rsidRPr="00D649B7">
        <w:rPr>
          <w:rFonts w:ascii="Arial" w:eastAsia="Arial" w:hAnsi="Arial" w:cs="Arial"/>
        </w:rPr>
        <w:t xml:space="preserve">, C. O., Jain, S. K., &amp; Craddock, J. C. (1979). A diversity analysis of a world collection of barley. Crop Science, 19, 789–794. </w:t>
      </w:r>
      <w:hyperlink r:id="rId50" w:history="1">
        <w:r w:rsidRPr="00530837">
          <w:rPr>
            <w:rStyle w:val="Hyperlink"/>
            <w:rFonts w:ascii="Arial" w:eastAsia="Arial" w:hAnsi="Arial" w:cs="Arial"/>
          </w:rPr>
          <w:t>https://doi.org/10.2135/cropsci1979.0011183X001900060011x</w:t>
        </w:r>
      </w:hyperlink>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6778BF73" w14:textId="11D9F04F" w:rsidR="00794C24" w:rsidRDefault="00D11349" w:rsidP="006375A4">
      <w:pPr>
        <w:widowControl w:val="0"/>
        <w:numPr>
          <w:ilvl w:val="0"/>
          <w:numId w:val="10"/>
        </w:numPr>
        <w:ind w:right="-118"/>
        <w:jc w:val="both"/>
        <w:rPr>
          <w:rFonts w:ascii="Arial" w:eastAsia="Arial" w:hAnsi="Arial" w:cs="Arial"/>
          <w:sz w:val="22"/>
          <w:szCs w:val="22"/>
        </w:rPr>
      </w:pPr>
      <w:r w:rsidRPr="00D11349">
        <w:rPr>
          <w:rFonts w:ascii="Arial" w:eastAsia="Arial" w:hAnsi="Arial" w:cs="Arial"/>
        </w:rPr>
        <w:t xml:space="preserve">Vavilov, N. I. (1951). The origin, variation, immunity and breeding of cultivated plants. </w:t>
      </w:r>
      <w:proofErr w:type="spellStart"/>
      <w:r w:rsidRPr="00D11349">
        <w:rPr>
          <w:rFonts w:ascii="Arial" w:eastAsia="Arial" w:hAnsi="Arial" w:cs="Arial"/>
        </w:rPr>
        <w:t>Chronica</w:t>
      </w:r>
      <w:proofErr w:type="spellEnd"/>
      <w:r w:rsidRPr="00D11349">
        <w:rPr>
          <w:rFonts w:ascii="Arial" w:eastAsia="Arial" w:hAnsi="Arial" w:cs="Arial"/>
        </w:rPr>
        <w:t xml:space="preserve"> Botanica, 13, 1–366.</w:t>
      </w:r>
      <w:r>
        <w:rPr>
          <w:rFonts w:ascii="Arial" w:eastAsia="Arial" w:hAnsi="Arial" w:cs="Arial"/>
        </w:rPr>
        <w:t xml:space="preserve"> </w:t>
      </w:r>
      <w:r w:rsidR="00DB57F8">
        <w:rPr>
          <w:rFonts w:ascii="Arial" w:eastAsia="Arial" w:hAnsi="Arial" w:cs="Arial"/>
        </w:rPr>
        <w:t>.</w:t>
      </w:r>
      <w:r w:rsidR="00DB57F8">
        <w:rPr>
          <w:rFonts w:ascii="Arial" w:eastAsia="Arial" w:hAnsi="Arial" w:cs="Arial"/>
        </w:rPr>
        <w:br/>
      </w:r>
    </w:p>
    <w:p w14:paraId="1E559D8F" w14:textId="77777777" w:rsidR="00794C24" w:rsidRDefault="00DB57F8" w:rsidP="006375A4">
      <w:pPr>
        <w:widowControl w:val="0"/>
        <w:numPr>
          <w:ilvl w:val="0"/>
          <w:numId w:val="10"/>
        </w:numPr>
        <w:ind w:right="-118"/>
        <w:jc w:val="both"/>
        <w:rPr>
          <w:rFonts w:ascii="Arial" w:eastAsia="Arial" w:hAnsi="Arial" w:cs="Arial"/>
          <w:sz w:val="22"/>
          <w:szCs w:val="22"/>
        </w:rPr>
      </w:pPr>
      <w:proofErr w:type="spellStart"/>
      <w:r>
        <w:rPr>
          <w:rFonts w:ascii="Arial" w:eastAsia="Arial" w:hAnsi="Arial" w:cs="Arial"/>
        </w:rPr>
        <w:t>Worede</w:t>
      </w:r>
      <w:proofErr w:type="spellEnd"/>
      <w:r>
        <w:rPr>
          <w:rFonts w:ascii="Arial" w:eastAsia="Arial" w:hAnsi="Arial" w:cs="Arial"/>
        </w:rPr>
        <w:t xml:space="preserve">, M. (1991). Crop genetic resources conservation and utilization: An Ethiopian perspective. In </w:t>
      </w:r>
      <w:r>
        <w:rPr>
          <w:rFonts w:ascii="Arial" w:eastAsia="Arial" w:hAnsi="Arial" w:cs="Arial"/>
          <w:i/>
          <w:iCs/>
        </w:rPr>
        <w:t>Science in Africa: Achievements and Perspective</w:t>
      </w:r>
      <w:r>
        <w:rPr>
          <w:rFonts w:ascii="Arial" w:eastAsia="Arial" w:hAnsi="Arial" w:cs="Arial"/>
        </w:rPr>
        <w:t xml:space="preserve"> (pp. 103–123). Proceedings of the Symposium of the American Association for the Advancement of Science.</w:t>
      </w:r>
      <w:r>
        <w:rPr>
          <w:rFonts w:ascii="Arial" w:eastAsia="Arial" w:hAnsi="Arial" w:cs="Arial"/>
        </w:rPr>
        <w:br/>
      </w:r>
    </w:p>
    <w:p w14:paraId="558A3750" w14:textId="77777777" w:rsidR="00794C24" w:rsidRDefault="00DB57F8" w:rsidP="006375A4">
      <w:pPr>
        <w:widowControl w:val="0"/>
        <w:numPr>
          <w:ilvl w:val="0"/>
          <w:numId w:val="10"/>
        </w:numPr>
        <w:spacing w:after="240"/>
        <w:ind w:right="-118"/>
        <w:jc w:val="both"/>
        <w:rPr>
          <w:rFonts w:ascii="Arial" w:eastAsia="Arial" w:hAnsi="Arial" w:cs="Arial"/>
          <w:sz w:val="22"/>
          <w:szCs w:val="22"/>
        </w:rPr>
      </w:pPr>
      <w:proofErr w:type="spellStart"/>
      <w:r>
        <w:rPr>
          <w:rFonts w:ascii="Arial" w:eastAsia="Arial" w:hAnsi="Arial" w:cs="Arial"/>
        </w:rPr>
        <w:t>Worede</w:t>
      </w:r>
      <w:proofErr w:type="spellEnd"/>
      <w:r>
        <w:rPr>
          <w:rFonts w:ascii="Arial" w:eastAsia="Arial" w:hAnsi="Arial" w:cs="Arial"/>
        </w:rPr>
        <w:t xml:space="preserve">, M., &amp; Hailu, M. (1993). Linking genetic resources conservation to farmers in Ethiopia. In W. de Boef, K. Amanor, K. </w:t>
      </w:r>
      <w:proofErr w:type="spellStart"/>
      <w:r>
        <w:rPr>
          <w:rFonts w:ascii="Arial" w:eastAsia="Arial" w:hAnsi="Arial" w:cs="Arial"/>
        </w:rPr>
        <w:t>Wellard</w:t>
      </w:r>
      <w:proofErr w:type="spellEnd"/>
      <w:r>
        <w:rPr>
          <w:rFonts w:ascii="Arial" w:eastAsia="Arial" w:hAnsi="Arial" w:cs="Arial"/>
        </w:rPr>
        <w:t xml:space="preserve">, &amp; A. Bebbington (Eds.), </w:t>
      </w:r>
      <w:r>
        <w:rPr>
          <w:rFonts w:ascii="Arial" w:eastAsia="Arial" w:hAnsi="Arial" w:cs="Arial"/>
          <w:i/>
          <w:iCs/>
        </w:rPr>
        <w:t>Cultivating Knowledge: Genetic Diversity, Farmer Experimentation and Crop Research</w:t>
      </w:r>
      <w:r>
        <w:rPr>
          <w:rFonts w:ascii="Arial" w:eastAsia="Arial" w:hAnsi="Arial" w:cs="Arial"/>
        </w:rPr>
        <w:t>. Intermediate Technology Publications.</w:t>
      </w:r>
    </w:p>
    <w:sectPr w:rsidR="00794C24" w:rsidSect="00816EB4">
      <w:headerReference w:type="even" r:id="rId51"/>
      <w:headerReference w:type="default" r:id="rId52"/>
      <w:footerReference w:type="default" r:id="rId53"/>
      <w:headerReference w:type="first" r:id="rId54"/>
      <w:type w:val="continuous"/>
      <w:pgSz w:w="12240" w:h="15840"/>
      <w:pgMar w:top="1440" w:right="2016" w:bottom="2016" w:left="1842"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83A90" w14:textId="77777777" w:rsidR="00481854" w:rsidRDefault="00481854">
      <w:r>
        <w:separator/>
      </w:r>
    </w:p>
  </w:endnote>
  <w:endnote w:type="continuationSeparator" w:id="0">
    <w:p w14:paraId="6C7BA952" w14:textId="77777777" w:rsidR="00481854" w:rsidRDefault="0048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4E174595-3782-477E-A31A-B9F2DE9208EE}"/>
    <w:embedBold r:id="rId2" w:fontKey="{C67E06FA-E660-4B33-A45A-58709D92634F}"/>
  </w:font>
  <w:font w:name="Noto Sans Symbols">
    <w:charset w:val="00"/>
    <w:family w:val="auto"/>
    <w:pitch w:val="default"/>
    <w:embedBold r:id="rId3" w:fontKey="{B91B5E8A-04A0-46A3-BD93-214869D847E1}"/>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9BC98CC9-B477-484E-94AC-4A3E811B09F7}"/>
  </w:font>
  <w:font w:name="Helvetica">
    <w:panose1 w:val="020B0604020202020204"/>
    <w:charset w:val="00"/>
    <w:family w:val="swiss"/>
    <w:pitch w:val="variable"/>
    <w:sig w:usb0="E0002EFF" w:usb1="C000785B" w:usb2="00000009" w:usb3="00000000" w:csb0="000001FF" w:csb1="00000000"/>
    <w:embedRegular r:id="rId5" w:fontKey="{EA58DCA6-B411-4573-A8F2-818BD4FF975D}"/>
  </w:font>
  <w:font w:name="Tahoma">
    <w:panose1 w:val="020B0604030504040204"/>
    <w:charset w:val="00"/>
    <w:family w:val="swiss"/>
    <w:pitch w:val="variable"/>
    <w:sig w:usb0="E1002EFF" w:usb1="C000605B" w:usb2="00000029" w:usb3="00000000" w:csb0="000101FF" w:csb1="00000000"/>
    <w:embedRegular r:id="rId6" w:fontKey="{6B0AF192-F36C-4796-B50E-8DE48CEAE3D1}"/>
  </w:font>
  <w:font w:name="Georgia">
    <w:panose1 w:val="02040502050405020303"/>
    <w:charset w:val="00"/>
    <w:family w:val="roman"/>
    <w:pitch w:val="variable"/>
    <w:sig w:usb0="00000287" w:usb1="00000000" w:usb2="00000000" w:usb3="00000000" w:csb0="0000009F" w:csb1="00000000"/>
    <w:embedItalic r:id="rId7" w:fontKey="{96D7C674-FD99-4CA6-9992-99D571766C3D}"/>
  </w:font>
  <w:font w:name="Cambria Math">
    <w:panose1 w:val="02040503050406030204"/>
    <w:charset w:val="00"/>
    <w:family w:val="roman"/>
    <w:pitch w:val="variable"/>
    <w:sig w:usb0="E00006FF" w:usb1="420024FF" w:usb2="02000000" w:usb3="00000000" w:csb0="0000019F" w:csb1="00000000"/>
    <w:embedRegular r:id="rId8" w:fontKey="{71A0FD0B-FDDC-408F-A5F7-EA350FF62C2A}"/>
  </w:font>
  <w:font w:name="Cambria">
    <w:panose1 w:val="02040503050406030204"/>
    <w:charset w:val="00"/>
    <w:family w:val="roman"/>
    <w:pitch w:val="variable"/>
    <w:sig w:usb0="E00006FF" w:usb1="420024FF" w:usb2="02000000" w:usb3="00000000" w:csb0="0000019F" w:csb1="00000000"/>
    <w:embedRegular r:id="rId9" w:fontKey="{A3515F00-8E06-4184-B75A-7CDC34768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3D5A" w14:textId="77777777" w:rsidR="00794C24" w:rsidRDefault="00794C2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55B5D" w14:textId="77777777" w:rsidR="00816EB4" w:rsidRDefault="00816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D7514" w14:textId="1155A3F1" w:rsidR="00794C24" w:rsidRPr="00104EAD" w:rsidRDefault="00794C24" w:rsidP="00104EA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7B5C4" w14:textId="77777777" w:rsidR="00794C24" w:rsidRDefault="00794C2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D592D" w14:textId="77777777" w:rsidR="00481854" w:rsidRDefault="00481854">
      <w:r>
        <w:separator/>
      </w:r>
    </w:p>
  </w:footnote>
  <w:footnote w:type="continuationSeparator" w:id="0">
    <w:p w14:paraId="3E1CA729" w14:textId="77777777" w:rsidR="00481854" w:rsidRDefault="00481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E223" w14:textId="3DC5C9DF" w:rsidR="00794C24" w:rsidRDefault="00816EB4">
    <w:pPr>
      <w:pBdr>
        <w:top w:val="nil"/>
        <w:left w:val="nil"/>
        <w:bottom w:val="nil"/>
        <w:right w:val="nil"/>
        <w:between w:val="nil"/>
      </w:pBdr>
      <w:tabs>
        <w:tab w:val="center" w:pos="4320"/>
        <w:tab w:val="right" w:pos="8640"/>
      </w:tabs>
      <w:rPr>
        <w:color w:val="000000"/>
      </w:rPr>
    </w:pPr>
    <w:r>
      <w:rPr>
        <w:noProof/>
      </w:rPr>
      <w:pict w14:anchorId="3FE13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4" o:spid="_x0000_s2050" type="#_x0000_t136" style="position:absolute;margin-left:0;margin-top:0;width:530.95pt;height:59.9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B31D" w14:textId="4B00FDFB" w:rsidR="00794C24" w:rsidRDefault="00816EB4">
    <w:pPr>
      <w:pBdr>
        <w:top w:val="nil"/>
        <w:left w:val="nil"/>
        <w:bottom w:val="nil"/>
        <w:right w:val="nil"/>
        <w:between w:val="nil"/>
      </w:pBdr>
      <w:tabs>
        <w:tab w:val="center" w:pos="4320"/>
        <w:tab w:val="right" w:pos="8640"/>
      </w:tabs>
      <w:rPr>
        <w:color w:val="000000"/>
      </w:rPr>
    </w:pPr>
    <w:r>
      <w:rPr>
        <w:noProof/>
      </w:rPr>
      <w:pict w14:anchorId="2F2C2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5" o:spid="_x0000_s2051" type="#_x0000_t136" style="position:absolute;margin-left:0;margin-top:0;width:530.95pt;height:59.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B3EB0" w14:textId="229DA4C4" w:rsidR="00794C24" w:rsidRDefault="00816EB4">
    <w:pPr>
      <w:ind w:left="2160"/>
      <w:jc w:val="center"/>
      <w:rPr>
        <w:rFonts w:ascii="Times New Roman" w:eastAsia="Times New Roman" w:hAnsi="Times New Roman" w:cs="Times New Roman"/>
        <w:i/>
        <w:iCs/>
        <w:sz w:val="18"/>
        <w:szCs w:val="18"/>
      </w:rPr>
    </w:pPr>
    <w:r>
      <w:rPr>
        <w:noProof/>
      </w:rPr>
      <w:pict w14:anchorId="7E306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3" o:spid="_x0000_s2049" type="#_x0000_t136" style="position:absolute;left:0;text-align:left;margin-left:0;margin-top:0;width:530.95pt;height:59.9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54F08BDA" w14:textId="77777777" w:rsidR="00794C24" w:rsidRDefault="00DB57F8">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B320C17" w14:textId="77777777" w:rsidR="00794C24" w:rsidRDefault="00DB57F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A06A114" w14:textId="77777777" w:rsidR="00794C24" w:rsidRDefault="00DB57F8">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B5E4420" w14:textId="77777777" w:rsidR="00794C24" w:rsidRDefault="00DB57F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A683A84" w14:textId="77777777" w:rsidR="00794C24" w:rsidRDefault="00DB57F8">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B99D150" w14:textId="77777777" w:rsidR="00794C24" w:rsidRDefault="00DB57F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CECB" w14:textId="1118D217" w:rsidR="00816EB4" w:rsidRDefault="00816EB4">
    <w:pPr>
      <w:pStyle w:val="Header"/>
    </w:pPr>
    <w:r>
      <w:rPr>
        <w:noProof/>
      </w:rPr>
      <w:pict w14:anchorId="6825E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7" o:spid="_x0000_s2053" type="#_x0000_t136" style="position:absolute;margin-left:0;margin-top:0;width:530.95pt;height:59.9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4808" w14:textId="29AE0AE3" w:rsidR="00816EB4" w:rsidRDefault="00816EB4">
    <w:pPr>
      <w:pStyle w:val="Header"/>
    </w:pPr>
    <w:r>
      <w:rPr>
        <w:noProof/>
      </w:rPr>
      <w:pict w14:anchorId="542BA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8" o:spid="_x0000_s2054" type="#_x0000_t136" style="position:absolute;margin-left:0;margin-top:0;width:530.95pt;height:59.9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86834" w14:textId="52328AC9" w:rsidR="00816EB4" w:rsidRDefault="00816EB4">
    <w:pPr>
      <w:pStyle w:val="Header"/>
    </w:pPr>
    <w:r>
      <w:rPr>
        <w:noProof/>
      </w:rPr>
      <w:pict w14:anchorId="5D990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177096" o:spid="_x0000_s2052" type="#_x0000_t136" style="position:absolute;margin-left:0;margin-top:0;width:530.95pt;height:59.9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23681"/>
    <w:multiLevelType w:val="multilevel"/>
    <w:tmpl w:val="850A622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ECB1B83"/>
    <w:multiLevelType w:val="multilevel"/>
    <w:tmpl w:val="5086793E"/>
    <w:lvl w:ilvl="0">
      <w:start w:val="1"/>
      <w:numFmt w:val="bullet"/>
      <w:lvlText w:val="●"/>
      <w:lvlJc w:val="left"/>
      <w:pPr>
        <w:ind w:left="283" w:hanging="13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D17C7"/>
    <w:multiLevelType w:val="multilevel"/>
    <w:tmpl w:val="D9869B0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6787457"/>
    <w:multiLevelType w:val="multilevel"/>
    <w:tmpl w:val="16D8E3DE"/>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C4FBF"/>
    <w:multiLevelType w:val="hybridMultilevel"/>
    <w:tmpl w:val="15524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0770B"/>
    <w:multiLevelType w:val="multilevel"/>
    <w:tmpl w:val="80641B58"/>
    <w:lvl w:ilvl="0">
      <w:start w:val="1"/>
      <w:numFmt w:val="decimal"/>
      <w:lvlText w:val="%1. "/>
      <w:lvlJc w:val="left"/>
      <w:pPr>
        <w:ind w:left="360" w:hanging="360"/>
      </w:pPr>
      <w:rPr>
        <w:rFonts w:ascii="Helvetica Neue" w:eastAsia="Helvetica Neue" w:hAnsi="Helvetica Neue" w:cs="Helvetica Neue"/>
        <w:b w:val="0"/>
        <w:bCs w:val="0"/>
        <w:i w:val="0"/>
        <w:iCs w:val="0"/>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74D3479"/>
    <w:multiLevelType w:val="multilevel"/>
    <w:tmpl w:val="748EE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7BA69B9"/>
    <w:multiLevelType w:val="multilevel"/>
    <w:tmpl w:val="46DE0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7D1722"/>
    <w:multiLevelType w:val="multilevel"/>
    <w:tmpl w:val="41F0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031129"/>
    <w:multiLevelType w:val="multilevel"/>
    <w:tmpl w:val="E7C4EA64"/>
    <w:lvl w:ilvl="0">
      <w:start w:val="1"/>
      <w:numFmt w:val="decimal"/>
      <w:lvlText w:val="%1."/>
      <w:lvlJc w:val="left"/>
      <w:pPr>
        <w:ind w:left="425" w:hanging="420"/>
      </w:pPr>
      <w:rPr>
        <w:rFonts w:ascii="Noto Sans Symbols" w:eastAsia="Noto Sans Symbols" w:hAnsi="Noto Sans Symbols" w:cs="Noto Sans Symbols"/>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1"/>
  </w:num>
  <w:num w:numId="3">
    <w:abstractNumId w:val="8"/>
  </w:num>
  <w:num w:numId="4">
    <w:abstractNumId w:val="9"/>
  </w:num>
  <w:num w:numId="5">
    <w:abstractNumId w:val="0"/>
  </w:num>
  <w:num w:numId="6">
    <w:abstractNumId w:val="5"/>
  </w:num>
  <w:num w:numId="7">
    <w:abstractNumId w:val="3"/>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C24"/>
    <w:rsid w:val="000256B9"/>
    <w:rsid w:val="000B788A"/>
    <w:rsid w:val="000C4221"/>
    <w:rsid w:val="00104EAD"/>
    <w:rsid w:val="00166F6B"/>
    <w:rsid w:val="001B1A23"/>
    <w:rsid w:val="001B48D8"/>
    <w:rsid w:val="001D2067"/>
    <w:rsid w:val="001E7C4F"/>
    <w:rsid w:val="002626F9"/>
    <w:rsid w:val="00276386"/>
    <w:rsid w:val="002A3CAD"/>
    <w:rsid w:val="002B01BA"/>
    <w:rsid w:val="002D3D4E"/>
    <w:rsid w:val="00335892"/>
    <w:rsid w:val="00360F92"/>
    <w:rsid w:val="00376982"/>
    <w:rsid w:val="003946DD"/>
    <w:rsid w:val="00481854"/>
    <w:rsid w:val="004E7EB8"/>
    <w:rsid w:val="005435AD"/>
    <w:rsid w:val="00544B2D"/>
    <w:rsid w:val="005A528D"/>
    <w:rsid w:val="005B700B"/>
    <w:rsid w:val="006375A4"/>
    <w:rsid w:val="006556A5"/>
    <w:rsid w:val="0070294E"/>
    <w:rsid w:val="00707F6C"/>
    <w:rsid w:val="00794C24"/>
    <w:rsid w:val="00816EB4"/>
    <w:rsid w:val="0088711C"/>
    <w:rsid w:val="00934050"/>
    <w:rsid w:val="00951B51"/>
    <w:rsid w:val="00952A19"/>
    <w:rsid w:val="0097680B"/>
    <w:rsid w:val="00A63F42"/>
    <w:rsid w:val="00AA400D"/>
    <w:rsid w:val="00B47B0D"/>
    <w:rsid w:val="00C26BC0"/>
    <w:rsid w:val="00C745D9"/>
    <w:rsid w:val="00C87C00"/>
    <w:rsid w:val="00C944AC"/>
    <w:rsid w:val="00CD57BA"/>
    <w:rsid w:val="00D10FA4"/>
    <w:rsid w:val="00D11349"/>
    <w:rsid w:val="00D649B7"/>
    <w:rsid w:val="00DB57F8"/>
    <w:rsid w:val="00E252D3"/>
    <w:rsid w:val="00E276EA"/>
    <w:rsid w:val="00EE620D"/>
    <w:rsid w:val="00EF6CEB"/>
    <w:rsid w:val="00F045DA"/>
    <w:rsid w:val="00FE357D"/>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F4D7C5"/>
  <w15:docId w15:val="{14FD03A3-777A-4A79-86CC-7BB0FBBE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9"/>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10408398.2014.887057" TargetMode="External"/><Relationship Id="rId26" Type="http://schemas.openxmlformats.org/officeDocument/2006/relationships/hyperlink" Target="https://doi.org/10.1007/s10722-020-00968-7" TargetMode="External"/><Relationship Id="rId39" Type="http://schemas.openxmlformats.org/officeDocument/2006/relationships/hyperlink" Target="https://doi.org/10.1080/02571862.2015.1127266" TargetMode="External"/><Relationship Id="rId21" Type="http://schemas.openxmlformats.org/officeDocument/2006/relationships/hyperlink" Target="https://doi.org/10.3389/fpls.2021.799482" TargetMode="External"/><Relationship Id="rId34" Type="http://schemas.openxmlformats.org/officeDocument/2006/relationships/hyperlink" Target="https://doi.org/10.1034/j.1601-5223.2002.01604.x" TargetMode="External"/><Relationship Id="rId42" Type="http://schemas.openxmlformats.org/officeDocument/2006/relationships/hyperlink" Target="https://doi.org/10.1007/s00122-021-03847-6" TargetMode="External"/><Relationship Id="rId47" Type="http://schemas.openxmlformats.org/officeDocument/2006/relationships/hyperlink" Target="https://doi.org/10.2307/2484758" TargetMode="External"/><Relationship Id="rId50" Type="http://schemas.openxmlformats.org/officeDocument/2006/relationships/hyperlink" Target="https://doi.org/10.2135/cropsci1979.0011183X001900060011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111/jac.12191" TargetMode="External"/><Relationship Id="rId11" Type="http://schemas.openxmlformats.org/officeDocument/2006/relationships/footer" Target="footer2.xml"/><Relationship Id="rId24" Type="http://schemas.openxmlformats.org/officeDocument/2006/relationships/hyperlink" Target="https://doi.org/10.1007/s00122-020-03727-5" TargetMode="External"/><Relationship Id="rId32" Type="http://schemas.openxmlformats.org/officeDocument/2006/relationships/hyperlink" Target="https://doi.org/10.1007/s10722-020-00968-7" TargetMode="External"/><Relationship Id="rId37" Type="http://schemas.openxmlformats.org/officeDocument/2006/relationships/hyperlink" Target="https://chla.library.cornell.edu/chla/article/title/cultivated-races-sorghum" TargetMode="External"/><Relationship Id="rId40" Type="http://schemas.openxmlformats.org/officeDocument/2006/relationships/hyperlink" Target="https://doi.org/10.2135/cropsci2007.04.0011IPBS" TargetMode="External"/><Relationship Id="rId45" Type="http://schemas.openxmlformats.org/officeDocument/2006/relationships/hyperlink" Target="https://doi.org/10.1111/j.1601-5223.1986.tb00515.x"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fao.org/faostat/en/" TargetMode="External"/><Relationship Id="rId31" Type="http://schemas.openxmlformats.org/officeDocument/2006/relationships/hyperlink" Target="https://doi.org/10.1007/s10681-020-02650-6" TargetMode="External"/><Relationship Id="rId44" Type="http://schemas.openxmlformats.org/officeDocument/2006/relationships/hyperlink" Target="https://doi.org/10.1111/J.1601-5223.1985.TB00474.X"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1016/j.cj.2016.06.020" TargetMode="External"/><Relationship Id="rId27" Type="http://schemas.openxmlformats.org/officeDocument/2006/relationships/hyperlink" Target="https://doi.org/10.3389/fpls.2021.799482" TargetMode="External"/><Relationship Id="rId30" Type="http://schemas.openxmlformats.org/officeDocument/2006/relationships/hyperlink" Target="https://www.noveltyjournals.com/" TargetMode="External"/><Relationship Id="rId35" Type="http://schemas.openxmlformats.org/officeDocument/2006/relationships/hyperlink" Target="https://doi.org/10.2135/cropsci1972.0011183X001200020005x" TargetMode="External"/><Relationship Id="rId43" Type="http://schemas.openxmlformats.org/officeDocument/2006/relationships/hyperlink" Target="https://doi.org/10.1007/BF00210063" TargetMode="External"/><Relationship Id="rId48" Type="http://schemas.openxmlformats.org/officeDocument/2006/relationships/hyperlink" Target="https://doi.org/10.1023/A:1003074008785"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www.cabidigitallibrary.org/doi/10.1079/9780851985953.0000" TargetMode="External"/><Relationship Id="rId33" Type="http://schemas.openxmlformats.org/officeDocument/2006/relationships/hyperlink" Target="https://doi.org/10.1023/A:1003074008785" TargetMode="External"/><Relationship Id="rId38" Type="http://schemas.openxmlformats.org/officeDocument/2006/relationships/hyperlink" Target="https://doi.org/10.3389/fpls.2019.00691" TargetMode="External"/><Relationship Id="rId46" Type="http://schemas.openxmlformats.org/officeDocument/2006/relationships/hyperlink" Target="https://doi.org/10.1007/bf00123730" TargetMode="External"/><Relationship Id="rId20" Type="http://schemas.openxmlformats.org/officeDocument/2006/relationships/hyperlink" Target="https://doi.org/10.1079/9780851985953.0000" TargetMode="External"/><Relationship Id="rId41" Type="http://schemas.openxmlformats.org/officeDocument/2006/relationships/hyperlink" Target="https://doi.org/10.1016/j.agsy.2013.08.008"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ao.org/faostat/en/" TargetMode="External"/><Relationship Id="rId28" Type="http://schemas.openxmlformats.org/officeDocument/2006/relationships/hyperlink" Target="https://doi.org/10.1023/A:1003998313302" TargetMode="External"/><Relationship Id="rId36" Type="http://schemas.openxmlformats.org/officeDocument/2006/relationships/hyperlink" Target="https://doi.org/10.1186/1746-4269-3-38" TargetMode="External"/><Relationship Id="rId49" Type="http://schemas.openxmlformats.org/officeDocument/2006/relationships/hyperlink" Target="https://doi.org/10.1111/j.1601-5223.1991.tb00321.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LtQ40BgJzrLk6x6kJsVu/dfKA==">CgMxLjA4AHIhMUZpbTFtNEtRd3RkZHhPNm5BOVNnSDg0SzJrTVp0YzVV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5600</Words>
  <Characters>31920</Characters>
  <Application>Microsoft Office Word</Application>
  <DocSecurity>0</DocSecurity>
  <Lines>266</Lines>
  <Paragraphs>74</Paragraphs>
  <ScaleCrop>false</ScaleCrop>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76</cp:revision>
  <dcterms:created xsi:type="dcterms:W3CDTF">2014-10-25T14:34:00Z</dcterms:created>
  <dcterms:modified xsi:type="dcterms:W3CDTF">2025-12-10T09:30:00Z</dcterms:modified>
</cp:coreProperties>
</file>