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300A9" w14:textId="77777777" w:rsidR="00754C9A" w:rsidRDefault="00754C9A" w:rsidP="00441B6F">
      <w:pPr>
        <w:pStyle w:val="Title"/>
        <w:spacing w:after="0"/>
        <w:jc w:val="both"/>
        <w:rPr>
          <w:rFonts w:ascii="Arial" w:hAnsi="Arial" w:cs="Arial"/>
        </w:rPr>
      </w:pPr>
    </w:p>
    <w:p w14:paraId="3FACFD0E" w14:textId="75A2E486" w:rsidR="00163BC4" w:rsidRPr="00163BC4" w:rsidRDefault="001F112A" w:rsidP="001F112A">
      <w:pPr>
        <w:spacing w:line="360" w:lineRule="auto"/>
        <w:jc w:val="right"/>
        <w:rPr>
          <w:rFonts w:ascii="Arial" w:hAnsi="Arial" w:cs="Arial"/>
          <w:bCs/>
          <w:iCs/>
          <w:kern w:val="28"/>
          <w:sz w:val="36"/>
        </w:rPr>
      </w:pPr>
      <w:r w:rsidRPr="001F112A">
        <w:rPr>
          <w:rFonts w:asciiTheme="minorBidi" w:hAnsiTheme="minorBidi" w:cstheme="minorBidi"/>
          <w:b/>
          <w:bCs/>
          <w:sz w:val="36"/>
          <w:szCs w:val="36"/>
          <w:lang w:val="en-GB" w:eastAsia="sv-SE"/>
        </w:rPr>
        <w:t>Soil Contamination by Heavy Metals and Pesticides: A Critical Review of Toxicological Mechanisms, Sustainable Remediation Strategies, and One Health Implications</w:t>
      </w:r>
      <w:r w:rsidR="00231920">
        <w:rPr>
          <w:rFonts w:ascii="Arial" w:hAnsi="Arial" w:cs="Arial"/>
          <w:bCs/>
          <w:iCs/>
          <w:kern w:val="28"/>
          <w:sz w:val="36"/>
        </w:rPr>
        <w:t xml:space="preserve"> </w:t>
      </w:r>
    </w:p>
    <w:p w14:paraId="6A74DBA0" w14:textId="77777777" w:rsidR="00A258C3" w:rsidRPr="00790ADA" w:rsidRDefault="00A258C3" w:rsidP="00441B6F">
      <w:pPr>
        <w:pStyle w:val="Author"/>
        <w:spacing w:line="240" w:lineRule="auto"/>
        <w:jc w:val="both"/>
        <w:rPr>
          <w:rFonts w:ascii="Arial" w:hAnsi="Arial" w:cs="Arial"/>
          <w:sz w:val="36"/>
        </w:rPr>
      </w:pPr>
    </w:p>
    <w:p w14:paraId="3435C4D0" w14:textId="77777777" w:rsidR="002C57D2" w:rsidRPr="00FB3A86" w:rsidRDefault="002C57D2" w:rsidP="00441B6F">
      <w:pPr>
        <w:pStyle w:val="Affiliation"/>
        <w:spacing w:after="0" w:line="240" w:lineRule="auto"/>
        <w:jc w:val="both"/>
        <w:rPr>
          <w:rFonts w:ascii="Arial" w:hAnsi="Arial" w:cs="Arial"/>
        </w:rPr>
      </w:pPr>
    </w:p>
    <w:p w14:paraId="0DCC2686" w14:textId="77777777" w:rsidR="00B01FCD" w:rsidRPr="00FB3A86" w:rsidRDefault="001507E4" w:rsidP="00441B6F">
      <w:pPr>
        <w:pStyle w:val="Copyright"/>
        <w:spacing w:after="0" w:line="240" w:lineRule="auto"/>
        <w:jc w:val="both"/>
        <w:rPr>
          <w:rFonts w:ascii="Arial" w:hAnsi="Arial" w:cs="Arial"/>
        </w:rPr>
        <w:sectPr w:rsidR="00B01FCD" w:rsidRPr="00FB3A86" w:rsidSect="0087380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8AE3B9C">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BEEADAE" w14:textId="2AA1634C" w:rsidR="00B01FCD" w:rsidRDefault="00B01FCD" w:rsidP="00441B6F">
      <w:pPr>
        <w:pStyle w:val="AbstHead"/>
        <w:spacing w:after="0"/>
        <w:jc w:val="both"/>
        <w:rPr>
          <w:rFonts w:ascii="Arial" w:hAnsi="Arial" w:cs="Arial"/>
        </w:rPr>
      </w:pPr>
      <w:r w:rsidRPr="00FB3A86">
        <w:rPr>
          <w:rFonts w:ascii="Arial" w:hAnsi="Arial" w:cs="Arial"/>
        </w:rPr>
        <w:t>ABSTRACT</w:t>
      </w:r>
    </w:p>
    <w:p w14:paraId="3E89E59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7441D2F" w14:textId="77777777" w:rsidTr="001E44FE">
        <w:tc>
          <w:tcPr>
            <w:tcW w:w="9576" w:type="dxa"/>
            <w:shd w:val="clear" w:color="auto" w:fill="F2F2F2"/>
          </w:tcPr>
          <w:p w14:paraId="05B7CA0E" w14:textId="60EAE3CA" w:rsidR="00A03B96" w:rsidRPr="00BA4B38" w:rsidRDefault="001F112A" w:rsidP="007C0D5E">
            <w:pPr>
              <w:autoSpaceDE w:val="0"/>
              <w:autoSpaceDN w:val="0"/>
              <w:adjustRightInd w:val="0"/>
              <w:spacing w:line="360" w:lineRule="auto"/>
              <w:jc w:val="both"/>
              <w:rPr>
                <w:rFonts w:asciiTheme="minorBidi" w:hAnsiTheme="minorBidi" w:cstheme="minorBidi"/>
                <w:lang w:val="en-GB"/>
              </w:rPr>
            </w:pPr>
            <w:r w:rsidRPr="00BA4B38">
              <w:rPr>
                <w:rFonts w:asciiTheme="minorBidi" w:hAnsiTheme="minorBidi" w:cstheme="minorBidi"/>
                <w:lang w:val="en-GB"/>
              </w:rPr>
              <w:t xml:space="preserve">Soil contamination by heavy metals and pesticides represents a persistent global challenge with direct implications for agricultural productivity, ecosystem stability, and human health. Despite extensive research, existing literature is fragmented across soil science, toxicology, and environmental health, limiting the development of integrated solutions. This review provides a critical and comparative synthesis of current knowledge on soil profiling, contaminant fate, toxicological mechanisms, and sustainable remediation technologies. </w:t>
            </w:r>
            <w:r w:rsidR="00DE10D4" w:rsidRPr="00BA4B38">
              <w:rPr>
                <w:rFonts w:asciiTheme="minorBidi" w:hAnsiTheme="minorBidi" w:cstheme="minorBidi"/>
                <w:lang w:val="en-GB"/>
              </w:rPr>
              <w:t xml:space="preserve">                   </w:t>
            </w:r>
            <w:r w:rsidRPr="00BA4B38">
              <w:rPr>
                <w:rFonts w:asciiTheme="minorBidi" w:hAnsiTheme="minorBidi" w:cstheme="minorBidi"/>
                <w:lang w:val="en-GB"/>
              </w:rPr>
              <w:t xml:space="preserve">A transparent and structured literature search covering </w:t>
            </w:r>
            <w:r w:rsidR="00DE10D4" w:rsidRPr="00BA4B38">
              <w:rPr>
                <w:rFonts w:asciiTheme="minorBidi" w:hAnsiTheme="minorBidi" w:cstheme="minorBidi"/>
                <w:lang w:val="en-GB"/>
              </w:rPr>
              <w:t xml:space="preserve">up to </w:t>
            </w:r>
            <w:r w:rsidRPr="00BA4B38">
              <w:rPr>
                <w:rFonts w:asciiTheme="minorBidi" w:hAnsiTheme="minorBidi" w:cstheme="minorBidi"/>
                <w:lang w:val="en-GB"/>
              </w:rPr>
              <w:t>2024 was conducted across Scopus, Web of Science, and PubMed, yielding 412 articles that met predefined inclusion criteria. Heavy metals such as Cd, Pb, As, and Cr</w:t>
            </w:r>
            <w:r w:rsidR="00DE10D4" w:rsidRPr="00BA4B38">
              <w:rPr>
                <w:rFonts w:asciiTheme="minorBidi" w:hAnsiTheme="minorBidi" w:cstheme="minorBidi"/>
                <w:lang w:val="en-GB"/>
              </w:rPr>
              <w:t xml:space="preserve"> </w:t>
            </w:r>
            <w:r w:rsidRPr="00BA4B38">
              <w:rPr>
                <w:rFonts w:asciiTheme="minorBidi" w:hAnsiTheme="minorBidi" w:cstheme="minorBidi"/>
                <w:lang w:val="en-GB"/>
              </w:rPr>
              <w:t xml:space="preserve">(VI) and pesticide groups including OPs, OCPs, carbamates, and pyrethroids are examined with emphasis on biochemical pathways of toxicity, including oxidative stress, membrane disruption, genotoxicity, and microbiome dysbiosis. A comparative evaluation of remediation approaches including phytoremediation, biochar amendments, nanomaterials, microbial degradation, and </w:t>
            </w:r>
            <w:proofErr w:type="spellStart"/>
            <w:r w:rsidRPr="00BA4B38">
              <w:rPr>
                <w:rFonts w:asciiTheme="minorBidi" w:hAnsiTheme="minorBidi" w:cstheme="minorBidi"/>
                <w:lang w:val="en-GB"/>
              </w:rPr>
              <w:t>physico</w:t>
            </w:r>
            <w:proofErr w:type="spellEnd"/>
            <w:r w:rsidRPr="00BA4B38">
              <w:rPr>
                <w:rFonts w:asciiTheme="minorBidi" w:hAnsiTheme="minorBidi" w:cstheme="minorBidi"/>
                <w:lang w:val="en-GB"/>
              </w:rPr>
              <w:t xml:space="preserve">-chemical techniques highlights their respective efficiencies, constraints, scalability, and environmental trade-offs. By integrating soil toxicology with the “One Health” framework, the review delineates mechanistic pathways linking soil pollutants to plant dysfunction, food-chain contamination, ecosystem degradation, and adverse human health outcomes. </w:t>
            </w:r>
            <w:r w:rsidR="0078556B" w:rsidRPr="00BA4B38">
              <w:rPr>
                <w:rFonts w:asciiTheme="minorBidi" w:hAnsiTheme="minorBidi" w:cstheme="minorBidi"/>
                <w:lang w:val="en-GB"/>
              </w:rPr>
              <w:t xml:space="preserve">                              </w:t>
            </w:r>
            <w:r w:rsidRPr="00BA4B38">
              <w:rPr>
                <w:rFonts w:asciiTheme="minorBidi" w:hAnsiTheme="minorBidi" w:cstheme="minorBidi"/>
                <w:lang w:val="en-GB"/>
              </w:rPr>
              <w:t>Key knowledge gaps and research priorities are identified, including the need for multi-contaminant models, long-term field validation of remediation methods, and harmonized regulation of agrochemical residues. This review argues for reconceptualizing soil as a central determinant of planetary health and proposes a systems-based approach for monitoring, managing, and mitigating soil pollution in support of sustainable agriculture and public health.</w:t>
            </w:r>
          </w:p>
          <w:p w14:paraId="76CF2737" w14:textId="77777777" w:rsidR="00E3114E" w:rsidRPr="00BA4B38" w:rsidRDefault="00E3114E" w:rsidP="00441B6F">
            <w:pPr>
              <w:pStyle w:val="Body"/>
              <w:spacing w:after="0"/>
              <w:rPr>
                <w:rFonts w:asciiTheme="minorBidi" w:eastAsia="Calibri" w:hAnsiTheme="minorBidi" w:cstheme="minorBidi"/>
              </w:rPr>
            </w:pPr>
          </w:p>
          <w:p w14:paraId="746565A6" w14:textId="3BAF14EA" w:rsidR="0089460E" w:rsidRPr="00BA4B38" w:rsidRDefault="0089460E" w:rsidP="00382881">
            <w:pPr>
              <w:autoSpaceDE w:val="0"/>
              <w:autoSpaceDN w:val="0"/>
              <w:adjustRightInd w:val="0"/>
              <w:rPr>
                <w:rFonts w:asciiTheme="minorBidi" w:hAnsiTheme="minorBidi" w:cstheme="minorBidi"/>
                <w:lang w:val="en-GB"/>
              </w:rPr>
            </w:pPr>
            <w:r w:rsidRPr="00BA4B38">
              <w:rPr>
                <w:rFonts w:asciiTheme="minorBidi" w:eastAsia="Calibri" w:hAnsiTheme="minorBidi" w:cstheme="minorBidi"/>
                <w:b/>
              </w:rPr>
              <w:t xml:space="preserve">Aim: </w:t>
            </w:r>
            <w:r w:rsidRPr="00BA4B38">
              <w:rPr>
                <w:rFonts w:asciiTheme="minorBidi" w:hAnsiTheme="minorBidi" w:cstheme="minorBidi"/>
                <w:lang w:val="en-GB"/>
              </w:rPr>
              <w:t xml:space="preserve">The </w:t>
            </w:r>
            <w:r w:rsidR="0078556B" w:rsidRPr="00BA4B38">
              <w:rPr>
                <w:rFonts w:asciiTheme="minorBidi" w:hAnsiTheme="minorBidi" w:cstheme="minorBidi"/>
                <w:lang w:val="en-GB"/>
              </w:rPr>
              <w:t xml:space="preserve">secondary research </w:t>
            </w:r>
            <w:r w:rsidRPr="00BA4B38">
              <w:rPr>
                <w:rFonts w:asciiTheme="minorBidi" w:hAnsiTheme="minorBidi" w:cstheme="minorBidi"/>
                <w:lang w:val="en-GB"/>
              </w:rPr>
              <w:t xml:space="preserve">aims </w:t>
            </w:r>
            <w:r w:rsidR="0078556B" w:rsidRPr="00BA4B38">
              <w:rPr>
                <w:rFonts w:asciiTheme="minorBidi" w:hAnsiTheme="minorBidi" w:cstheme="minorBidi"/>
                <w:lang w:val="en-GB"/>
              </w:rPr>
              <w:t xml:space="preserve">to </w:t>
            </w:r>
            <w:r w:rsidRPr="00BA4B38">
              <w:rPr>
                <w:rFonts w:asciiTheme="minorBidi" w:hAnsiTheme="minorBidi" w:cstheme="minorBidi"/>
                <w:lang w:val="en-GB"/>
              </w:rPr>
              <w:t>:</w:t>
            </w:r>
            <w:r w:rsidRPr="00BA4B38">
              <w:rPr>
                <w:rFonts w:asciiTheme="minorBidi" w:hAnsiTheme="minorBidi" w:cstheme="minorBidi"/>
                <w:lang w:val="en-GB"/>
              </w:rPr>
              <w:br/>
              <w:t>(1) consolidate current understanding of soil nutrient composition, contamination pathways, and implications for plant and ecosystem health;</w:t>
            </w:r>
            <w:r w:rsidRPr="00BA4B38">
              <w:rPr>
                <w:rFonts w:asciiTheme="minorBidi" w:hAnsiTheme="minorBidi" w:cstheme="minorBidi"/>
                <w:lang w:val="en-GB"/>
              </w:rPr>
              <w:br/>
              <w:t>(2) examine toxicological profiles of major pollutants – particularly heavy metals and pesticides – with emphasis on persistence, bioavailability, and ecological consequences; and</w:t>
            </w:r>
            <w:r w:rsidRPr="00BA4B38">
              <w:rPr>
                <w:rFonts w:asciiTheme="minorBidi" w:hAnsiTheme="minorBidi" w:cstheme="minorBidi"/>
                <w:lang w:val="en-GB"/>
              </w:rPr>
              <w:br/>
              <w:t>(3) evaluate recent advances in biological, chemical, and green chemistry-based remediation within a One Health framework, highlighting the need for integrative, sustainable approaches to soil restoration.</w:t>
            </w:r>
          </w:p>
          <w:p w14:paraId="405754B7" w14:textId="70F9964D" w:rsidR="0089460E" w:rsidRPr="00BA4B38" w:rsidRDefault="0089460E" w:rsidP="00382881">
            <w:pPr>
              <w:autoSpaceDE w:val="0"/>
              <w:autoSpaceDN w:val="0"/>
              <w:adjustRightInd w:val="0"/>
              <w:rPr>
                <w:rFonts w:asciiTheme="minorBidi" w:eastAsia="Calibri" w:hAnsiTheme="minorBidi" w:cstheme="minorBidi"/>
                <w:b/>
                <w:lang w:val="en-GB"/>
              </w:rPr>
            </w:pPr>
          </w:p>
          <w:p w14:paraId="00FC8CAA" w14:textId="318E6F79" w:rsidR="007C0D5E" w:rsidRPr="00BA4B38" w:rsidRDefault="0089460E" w:rsidP="00382881">
            <w:pPr>
              <w:autoSpaceDE w:val="0"/>
              <w:autoSpaceDN w:val="0"/>
              <w:adjustRightInd w:val="0"/>
              <w:rPr>
                <w:rFonts w:asciiTheme="minorBidi" w:hAnsiTheme="minorBidi" w:cstheme="minorBidi"/>
                <w:spacing w:val="5"/>
                <w:shd w:val="clear" w:color="auto" w:fill="FFFFFF"/>
                <w:lang w:val="en-GB"/>
              </w:rPr>
            </w:pPr>
            <w:r w:rsidRPr="00BA4B38">
              <w:rPr>
                <w:rFonts w:asciiTheme="minorBidi" w:eastAsia="Calibri" w:hAnsiTheme="minorBidi" w:cstheme="minorBidi"/>
                <w:b/>
              </w:rPr>
              <w:t>Objectives</w:t>
            </w:r>
            <w:r w:rsidR="00BA1B01" w:rsidRPr="00BA4B38">
              <w:rPr>
                <w:rFonts w:asciiTheme="minorBidi" w:eastAsia="Calibri" w:hAnsiTheme="minorBidi" w:cstheme="minorBidi"/>
                <w:b/>
              </w:rPr>
              <w:t xml:space="preserve">: </w:t>
            </w:r>
            <w:r w:rsidR="007C0D5E" w:rsidRPr="00BA4B38">
              <w:rPr>
                <w:rFonts w:asciiTheme="minorBidi" w:hAnsiTheme="minorBidi" w:cstheme="minorBidi"/>
                <w:spacing w:val="5"/>
                <w:shd w:val="clear" w:color="auto" w:fill="FFFFFF"/>
                <w:lang w:val="en-GB"/>
              </w:rPr>
              <w:t>The review aims to conceptualize and critically evaluate advancements in soil nutrient dynamics, pollutant toxicology, and remediation strategies, with emphasis on heavy metals and pesticides. It integrates soil ecological processes, plant stress responses, environmental toxicology, and human health within a unified One Health perspective.</w:t>
            </w:r>
          </w:p>
          <w:p w14:paraId="73AD1645" w14:textId="6D0EAB35" w:rsidR="007C0D5E" w:rsidRPr="00BA4B38" w:rsidRDefault="007C0D5E" w:rsidP="00382881">
            <w:pPr>
              <w:autoSpaceDE w:val="0"/>
              <w:autoSpaceDN w:val="0"/>
              <w:adjustRightInd w:val="0"/>
              <w:rPr>
                <w:rFonts w:asciiTheme="minorBidi" w:hAnsiTheme="minorBidi" w:cstheme="minorBidi"/>
                <w:spacing w:val="5"/>
                <w:shd w:val="clear" w:color="auto" w:fill="FFFFFF"/>
                <w:lang w:val="en-GB"/>
              </w:rPr>
            </w:pPr>
            <w:r w:rsidRPr="00BA4B38">
              <w:rPr>
                <w:rFonts w:asciiTheme="minorBidi" w:hAnsiTheme="minorBidi" w:cstheme="minorBidi"/>
                <w:spacing w:val="5"/>
                <w:shd w:val="clear" w:color="auto" w:fill="FFFFFF"/>
                <w:lang w:val="en-GB"/>
              </w:rPr>
              <w:t>Specific objectives include:</w:t>
            </w:r>
            <w:r w:rsidRPr="00BA4B38">
              <w:rPr>
                <w:rFonts w:asciiTheme="minorBidi" w:hAnsiTheme="minorBidi" w:cstheme="minorBidi"/>
                <w:spacing w:val="5"/>
                <w:shd w:val="clear" w:color="auto" w:fill="FFFFFF"/>
                <w:lang w:val="en-GB"/>
              </w:rPr>
              <w:br/>
              <w:t>(1) synthesizing physicochemical and biological foundations of soil fertility and contamination;</w:t>
            </w:r>
            <w:r w:rsidRPr="00BA4B38">
              <w:rPr>
                <w:rFonts w:asciiTheme="minorBidi" w:hAnsiTheme="minorBidi" w:cstheme="minorBidi"/>
                <w:spacing w:val="5"/>
                <w:shd w:val="clear" w:color="auto" w:fill="FFFFFF"/>
                <w:lang w:val="en-GB"/>
              </w:rPr>
              <w:br/>
              <w:t>(2) assessing toxicological pathways of heavy metals and pesticides and their ecological implications;</w:t>
            </w:r>
            <w:r w:rsidRPr="00BA4B38">
              <w:rPr>
                <w:rFonts w:asciiTheme="minorBidi" w:hAnsiTheme="minorBidi" w:cstheme="minorBidi"/>
                <w:spacing w:val="5"/>
                <w:shd w:val="clear" w:color="auto" w:fill="FFFFFF"/>
                <w:lang w:val="en-GB"/>
              </w:rPr>
              <w:br/>
              <w:t>(3) evaluating sustainable mitigation strategies</w:t>
            </w:r>
            <w:r w:rsidR="0078556B" w:rsidRPr="00BA4B38">
              <w:rPr>
                <w:rFonts w:asciiTheme="minorBidi" w:hAnsiTheme="minorBidi" w:cstheme="minorBidi"/>
                <w:spacing w:val="5"/>
                <w:shd w:val="clear" w:color="auto" w:fill="FFFFFF"/>
                <w:lang w:val="en-GB"/>
              </w:rPr>
              <w:t xml:space="preserve"> – </w:t>
            </w:r>
            <w:r w:rsidRPr="00BA4B38">
              <w:rPr>
                <w:rFonts w:asciiTheme="minorBidi" w:hAnsiTheme="minorBidi" w:cstheme="minorBidi"/>
                <w:spacing w:val="5"/>
                <w:shd w:val="clear" w:color="auto" w:fill="FFFFFF"/>
                <w:lang w:val="en-GB"/>
              </w:rPr>
              <w:t>bioremediation, phytoremediation, biochar amendments, and green chemistry approaches; and</w:t>
            </w:r>
            <w:r w:rsidRPr="00BA4B38">
              <w:rPr>
                <w:rFonts w:asciiTheme="minorBidi" w:hAnsiTheme="minorBidi" w:cstheme="minorBidi"/>
                <w:spacing w:val="5"/>
                <w:shd w:val="clear" w:color="auto" w:fill="FFFFFF"/>
                <w:lang w:val="en-GB"/>
              </w:rPr>
              <w:br/>
              <w:t>(4) identifying knowledge gaps to guide sustainable agricultural systems.</w:t>
            </w:r>
          </w:p>
          <w:p w14:paraId="13D95192" w14:textId="77777777" w:rsidR="0078556B" w:rsidRPr="00BA4B38" w:rsidRDefault="0078556B" w:rsidP="00382881">
            <w:pPr>
              <w:autoSpaceDE w:val="0"/>
              <w:autoSpaceDN w:val="0"/>
              <w:adjustRightInd w:val="0"/>
              <w:rPr>
                <w:rFonts w:asciiTheme="minorBidi" w:hAnsiTheme="minorBidi" w:cstheme="minorBidi"/>
                <w:spacing w:val="5"/>
                <w:shd w:val="clear" w:color="auto" w:fill="FFFFFF"/>
                <w:lang w:val="en-GB"/>
              </w:rPr>
            </w:pPr>
          </w:p>
          <w:p w14:paraId="499BF4D0" w14:textId="2D4D7966" w:rsidR="00A042F9" w:rsidRPr="00BA4B38" w:rsidRDefault="00A042F9" w:rsidP="00382881">
            <w:pPr>
              <w:autoSpaceDE w:val="0"/>
              <w:autoSpaceDN w:val="0"/>
              <w:adjustRightInd w:val="0"/>
              <w:rPr>
                <w:rFonts w:asciiTheme="minorBidi" w:hAnsiTheme="minorBidi" w:cstheme="minorBidi"/>
                <w:spacing w:val="5"/>
                <w:shd w:val="clear" w:color="auto" w:fill="FFFFFF"/>
              </w:rPr>
            </w:pPr>
            <w:r w:rsidRPr="00BA4B38">
              <w:rPr>
                <w:rFonts w:asciiTheme="minorBidi" w:hAnsiTheme="minorBidi" w:cstheme="minorBidi"/>
                <w:b/>
                <w:bCs/>
                <w:spacing w:val="5"/>
                <w:shd w:val="clear" w:color="auto" w:fill="FFFFFF"/>
              </w:rPr>
              <w:t>Study Design and Methodology:</w:t>
            </w:r>
            <w:r w:rsidRPr="00BA4B38">
              <w:rPr>
                <w:rFonts w:asciiTheme="minorBidi" w:hAnsiTheme="minorBidi" w:cstheme="minorBidi"/>
                <w:spacing w:val="5"/>
                <w:shd w:val="clear" w:color="auto" w:fill="FFFFFF"/>
              </w:rPr>
              <w:t xml:space="preserve"> This review employs a focused yet transparent evidence-mapping approach – short of a </w:t>
            </w:r>
            <w:r w:rsidR="0078556B" w:rsidRPr="00BA4B38">
              <w:rPr>
                <w:rFonts w:asciiTheme="minorBidi" w:hAnsiTheme="minorBidi" w:cstheme="minorBidi"/>
                <w:spacing w:val="5"/>
                <w:shd w:val="clear" w:color="auto" w:fill="FFFFFF"/>
              </w:rPr>
              <w:t xml:space="preserve">holistic </w:t>
            </w:r>
            <w:r w:rsidRPr="00BA4B38">
              <w:rPr>
                <w:rFonts w:asciiTheme="minorBidi" w:hAnsiTheme="minorBidi" w:cstheme="minorBidi"/>
                <w:spacing w:val="5"/>
                <w:shd w:val="clear" w:color="auto" w:fill="FFFFFF"/>
              </w:rPr>
              <w:t>protocol but still structured and traceable</w:t>
            </w:r>
            <w:r w:rsidR="0078556B" w:rsidRPr="00BA4B38">
              <w:rPr>
                <w:rFonts w:asciiTheme="minorBidi" w:hAnsiTheme="minorBidi" w:cstheme="minorBidi"/>
                <w:spacing w:val="5"/>
                <w:shd w:val="clear" w:color="auto" w:fill="FFFFFF"/>
              </w:rPr>
              <w:t xml:space="preserve"> under PRISMA</w:t>
            </w:r>
            <w:r w:rsidRPr="00BA4B38">
              <w:rPr>
                <w:rFonts w:asciiTheme="minorBidi" w:hAnsiTheme="minorBidi" w:cstheme="minorBidi"/>
                <w:spacing w:val="5"/>
                <w:shd w:val="clear" w:color="auto" w:fill="FFFFFF"/>
              </w:rPr>
              <w:t xml:space="preserve"> – to integrate soil profiling, contaminant toxicology, and sustainable remediation within a One Health framework. Through a targeted literature search using defined inclusion criteria and multidisciplinary keywords, the review critically evaluates soil nutrient dynamics, toxicological pathways of heavy metals and pesticides, and emerging mitigation strategies while identifying key knowledge gaps relevant to sustainable agroecosystem management.</w:t>
            </w:r>
          </w:p>
          <w:p w14:paraId="2A26FA30" w14:textId="77777777" w:rsidR="0078556B" w:rsidRPr="00BA4B38" w:rsidRDefault="0078556B" w:rsidP="00382881">
            <w:pPr>
              <w:autoSpaceDE w:val="0"/>
              <w:autoSpaceDN w:val="0"/>
              <w:adjustRightInd w:val="0"/>
              <w:rPr>
                <w:rFonts w:asciiTheme="minorBidi" w:hAnsiTheme="minorBidi" w:cstheme="minorBidi"/>
                <w:spacing w:val="5"/>
                <w:shd w:val="clear" w:color="auto" w:fill="FFFFFF"/>
              </w:rPr>
            </w:pPr>
          </w:p>
          <w:p w14:paraId="4DF93712" w14:textId="2C7ED7B7" w:rsidR="00AC7C3C" w:rsidRPr="00AC7C3C" w:rsidRDefault="00A042F9" w:rsidP="00382881">
            <w:pPr>
              <w:autoSpaceDE w:val="0"/>
              <w:autoSpaceDN w:val="0"/>
              <w:adjustRightInd w:val="0"/>
              <w:rPr>
                <w:rFonts w:asciiTheme="minorBidi" w:hAnsiTheme="minorBidi" w:cstheme="minorBidi"/>
                <w:spacing w:val="5"/>
                <w:shd w:val="clear" w:color="auto" w:fill="FFFFFF"/>
                <w:lang w:val="en-GB"/>
              </w:rPr>
            </w:pPr>
            <w:r w:rsidRPr="00BA4B38">
              <w:rPr>
                <w:rFonts w:asciiTheme="minorBidi" w:hAnsiTheme="minorBidi" w:cstheme="minorBidi"/>
                <w:b/>
                <w:bCs/>
                <w:spacing w:val="5"/>
                <w:shd w:val="clear" w:color="auto" w:fill="FFFFFF"/>
                <w:lang w:val="en-GB"/>
              </w:rPr>
              <w:t xml:space="preserve">Results: </w:t>
            </w:r>
            <w:r w:rsidR="00AC7C3C" w:rsidRPr="00BA4B38">
              <w:rPr>
                <w:rFonts w:asciiTheme="minorBidi" w:hAnsiTheme="minorBidi" w:cstheme="minorBidi"/>
                <w:spacing w:val="5"/>
                <w:shd w:val="clear" w:color="auto" w:fill="FFFFFF"/>
                <w:lang w:val="en-GB"/>
              </w:rPr>
              <w:t>Soil functions as a complex biogeochemical system whose fertility, nutrient cycling, and ecosystem services depend on the interplay between organic matter, microbial communities, and physicochemical properties across soil horizons.</w:t>
            </w:r>
            <w:r w:rsidR="0078556B" w:rsidRPr="00BA4B38">
              <w:rPr>
                <w:rFonts w:asciiTheme="minorBidi" w:hAnsiTheme="minorBidi" w:cstheme="minorBidi"/>
                <w:spacing w:val="5"/>
                <w:shd w:val="clear" w:color="auto" w:fill="FFFFFF"/>
                <w:lang w:val="en-GB"/>
              </w:rPr>
              <w:t xml:space="preserve"> </w:t>
            </w:r>
            <w:r w:rsidR="00AC7C3C" w:rsidRPr="00AC7C3C">
              <w:rPr>
                <w:rFonts w:asciiTheme="minorBidi" w:hAnsiTheme="minorBidi" w:cstheme="minorBidi"/>
                <w:spacing w:val="5"/>
                <w:shd w:val="clear" w:color="auto" w:fill="FFFFFF"/>
                <w:lang w:val="en-GB"/>
              </w:rPr>
              <w:t>Anthropogenic pressures</w:t>
            </w:r>
            <w:r w:rsidR="0078556B" w:rsidRPr="00BA4B38">
              <w:rPr>
                <w:rFonts w:asciiTheme="minorBidi" w:hAnsiTheme="minorBidi" w:cstheme="minorBidi"/>
                <w:spacing w:val="5"/>
                <w:shd w:val="clear" w:color="auto" w:fill="FFFFFF"/>
                <w:lang w:val="en-GB"/>
              </w:rPr>
              <w:t xml:space="preserve"> – </w:t>
            </w:r>
            <w:r w:rsidR="00AC7C3C" w:rsidRPr="00AC7C3C">
              <w:rPr>
                <w:rFonts w:asciiTheme="minorBidi" w:hAnsiTheme="minorBidi" w:cstheme="minorBidi"/>
                <w:spacing w:val="5"/>
                <w:shd w:val="clear" w:color="auto" w:fill="FFFFFF"/>
                <w:lang w:val="en-GB"/>
              </w:rPr>
              <w:t>industrial</w:t>
            </w:r>
            <w:r w:rsidR="0078556B" w:rsidRPr="00BA4B38">
              <w:rPr>
                <w:rFonts w:asciiTheme="minorBidi" w:hAnsiTheme="minorBidi" w:cstheme="minorBidi"/>
                <w:spacing w:val="5"/>
                <w:shd w:val="clear" w:color="auto" w:fill="FFFFFF"/>
                <w:lang w:val="en-GB"/>
              </w:rPr>
              <w:t xml:space="preserve"> </w:t>
            </w:r>
            <w:r w:rsidR="00AC7C3C" w:rsidRPr="00AC7C3C">
              <w:rPr>
                <w:rFonts w:asciiTheme="minorBidi" w:hAnsiTheme="minorBidi" w:cstheme="minorBidi"/>
                <w:spacing w:val="5"/>
                <w:shd w:val="clear" w:color="auto" w:fill="FFFFFF"/>
                <w:lang w:val="en-GB"/>
              </w:rPr>
              <w:t>emissions, mining, waste disposal, agrochemicals, and excessive fertilization</w:t>
            </w:r>
            <w:r w:rsidR="0078556B" w:rsidRPr="00BA4B38">
              <w:rPr>
                <w:rFonts w:asciiTheme="minorBidi" w:hAnsiTheme="minorBidi" w:cstheme="minorBidi"/>
                <w:spacing w:val="5"/>
                <w:shd w:val="clear" w:color="auto" w:fill="FFFFFF"/>
                <w:lang w:val="en-GB"/>
              </w:rPr>
              <w:t xml:space="preserve"> – i</w:t>
            </w:r>
            <w:r w:rsidR="00AC7C3C" w:rsidRPr="00AC7C3C">
              <w:rPr>
                <w:rFonts w:asciiTheme="minorBidi" w:hAnsiTheme="minorBidi" w:cstheme="minorBidi"/>
                <w:spacing w:val="5"/>
                <w:shd w:val="clear" w:color="auto" w:fill="FFFFFF"/>
                <w:lang w:val="en-GB"/>
              </w:rPr>
              <w:t>ntroduce</w:t>
            </w:r>
            <w:r w:rsidR="0078556B" w:rsidRPr="00BA4B38">
              <w:rPr>
                <w:rFonts w:asciiTheme="minorBidi" w:hAnsiTheme="minorBidi" w:cstheme="minorBidi"/>
                <w:spacing w:val="5"/>
                <w:shd w:val="clear" w:color="auto" w:fill="FFFFFF"/>
                <w:lang w:val="en-GB"/>
              </w:rPr>
              <w:t xml:space="preserve"> </w:t>
            </w:r>
            <w:r w:rsidR="00AC7C3C" w:rsidRPr="00AC7C3C">
              <w:rPr>
                <w:rFonts w:asciiTheme="minorBidi" w:hAnsiTheme="minorBidi" w:cstheme="minorBidi"/>
                <w:spacing w:val="5"/>
                <w:shd w:val="clear" w:color="auto" w:fill="FFFFFF"/>
                <w:lang w:val="en-GB"/>
              </w:rPr>
              <w:t>heavy metals and pesticides that disrupt nutrient dynamics, degrade soil structure, impair microbial processes, and trigger plant physiological stress.</w:t>
            </w:r>
            <w:r w:rsidR="0078556B" w:rsidRPr="00BA4B38">
              <w:rPr>
                <w:rFonts w:asciiTheme="minorBidi" w:hAnsiTheme="minorBidi" w:cstheme="minorBidi"/>
                <w:spacing w:val="5"/>
                <w:shd w:val="clear" w:color="auto" w:fill="FFFFFF"/>
                <w:lang w:val="en-GB"/>
              </w:rPr>
              <w:t xml:space="preserve"> Truth be told, a</w:t>
            </w:r>
            <w:r w:rsidR="00AC7C3C" w:rsidRPr="00AC7C3C">
              <w:rPr>
                <w:rFonts w:asciiTheme="minorBidi" w:hAnsiTheme="minorBidi" w:cstheme="minorBidi"/>
                <w:spacing w:val="5"/>
                <w:shd w:val="clear" w:color="auto" w:fill="FFFFFF"/>
                <w:lang w:val="en-GB"/>
              </w:rPr>
              <w:t>grochemical overuse destabilizes soil microbial ecology and nutrient–microbe interactions, causing contamination, reduced biodiversity, nutrient imbalance, and increased risks to food security and environmental quality.</w:t>
            </w:r>
            <w:r w:rsidR="0078556B" w:rsidRPr="00BA4B38">
              <w:rPr>
                <w:rFonts w:asciiTheme="minorBidi" w:hAnsiTheme="minorBidi" w:cstheme="minorBidi"/>
                <w:spacing w:val="5"/>
                <w:shd w:val="clear" w:color="auto" w:fill="FFFFFF"/>
                <w:lang w:val="en-GB"/>
              </w:rPr>
              <w:t xml:space="preserve"> </w:t>
            </w:r>
            <w:r w:rsidR="00AC7C3C" w:rsidRPr="00AC7C3C">
              <w:rPr>
                <w:rFonts w:asciiTheme="minorBidi" w:hAnsiTheme="minorBidi" w:cstheme="minorBidi"/>
                <w:spacing w:val="5"/>
                <w:shd w:val="clear" w:color="auto" w:fill="FFFFFF"/>
                <w:lang w:val="en-GB"/>
              </w:rPr>
              <w:t xml:space="preserve">Integrating these findings reveals that soil health is tightly linked to contaminant </w:t>
            </w:r>
            <w:r w:rsidR="0078556B" w:rsidRPr="00BA4B38">
              <w:rPr>
                <w:rFonts w:asciiTheme="minorBidi" w:hAnsiTheme="minorBidi" w:cstheme="minorBidi"/>
                <w:spacing w:val="5"/>
                <w:shd w:val="clear" w:color="auto" w:fill="FFFFFF"/>
                <w:lang w:val="en-GB"/>
              </w:rPr>
              <w:t>behaviour</w:t>
            </w:r>
            <w:r w:rsidR="00AC7C3C" w:rsidRPr="00AC7C3C">
              <w:rPr>
                <w:rFonts w:asciiTheme="minorBidi" w:hAnsiTheme="minorBidi" w:cstheme="minorBidi"/>
                <w:spacing w:val="5"/>
                <w:shd w:val="clear" w:color="auto" w:fill="FFFFFF"/>
                <w:lang w:val="en-GB"/>
              </w:rPr>
              <w:t>, plant–soil interactions, and ecosystem resilience, emphasizing the need for sustainable management and remediation strategies to preserve soil-based ecosystem services.</w:t>
            </w:r>
          </w:p>
          <w:p w14:paraId="06E1B3FF" w14:textId="77777777" w:rsidR="00A042F9" w:rsidRPr="00BA4B38" w:rsidRDefault="00A042F9" w:rsidP="00382881">
            <w:pPr>
              <w:autoSpaceDE w:val="0"/>
              <w:autoSpaceDN w:val="0"/>
              <w:adjustRightInd w:val="0"/>
              <w:rPr>
                <w:rFonts w:asciiTheme="minorBidi" w:hAnsiTheme="minorBidi" w:cstheme="minorBidi"/>
                <w:b/>
                <w:bCs/>
                <w:spacing w:val="5"/>
                <w:shd w:val="clear" w:color="auto" w:fill="FFFFFF"/>
                <w:lang w:val="en-GB"/>
              </w:rPr>
            </w:pPr>
          </w:p>
          <w:p w14:paraId="1837CE8B" w14:textId="31971699" w:rsidR="00A042F9" w:rsidRPr="00BA4B38" w:rsidRDefault="00A042F9" w:rsidP="00382881">
            <w:pPr>
              <w:autoSpaceDE w:val="0"/>
              <w:autoSpaceDN w:val="0"/>
              <w:adjustRightInd w:val="0"/>
              <w:rPr>
                <w:rFonts w:asciiTheme="minorBidi" w:hAnsiTheme="minorBidi" w:cstheme="minorBidi"/>
                <w:spacing w:val="5"/>
                <w:shd w:val="clear" w:color="auto" w:fill="FFFFFF"/>
                <w:lang w:val="en-GB"/>
              </w:rPr>
            </w:pPr>
            <w:r w:rsidRPr="00BA4B38">
              <w:rPr>
                <w:rFonts w:asciiTheme="minorBidi" w:hAnsiTheme="minorBidi" w:cstheme="minorBidi"/>
                <w:b/>
                <w:bCs/>
                <w:spacing w:val="5"/>
                <w:shd w:val="clear" w:color="auto" w:fill="FFFFFF"/>
                <w:lang w:val="en-GB"/>
              </w:rPr>
              <w:t>Conclusion:</w:t>
            </w:r>
            <w:r w:rsidR="000A03CE" w:rsidRPr="00BA4B38">
              <w:rPr>
                <w:rFonts w:asciiTheme="minorBidi" w:hAnsiTheme="minorBidi" w:cstheme="minorBidi"/>
                <w:b/>
                <w:bCs/>
                <w:spacing w:val="5"/>
                <w:shd w:val="clear" w:color="auto" w:fill="FFFFFF"/>
                <w:lang w:val="en-GB"/>
              </w:rPr>
              <w:t xml:space="preserve"> </w:t>
            </w:r>
            <w:r w:rsidR="000A03CE" w:rsidRPr="00BA4B38">
              <w:rPr>
                <w:rFonts w:asciiTheme="minorBidi" w:hAnsiTheme="minorBidi" w:cstheme="minorBidi"/>
                <w:spacing w:val="5"/>
                <w:shd w:val="clear" w:color="auto" w:fill="FFFFFF"/>
                <w:lang w:val="en-GB"/>
              </w:rPr>
              <w:t xml:space="preserve">Heavy metal and pesticide contamination undermines soil functioning, plant productivity, ecosystem stability, and public health, reaffirming that soil integrity is a core component of </w:t>
            </w:r>
            <w:r w:rsidR="0078556B" w:rsidRPr="00BA4B38">
              <w:rPr>
                <w:rFonts w:asciiTheme="minorBidi" w:hAnsiTheme="minorBidi" w:cstheme="minorBidi"/>
                <w:spacing w:val="5"/>
                <w:shd w:val="clear" w:color="auto" w:fill="FFFFFF"/>
                <w:lang w:val="en-GB"/>
              </w:rPr>
              <w:t>“</w:t>
            </w:r>
            <w:r w:rsidR="000A03CE" w:rsidRPr="00BA4B38">
              <w:rPr>
                <w:rFonts w:asciiTheme="minorBidi" w:hAnsiTheme="minorBidi" w:cstheme="minorBidi"/>
                <w:spacing w:val="5"/>
                <w:shd w:val="clear" w:color="auto" w:fill="FFFFFF"/>
                <w:lang w:val="en-GB"/>
              </w:rPr>
              <w:t>the One Health</w:t>
            </w:r>
            <w:r w:rsidR="0078556B" w:rsidRPr="00BA4B38">
              <w:rPr>
                <w:rFonts w:asciiTheme="minorBidi" w:hAnsiTheme="minorBidi" w:cstheme="minorBidi"/>
                <w:spacing w:val="5"/>
                <w:shd w:val="clear" w:color="auto" w:fill="FFFFFF"/>
                <w:lang w:val="en-GB"/>
              </w:rPr>
              <w:t>”</w:t>
            </w:r>
            <w:r w:rsidR="000A03CE" w:rsidRPr="00BA4B38">
              <w:rPr>
                <w:rFonts w:asciiTheme="minorBidi" w:hAnsiTheme="minorBidi" w:cstheme="minorBidi"/>
                <w:spacing w:val="5"/>
                <w:shd w:val="clear" w:color="auto" w:fill="FFFFFF"/>
                <w:lang w:val="en-GB"/>
              </w:rPr>
              <w:t xml:space="preserve"> continuum. </w:t>
            </w:r>
            <w:r w:rsidR="000A03CE" w:rsidRPr="000A03CE">
              <w:rPr>
                <w:rFonts w:asciiTheme="minorBidi" w:hAnsiTheme="minorBidi" w:cstheme="minorBidi"/>
                <w:spacing w:val="5"/>
                <w:shd w:val="clear" w:color="auto" w:fill="FFFFFF"/>
                <w:lang w:val="en-GB"/>
              </w:rPr>
              <w:t>Evidence indicates that while physicochemical remediation offers rapid mitigation, biologically driven and green-chemistry approaches</w:t>
            </w:r>
            <w:r w:rsidR="0078556B" w:rsidRPr="00BA4B38">
              <w:rPr>
                <w:rFonts w:asciiTheme="minorBidi" w:hAnsiTheme="minorBidi" w:cstheme="minorBidi"/>
                <w:spacing w:val="5"/>
                <w:shd w:val="clear" w:color="auto" w:fill="FFFFFF"/>
                <w:lang w:val="en-GB"/>
              </w:rPr>
              <w:t xml:space="preserve"> – </w:t>
            </w:r>
            <w:r w:rsidR="000A03CE" w:rsidRPr="000A03CE">
              <w:rPr>
                <w:rFonts w:asciiTheme="minorBidi" w:hAnsiTheme="minorBidi" w:cstheme="minorBidi"/>
                <w:spacing w:val="5"/>
                <w:shd w:val="clear" w:color="auto" w:fill="FFFFFF"/>
                <w:lang w:val="en-GB"/>
              </w:rPr>
              <w:t>such</w:t>
            </w:r>
            <w:r w:rsidR="0078556B" w:rsidRPr="00BA4B38">
              <w:rPr>
                <w:rFonts w:asciiTheme="minorBidi" w:hAnsiTheme="minorBidi" w:cstheme="minorBidi"/>
                <w:spacing w:val="5"/>
                <w:shd w:val="clear" w:color="auto" w:fill="FFFFFF"/>
                <w:lang w:val="en-GB"/>
              </w:rPr>
              <w:t xml:space="preserve"> </w:t>
            </w:r>
            <w:r w:rsidR="000A03CE" w:rsidRPr="000A03CE">
              <w:rPr>
                <w:rFonts w:asciiTheme="minorBidi" w:hAnsiTheme="minorBidi" w:cstheme="minorBidi"/>
                <w:spacing w:val="5"/>
                <w:shd w:val="clear" w:color="auto" w:fill="FFFFFF"/>
                <w:lang w:val="en-GB"/>
              </w:rPr>
              <w:t>as biochar, phytoremediation, and microbial degradation</w:t>
            </w:r>
            <w:r w:rsidR="0078556B" w:rsidRPr="00BA4B38">
              <w:rPr>
                <w:rFonts w:asciiTheme="minorBidi" w:hAnsiTheme="minorBidi" w:cstheme="minorBidi"/>
                <w:spacing w:val="5"/>
                <w:shd w:val="clear" w:color="auto" w:fill="FFFFFF"/>
                <w:lang w:val="en-GB"/>
              </w:rPr>
              <w:t xml:space="preserve"> </w:t>
            </w:r>
            <w:r w:rsidR="0078556B" w:rsidRPr="00BA4B38">
              <w:rPr>
                <w:rFonts w:asciiTheme="minorBidi" w:hAnsiTheme="minorBidi" w:cstheme="minorBidi"/>
                <w:spacing w:val="5"/>
                <w:shd w:val="clear" w:color="auto" w:fill="FFFFFF"/>
                <w:lang w:val="en-GB"/>
              </w:rPr>
              <w:lastRenderedPageBreak/>
              <w:t xml:space="preserve">– </w:t>
            </w:r>
            <w:r w:rsidR="000A03CE" w:rsidRPr="000A03CE">
              <w:rPr>
                <w:rFonts w:asciiTheme="minorBidi" w:hAnsiTheme="minorBidi" w:cstheme="minorBidi"/>
                <w:spacing w:val="5"/>
                <w:shd w:val="clear" w:color="auto" w:fill="FFFFFF"/>
                <w:lang w:val="en-GB"/>
              </w:rPr>
              <w:t>provide</w:t>
            </w:r>
            <w:r w:rsidR="0078556B" w:rsidRPr="00BA4B38">
              <w:rPr>
                <w:rFonts w:asciiTheme="minorBidi" w:hAnsiTheme="minorBidi" w:cstheme="minorBidi"/>
                <w:spacing w:val="5"/>
                <w:shd w:val="clear" w:color="auto" w:fill="FFFFFF"/>
                <w:lang w:val="en-GB"/>
              </w:rPr>
              <w:t xml:space="preserve"> </w:t>
            </w:r>
            <w:r w:rsidR="000A03CE" w:rsidRPr="000A03CE">
              <w:rPr>
                <w:rFonts w:asciiTheme="minorBidi" w:hAnsiTheme="minorBidi" w:cstheme="minorBidi"/>
                <w:spacing w:val="5"/>
                <w:shd w:val="clear" w:color="auto" w:fill="FFFFFF"/>
                <w:lang w:val="en-GB"/>
              </w:rPr>
              <w:t>more sustainable, scalable, and ecologically restorative solutions.</w:t>
            </w:r>
            <w:r w:rsidR="000A03CE" w:rsidRPr="00BA4B38">
              <w:rPr>
                <w:rFonts w:asciiTheme="minorBidi" w:hAnsiTheme="minorBidi" w:cstheme="minorBidi"/>
                <w:spacing w:val="5"/>
                <w:shd w:val="clear" w:color="auto" w:fill="FFFFFF"/>
                <w:lang w:val="en-GB"/>
              </w:rPr>
              <w:t xml:space="preserve"> </w:t>
            </w:r>
            <w:r w:rsidR="000A03CE" w:rsidRPr="000A03CE">
              <w:rPr>
                <w:rFonts w:asciiTheme="minorBidi" w:hAnsiTheme="minorBidi" w:cstheme="minorBidi"/>
                <w:spacing w:val="5"/>
                <w:shd w:val="clear" w:color="auto" w:fill="FFFFFF"/>
                <w:lang w:val="en-GB"/>
              </w:rPr>
              <w:t xml:space="preserve">Advancing soil health and sustainable agriculture requires interdisciplinary collaboration, long-term field research, integrated contaminant </w:t>
            </w:r>
            <w:proofErr w:type="spellStart"/>
            <w:r w:rsidR="000A03CE" w:rsidRPr="000A03CE">
              <w:rPr>
                <w:rFonts w:asciiTheme="minorBidi" w:hAnsiTheme="minorBidi" w:cstheme="minorBidi"/>
                <w:spacing w:val="5"/>
                <w:shd w:val="clear" w:color="auto" w:fill="FFFFFF"/>
                <w:lang w:val="en-GB"/>
              </w:rPr>
              <w:t>modeling</w:t>
            </w:r>
            <w:proofErr w:type="spellEnd"/>
            <w:r w:rsidR="000A03CE" w:rsidRPr="000A03CE">
              <w:rPr>
                <w:rFonts w:asciiTheme="minorBidi" w:hAnsiTheme="minorBidi" w:cstheme="minorBidi"/>
                <w:spacing w:val="5"/>
                <w:shd w:val="clear" w:color="auto" w:fill="FFFFFF"/>
                <w:lang w:val="en-GB"/>
              </w:rPr>
              <w:t>, and globally harmonized regulatory frameworks to safeguard ecosystems, food security, and human well-being.</w:t>
            </w:r>
          </w:p>
          <w:p w14:paraId="39C0AC04" w14:textId="77777777" w:rsidR="00596DFB" w:rsidRPr="00BA4B38" w:rsidRDefault="00596DFB" w:rsidP="00382881">
            <w:pPr>
              <w:autoSpaceDE w:val="0"/>
              <w:autoSpaceDN w:val="0"/>
              <w:adjustRightInd w:val="0"/>
              <w:rPr>
                <w:rFonts w:asciiTheme="minorBidi" w:hAnsiTheme="minorBidi" w:cstheme="minorBidi"/>
                <w:spacing w:val="5"/>
                <w:shd w:val="clear" w:color="auto" w:fill="FFFFFF"/>
                <w:lang w:val="en-GB"/>
              </w:rPr>
            </w:pPr>
          </w:p>
          <w:p w14:paraId="2ED2B035" w14:textId="77777777" w:rsidR="00596DFB" w:rsidRPr="00BA4B38" w:rsidRDefault="00596DFB" w:rsidP="00382881">
            <w:pPr>
              <w:spacing w:line="360" w:lineRule="auto"/>
              <w:rPr>
                <w:rFonts w:asciiTheme="minorBidi" w:hAnsiTheme="minorBidi" w:cstheme="minorBidi"/>
                <w:b/>
                <w:bCs/>
                <w:spacing w:val="-2"/>
              </w:rPr>
            </w:pPr>
            <w:r w:rsidRPr="00BA4B38">
              <w:rPr>
                <w:rFonts w:asciiTheme="minorBidi" w:hAnsiTheme="minorBidi" w:cstheme="minorBidi"/>
                <w:b/>
                <w:bCs/>
              </w:rPr>
              <w:t xml:space="preserve">The Environmental Significance: </w:t>
            </w:r>
            <w:r w:rsidRPr="00BA4B38">
              <w:rPr>
                <w:rFonts w:asciiTheme="minorBidi" w:hAnsiTheme="minorBidi" w:cstheme="minorBidi"/>
              </w:rPr>
              <w:t>T</w:t>
            </w:r>
            <w:r w:rsidRPr="00BA4B38">
              <w:rPr>
                <w:rFonts w:asciiTheme="minorBidi" w:hAnsiTheme="minorBidi" w:cstheme="minorBidi"/>
                <w:spacing w:val="-2"/>
              </w:rPr>
              <w:t xml:space="preserve">he idea is to conceptualize the agricultural soil profile for its nutrient content as well as contaminants, implications on plant stress management, food web or the health of humans and the environment, and highlight through a critical review the importance of research into remediation of pollutants, with a special focus on nexus approaches in soil, sustainable agriculture practices and the “one-health.” </w:t>
            </w:r>
          </w:p>
          <w:p w14:paraId="75B83E70" w14:textId="77777777" w:rsidR="0047605E" w:rsidRPr="00BA4B38" w:rsidRDefault="0047605E" w:rsidP="00382881">
            <w:pPr>
              <w:spacing w:line="360" w:lineRule="auto"/>
              <w:rPr>
                <w:rFonts w:asciiTheme="minorBidi" w:hAnsiTheme="minorBidi" w:cstheme="minorBidi"/>
                <w:b/>
                <w:bCs/>
                <w:lang w:val="en-GB"/>
              </w:rPr>
            </w:pPr>
          </w:p>
          <w:p w14:paraId="63BEADFB" w14:textId="0183996A" w:rsidR="00596DFB" w:rsidRPr="00BA4B38" w:rsidRDefault="00596DFB" w:rsidP="00382881">
            <w:pPr>
              <w:spacing w:line="360" w:lineRule="auto"/>
              <w:rPr>
                <w:rFonts w:asciiTheme="minorBidi" w:hAnsiTheme="minorBidi" w:cstheme="minorBidi"/>
              </w:rPr>
            </w:pPr>
            <w:r w:rsidRPr="00BA4B38">
              <w:rPr>
                <w:rFonts w:asciiTheme="minorBidi" w:hAnsiTheme="minorBidi" w:cstheme="minorBidi"/>
                <w:b/>
                <w:bCs/>
                <w:lang w:val="en-GB"/>
              </w:rPr>
              <w:t xml:space="preserve">The Scientific Novelty: </w:t>
            </w:r>
            <w:r w:rsidRPr="00BA4B38">
              <w:rPr>
                <w:rFonts w:asciiTheme="minorBidi" w:hAnsiTheme="minorBidi" w:cstheme="minorBidi"/>
                <w:lang w:val="en-GB"/>
              </w:rPr>
              <w:t xml:space="preserve">The novelty lies in its integrated and multidisciplinary approach to understanding soil pollution, toxicological profiling, and remediation of heavy metal and pesticide contamination within the framework of sustainable agriculture and the “One Health” concept. Unlike conventional reviews focusing narrowly on either contaminants or remediation techniques, this work holistically connects soil nutrient profiling, phytotoxicity mechanisms, ecosystem services, and human-environmental health interlinkages. </w:t>
            </w:r>
            <w:r w:rsidR="0047605E" w:rsidRPr="00BA4B38">
              <w:rPr>
                <w:rFonts w:asciiTheme="minorBidi" w:hAnsiTheme="minorBidi" w:cstheme="minorBidi"/>
                <w:lang w:val="en-GB"/>
              </w:rPr>
              <w:t xml:space="preserve">                          </w:t>
            </w:r>
            <w:r w:rsidRPr="00BA4B38">
              <w:rPr>
                <w:rFonts w:asciiTheme="minorBidi" w:hAnsiTheme="minorBidi" w:cstheme="minorBidi"/>
                <w:lang w:val="en-GB"/>
              </w:rPr>
              <w:t>It uniquely emphasizes cross-sectional roles of green chemistry and biochar-based strategies, advancing practical farm-field applications. By synthesizing chemical, biological, and ecological insights, the study pioneers a unified conceptual model for soil restoration and sustainability-driven remediation.</w:t>
            </w:r>
          </w:p>
          <w:p w14:paraId="790A3299" w14:textId="2D0C6659" w:rsidR="00505F06" w:rsidRPr="00BA1B01" w:rsidRDefault="00596DFB" w:rsidP="0047605E">
            <w:pPr>
              <w:spacing w:line="360" w:lineRule="auto"/>
              <w:jc w:val="both"/>
              <w:rPr>
                <w:rFonts w:ascii="Arial" w:eastAsia="Calibri" w:hAnsi="Arial" w:cs="Arial"/>
                <w:szCs w:val="22"/>
              </w:rPr>
            </w:pPr>
            <w:r w:rsidRPr="00BA4B38">
              <w:rPr>
                <w:rFonts w:asciiTheme="minorBidi" w:hAnsiTheme="minorBidi" w:cstheme="minorBidi"/>
                <w:i/>
                <w:iCs/>
                <w:lang w:val="en-GB"/>
              </w:rPr>
              <w:t>This review offers an integrated One Health assessment of heavy metal and pesticide contamination in agricultural soils, combining mechanistic toxicology, a comparative critical evaluation of remediation technologies, and a planetary health perspective to identify cross-sectoral knowledge gaps and sustainability priorities.</w:t>
            </w:r>
          </w:p>
        </w:tc>
      </w:tr>
    </w:tbl>
    <w:p w14:paraId="2B204275" w14:textId="77777777" w:rsidR="00636EB2" w:rsidRDefault="00636EB2" w:rsidP="00441B6F">
      <w:pPr>
        <w:pStyle w:val="Body"/>
        <w:spacing w:after="0"/>
        <w:rPr>
          <w:rFonts w:ascii="Arial" w:hAnsi="Arial" w:cs="Arial"/>
          <w:i/>
        </w:rPr>
      </w:pPr>
    </w:p>
    <w:p w14:paraId="0FA246B1" w14:textId="27F73574" w:rsidR="00A24E7E" w:rsidRPr="00745DF7" w:rsidRDefault="00A24E7E" w:rsidP="00441B6F">
      <w:pPr>
        <w:pStyle w:val="Body"/>
        <w:spacing w:after="0"/>
        <w:rPr>
          <w:rFonts w:asciiTheme="minorBidi" w:hAnsiTheme="minorBidi" w:cstheme="minorBidi"/>
          <w:i/>
        </w:rPr>
      </w:pPr>
      <w:r w:rsidRPr="00745DF7">
        <w:rPr>
          <w:rFonts w:asciiTheme="minorBidi" w:hAnsiTheme="minorBidi" w:cstheme="minorBidi"/>
          <w:i/>
        </w:rPr>
        <w:t xml:space="preserve">Keywords: </w:t>
      </w:r>
      <w:r w:rsidR="00745DF7" w:rsidRPr="00745DF7">
        <w:rPr>
          <w:rFonts w:asciiTheme="minorBidi" w:hAnsiTheme="minorBidi" w:cstheme="minorBidi"/>
          <w:i/>
          <w:lang w:val="en-GB"/>
        </w:rPr>
        <w:t xml:space="preserve">Soil contamination; heavy metals; pesticides; toxicology; </w:t>
      </w:r>
      <w:proofErr w:type="spellStart"/>
      <w:r w:rsidR="00745DF7" w:rsidRPr="00745DF7">
        <w:rPr>
          <w:rFonts w:asciiTheme="minorBidi" w:hAnsiTheme="minorBidi" w:cstheme="minorBidi"/>
          <w:i/>
          <w:lang w:val="en-GB"/>
        </w:rPr>
        <w:t>phyto</w:t>
      </w:r>
      <w:proofErr w:type="spellEnd"/>
      <w:r w:rsidR="00745DF7">
        <w:rPr>
          <w:rFonts w:asciiTheme="minorBidi" w:hAnsiTheme="minorBidi" w:cstheme="minorBidi"/>
          <w:i/>
          <w:lang w:val="en-GB"/>
        </w:rPr>
        <w:t>(</w:t>
      </w:r>
      <w:r w:rsidR="00745DF7" w:rsidRPr="00745DF7">
        <w:rPr>
          <w:rFonts w:asciiTheme="minorBidi" w:hAnsiTheme="minorBidi" w:cstheme="minorBidi"/>
          <w:i/>
          <w:lang w:val="en-GB"/>
        </w:rPr>
        <w:t>remediation</w:t>
      </w:r>
      <w:r w:rsidR="00745DF7">
        <w:rPr>
          <w:rFonts w:asciiTheme="minorBidi" w:hAnsiTheme="minorBidi" w:cstheme="minorBidi"/>
          <w:i/>
          <w:lang w:val="en-GB"/>
        </w:rPr>
        <w:t>)</w:t>
      </w:r>
      <w:r w:rsidR="00745DF7" w:rsidRPr="00745DF7">
        <w:rPr>
          <w:rFonts w:asciiTheme="minorBidi" w:hAnsiTheme="minorBidi" w:cstheme="minorBidi"/>
          <w:i/>
          <w:lang w:val="en-GB"/>
        </w:rPr>
        <w:t xml:space="preserve">; </w:t>
      </w:r>
      <w:r w:rsidR="002C3EDB">
        <w:rPr>
          <w:rFonts w:asciiTheme="minorBidi" w:hAnsiTheme="minorBidi" w:cstheme="minorBidi"/>
          <w:i/>
          <w:lang w:val="en-GB"/>
        </w:rPr>
        <w:t>s</w:t>
      </w:r>
      <w:r w:rsidR="00745DF7">
        <w:rPr>
          <w:rFonts w:asciiTheme="minorBidi" w:hAnsiTheme="minorBidi" w:cstheme="minorBidi"/>
          <w:i/>
          <w:lang w:val="en-GB"/>
        </w:rPr>
        <w:t xml:space="preserve">oil microbiome; </w:t>
      </w:r>
      <w:r w:rsidR="002C3EDB">
        <w:rPr>
          <w:rFonts w:asciiTheme="minorBidi" w:hAnsiTheme="minorBidi" w:cstheme="minorBidi"/>
          <w:i/>
          <w:lang w:val="en-GB"/>
        </w:rPr>
        <w:t>o</w:t>
      </w:r>
      <w:r w:rsidR="00745DF7" w:rsidRPr="00745DF7">
        <w:rPr>
          <w:rFonts w:asciiTheme="minorBidi" w:hAnsiTheme="minorBidi" w:cstheme="minorBidi"/>
          <w:i/>
          <w:lang w:val="en-GB"/>
        </w:rPr>
        <w:t xml:space="preserve">ne </w:t>
      </w:r>
      <w:r w:rsidR="002C3EDB">
        <w:rPr>
          <w:rFonts w:asciiTheme="minorBidi" w:hAnsiTheme="minorBidi" w:cstheme="minorBidi"/>
          <w:i/>
          <w:lang w:val="en-GB"/>
        </w:rPr>
        <w:t>h</w:t>
      </w:r>
      <w:r w:rsidR="00745DF7" w:rsidRPr="00745DF7">
        <w:rPr>
          <w:rFonts w:asciiTheme="minorBidi" w:hAnsiTheme="minorBidi" w:cstheme="minorBidi"/>
          <w:i/>
          <w:lang w:val="en-GB"/>
        </w:rPr>
        <w:t>ealth; environmental sustainability.</w:t>
      </w:r>
    </w:p>
    <w:p w14:paraId="5F7EB304" w14:textId="77777777" w:rsidR="00790ADA" w:rsidRPr="00460258" w:rsidRDefault="00790ADA" w:rsidP="00441B6F">
      <w:pPr>
        <w:pStyle w:val="Body"/>
        <w:spacing w:after="0"/>
        <w:rPr>
          <w:rFonts w:ascii="Arial" w:hAnsi="Arial" w:cs="Arial"/>
          <w:i/>
          <w:color w:val="FF0000"/>
        </w:rPr>
      </w:pPr>
    </w:p>
    <w:p w14:paraId="209B85C8" w14:textId="57428960" w:rsidR="007F7B32" w:rsidRPr="00460258" w:rsidRDefault="00902823" w:rsidP="00441B6F">
      <w:pPr>
        <w:pStyle w:val="AbstHead"/>
        <w:spacing w:after="0"/>
        <w:jc w:val="both"/>
        <w:rPr>
          <w:rFonts w:ascii="Arial" w:hAnsi="Arial" w:cs="Arial"/>
          <w:color w:val="FF0000"/>
        </w:rPr>
      </w:pPr>
      <w:r>
        <w:rPr>
          <w:rFonts w:ascii="Arial" w:hAnsi="Arial" w:cs="Arial"/>
        </w:rPr>
        <w:t xml:space="preserve">1. </w:t>
      </w:r>
      <w:r w:rsidR="00B01FCD" w:rsidRPr="00FB3A86">
        <w:rPr>
          <w:rFonts w:ascii="Arial" w:hAnsi="Arial" w:cs="Arial"/>
        </w:rPr>
        <w:t>INTRODUCTION</w:t>
      </w:r>
    </w:p>
    <w:p w14:paraId="09680C59" w14:textId="77777777" w:rsidR="00790ADA" w:rsidRPr="00FB3A86" w:rsidRDefault="00790ADA" w:rsidP="00441B6F">
      <w:pPr>
        <w:pStyle w:val="AbstHead"/>
        <w:spacing w:after="0"/>
        <w:jc w:val="both"/>
        <w:rPr>
          <w:rFonts w:ascii="Arial" w:hAnsi="Arial" w:cs="Arial"/>
        </w:rPr>
      </w:pPr>
    </w:p>
    <w:p w14:paraId="11B0D822" w14:textId="77777777"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Soil remains the fundamental terrestrial resource sustaining plant growth and the nutritional needs of animals and humans. Its central role in food systems and ecosystem services positions soil health at the core of the “One Health” paradigm linking plant, animal, environmental, and human well-being (Mumford et al., 2023; Hill et al., 2024; Banerjee &amp; van der Heijden, 2023). Often regarded as the “skin of the Earth,” soil is a dynamic matrix of minerals, organic matter, air, water, and microorganisms that regulate essential biogeochemical processes, with the rhizosphere microbiome particularly critical for nutrient cycling and biological nitrogen fixation (Philippot et al., 2024). Maintaining balanced interactions among soil physicochemical properties, microbial communities, and environmental factors is therefore vital for ecological resilience and human survival (Kalavathy, 2004).</w:t>
      </w:r>
    </w:p>
    <w:p w14:paraId="48603C42" w14:textId="13890C47"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lastRenderedPageBreak/>
        <w:t>Anthropogenic pressures, however, have increasingly degraded soil quality. Heavy metals and synthetic organic compounds are major pollutants introduced through industrial activities, mining, waste disposal, and intensive agrochemical use. Although micronutrients like Zn, Cu, and Fe are essential at trace levels, their accumulation beyond threshold concentrations leads to phytotoxicity and human health risks (Nieboer &amp; Richardson, 1980). Their persistence, bioaccumulation, and biomagnification make understanding their environmental behavio</w:t>
      </w:r>
      <w:r w:rsidR="000C34C5">
        <w:rPr>
          <w:rFonts w:asciiTheme="minorBidi" w:hAnsiTheme="minorBidi" w:cstheme="minorBidi"/>
          <w:sz w:val="22"/>
          <w:szCs w:val="22"/>
          <w:lang w:val="en-GB"/>
        </w:rPr>
        <w:t>u</w:t>
      </w:r>
      <w:r w:rsidRPr="005E13FE">
        <w:rPr>
          <w:rFonts w:asciiTheme="minorBidi" w:hAnsiTheme="minorBidi" w:cstheme="minorBidi"/>
          <w:sz w:val="22"/>
          <w:szCs w:val="22"/>
          <w:lang w:val="en-GB"/>
        </w:rPr>
        <w:t>r and toxic mechanisms crucial for risk assessment and remediation. Pesticides likewise represent a dominant contamination source, with herbicides comprising nearly half of global use (Atwood &amp; Paisley, 2017). Varying chemical classes</w:t>
      </w:r>
      <w:r w:rsidR="000C34C5">
        <w:rPr>
          <w:rFonts w:asciiTheme="minorBidi" w:hAnsiTheme="minorBidi" w:cstheme="minorBidi"/>
          <w:sz w:val="22"/>
          <w:szCs w:val="22"/>
          <w:lang w:val="en-GB"/>
        </w:rPr>
        <w:t xml:space="preserve"> – o</w:t>
      </w:r>
      <w:r w:rsidRPr="005E13FE">
        <w:rPr>
          <w:rFonts w:asciiTheme="minorBidi" w:hAnsiTheme="minorBidi" w:cstheme="minorBidi"/>
          <w:sz w:val="22"/>
          <w:szCs w:val="22"/>
          <w:lang w:val="en-GB"/>
        </w:rPr>
        <w:t>rganochlorines</w:t>
      </w:r>
      <w:r w:rsidR="000C34C5">
        <w:rPr>
          <w:rFonts w:asciiTheme="minorBidi" w:hAnsiTheme="minorBidi" w:cstheme="minorBidi"/>
          <w:sz w:val="22"/>
          <w:szCs w:val="22"/>
          <w:lang w:val="en-GB"/>
        </w:rPr>
        <w:t xml:space="preserve"> (OCPs)</w:t>
      </w:r>
      <w:r w:rsidRPr="005E13FE">
        <w:rPr>
          <w:rFonts w:asciiTheme="minorBidi" w:hAnsiTheme="minorBidi" w:cstheme="minorBidi"/>
          <w:sz w:val="22"/>
          <w:szCs w:val="22"/>
          <w:lang w:val="en-GB"/>
        </w:rPr>
        <w:t>, organophosphates</w:t>
      </w:r>
      <w:r w:rsidR="000C34C5">
        <w:rPr>
          <w:rFonts w:asciiTheme="minorBidi" w:hAnsiTheme="minorBidi" w:cstheme="minorBidi"/>
          <w:sz w:val="22"/>
          <w:szCs w:val="22"/>
          <w:lang w:val="en-GB"/>
        </w:rPr>
        <w:t xml:space="preserve"> (Ops)</w:t>
      </w:r>
      <w:r w:rsidRPr="005E13FE">
        <w:rPr>
          <w:rFonts w:asciiTheme="minorBidi" w:hAnsiTheme="minorBidi" w:cstheme="minorBidi"/>
          <w:sz w:val="22"/>
          <w:szCs w:val="22"/>
          <w:lang w:val="en-GB"/>
        </w:rPr>
        <w:t>, carbamates, and pyrethroids</w:t>
      </w:r>
      <w:r w:rsidR="000C34C5">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exert</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distinct modes of action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2021; Kim et al., 2017), yet all function as xenobiotics capable of disrupting soil microbiota, nutrient turnover, and biodiversity, raising concerns for ecological stability and food safety (Faruque Ahmad et al., 2024). Consequently, research and regulatory attention has intensified around pesticide fate, life cycles, and soil quality standards (Zhang &amp; Li, 2023; Schwarz et al., 2022).</w:t>
      </w:r>
    </w:p>
    <w:p w14:paraId="2EF49AC0" w14:textId="52848BF0"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Global initiatives highlight the urgency of confronting soil degradation. The Global Status of Soil Pollution report, developed by the </w:t>
      </w:r>
      <w:r w:rsidR="000C34C5" w:rsidRPr="000C34C5">
        <w:rPr>
          <w:rFonts w:asciiTheme="minorBidi" w:hAnsiTheme="minorBidi" w:cstheme="minorBidi"/>
          <w:sz w:val="22"/>
          <w:szCs w:val="22"/>
          <w:lang w:val="en-GB"/>
        </w:rPr>
        <w:t>Food and Agriculture Organization of the United Nations</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FAO’s</w:t>
      </w:r>
      <w:r w:rsidR="000C34C5">
        <w:rPr>
          <w:rFonts w:asciiTheme="minorBidi" w:hAnsiTheme="minorBidi" w:cstheme="minorBidi"/>
          <w:sz w:val="22"/>
          <w:szCs w:val="22"/>
          <w:lang w:val="en-GB"/>
        </w:rPr>
        <w:t xml:space="preserve"> </w:t>
      </w:r>
      <w:r w:rsidR="000C34C5" w:rsidRPr="000C34C5">
        <w:rPr>
          <w:rFonts w:asciiTheme="minorBidi" w:hAnsiTheme="minorBidi" w:cstheme="minorBidi"/>
          <w:sz w:val="22"/>
          <w:szCs w:val="22"/>
          <w:lang w:val="en-GB"/>
        </w:rPr>
        <w:t>the Intergovernmental Technical Panel on Soils</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ITPS</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with </w:t>
      </w:r>
      <w:r w:rsidR="000C34C5" w:rsidRPr="000C34C5">
        <w:rPr>
          <w:rFonts w:asciiTheme="minorBidi" w:hAnsiTheme="minorBidi" w:cstheme="minorBidi"/>
          <w:sz w:val="22"/>
          <w:szCs w:val="22"/>
          <w:lang w:val="en-GB"/>
        </w:rPr>
        <w:t xml:space="preserve">the United Nations Environment Programme </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UNEP</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 calls for coordinated scientific action within the UN Decade on Ecosystem Restoration (2021–2030) (FAO &amp; UNEP, 2021; UNGA Resolution 73/284, 2019), emphasizing soil organic matter conservation, microbial diversity preservation, and restoration of fertility through sustainable management. Yet current literature remains fragmented across soil science, toxicology, and environmental health, often addressing soil properties, nutrient profiles, or pollutants in isolation and giving limited attention to how soil contamination connects directly to One Health. This review responds to these gaps by integrating knowledge on soil profiling, nutrient dynamics, pollutant toxicity, and remediation strategies, underscoring links among soil processes, plant stress physiology, food safety, ecosystem stability, and human well-being.</w:t>
      </w:r>
    </w:p>
    <w:p w14:paraId="78E18B5E" w14:textId="147E2E23"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w:t>
      </w:r>
      <w:r w:rsidR="0089460E">
        <w:rPr>
          <w:rFonts w:asciiTheme="minorBidi" w:hAnsiTheme="minorBidi" w:cstheme="minorBidi"/>
          <w:sz w:val="22"/>
          <w:szCs w:val="22"/>
          <w:lang w:val="en-GB"/>
        </w:rPr>
        <w:t xml:space="preserve">aims </w:t>
      </w:r>
      <w:r w:rsidRPr="005E13FE">
        <w:rPr>
          <w:rFonts w:asciiTheme="minorBidi" w:hAnsiTheme="minorBidi" w:cstheme="minorBidi"/>
          <w:sz w:val="22"/>
          <w:szCs w:val="22"/>
          <w:lang w:val="en-GB"/>
        </w:rPr>
        <w:t>of this review are therefore to:</w:t>
      </w:r>
      <w:r w:rsidRPr="005E13FE">
        <w:rPr>
          <w:rFonts w:asciiTheme="minorBidi" w:hAnsiTheme="minorBidi" w:cstheme="minorBidi"/>
          <w:sz w:val="22"/>
          <w:szCs w:val="22"/>
          <w:lang w:val="en-GB"/>
        </w:rPr>
        <w:br/>
        <w:t>(1) consolidate current understanding of soil nutrient composition, contamination pathways, and implications for plant and ecosystem health;</w:t>
      </w:r>
      <w:r w:rsidRPr="005E13FE">
        <w:rPr>
          <w:rFonts w:asciiTheme="minorBidi" w:hAnsiTheme="minorBidi" w:cstheme="minorBidi"/>
          <w:sz w:val="22"/>
          <w:szCs w:val="22"/>
          <w:lang w:val="en-GB"/>
        </w:rPr>
        <w:br/>
        <w:t>(2) examine toxicological profiles of major pollutants</w:t>
      </w:r>
      <w:r w:rsidR="0089460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particularly</w:t>
      </w:r>
      <w:r w:rsidR="0089460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pesticides</w:t>
      </w:r>
      <w:r w:rsidR="0089460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with</w:t>
      </w:r>
      <w:r w:rsidR="0089460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emphasis on persistence, bioavailability, and ecological consequences; and</w:t>
      </w:r>
      <w:r w:rsidRPr="005E13FE">
        <w:rPr>
          <w:rFonts w:asciiTheme="minorBidi" w:hAnsiTheme="minorBidi" w:cstheme="minorBidi"/>
          <w:sz w:val="22"/>
          <w:szCs w:val="22"/>
          <w:lang w:val="en-GB"/>
        </w:rPr>
        <w:br/>
        <w:t>(3) evaluate recent advances in biological, chemical, and green chemistry-based remediation within a One Health framework, highlighting the need for integrative, sustainable approaches to soil restoration.</w:t>
      </w:r>
    </w:p>
    <w:p w14:paraId="4BDD6D70" w14:textId="77777777" w:rsidR="00790ADA" w:rsidRPr="00CB7B1B" w:rsidRDefault="00790ADA" w:rsidP="00CB7B1B">
      <w:pPr>
        <w:pStyle w:val="Body"/>
        <w:spacing w:after="0"/>
        <w:rPr>
          <w:rFonts w:asciiTheme="minorBidi" w:hAnsiTheme="minorBidi" w:cstheme="minorBidi"/>
          <w:lang w:val="en-GB"/>
        </w:rPr>
      </w:pPr>
    </w:p>
    <w:p w14:paraId="08BC335D" w14:textId="4A25E908" w:rsidR="007F7B32" w:rsidRPr="005E13FE" w:rsidRDefault="00902823" w:rsidP="00CB7B1B">
      <w:pPr>
        <w:pStyle w:val="AbstHead"/>
        <w:spacing w:after="0"/>
        <w:jc w:val="both"/>
        <w:rPr>
          <w:rFonts w:asciiTheme="minorBidi" w:hAnsiTheme="minorBidi" w:cstheme="minorBidi"/>
          <w:color w:val="FF0000"/>
          <w:szCs w:val="22"/>
        </w:rPr>
      </w:pPr>
      <w:r w:rsidRPr="005E13FE">
        <w:rPr>
          <w:rFonts w:asciiTheme="minorBidi" w:hAnsiTheme="minorBidi" w:cstheme="minorBidi"/>
          <w:szCs w:val="22"/>
        </w:rPr>
        <w:t>2. material and method</w:t>
      </w:r>
      <w:r w:rsidR="00000F8F" w:rsidRPr="005E13FE">
        <w:rPr>
          <w:rFonts w:asciiTheme="minorBidi" w:hAnsiTheme="minorBidi" w:cstheme="minorBidi"/>
          <w:szCs w:val="22"/>
        </w:rPr>
        <w:t xml:space="preserve">s </w:t>
      </w:r>
    </w:p>
    <w:p w14:paraId="370B29D0" w14:textId="77777777" w:rsidR="00790ADA" w:rsidRPr="005E13FE" w:rsidRDefault="00790ADA" w:rsidP="00CB7B1B">
      <w:pPr>
        <w:pStyle w:val="AbstHead"/>
        <w:spacing w:after="0"/>
        <w:jc w:val="both"/>
        <w:rPr>
          <w:rFonts w:asciiTheme="minorBidi" w:hAnsiTheme="minorBidi" w:cstheme="minorBidi"/>
          <w:szCs w:val="22"/>
        </w:rPr>
      </w:pPr>
    </w:p>
    <w:p w14:paraId="78C4D259" w14:textId="7897E19B"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Building upon the conceptual foundations introduced earlier and the need to integrate soil profiling, toxicological assessment, and sustainable remediation within a One Health framework, this review applies a concise but transparent methodology for identifying and evaluating relevant scientific evidence. Although not a full</w:t>
      </w:r>
      <w:r w:rsidR="005F166D">
        <w:rPr>
          <w:rFonts w:asciiTheme="minorBidi" w:hAnsiTheme="minorBidi" w:cstheme="minorBidi"/>
          <w:spacing w:val="5"/>
          <w:sz w:val="22"/>
          <w:szCs w:val="22"/>
          <w:shd w:val="clear" w:color="auto" w:fill="FFFFFF"/>
          <w:lang w:val="en-GB"/>
        </w:rPr>
        <w:t>y holistic approach but still a</w:t>
      </w:r>
      <w:r w:rsidRPr="005E13FE">
        <w:rPr>
          <w:rFonts w:asciiTheme="minorBidi" w:hAnsiTheme="minorBidi" w:cstheme="minorBidi"/>
          <w:spacing w:val="5"/>
          <w:sz w:val="22"/>
          <w:szCs w:val="22"/>
          <w:shd w:val="clear" w:color="auto" w:fill="FFFFFF"/>
          <w:lang w:val="en-GB"/>
        </w:rPr>
        <w:t xml:space="preserve"> PRISMA-based review, the process remains structured and traceable (Figure 1).</w:t>
      </w:r>
    </w:p>
    <w:p w14:paraId="5787AEB6"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31C6A508" w14:textId="5039E15E"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2.1 Objectives</w:t>
      </w:r>
    </w:p>
    <w:p w14:paraId="2CB5F1C2" w14:textId="5C8564A3"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The review aims to conceptualize and critically evaluate advancements in soil nutrient dynamics, pollutant toxicology, and remediation strategies, with emphasis on heavy metals and pesticides. It integrates soil ecological processes, plant stress responses, environmental toxicology, and human health within a unified One Health perspective</w:t>
      </w:r>
      <w:r w:rsidR="00EC7DBF">
        <w:rPr>
          <w:rFonts w:asciiTheme="minorBidi" w:hAnsiTheme="minorBidi" w:cstheme="minorBidi"/>
          <w:spacing w:val="5"/>
          <w:sz w:val="22"/>
          <w:szCs w:val="22"/>
          <w:shd w:val="clear" w:color="auto" w:fill="FFFFFF"/>
          <w:lang w:val="en-GB"/>
        </w:rPr>
        <w:t xml:space="preserve"> (cf. figures and table give out more information that the words</w:t>
      </w:r>
      <w:r w:rsidR="002B1F79">
        <w:rPr>
          <w:rFonts w:asciiTheme="minorBidi" w:hAnsiTheme="minorBidi" w:cstheme="minorBidi"/>
          <w:spacing w:val="5"/>
          <w:sz w:val="22"/>
          <w:szCs w:val="22"/>
          <w:shd w:val="clear" w:color="auto" w:fill="FFFFFF"/>
          <w:lang w:val="en-GB"/>
        </w:rPr>
        <w:t xml:space="preserve"> here</w:t>
      </w:r>
      <w:r w:rsidR="00EC7DBF">
        <w:rPr>
          <w:rFonts w:asciiTheme="minorBidi" w:hAnsiTheme="minorBidi" w:cstheme="minorBidi"/>
          <w:spacing w:val="5"/>
          <w:sz w:val="22"/>
          <w:szCs w:val="22"/>
          <w:shd w:val="clear" w:color="auto" w:fill="FFFFFF"/>
          <w:lang w:val="en-GB"/>
        </w:rPr>
        <w:t>)</w:t>
      </w:r>
      <w:r w:rsidRPr="005E13FE">
        <w:rPr>
          <w:rFonts w:asciiTheme="minorBidi" w:hAnsiTheme="minorBidi" w:cstheme="minorBidi"/>
          <w:spacing w:val="5"/>
          <w:sz w:val="22"/>
          <w:szCs w:val="22"/>
          <w:shd w:val="clear" w:color="auto" w:fill="FFFFFF"/>
          <w:lang w:val="en-GB"/>
        </w:rPr>
        <w:t>.</w:t>
      </w:r>
    </w:p>
    <w:p w14:paraId="5B086EC0" w14:textId="0E46D389" w:rsidR="00B53D30" w:rsidRPr="005E13FE" w:rsidRDefault="00B53D30" w:rsidP="00CB7B1B">
      <w:pPr>
        <w:autoSpaceDE w:val="0"/>
        <w:autoSpaceDN w:val="0"/>
        <w:adjustRightInd w:val="0"/>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Specific objectives include:</w:t>
      </w:r>
      <w:r w:rsidRPr="005E13FE">
        <w:rPr>
          <w:rFonts w:asciiTheme="minorBidi" w:hAnsiTheme="minorBidi" w:cstheme="minorBidi"/>
          <w:spacing w:val="5"/>
          <w:sz w:val="22"/>
          <w:szCs w:val="22"/>
          <w:shd w:val="clear" w:color="auto" w:fill="FFFFFF"/>
          <w:lang w:val="en-GB"/>
        </w:rPr>
        <w:br/>
        <w:t>(1) synthesizing physicochemical and biological foundations of soil fertility and contamination;</w:t>
      </w:r>
      <w:r w:rsidRPr="005E13FE">
        <w:rPr>
          <w:rFonts w:asciiTheme="minorBidi" w:hAnsiTheme="minorBidi" w:cstheme="minorBidi"/>
          <w:spacing w:val="5"/>
          <w:sz w:val="22"/>
          <w:szCs w:val="22"/>
          <w:shd w:val="clear" w:color="auto" w:fill="FFFFFF"/>
          <w:lang w:val="en-GB"/>
        </w:rPr>
        <w:br/>
        <w:t>(2) assessing toxicological pathways of heavy metals and pesticides and their ecological implications;</w:t>
      </w:r>
      <w:r w:rsidRPr="005E13FE">
        <w:rPr>
          <w:rFonts w:asciiTheme="minorBidi" w:hAnsiTheme="minorBidi" w:cstheme="minorBidi"/>
          <w:spacing w:val="5"/>
          <w:sz w:val="22"/>
          <w:szCs w:val="22"/>
          <w:shd w:val="clear" w:color="auto" w:fill="FFFFFF"/>
          <w:lang w:val="en-GB"/>
        </w:rPr>
        <w:br/>
        <w:t>(3) evaluating sustainable mitigation strategies</w:t>
      </w:r>
      <w:r w:rsidR="00A14D3C">
        <w:rPr>
          <w:rFonts w:asciiTheme="minorBidi" w:hAnsiTheme="minorBidi" w:cstheme="minorBidi"/>
          <w:spacing w:val="5"/>
          <w:sz w:val="22"/>
          <w:szCs w:val="22"/>
          <w:shd w:val="clear" w:color="auto" w:fill="FFFFFF"/>
          <w:lang w:val="en-GB"/>
        </w:rPr>
        <w:t xml:space="preserve"> – </w:t>
      </w:r>
      <w:r w:rsidRPr="005E13FE">
        <w:rPr>
          <w:rFonts w:asciiTheme="minorBidi" w:hAnsiTheme="minorBidi" w:cstheme="minorBidi"/>
          <w:spacing w:val="5"/>
          <w:sz w:val="22"/>
          <w:szCs w:val="22"/>
          <w:shd w:val="clear" w:color="auto" w:fill="FFFFFF"/>
          <w:lang w:val="en-GB"/>
        </w:rPr>
        <w:t>bioremediation,</w:t>
      </w:r>
      <w:r w:rsidR="00A14D3C">
        <w:rPr>
          <w:rFonts w:asciiTheme="minorBidi" w:hAnsiTheme="minorBidi" w:cstheme="minorBidi"/>
          <w:spacing w:val="5"/>
          <w:sz w:val="22"/>
          <w:szCs w:val="22"/>
          <w:shd w:val="clear" w:color="auto" w:fill="FFFFFF"/>
          <w:lang w:val="en-GB"/>
        </w:rPr>
        <w:t xml:space="preserve"> </w:t>
      </w:r>
      <w:r w:rsidRPr="005E13FE">
        <w:rPr>
          <w:rFonts w:asciiTheme="minorBidi" w:hAnsiTheme="minorBidi" w:cstheme="minorBidi"/>
          <w:spacing w:val="5"/>
          <w:sz w:val="22"/>
          <w:szCs w:val="22"/>
          <w:shd w:val="clear" w:color="auto" w:fill="FFFFFF"/>
          <w:lang w:val="en-GB"/>
        </w:rPr>
        <w:t>phytoremediation, biochar amendments, and green chemistry approaches; and</w:t>
      </w:r>
      <w:r w:rsidRPr="005E13FE">
        <w:rPr>
          <w:rFonts w:asciiTheme="minorBidi" w:hAnsiTheme="minorBidi" w:cstheme="minorBidi"/>
          <w:spacing w:val="5"/>
          <w:sz w:val="22"/>
          <w:szCs w:val="22"/>
          <w:shd w:val="clear" w:color="auto" w:fill="FFFFFF"/>
          <w:lang w:val="en-GB"/>
        </w:rPr>
        <w:br/>
        <w:t>(4) identifying knowledge gaps to guide sustainable agricultural systems.</w:t>
      </w:r>
    </w:p>
    <w:p w14:paraId="7E4C4AEA"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6D8D9C55" w14:textId="2FB999C1"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 Literature Search and Data Collection Strategy</w:t>
      </w:r>
    </w:p>
    <w:p w14:paraId="6CB347E3" w14:textId="77777777"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A structured search was conducted across Scopus, Web of Science, PubMed, and Google Scholar, incorporating peer-reviewed articles, reviews, book chapters, technical reports, and international agency documents.</w:t>
      </w:r>
    </w:p>
    <w:p w14:paraId="65D7C13D"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34D9B598" w14:textId="45799F0E"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2.2.1 Search Terms</w:t>
      </w:r>
    </w:p>
    <w:p w14:paraId="1F1851E0" w14:textId="77777777" w:rsidR="00B53D30" w:rsidRPr="005E13FE" w:rsidRDefault="00B53D30" w:rsidP="00CB7B1B">
      <w:pPr>
        <w:autoSpaceDE w:val="0"/>
        <w:autoSpaceDN w:val="0"/>
        <w:adjustRightInd w:val="0"/>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Keywords and Boolean combinations targeted soil profiling, contaminants, toxicology, remediation, and One Health, including:</w:t>
      </w:r>
      <w:r w:rsidRPr="005E13FE">
        <w:rPr>
          <w:rFonts w:asciiTheme="minorBidi" w:hAnsiTheme="minorBidi" w:cstheme="minorBidi"/>
          <w:spacing w:val="5"/>
          <w:sz w:val="22"/>
          <w:szCs w:val="22"/>
          <w:shd w:val="clear" w:color="auto" w:fill="FFFFFF"/>
          <w:lang w:val="en-GB"/>
        </w:rPr>
        <w:br/>
        <w:t>(</w:t>
      </w:r>
      <w:proofErr w:type="spellStart"/>
      <w:r w:rsidRPr="005E13FE">
        <w:rPr>
          <w:rFonts w:asciiTheme="minorBidi" w:hAnsiTheme="minorBidi" w:cstheme="minorBidi"/>
          <w:spacing w:val="5"/>
          <w:sz w:val="22"/>
          <w:szCs w:val="22"/>
          <w:shd w:val="clear" w:color="auto" w:fill="FFFFFF"/>
          <w:lang w:val="en-GB"/>
        </w:rPr>
        <w:t>i</w:t>
      </w:r>
      <w:proofErr w:type="spellEnd"/>
      <w:r w:rsidRPr="005E13FE">
        <w:rPr>
          <w:rFonts w:asciiTheme="minorBidi" w:hAnsiTheme="minorBidi" w:cstheme="minorBidi"/>
          <w:spacing w:val="5"/>
          <w:sz w:val="22"/>
          <w:szCs w:val="22"/>
          <w:shd w:val="clear" w:color="auto" w:fill="FFFFFF"/>
          <w:lang w:val="en-GB"/>
        </w:rPr>
        <w:t>) “soil contamination” AND “heavy metals”;</w:t>
      </w:r>
      <w:r w:rsidRPr="005E13FE">
        <w:rPr>
          <w:rFonts w:asciiTheme="minorBidi" w:hAnsiTheme="minorBidi" w:cstheme="minorBidi"/>
          <w:spacing w:val="5"/>
          <w:sz w:val="22"/>
          <w:szCs w:val="22"/>
          <w:shd w:val="clear" w:color="auto" w:fill="FFFFFF"/>
          <w:lang w:val="en-GB"/>
        </w:rPr>
        <w:br/>
        <w:t>(ii) “pesticides” AND “soil microbiota”;</w:t>
      </w:r>
      <w:r w:rsidRPr="005E13FE">
        <w:rPr>
          <w:rFonts w:asciiTheme="minorBidi" w:hAnsiTheme="minorBidi" w:cstheme="minorBidi"/>
          <w:spacing w:val="5"/>
          <w:sz w:val="22"/>
          <w:szCs w:val="22"/>
          <w:shd w:val="clear" w:color="auto" w:fill="FFFFFF"/>
          <w:lang w:val="en-GB"/>
        </w:rPr>
        <w:br/>
        <w:t>(iii) “soil profile” OR “nutrient dynamics”;</w:t>
      </w:r>
      <w:r w:rsidRPr="005E13FE">
        <w:rPr>
          <w:rFonts w:asciiTheme="minorBidi" w:hAnsiTheme="minorBidi" w:cstheme="minorBidi"/>
          <w:spacing w:val="5"/>
          <w:sz w:val="22"/>
          <w:szCs w:val="22"/>
          <w:shd w:val="clear" w:color="auto" w:fill="FFFFFF"/>
          <w:lang w:val="en-GB"/>
        </w:rPr>
        <w:br/>
        <w:t>(iv) “toxicological profiling” AND “agricultural soils”;</w:t>
      </w:r>
      <w:r w:rsidRPr="005E13FE">
        <w:rPr>
          <w:rFonts w:asciiTheme="minorBidi" w:hAnsiTheme="minorBidi" w:cstheme="minorBidi"/>
          <w:spacing w:val="5"/>
          <w:sz w:val="22"/>
          <w:szCs w:val="22"/>
          <w:shd w:val="clear" w:color="auto" w:fill="FFFFFF"/>
          <w:lang w:val="en-GB"/>
        </w:rPr>
        <w:br/>
        <w:t>(v) “phytotoxicity” AND “heavy metals”;</w:t>
      </w:r>
      <w:r w:rsidRPr="005E13FE">
        <w:rPr>
          <w:rFonts w:asciiTheme="minorBidi" w:hAnsiTheme="minorBidi" w:cstheme="minorBidi"/>
          <w:spacing w:val="5"/>
          <w:sz w:val="22"/>
          <w:szCs w:val="22"/>
          <w:shd w:val="clear" w:color="auto" w:fill="FFFFFF"/>
          <w:lang w:val="en-GB"/>
        </w:rPr>
        <w:br/>
        <w:t>(vi) “bioremediation” OR “phytoremediation”;</w:t>
      </w:r>
      <w:r w:rsidRPr="005E13FE">
        <w:rPr>
          <w:rFonts w:asciiTheme="minorBidi" w:hAnsiTheme="minorBidi" w:cstheme="minorBidi"/>
          <w:spacing w:val="5"/>
          <w:sz w:val="22"/>
          <w:szCs w:val="22"/>
          <w:shd w:val="clear" w:color="auto" w:fill="FFFFFF"/>
          <w:lang w:val="en-GB"/>
        </w:rPr>
        <w:br/>
        <w:t>(vii) “biochar” AND “soil amendment”;</w:t>
      </w:r>
      <w:r w:rsidRPr="005E13FE">
        <w:rPr>
          <w:rFonts w:asciiTheme="minorBidi" w:hAnsiTheme="minorBidi" w:cstheme="minorBidi"/>
          <w:spacing w:val="5"/>
          <w:sz w:val="22"/>
          <w:szCs w:val="22"/>
          <w:shd w:val="clear" w:color="auto" w:fill="FFFFFF"/>
          <w:lang w:val="en-GB"/>
        </w:rPr>
        <w:br/>
        <w:t>(viii) “One Health” AND “soil pollution.”</w:t>
      </w:r>
    </w:p>
    <w:p w14:paraId="2E088A04" w14:textId="77777777" w:rsidR="00CC47DE" w:rsidRPr="005E13FE" w:rsidRDefault="00CC47DE" w:rsidP="00CB7B1B">
      <w:pPr>
        <w:autoSpaceDE w:val="0"/>
        <w:autoSpaceDN w:val="0"/>
        <w:adjustRightInd w:val="0"/>
        <w:rPr>
          <w:rFonts w:asciiTheme="minorBidi" w:hAnsiTheme="minorBidi" w:cstheme="minorBidi"/>
          <w:b/>
          <w:bCs/>
          <w:spacing w:val="5"/>
          <w:sz w:val="22"/>
          <w:szCs w:val="22"/>
          <w:shd w:val="clear" w:color="auto" w:fill="FFFFFF"/>
          <w:lang w:val="en-GB"/>
        </w:rPr>
      </w:pPr>
    </w:p>
    <w:p w14:paraId="0309C70F" w14:textId="0565D0D1"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2.2.2 Time Frame</w:t>
      </w:r>
    </w:p>
    <w:p w14:paraId="29264545" w14:textId="4F1505C8"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 xml:space="preserve">Studies </w:t>
      </w:r>
      <w:r w:rsidR="002F0A32">
        <w:rPr>
          <w:rFonts w:asciiTheme="minorBidi" w:hAnsiTheme="minorBidi" w:cstheme="minorBidi"/>
          <w:spacing w:val="5"/>
          <w:sz w:val="22"/>
          <w:szCs w:val="22"/>
          <w:shd w:val="clear" w:color="auto" w:fill="FFFFFF"/>
          <w:lang w:val="en-GB"/>
        </w:rPr>
        <w:t xml:space="preserve">up until </w:t>
      </w:r>
      <w:r w:rsidRPr="005E13FE">
        <w:rPr>
          <w:rFonts w:asciiTheme="minorBidi" w:hAnsiTheme="minorBidi" w:cstheme="minorBidi"/>
          <w:spacing w:val="5"/>
          <w:sz w:val="22"/>
          <w:szCs w:val="22"/>
          <w:shd w:val="clear" w:color="auto" w:fill="FFFFFF"/>
          <w:lang w:val="en-GB"/>
        </w:rPr>
        <w:t>2024 were prioritized, with foundational works such as Nieboer &amp; Richardson (1980) and Jensen (1907) incorporated for historical or conceptual relevance.</w:t>
      </w:r>
    </w:p>
    <w:p w14:paraId="7977D67F"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3C3C3219" w14:textId="0CCEED72"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2.2.3 Inclusion and Exclusion Criteria</w:t>
      </w:r>
    </w:p>
    <w:p w14:paraId="6C5AC53E" w14:textId="06BD2D1D"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 xml:space="preserve">Inclusion criteria: peer-reviewed studies on heavy metals, pesticides, soil microbes, nutrient dynamics, or remediation; research on toxicology, environmental impacts, or agricultural sustainability; mechanistic or applied insights; and FAO, UNEP, and </w:t>
      </w:r>
      <w:r w:rsidR="00260152">
        <w:rPr>
          <w:rFonts w:asciiTheme="minorBidi" w:hAnsiTheme="minorBidi" w:cstheme="minorBidi"/>
          <w:spacing w:val="5"/>
          <w:sz w:val="22"/>
          <w:szCs w:val="22"/>
          <w:shd w:val="clear" w:color="auto" w:fill="FFFFFF"/>
          <w:lang w:val="en-GB"/>
        </w:rPr>
        <w:t>the World Health Organisation (</w:t>
      </w:r>
      <w:r w:rsidRPr="005E13FE">
        <w:rPr>
          <w:rFonts w:asciiTheme="minorBidi" w:hAnsiTheme="minorBidi" w:cstheme="minorBidi"/>
          <w:spacing w:val="5"/>
          <w:sz w:val="22"/>
          <w:szCs w:val="22"/>
          <w:shd w:val="clear" w:color="auto" w:fill="FFFFFF"/>
          <w:lang w:val="en-GB"/>
        </w:rPr>
        <w:t>WHO</w:t>
      </w:r>
      <w:r w:rsidR="00260152">
        <w:rPr>
          <w:rFonts w:asciiTheme="minorBidi" w:hAnsiTheme="minorBidi" w:cstheme="minorBidi"/>
          <w:spacing w:val="5"/>
          <w:sz w:val="22"/>
          <w:szCs w:val="22"/>
          <w:shd w:val="clear" w:color="auto" w:fill="FFFFFF"/>
          <w:lang w:val="en-GB"/>
        </w:rPr>
        <w:t>)</w:t>
      </w:r>
      <w:r w:rsidRPr="005E13FE">
        <w:rPr>
          <w:rFonts w:asciiTheme="minorBidi" w:hAnsiTheme="minorBidi" w:cstheme="minorBidi"/>
          <w:spacing w:val="5"/>
          <w:sz w:val="22"/>
          <w:szCs w:val="22"/>
          <w:shd w:val="clear" w:color="auto" w:fill="FFFFFF"/>
          <w:lang w:val="en-GB"/>
        </w:rPr>
        <w:t xml:space="preserve"> reports.</w:t>
      </w:r>
      <w:r w:rsidRPr="005E13FE">
        <w:rPr>
          <w:rFonts w:asciiTheme="minorBidi" w:hAnsiTheme="minorBidi" w:cstheme="minorBidi"/>
          <w:spacing w:val="5"/>
          <w:sz w:val="22"/>
          <w:szCs w:val="22"/>
          <w:shd w:val="clear" w:color="auto" w:fill="FFFFFF"/>
          <w:lang w:val="en-GB"/>
        </w:rPr>
        <w:br/>
        <w:t>Exclusion criteria: non-scientific or non-peer-reviewed content; studies unrelated to soil systems or contaminants; and reports lacking methodological transparency.</w:t>
      </w:r>
    </w:p>
    <w:p w14:paraId="4294E1D9" w14:textId="4BBDA931" w:rsidR="00790ADA" w:rsidRPr="005E13FE" w:rsidRDefault="00790ADA" w:rsidP="008D7F94">
      <w:pPr>
        <w:pStyle w:val="Body"/>
        <w:spacing w:after="0"/>
        <w:jc w:val="center"/>
        <w:rPr>
          <w:rFonts w:asciiTheme="minorBidi" w:hAnsiTheme="minorBidi" w:cstheme="minorBidi"/>
          <w:sz w:val="22"/>
          <w:szCs w:val="22"/>
          <w:lang w:val="en-GB"/>
        </w:rPr>
      </w:pPr>
    </w:p>
    <w:p w14:paraId="2FD68420" w14:textId="4285EB25" w:rsidR="00CC47DE" w:rsidRPr="005E13FE" w:rsidRDefault="007E109A" w:rsidP="00CB7B1B">
      <w:pPr>
        <w:pStyle w:val="Head1"/>
        <w:spacing w:after="0"/>
        <w:jc w:val="center"/>
        <w:rPr>
          <w:rFonts w:asciiTheme="minorBidi" w:hAnsiTheme="minorBidi" w:cstheme="minorBidi"/>
          <w:szCs w:val="22"/>
        </w:rPr>
      </w:pPr>
      <w:r>
        <w:rPr>
          <w:rFonts w:asciiTheme="minorBidi" w:hAnsiTheme="minorBidi" w:cstheme="minorBidi"/>
          <w:noProof/>
          <w:szCs w:val="22"/>
        </w:rPr>
        <w:lastRenderedPageBreak/>
        <w:drawing>
          <wp:inline distT="0" distB="0" distL="0" distR="0" wp14:anchorId="201961A9" wp14:editId="51804FE5">
            <wp:extent cx="5124450" cy="756285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562850"/>
                    </a:xfrm>
                    <a:prstGeom prst="rect">
                      <a:avLst/>
                    </a:prstGeom>
                    <a:noFill/>
                    <a:ln>
                      <a:noFill/>
                    </a:ln>
                  </pic:spPr>
                </pic:pic>
              </a:graphicData>
            </a:graphic>
          </wp:inline>
        </w:drawing>
      </w:r>
    </w:p>
    <w:p w14:paraId="5EBAC117" w14:textId="77777777" w:rsidR="00CC47DE" w:rsidRPr="005E13FE" w:rsidRDefault="00CC47DE"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 xml:space="preserve">Fig. 1. </w:t>
      </w:r>
      <w:r w:rsidRPr="005E13FE">
        <w:rPr>
          <w:rFonts w:asciiTheme="minorBidi" w:hAnsiTheme="minorBidi" w:cstheme="minorBidi"/>
          <w:spacing w:val="5"/>
          <w:sz w:val="22"/>
          <w:szCs w:val="22"/>
          <w:shd w:val="clear" w:color="auto" w:fill="FFFFFF"/>
          <w:lang w:val="en-GB"/>
        </w:rPr>
        <w:t>PRISMA Flowchart</w:t>
      </w:r>
    </w:p>
    <w:p w14:paraId="3D2ABB0B" w14:textId="77777777" w:rsidR="008D7F94" w:rsidRDefault="008D7F94"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2A47C5FF" w14:textId="69A36A1D"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2.2.4 Screening and Selection</w:t>
      </w:r>
    </w:p>
    <w:p w14:paraId="1E83A167" w14:textId="55EA17B3" w:rsidR="00CC47DE" w:rsidRPr="005E13FE" w:rsidRDefault="00CC47DE"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The search initially identified ~1</w:t>
      </w:r>
      <w:r w:rsidR="007E109A">
        <w:rPr>
          <w:rFonts w:asciiTheme="minorBidi" w:hAnsiTheme="minorBidi" w:cstheme="minorBidi"/>
          <w:spacing w:val="5"/>
          <w:sz w:val="22"/>
          <w:szCs w:val="22"/>
          <w:shd w:val="clear" w:color="auto" w:fill="FFFFFF"/>
          <w:lang w:val="en-GB"/>
        </w:rPr>
        <w:t>2</w:t>
      </w:r>
      <w:r w:rsidRPr="005E13FE">
        <w:rPr>
          <w:rFonts w:asciiTheme="minorBidi" w:hAnsiTheme="minorBidi" w:cstheme="minorBidi"/>
          <w:spacing w:val="5"/>
          <w:sz w:val="22"/>
          <w:szCs w:val="22"/>
          <w:shd w:val="clear" w:color="auto" w:fill="FFFFFF"/>
          <w:lang w:val="en-GB"/>
        </w:rPr>
        <w:t>00 records. After title and abstract screening, 587 remained</w:t>
      </w:r>
      <w:r w:rsidR="000112DD">
        <w:rPr>
          <w:rFonts w:asciiTheme="minorBidi" w:hAnsiTheme="minorBidi" w:cstheme="minorBidi"/>
          <w:spacing w:val="5"/>
          <w:sz w:val="22"/>
          <w:szCs w:val="22"/>
          <w:shd w:val="clear" w:color="auto" w:fill="FFFFFF"/>
          <w:lang w:val="en-GB"/>
        </w:rPr>
        <w:t>,</w:t>
      </w:r>
      <w:r w:rsidRPr="005E13FE">
        <w:rPr>
          <w:rFonts w:asciiTheme="minorBidi" w:hAnsiTheme="minorBidi" w:cstheme="minorBidi"/>
          <w:spacing w:val="5"/>
          <w:sz w:val="22"/>
          <w:szCs w:val="22"/>
          <w:shd w:val="clear" w:color="auto" w:fill="FFFFFF"/>
          <w:lang w:val="en-GB"/>
        </w:rPr>
        <w:t xml:space="preserve"> 412 were retained</w:t>
      </w:r>
      <w:r w:rsidR="000112DD">
        <w:rPr>
          <w:rFonts w:asciiTheme="minorBidi" w:hAnsiTheme="minorBidi" w:cstheme="minorBidi"/>
          <w:spacing w:val="5"/>
          <w:sz w:val="22"/>
          <w:szCs w:val="22"/>
          <w:shd w:val="clear" w:color="auto" w:fill="FFFFFF"/>
          <w:lang w:val="en-GB"/>
        </w:rPr>
        <w:t xml:space="preserve"> then 123 of them were assessed </w:t>
      </w:r>
      <w:r w:rsidR="000112DD" w:rsidRPr="005E13FE">
        <w:rPr>
          <w:rFonts w:asciiTheme="minorBidi" w:hAnsiTheme="minorBidi" w:cstheme="minorBidi"/>
          <w:spacing w:val="5"/>
          <w:sz w:val="22"/>
          <w:szCs w:val="22"/>
          <w:shd w:val="clear" w:color="auto" w:fill="FFFFFF"/>
          <w:lang w:val="en-GB"/>
        </w:rPr>
        <w:t>following full-text evaluation based on thematic relevance and methodological clarity</w:t>
      </w:r>
      <w:r w:rsidR="000112DD">
        <w:rPr>
          <w:rFonts w:asciiTheme="minorBidi" w:hAnsiTheme="minorBidi" w:cstheme="minorBidi"/>
          <w:spacing w:val="5"/>
          <w:sz w:val="22"/>
          <w:szCs w:val="22"/>
          <w:shd w:val="clear" w:color="auto" w:fill="FFFFFF"/>
          <w:lang w:val="en-GB"/>
        </w:rPr>
        <w:t xml:space="preserve"> for eligibility but then 65 of them were included</w:t>
      </w:r>
      <w:r w:rsidRPr="005E13FE">
        <w:rPr>
          <w:rFonts w:asciiTheme="minorBidi" w:hAnsiTheme="minorBidi" w:cstheme="minorBidi"/>
          <w:spacing w:val="5"/>
          <w:sz w:val="22"/>
          <w:szCs w:val="22"/>
          <w:shd w:val="clear" w:color="auto" w:fill="FFFFFF"/>
          <w:lang w:val="en-GB"/>
        </w:rPr>
        <w:t>. This curated selection reflects the interdisciplinary scope of soil science, toxicology, and environmental health.</w:t>
      </w:r>
    </w:p>
    <w:p w14:paraId="3AD3B71F"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2.3 Analytical Approach</w:t>
      </w:r>
    </w:p>
    <w:p w14:paraId="5E879AF5" w14:textId="5B6D76E4" w:rsidR="008A150D" w:rsidRDefault="00CC47DE" w:rsidP="008A150D">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 xml:space="preserve">Literature was thematically </w:t>
      </w:r>
      <w:r w:rsidR="000112DD" w:rsidRPr="005E13FE">
        <w:rPr>
          <w:rFonts w:asciiTheme="minorBidi" w:hAnsiTheme="minorBidi" w:cstheme="minorBidi"/>
          <w:spacing w:val="5"/>
          <w:sz w:val="22"/>
          <w:szCs w:val="22"/>
          <w:shd w:val="clear" w:color="auto" w:fill="FFFFFF"/>
          <w:lang w:val="en-GB"/>
        </w:rPr>
        <w:t>analysed</w:t>
      </w:r>
      <w:r w:rsidRPr="005E13FE">
        <w:rPr>
          <w:rFonts w:asciiTheme="minorBidi" w:hAnsiTheme="minorBidi" w:cstheme="minorBidi"/>
          <w:spacing w:val="5"/>
          <w:sz w:val="22"/>
          <w:szCs w:val="22"/>
          <w:shd w:val="clear" w:color="auto" w:fill="FFFFFF"/>
          <w:lang w:val="en-GB"/>
        </w:rPr>
        <w:t xml:space="preserve"> to integrate findings on soil profiling, contaminant behavio</w:t>
      </w:r>
      <w:r w:rsidR="000112DD">
        <w:rPr>
          <w:rFonts w:asciiTheme="minorBidi" w:hAnsiTheme="minorBidi" w:cstheme="minorBidi"/>
          <w:spacing w:val="5"/>
          <w:sz w:val="22"/>
          <w:szCs w:val="22"/>
          <w:shd w:val="clear" w:color="auto" w:fill="FFFFFF"/>
          <w:lang w:val="en-GB"/>
        </w:rPr>
        <w:t>u</w:t>
      </w:r>
      <w:r w:rsidRPr="005E13FE">
        <w:rPr>
          <w:rFonts w:asciiTheme="minorBidi" w:hAnsiTheme="minorBidi" w:cstheme="minorBidi"/>
          <w:spacing w:val="5"/>
          <w:sz w:val="22"/>
          <w:szCs w:val="22"/>
          <w:shd w:val="clear" w:color="auto" w:fill="FFFFFF"/>
          <w:lang w:val="en-GB"/>
        </w:rPr>
        <w:t>r, toxicological mechanisms, ecological disruptions, and remediation technologies. Comparisons of heavy metals and pesticides considered chemical characteristics, fate, bioavailability, and toxicity, while remediation strategies were evaluated for ecological compatibility and sustainability.</w:t>
      </w:r>
      <w:r w:rsidRPr="005E13FE">
        <w:rPr>
          <w:rFonts w:asciiTheme="minorBidi" w:hAnsiTheme="minorBidi" w:cstheme="minorBidi"/>
          <w:spacing w:val="5"/>
          <w:sz w:val="22"/>
          <w:szCs w:val="22"/>
          <w:shd w:val="clear" w:color="auto" w:fill="FFFFFF"/>
          <w:lang w:val="en-GB"/>
        </w:rPr>
        <w:br/>
        <w:t xml:space="preserve">This synthesis identifies converging scientific themes and persistent gaps, emphasizing the need for integrated soil management rooted in One Health to understand how contaminated soils affect plant </w:t>
      </w:r>
      <w:proofErr w:type="spellStart"/>
      <w:r w:rsidRPr="005E13FE">
        <w:rPr>
          <w:rFonts w:asciiTheme="minorBidi" w:hAnsiTheme="minorBidi" w:cstheme="minorBidi"/>
          <w:spacing w:val="5"/>
          <w:sz w:val="22"/>
          <w:szCs w:val="22"/>
          <w:shd w:val="clear" w:color="auto" w:fill="FFFFFF"/>
          <w:lang w:val="en-GB"/>
        </w:rPr>
        <w:t>defenses</w:t>
      </w:r>
      <w:proofErr w:type="spellEnd"/>
      <w:r w:rsidRPr="005E13FE">
        <w:rPr>
          <w:rFonts w:asciiTheme="minorBidi" w:hAnsiTheme="minorBidi" w:cstheme="minorBidi"/>
          <w:spacing w:val="5"/>
          <w:sz w:val="22"/>
          <w:szCs w:val="22"/>
          <w:shd w:val="clear" w:color="auto" w:fill="FFFFFF"/>
          <w:lang w:val="en-GB"/>
        </w:rPr>
        <w:t>, food safety, ecosystem services, and human health.</w:t>
      </w:r>
      <w:r w:rsidR="008A150D">
        <w:rPr>
          <w:rFonts w:asciiTheme="minorBidi" w:hAnsiTheme="minorBidi" w:cstheme="minorBidi"/>
          <w:spacing w:val="5"/>
          <w:sz w:val="22"/>
          <w:szCs w:val="22"/>
          <w:shd w:val="clear" w:color="auto" w:fill="FFFFFF"/>
          <w:lang w:val="en-GB"/>
        </w:rPr>
        <w:t xml:space="preserve"> </w:t>
      </w:r>
      <w:r w:rsidR="008A150D" w:rsidRPr="005E13FE">
        <w:rPr>
          <w:rFonts w:asciiTheme="minorBidi" w:hAnsiTheme="minorBidi" w:cstheme="minorBidi"/>
          <w:spacing w:val="5"/>
          <w:sz w:val="22"/>
          <w:szCs w:val="22"/>
          <w:shd w:val="clear" w:color="auto" w:fill="FFFFFF"/>
          <w:lang w:val="en-GB"/>
        </w:rPr>
        <w:t>A clear understanding of the soil profile (Figure 2) remains central to interpreting soil fertility, nutrient dynamics, and nutrient management in agricultural ecosystems.</w:t>
      </w:r>
    </w:p>
    <w:p w14:paraId="27E48CDB" w14:textId="77777777" w:rsidR="008A150D" w:rsidRPr="005E13FE" w:rsidRDefault="008A150D" w:rsidP="008A150D">
      <w:pPr>
        <w:autoSpaceDE w:val="0"/>
        <w:autoSpaceDN w:val="0"/>
        <w:adjustRightInd w:val="0"/>
        <w:jc w:val="both"/>
        <w:rPr>
          <w:rFonts w:asciiTheme="minorBidi" w:hAnsiTheme="minorBidi" w:cstheme="minorBidi"/>
          <w:spacing w:val="5"/>
          <w:sz w:val="22"/>
          <w:szCs w:val="22"/>
          <w:shd w:val="clear" w:color="auto" w:fill="FFFFFF"/>
          <w:lang w:val="en-GB"/>
        </w:rPr>
      </w:pPr>
    </w:p>
    <w:p w14:paraId="2F62089E" w14:textId="1B3801D8" w:rsidR="00CC47DE" w:rsidRPr="005E13FE" w:rsidRDefault="00CC47DE" w:rsidP="00CB7B1B">
      <w:pPr>
        <w:autoSpaceDE w:val="0"/>
        <w:autoSpaceDN w:val="0"/>
        <w:adjustRightInd w:val="0"/>
        <w:jc w:val="center"/>
        <w:rPr>
          <w:rFonts w:asciiTheme="minorBidi" w:hAnsiTheme="minorBidi" w:cstheme="minorBidi"/>
          <w:b/>
          <w:bCs/>
          <w:spacing w:val="5"/>
          <w:sz w:val="22"/>
          <w:szCs w:val="22"/>
          <w:shd w:val="clear" w:color="auto" w:fill="FFFFFF"/>
          <w:lang w:val="en-GB"/>
        </w:rPr>
      </w:pPr>
      <w:r w:rsidRPr="005E13FE">
        <w:rPr>
          <w:rFonts w:asciiTheme="minorBidi" w:hAnsiTheme="minorBidi" w:cstheme="minorBidi"/>
          <w:noProof/>
          <w:sz w:val="22"/>
          <w:szCs w:val="22"/>
        </w:rPr>
        <w:drawing>
          <wp:inline distT="0" distB="0" distL="0" distR="0" wp14:anchorId="4EAB758A" wp14:editId="140D0EFD">
            <wp:extent cx="5212080" cy="3391989"/>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2080" cy="3391989"/>
                    </a:xfrm>
                    <a:prstGeom prst="rect">
                      <a:avLst/>
                    </a:prstGeom>
                    <a:noFill/>
                    <a:ln>
                      <a:noFill/>
                    </a:ln>
                  </pic:spPr>
                </pic:pic>
              </a:graphicData>
            </a:graphic>
          </wp:inline>
        </w:drawing>
      </w:r>
    </w:p>
    <w:p w14:paraId="3E76CCCD" w14:textId="05FA9ED6" w:rsidR="008A150D" w:rsidRPr="005E13FE" w:rsidRDefault="00CC47DE" w:rsidP="008A150D">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 xml:space="preserve">Fig. 2. </w:t>
      </w:r>
      <w:r w:rsidRPr="005E13FE">
        <w:rPr>
          <w:rFonts w:asciiTheme="minorBidi" w:hAnsiTheme="minorBidi" w:cstheme="minorBidi"/>
          <w:spacing w:val="5"/>
          <w:sz w:val="22"/>
          <w:szCs w:val="22"/>
          <w:shd w:val="clear" w:color="auto" w:fill="FFFFFF"/>
          <w:lang w:val="en-GB"/>
        </w:rPr>
        <w:t>A soil profile (shown on the wall of a gully) consisting of distinct soil horizons.</w:t>
      </w:r>
      <w:r w:rsidRPr="005E13FE">
        <w:rPr>
          <w:rFonts w:asciiTheme="minorBidi" w:hAnsiTheme="minorBidi" w:cstheme="minorBidi"/>
          <w:spacing w:val="5"/>
          <w:sz w:val="22"/>
          <w:szCs w:val="22"/>
          <w:shd w:val="clear" w:color="auto" w:fill="FFFFFF"/>
          <w:lang w:val="en-GB"/>
        </w:rPr>
        <w:br/>
      </w:r>
    </w:p>
    <w:p w14:paraId="2E238766" w14:textId="77777777"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 Soil and Its Ecosystem Services: Critical Synthesis of Results</w:t>
      </w:r>
    </w:p>
    <w:p w14:paraId="240E0D27" w14:textId="481924B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Building on the methodological foundations of Section 2, soil must be understood not merely as a physical substrate but as a multifunctional ecological system. Its </w:t>
      </w:r>
      <w:r w:rsidRPr="005E13FE">
        <w:rPr>
          <w:rFonts w:asciiTheme="minorBidi" w:hAnsiTheme="minorBidi" w:cstheme="minorBidi"/>
          <w:sz w:val="22"/>
          <w:szCs w:val="22"/>
          <w:lang w:val="en-GB"/>
        </w:rPr>
        <w:lastRenderedPageBreak/>
        <w:t>physicochemical properties, biological components, and nutrient dynamics collectively sustain terrestrial life. Soil fertility</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defined</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by its ability to supply nutrients, support root development, and maintain microbial and biochemical functions</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remains</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central to agricultural productivity and ecosystem stability. Thus, the soil profile forms the basis for understanding nutrient availability, pollutant </w:t>
      </w:r>
      <w:r w:rsidR="00421F28" w:rsidRPr="005E13FE">
        <w:rPr>
          <w:rFonts w:asciiTheme="minorBidi" w:hAnsiTheme="minorBidi" w:cstheme="minorBidi"/>
          <w:sz w:val="22"/>
          <w:szCs w:val="22"/>
          <w:lang w:val="en-GB"/>
        </w:rPr>
        <w:t>behaviour</w:t>
      </w:r>
      <w:r w:rsidRPr="005E13FE">
        <w:rPr>
          <w:rFonts w:asciiTheme="minorBidi" w:hAnsiTheme="minorBidi" w:cstheme="minorBidi"/>
          <w:sz w:val="22"/>
          <w:szCs w:val="22"/>
          <w:lang w:val="en-GB"/>
        </w:rPr>
        <w:t>, and plant–soil interactions.</w:t>
      </w:r>
    </w:p>
    <w:p w14:paraId="0E955808" w14:textId="77777777" w:rsidR="00E976BE" w:rsidRDefault="00E976BE" w:rsidP="00CB7B1B">
      <w:pPr>
        <w:jc w:val="both"/>
        <w:rPr>
          <w:rFonts w:asciiTheme="minorBidi" w:hAnsiTheme="minorBidi" w:cstheme="minorBidi"/>
          <w:b/>
          <w:bCs/>
          <w:sz w:val="22"/>
          <w:szCs w:val="22"/>
          <w:lang w:val="en-GB"/>
        </w:rPr>
      </w:pPr>
    </w:p>
    <w:p w14:paraId="4A1B5461" w14:textId="699830CF"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3.1 Soil as a Biogeochemical and Ecological System</w:t>
      </w:r>
    </w:p>
    <w:p w14:paraId="1580E475" w14:textId="3B8DD1F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Agroecosystems comprise communities of plants and animals interacting with modified chemical and physical environments to produce food, fibre, and fuel (</w:t>
      </w:r>
      <w:r w:rsidR="00E976BE">
        <w:rPr>
          <w:rFonts w:asciiTheme="minorBidi" w:hAnsiTheme="minorBidi" w:cstheme="minorBidi"/>
          <w:sz w:val="22"/>
          <w:szCs w:val="22"/>
          <w:lang w:val="en-GB"/>
        </w:rPr>
        <w:t xml:space="preserve">EC / </w:t>
      </w:r>
      <w:proofErr w:type="spellStart"/>
      <w:r w:rsidRPr="005E13FE">
        <w:rPr>
          <w:rFonts w:asciiTheme="minorBidi" w:hAnsiTheme="minorBidi" w:cstheme="minorBidi"/>
          <w:sz w:val="22"/>
          <w:szCs w:val="22"/>
          <w:lang w:val="en-GB"/>
        </w:rPr>
        <w:t>Grizzetti</w:t>
      </w:r>
      <w:proofErr w:type="spellEnd"/>
      <w:r w:rsidRPr="005E13FE">
        <w:rPr>
          <w:rFonts w:asciiTheme="minorBidi" w:hAnsiTheme="minorBidi" w:cstheme="minorBidi"/>
          <w:sz w:val="22"/>
          <w:szCs w:val="22"/>
          <w:lang w:val="en-GB"/>
        </w:rPr>
        <w:t xml:space="preserve"> et al., 2018). Within these systems, soil acts as a dynamic, heterogeneous matrix of minerals, organic matter, water, gases, and microorganisms. </w:t>
      </w:r>
      <w:proofErr w:type="spellStart"/>
      <w:r w:rsidRPr="005E13FE">
        <w:rPr>
          <w:rFonts w:asciiTheme="minorBidi" w:hAnsiTheme="minorBidi" w:cstheme="minorBidi"/>
          <w:sz w:val="22"/>
          <w:szCs w:val="22"/>
          <w:lang w:val="en-GB"/>
        </w:rPr>
        <w:t>Pedology</w:t>
      </w:r>
      <w:proofErr w:type="spellEnd"/>
      <w:r w:rsidRPr="005E13FE">
        <w:rPr>
          <w:rFonts w:asciiTheme="minorBidi" w:hAnsiTheme="minorBidi" w:cstheme="minorBidi"/>
          <w:sz w:val="22"/>
          <w:szCs w:val="22"/>
          <w:lang w:val="en-GB"/>
        </w:rPr>
        <w:t xml:space="preserve"> and edaphology highlight how soil classification and soil–organism interactions together shape nutrient distribution, pollutant mobility, and microbial ecology. Historical observations of soil </w:t>
      </w:r>
      <w:proofErr w:type="spellStart"/>
      <w:r w:rsidRPr="005E13FE">
        <w:rPr>
          <w:rFonts w:asciiTheme="minorBidi" w:hAnsiTheme="minorBidi" w:cstheme="minorBidi"/>
          <w:sz w:val="22"/>
          <w:szCs w:val="22"/>
          <w:lang w:val="en-GB"/>
        </w:rPr>
        <w:t>horizonation</w:t>
      </w:r>
      <w:proofErr w:type="spellEnd"/>
      <w:r w:rsidRPr="005E13FE">
        <w:rPr>
          <w:rFonts w:asciiTheme="minorBidi" w:hAnsiTheme="minorBidi" w:cstheme="minorBidi"/>
          <w:sz w:val="22"/>
          <w:szCs w:val="22"/>
          <w:lang w:val="en-GB"/>
        </w:rPr>
        <w:t xml:space="preserve"> (Schelling, 1970) and assessments of intra-horizon variability (</w:t>
      </w:r>
      <w:proofErr w:type="spellStart"/>
      <w:r w:rsidRPr="005E13FE">
        <w:rPr>
          <w:rFonts w:asciiTheme="minorBidi" w:hAnsiTheme="minorBidi" w:cstheme="minorBidi"/>
          <w:sz w:val="22"/>
          <w:szCs w:val="22"/>
          <w:lang w:val="en-GB"/>
        </w:rPr>
        <w:t>Hartemink</w:t>
      </w:r>
      <w:proofErr w:type="spellEnd"/>
      <w:r w:rsidRPr="005E13FE">
        <w:rPr>
          <w:rFonts w:asciiTheme="minorBidi" w:hAnsiTheme="minorBidi" w:cstheme="minorBidi"/>
          <w:sz w:val="22"/>
          <w:szCs w:val="22"/>
          <w:lang w:val="en-GB"/>
        </w:rPr>
        <w:t xml:space="preserve"> et al., 2020) underscore the role of spatial heterogeneity.</w:t>
      </w:r>
      <w:r w:rsidRPr="005E13FE">
        <w:rPr>
          <w:rFonts w:asciiTheme="minorBidi" w:hAnsiTheme="minorBidi" w:cstheme="minorBidi"/>
          <w:sz w:val="22"/>
          <w:szCs w:val="22"/>
          <w:lang w:val="en-GB"/>
        </w:rPr>
        <w:br/>
        <w:t>The soil microbiome</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especially</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rhizosphere communities</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plays</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a critical role in nitrogen cycling, carbon turnover, soil structure, and ecosystem resilience. Beneficial microbial networks, therefore, must remain intact when applying agricultural interventions or remediation strategies (Philippot et al., 2024).</w:t>
      </w:r>
    </w:p>
    <w:p w14:paraId="33717177" w14:textId="77777777" w:rsidR="00D65703" w:rsidRDefault="00D65703" w:rsidP="00CB7B1B">
      <w:pPr>
        <w:jc w:val="both"/>
        <w:rPr>
          <w:rFonts w:asciiTheme="minorBidi" w:hAnsiTheme="minorBidi" w:cstheme="minorBidi"/>
          <w:b/>
          <w:bCs/>
          <w:sz w:val="22"/>
          <w:szCs w:val="22"/>
          <w:lang w:val="en-GB"/>
        </w:rPr>
      </w:pPr>
    </w:p>
    <w:p w14:paraId="0CC92078" w14:textId="44B01DBB"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3.2 Nutrient Cycling, Soil Organic Matter, and Microbial Function</w:t>
      </w:r>
    </w:p>
    <w:p w14:paraId="64401106" w14:textId="77777777" w:rsidR="00D65703"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Although nitrogen is abundant atmospherically, plants depend on biological nitrogen fixation mediated by Rhizobium, Azolla–cyanobacteria associations, and Azotobacter spp. (Shridhar, 2012). Soil organic matter (SOM), a small but essential fraction of the soil matrix, regulates microbial metabolism, nutrient retention, moisture capacity, and soil structure, making SOM maintenance fundamental to long-term productivity.</w:t>
      </w:r>
    </w:p>
    <w:p w14:paraId="1AEF4568" w14:textId="14D5338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Anthropogenic pressures</w:t>
      </w:r>
      <w:r w:rsidR="00D65703">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D65703">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unsustainable land use, mining, industrial emissions, and waste disposal</w:t>
      </w:r>
      <w:r w:rsidR="00D65703">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introduce</w:t>
      </w:r>
      <w:r w:rsidR="00D65703">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metalloids into agricultural soils (Alloway, 1995), altering nutrient dynamics, impairing microbial processes, and disrupting soil physicochemical properties. Fertilizers are routinely applied to correct nutrient deficiencies (Figure 3), yet Soil Organic Carbon (SOC) depletion due to improper fertilization remains problematic. Moderate fertilizer application enhances yields, whereas excessive inputs reduce fertility and long-term productivity (Allam et al., 2022).</w:t>
      </w:r>
    </w:p>
    <w:p w14:paraId="209B0226" w14:textId="09A33D31" w:rsidR="00CC47DE" w:rsidRPr="005E13FE" w:rsidRDefault="00CC47DE"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rPr>
        <w:lastRenderedPageBreak/>
        <w:drawing>
          <wp:inline distT="0" distB="0" distL="0" distR="0" wp14:anchorId="566F3447" wp14:editId="3692D3B1">
            <wp:extent cx="5212080" cy="3057616"/>
            <wp:effectExtent l="0" t="0" r="0" b="0"/>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16"/>
                    <a:stretch>
                      <a:fillRect/>
                    </a:stretch>
                  </pic:blipFill>
                  <pic:spPr>
                    <a:xfrm>
                      <a:off x="0" y="0"/>
                      <a:ext cx="5212080" cy="3057616"/>
                    </a:xfrm>
                    <a:prstGeom prst="rect">
                      <a:avLst/>
                    </a:prstGeom>
                  </pic:spPr>
                </pic:pic>
              </a:graphicData>
            </a:graphic>
          </wp:inline>
        </w:drawing>
      </w:r>
    </w:p>
    <w:p w14:paraId="605E0FF6" w14:textId="77777777" w:rsidR="00CC47DE" w:rsidRPr="005E13FE" w:rsidRDefault="00CC47DE" w:rsidP="00CB7B1B">
      <w:pPr>
        <w:pStyle w:val="Head1"/>
        <w:spacing w:after="0"/>
        <w:jc w:val="both"/>
        <w:rPr>
          <w:rFonts w:asciiTheme="minorBidi" w:hAnsiTheme="minorBidi" w:cstheme="minorBidi"/>
          <w:szCs w:val="22"/>
        </w:rPr>
      </w:pPr>
    </w:p>
    <w:p w14:paraId="21681AE3" w14:textId="77777777" w:rsidR="00CC47DE" w:rsidRDefault="00CC47DE"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3</w:t>
      </w:r>
      <w:r w:rsidRPr="005E13FE">
        <w:rPr>
          <w:rFonts w:asciiTheme="minorBidi" w:hAnsiTheme="minorBidi" w:cstheme="minorBidi"/>
          <w:sz w:val="22"/>
          <w:szCs w:val="22"/>
          <w:lang w:val="en-GB"/>
        </w:rPr>
        <w:t xml:space="preserve"> Nutrients and nitrogen cycle.</w:t>
      </w:r>
    </w:p>
    <w:p w14:paraId="5E380EBD" w14:textId="77777777" w:rsidR="007C58D4" w:rsidRPr="005E13FE" w:rsidRDefault="007C58D4" w:rsidP="00CB7B1B">
      <w:pPr>
        <w:jc w:val="both"/>
        <w:rPr>
          <w:rFonts w:asciiTheme="minorBidi" w:hAnsiTheme="minorBidi" w:cstheme="minorBidi"/>
          <w:sz w:val="22"/>
          <w:szCs w:val="22"/>
          <w:lang w:val="en-GB"/>
        </w:rPr>
      </w:pPr>
    </w:p>
    <w:p w14:paraId="2C1800A6" w14:textId="7EC3169E" w:rsidR="000F5C19" w:rsidRPr="005E13FE" w:rsidRDefault="000F5C19"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Nitrate, the primary assimilated form of nitrogen, is highly soluble and prone to leaching and runoff (Figure 4). Phosphorus, the second most limiting nutrient for crops (Shen et al., 2011), enters soils via fertilizers, organic manure, and sewage sludge (Figure 5). Under certain conditions, it becomes mobile, contributing to eutrophication of freshwater and marine systems (Schroder et al., 2010; Shaikh et al., 2013).</w:t>
      </w:r>
    </w:p>
    <w:p w14:paraId="36977012" w14:textId="3831C7EC" w:rsidR="00CC47DE" w:rsidRPr="005E13FE" w:rsidRDefault="00AF0679"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lang w:val="en-GB"/>
        </w:rPr>
        <w:lastRenderedPageBreak/>
        <w:drawing>
          <wp:inline distT="0" distB="0" distL="0" distR="0" wp14:anchorId="68CF7F6D" wp14:editId="7B585881">
            <wp:extent cx="5191125" cy="6810375"/>
            <wp:effectExtent l="0" t="0" r="15875" b="222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1125" cy="6810375"/>
                    </a:xfrm>
                    <a:prstGeom prst="rect">
                      <a:avLst/>
                    </a:prstGeom>
                    <a:noFill/>
                    <a:ln>
                      <a:noFill/>
                    </a:ln>
                  </pic:spPr>
                </pic:pic>
              </a:graphicData>
            </a:graphic>
          </wp:inline>
        </w:drawing>
      </w:r>
    </w:p>
    <w:p w14:paraId="39EC9B27" w14:textId="77777777" w:rsidR="000F5C19" w:rsidRPr="005E13FE" w:rsidRDefault="000F5C19" w:rsidP="00CB7B1B">
      <w:pPr>
        <w:pStyle w:val="Head1"/>
        <w:spacing w:after="0"/>
        <w:jc w:val="both"/>
        <w:rPr>
          <w:rFonts w:asciiTheme="minorBidi" w:hAnsiTheme="minorBidi" w:cstheme="minorBidi"/>
          <w:szCs w:val="22"/>
        </w:rPr>
      </w:pPr>
    </w:p>
    <w:p w14:paraId="6170605B" w14:textId="77777777" w:rsidR="00AF0679" w:rsidRPr="005E13FE" w:rsidRDefault="00AF0679"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4</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 xml:space="preserve">Nitric oxide and the alleviation of HM phytotoxicity. </w:t>
      </w:r>
    </w:p>
    <w:p w14:paraId="2A056486" w14:textId="2B69ACBE" w:rsidR="00AF0679" w:rsidRPr="005E13FE" w:rsidRDefault="00AF0679" w:rsidP="00CB7B1B">
      <w:pPr>
        <w:jc w:val="center"/>
        <w:rPr>
          <w:rFonts w:asciiTheme="minorBidi" w:hAnsiTheme="minorBidi" w:cstheme="minorBidi"/>
          <w:b/>
          <w:bCs/>
          <w:sz w:val="22"/>
          <w:szCs w:val="22"/>
          <w:lang w:val="en-GB"/>
        </w:rPr>
      </w:pPr>
      <w:r w:rsidRPr="005E13FE">
        <w:rPr>
          <w:rFonts w:asciiTheme="minorBidi" w:hAnsiTheme="minorBidi" w:cstheme="minorBidi"/>
          <w:noProof/>
          <w:sz w:val="22"/>
          <w:szCs w:val="22"/>
          <w:lang w:val="en-GB"/>
        </w:rPr>
        <w:lastRenderedPageBreak/>
        <w:drawing>
          <wp:inline distT="0" distB="0" distL="0" distR="0" wp14:anchorId="1014B850" wp14:editId="41AF1D0F">
            <wp:extent cx="5212080" cy="2769996"/>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12080" cy="2769996"/>
                    </a:xfrm>
                    <a:prstGeom prst="rect">
                      <a:avLst/>
                    </a:prstGeom>
                    <a:noFill/>
                    <a:ln>
                      <a:noFill/>
                    </a:ln>
                  </pic:spPr>
                </pic:pic>
              </a:graphicData>
            </a:graphic>
          </wp:inline>
        </w:drawing>
      </w:r>
    </w:p>
    <w:p w14:paraId="1BF6D0B2" w14:textId="0BDDE629" w:rsidR="00AF0679" w:rsidRPr="005E13FE" w:rsidRDefault="00AF0679"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5</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 xml:space="preserve">Phosphate solubilizing bacteria </w:t>
      </w:r>
      <w:r w:rsidRPr="005E13FE">
        <w:rPr>
          <w:rFonts w:asciiTheme="minorBidi" w:hAnsiTheme="minorBidi" w:cstheme="minorBidi"/>
          <w:b/>
          <w:bCs/>
          <w:sz w:val="22"/>
          <w:szCs w:val="22"/>
          <w:lang w:val="en-GB"/>
        </w:rPr>
        <w:t>(Ahmad, M. 2015).</w:t>
      </w:r>
    </w:p>
    <w:p w14:paraId="66B10C03" w14:textId="77777777" w:rsidR="00AF0679" w:rsidRPr="005E13FE" w:rsidRDefault="00AF0679" w:rsidP="00CB7B1B">
      <w:pPr>
        <w:pStyle w:val="NormalWeb"/>
        <w:spacing w:before="0" w:after="0"/>
        <w:jc w:val="both"/>
        <w:textAlignment w:val="baseline"/>
        <w:rPr>
          <w:rFonts w:asciiTheme="minorBidi" w:hAnsiTheme="minorBidi" w:cstheme="minorBidi"/>
          <w:sz w:val="22"/>
          <w:szCs w:val="22"/>
          <w:lang w:val="en-GB"/>
        </w:rPr>
      </w:pPr>
      <w:r w:rsidRPr="005E13FE">
        <w:rPr>
          <w:rFonts w:asciiTheme="minorBidi" w:hAnsiTheme="minorBidi" w:cstheme="minorBidi"/>
          <w:sz w:val="22"/>
          <w:szCs w:val="22"/>
          <w:lang w:val="en-GB"/>
        </w:rPr>
        <w:t>Industrial emissions, mining, waste disposal, and agrochemical use have substantially increased Cr, Cd, Zn, Cu, Pb, Al, As, and Hg concentrations in soils, imposing severe environmental, ecological, and economic consequences (Figure 6).</w:t>
      </w:r>
    </w:p>
    <w:p w14:paraId="4CD4A8C3" w14:textId="7ACA7D3B" w:rsidR="00C64FEA" w:rsidRPr="005E13FE" w:rsidRDefault="00C64FEA" w:rsidP="00CB7B1B">
      <w:pPr>
        <w:pStyle w:val="NormalWeb"/>
        <w:spacing w:before="0" w:after="0"/>
        <w:jc w:val="center"/>
        <w:textAlignment w:val="baseline"/>
        <w:rPr>
          <w:rFonts w:asciiTheme="minorBidi" w:hAnsiTheme="minorBidi" w:cstheme="minorBidi"/>
          <w:sz w:val="22"/>
          <w:szCs w:val="22"/>
          <w:lang w:val="en-GB"/>
        </w:rPr>
      </w:pPr>
      <w:r w:rsidRPr="005E13FE">
        <w:rPr>
          <w:rFonts w:asciiTheme="minorBidi" w:hAnsiTheme="minorBidi" w:cstheme="minorBidi"/>
          <w:noProof/>
          <w:sz w:val="22"/>
          <w:szCs w:val="22"/>
          <w:lang w:val="en-GB"/>
        </w:rPr>
        <w:lastRenderedPageBreak/>
        <w:drawing>
          <wp:inline distT="0" distB="0" distL="0" distR="0" wp14:anchorId="4533394B" wp14:editId="5929CBA2">
            <wp:extent cx="4820920" cy="6049645"/>
            <wp:effectExtent l="0" t="0" r="5080" b="209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27455" cy="6057488"/>
                    </a:xfrm>
                    <a:prstGeom prst="rect">
                      <a:avLst/>
                    </a:prstGeom>
                    <a:noFill/>
                    <a:ln>
                      <a:noFill/>
                    </a:ln>
                  </pic:spPr>
                </pic:pic>
              </a:graphicData>
            </a:graphic>
          </wp:inline>
        </w:drawing>
      </w:r>
    </w:p>
    <w:p w14:paraId="3053E1C9" w14:textId="77777777" w:rsidR="00C64FEA" w:rsidRPr="005E13FE" w:rsidRDefault="00C64FEA"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6</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Sources, mechanism and effects of heavy metal toxicity in plants.</w:t>
      </w:r>
    </w:p>
    <w:p w14:paraId="735F17B2" w14:textId="77777777" w:rsidR="004269EA" w:rsidRDefault="004269EA" w:rsidP="00CB7B1B">
      <w:pPr>
        <w:jc w:val="both"/>
        <w:rPr>
          <w:rFonts w:asciiTheme="minorBidi" w:hAnsiTheme="minorBidi" w:cstheme="minorBidi"/>
          <w:b/>
          <w:bCs/>
          <w:sz w:val="22"/>
          <w:szCs w:val="22"/>
          <w:lang w:val="en-GB"/>
        </w:rPr>
      </w:pPr>
    </w:p>
    <w:p w14:paraId="45FC6D28" w14:textId="1421E51C"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3.3 Agrochemical Inputs, Soil Pollution, and Microbial Disruption</w:t>
      </w:r>
    </w:p>
    <w:p w14:paraId="7FF477A9" w14:textId="560BDAE9"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Modern agriculture’s reliance on pesticides and fertilizers often neglects long-term ecological effects. Pesticides, inherently xenobiotic, disrupt beneficial soil microbiota, diminish pollinators, and raise food safety concerns (Faruque Ahmad et al., 2024). These impacts have encouraged researchers to support regulatory agencies in defining pesticide life cycles, soil quality standards, and environmental thresholds (Zhang &amp; Li, 2023; Schwarz et al., 2022).</w:t>
      </w:r>
      <w:r w:rsidRPr="005E13FE">
        <w:rPr>
          <w:rFonts w:asciiTheme="minorBidi" w:hAnsiTheme="minorBidi" w:cstheme="minorBidi"/>
          <w:sz w:val="22"/>
          <w:szCs w:val="22"/>
          <w:lang w:val="en-GB"/>
        </w:rPr>
        <w:br/>
        <w:t xml:space="preserve">While pesticides remain essential for crop protection, their excessive use causes </w:t>
      </w:r>
      <w:r w:rsidRPr="005E13FE">
        <w:rPr>
          <w:rFonts w:asciiTheme="minorBidi" w:hAnsiTheme="minorBidi" w:cstheme="minorBidi"/>
          <w:sz w:val="22"/>
          <w:szCs w:val="22"/>
          <w:lang w:val="en-GB"/>
        </w:rPr>
        <w:lastRenderedPageBreak/>
        <w:t xml:space="preserve">soil contamination, nutrient imbalance, and structural degradation. Global assessments by the FAO and UNEP emphasize the need for sustainable soil management, microbial conservation, and restoration of </w:t>
      </w:r>
      <w:r w:rsidR="004269EA">
        <w:rPr>
          <w:rFonts w:asciiTheme="minorBidi" w:hAnsiTheme="minorBidi" w:cstheme="minorBidi"/>
          <w:sz w:val="22"/>
          <w:szCs w:val="22"/>
          <w:lang w:val="en-GB"/>
        </w:rPr>
        <w:t>SOM</w:t>
      </w:r>
      <w:r w:rsidRPr="005E13FE">
        <w:rPr>
          <w:rFonts w:asciiTheme="minorBidi" w:hAnsiTheme="minorBidi" w:cstheme="minorBidi"/>
          <w:sz w:val="22"/>
          <w:szCs w:val="22"/>
          <w:lang w:val="en-GB"/>
        </w:rPr>
        <w:t xml:space="preserve"> (FAO &amp; UNEP, 2021). The Global Status of Soil Pollution report reinforces the importance of prevention and remediation under the UN Decade on Ecosystem Restoration (2021–2030) (UNGA Resolution 73/284, 2019).</w:t>
      </w:r>
    </w:p>
    <w:p w14:paraId="442D5039" w14:textId="77777777" w:rsidR="004269EA" w:rsidRPr="005E13FE" w:rsidRDefault="004269EA" w:rsidP="00CB7B1B">
      <w:pPr>
        <w:jc w:val="both"/>
        <w:rPr>
          <w:rFonts w:asciiTheme="minorBidi" w:hAnsiTheme="minorBidi" w:cstheme="minorBidi"/>
          <w:sz w:val="22"/>
          <w:szCs w:val="22"/>
          <w:lang w:val="en-GB"/>
        </w:rPr>
      </w:pPr>
    </w:p>
    <w:p w14:paraId="609F9052"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3.4 Integrative Understanding of Soil Function and Contamination</w:t>
      </w:r>
    </w:p>
    <w:p w14:paraId="3406700E" w14:textId="77777777" w:rsidR="004269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Collectively, these observations highlight soil as a complex biogeochemical system whose ecological services depend on nutrient balance, organic matter, and microbial communities. Heavy metals, pesticides, industrial wastes, and inappropriate fertilizer use disrupt soil fertility, plant stress physiology, biodiversity, and food security. Understanding these dynamics is essential for designing integrated remediation strategies that restore soil function while preserving ecosystem services.</w:t>
      </w:r>
    </w:p>
    <w:p w14:paraId="6470726D" w14:textId="19E798B6"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This integrative perspective underpins the subsequent sections, which </w:t>
      </w:r>
      <w:r w:rsidR="004269EA" w:rsidRPr="005E13FE">
        <w:rPr>
          <w:rFonts w:asciiTheme="minorBidi" w:hAnsiTheme="minorBidi" w:cstheme="minorBidi"/>
          <w:sz w:val="22"/>
          <w:szCs w:val="22"/>
          <w:lang w:val="en-GB"/>
        </w:rPr>
        <w:t>analyse</w:t>
      </w:r>
      <w:r w:rsidRPr="005E13FE">
        <w:rPr>
          <w:rFonts w:asciiTheme="minorBidi" w:hAnsiTheme="minorBidi" w:cstheme="minorBidi"/>
          <w:sz w:val="22"/>
          <w:szCs w:val="22"/>
          <w:lang w:val="en-GB"/>
        </w:rPr>
        <w:t xml:space="preserve"> nutrient dynamics, contaminant toxicology, and remediation strategies, emphasizing their relevance to agricultural sustainability, environmental health, and the One Health framework.</w:t>
      </w:r>
    </w:p>
    <w:p w14:paraId="28BC80CF" w14:textId="77777777" w:rsidR="004269EA" w:rsidRPr="005E13FE" w:rsidRDefault="004269EA" w:rsidP="00CB7B1B">
      <w:pPr>
        <w:jc w:val="both"/>
        <w:rPr>
          <w:rFonts w:asciiTheme="minorBidi" w:hAnsiTheme="minorBidi" w:cstheme="minorBidi"/>
          <w:sz w:val="22"/>
          <w:szCs w:val="22"/>
          <w:lang w:val="en-GB"/>
        </w:rPr>
      </w:pPr>
    </w:p>
    <w:p w14:paraId="48E2BB3B"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 Soil Profile and Nutrient–Soil Interactions</w:t>
      </w:r>
    </w:p>
    <w:p w14:paraId="3D359509" w14:textId="759CFAB1"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Building on the integrative understanding of soil structure and ecosystem services discussed in Section 3, a focused examination of the soil profile is essential for contextualizing nutrient availability, contaminant mobility, microbial activity, and plant–soil interactions. The vertical arrangement of soil horizons, shaped by </w:t>
      </w:r>
      <w:proofErr w:type="spellStart"/>
      <w:r w:rsidRPr="005E13FE">
        <w:rPr>
          <w:rFonts w:asciiTheme="minorBidi" w:hAnsiTheme="minorBidi" w:cstheme="minorBidi"/>
          <w:sz w:val="22"/>
          <w:szCs w:val="22"/>
          <w:lang w:val="en-GB"/>
        </w:rPr>
        <w:t>pedogenic</w:t>
      </w:r>
      <w:proofErr w:type="spellEnd"/>
      <w:r w:rsidRPr="005E13FE">
        <w:rPr>
          <w:rFonts w:asciiTheme="minorBidi" w:hAnsiTheme="minorBidi" w:cstheme="minorBidi"/>
          <w:sz w:val="22"/>
          <w:szCs w:val="22"/>
          <w:lang w:val="en-GB"/>
        </w:rPr>
        <w:t xml:space="preserve"> processes, governs cation exchange capacity, metal sorption, organic matter turnover, and root distribution</w:t>
      </w:r>
      <w:r w:rsidR="005623F8">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factors</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that directly determine how heavy metals and pesticides behave within the soil matrix.</w:t>
      </w:r>
    </w:p>
    <w:p w14:paraId="2341812F" w14:textId="77777777" w:rsidR="005623F8" w:rsidRPr="005E13FE" w:rsidRDefault="005623F8" w:rsidP="00CB7B1B">
      <w:pPr>
        <w:jc w:val="both"/>
        <w:rPr>
          <w:rFonts w:asciiTheme="minorBidi" w:hAnsiTheme="minorBidi" w:cstheme="minorBidi"/>
          <w:sz w:val="22"/>
          <w:szCs w:val="22"/>
          <w:lang w:val="en-GB"/>
        </w:rPr>
      </w:pPr>
    </w:p>
    <w:p w14:paraId="4BA34280"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4.1 Structure of the Soil Profile and Its Functional Importance</w:t>
      </w:r>
    </w:p>
    <w:p w14:paraId="513B063C" w14:textId="34C30FB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The classical horizons</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O, A, E, B, C, and R</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represent layers with distinct physical, chemical, and biological properties. Early soil cartography (Schelling, 1970) and contemporary analyses (</w:t>
      </w:r>
      <w:proofErr w:type="spellStart"/>
      <w:r w:rsidRPr="005E13FE">
        <w:rPr>
          <w:rFonts w:asciiTheme="minorBidi" w:hAnsiTheme="minorBidi" w:cstheme="minorBidi"/>
          <w:sz w:val="22"/>
          <w:szCs w:val="22"/>
          <w:lang w:val="en-GB"/>
        </w:rPr>
        <w:t>Hartemink</w:t>
      </w:r>
      <w:proofErr w:type="spellEnd"/>
      <w:r w:rsidRPr="005E13FE">
        <w:rPr>
          <w:rFonts w:asciiTheme="minorBidi" w:hAnsiTheme="minorBidi" w:cstheme="minorBidi"/>
          <w:sz w:val="22"/>
          <w:szCs w:val="22"/>
          <w:lang w:val="en-GB"/>
        </w:rPr>
        <w:t xml:space="preserve"> et al., 2020) illustrate substantial intra- and inter-horizon variability, emphasizing that soil is not a uniform medium.</w:t>
      </w:r>
      <w:r w:rsidRPr="005E13FE">
        <w:rPr>
          <w:rFonts w:asciiTheme="minorBidi" w:hAnsiTheme="minorBidi" w:cstheme="minorBidi"/>
          <w:sz w:val="22"/>
          <w:szCs w:val="22"/>
          <w:lang w:val="en-GB"/>
        </w:rPr>
        <w:br/>
        <w:t>The A horizon, rich in organic matter, underpins nutrient uptake, microbial colonization, and contaminant interactions, whereas the B horizon often serves as a zone of accumulation for metals, clay, and humic substances. This heterogeneity influences water infiltration, root penetration, redox gradients, and sorption–desorption processes. Understanding these horizon-specific dynamics is therefore critical for predicting pollutant transport, assessing bioavailability, and selecting remediation strategies.</w:t>
      </w:r>
    </w:p>
    <w:p w14:paraId="51A4E341" w14:textId="77777777" w:rsidR="005623F8" w:rsidRPr="005E13FE" w:rsidRDefault="005623F8" w:rsidP="00CB7B1B">
      <w:pPr>
        <w:jc w:val="both"/>
        <w:rPr>
          <w:rFonts w:asciiTheme="minorBidi" w:hAnsiTheme="minorBidi" w:cstheme="minorBidi"/>
          <w:sz w:val="22"/>
          <w:szCs w:val="22"/>
          <w:lang w:val="en-GB"/>
        </w:rPr>
      </w:pPr>
    </w:p>
    <w:p w14:paraId="606B0E8D"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4.2 Nutrient Dynamics and Soil Fertility</w:t>
      </w:r>
    </w:p>
    <w:p w14:paraId="061A2080" w14:textId="3EFFB929"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Soil fertility results from interactions among organic matter, minerals, microbial communities, and nutrient transformations. Although nitrogen is abundant in the atmosphere, plants rely on biological nitrogen fixation by rhizobacteria, cyanobacteria, and diazotrophs such as Azotobacter (Shridhar, 2012). SOM, though a small portion of total soil mass, regulates nutrient retention, water-holding </w:t>
      </w:r>
      <w:r w:rsidRPr="005E13FE">
        <w:rPr>
          <w:rFonts w:asciiTheme="minorBidi" w:hAnsiTheme="minorBidi" w:cstheme="minorBidi"/>
          <w:sz w:val="22"/>
          <w:szCs w:val="22"/>
          <w:lang w:val="en-GB"/>
        </w:rPr>
        <w:lastRenderedPageBreak/>
        <w:t>capacity, and aggregation, while its decomposition products</w:t>
      </w:r>
      <w:r w:rsidR="0071763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71763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humic and fulvic acids</w:t>
      </w:r>
      <w:r w:rsidR="0071763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bind</w:t>
      </w:r>
      <w:r w:rsidR="0071763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reducing toxicity and controlling bioavailability.</w:t>
      </w:r>
    </w:p>
    <w:p w14:paraId="31C7C851" w14:textId="77777777" w:rsidR="0071763E" w:rsidRPr="005E13FE" w:rsidRDefault="0071763E" w:rsidP="00CB7B1B">
      <w:pPr>
        <w:jc w:val="both"/>
        <w:rPr>
          <w:rFonts w:asciiTheme="minorBidi" w:hAnsiTheme="minorBidi" w:cstheme="minorBidi"/>
          <w:sz w:val="22"/>
          <w:szCs w:val="22"/>
          <w:lang w:val="en-GB"/>
        </w:rPr>
      </w:pPr>
    </w:p>
    <w:p w14:paraId="335D89D8"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4.3 Factors Regulating Nutrient Availability and Soil Quality</w:t>
      </w:r>
    </w:p>
    <w:p w14:paraId="2BF6E75D" w14:textId="77777777" w:rsidR="00B56B5F"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Nutrient mobility is shaped by soil pH, redox potential, clay mineralogy, ionic strength, microbial biomass, and competing contaminants. Excessive or imbalanced fertilization alters microbial structure, disrupts nutrient cycling, and may induce soil acidification or salinization.</w:t>
      </w:r>
    </w:p>
    <w:p w14:paraId="267DF7EA" w14:textId="283F3AE1"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Anthropogenic inputs</w:t>
      </w:r>
      <w:r w:rsidR="00B56B5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B56B5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industrial emissions, mining residues, sewage sludge, and agrochemicals</w:t>
      </w:r>
      <w:r w:rsidR="00B56B5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introduce</w:t>
      </w:r>
      <w:r w:rsidR="00B56B5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synthetic pollutants into agricultural soils (Alloway, 1995). These contaminants compete with essential nutrients, inhibit microbial nitrogen fixation, impair root enzymatic activity, and induce oxidative stress in plants.</w:t>
      </w:r>
    </w:p>
    <w:p w14:paraId="68BE62E6" w14:textId="77777777" w:rsidR="00B56B5F" w:rsidRPr="005E13FE" w:rsidRDefault="00B56B5F" w:rsidP="00CB7B1B">
      <w:pPr>
        <w:jc w:val="both"/>
        <w:rPr>
          <w:rFonts w:asciiTheme="minorBidi" w:hAnsiTheme="minorBidi" w:cstheme="minorBidi"/>
          <w:sz w:val="22"/>
          <w:szCs w:val="22"/>
          <w:lang w:val="en-GB"/>
        </w:rPr>
      </w:pPr>
    </w:p>
    <w:p w14:paraId="499C9AAF"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4.4 Agrochemicals and the Disruption of Soil Nutrient–Microbe Balance</w:t>
      </w:r>
    </w:p>
    <w:p w14:paraId="17E6FAC7" w14:textId="7C7FB583"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Although fertilizers and pesticides remain integral to modern agriculture, their misuse can destabilize soil nutrient–microbe interactions. Pesticides, being xenobiotic, suppress beneficial microbes, reduce enzymatic activity, and interfere with nutrient cycling (Faruque Ahmad et al., 2024). Their persistence</w:t>
      </w:r>
      <w:r w:rsidR="00B7031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well</w:t>
      </w:r>
      <w:r w:rsidR="00B7031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documented across organochlorines, organophosphates, carbamates, and pyrethroids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2021; Kim et al., 2017)</w:t>
      </w:r>
      <w:r w:rsidR="00B7031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modifies</w:t>
      </w:r>
      <w:r w:rsidR="00B7031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soil chemistry and cation exchange behavio</w:t>
      </w:r>
      <w:r w:rsidR="00B7031F">
        <w:rPr>
          <w:rFonts w:asciiTheme="minorBidi" w:hAnsiTheme="minorBidi" w:cstheme="minorBidi"/>
          <w:sz w:val="22"/>
          <w:szCs w:val="22"/>
          <w:lang w:val="en-GB"/>
        </w:rPr>
        <w:t>u</w:t>
      </w:r>
      <w:r w:rsidRPr="005E13FE">
        <w:rPr>
          <w:rFonts w:asciiTheme="minorBidi" w:hAnsiTheme="minorBidi" w:cstheme="minorBidi"/>
          <w:sz w:val="22"/>
          <w:szCs w:val="22"/>
          <w:lang w:val="en-GB"/>
        </w:rPr>
        <w:t>r, also influencing heavy</w:t>
      </w:r>
      <w:r w:rsidRPr="005E13FE">
        <w:rPr>
          <w:rFonts w:ascii="Cambria Math" w:hAnsi="Cambria Math" w:cs="Cambria Math"/>
          <w:sz w:val="22"/>
          <w:szCs w:val="22"/>
          <w:lang w:val="en-GB"/>
        </w:rPr>
        <w:t>‐</w:t>
      </w:r>
      <w:r w:rsidRPr="005E13FE">
        <w:rPr>
          <w:rFonts w:asciiTheme="minorBidi" w:hAnsiTheme="minorBidi" w:cstheme="minorBidi"/>
          <w:sz w:val="22"/>
          <w:szCs w:val="22"/>
          <w:lang w:val="en-GB"/>
        </w:rPr>
        <w:t>metal sorption. Growing concerns have prompted refinement of pesticide guidelines and soil quality standards (Zhang &amp; Li, 2023; Schwarz et al., 2022).</w:t>
      </w:r>
    </w:p>
    <w:p w14:paraId="04075FD4" w14:textId="77777777" w:rsidR="00B7031F" w:rsidRPr="005E13FE" w:rsidRDefault="00B7031F" w:rsidP="00CB7B1B">
      <w:pPr>
        <w:jc w:val="both"/>
        <w:rPr>
          <w:rFonts w:asciiTheme="minorBidi" w:hAnsiTheme="minorBidi" w:cstheme="minorBidi"/>
          <w:sz w:val="22"/>
          <w:szCs w:val="22"/>
          <w:lang w:val="en-GB"/>
        </w:rPr>
      </w:pPr>
    </w:p>
    <w:p w14:paraId="132F578C"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4.5 Implications for Soil Contaminant </w:t>
      </w:r>
      <w:proofErr w:type="spellStart"/>
      <w:r w:rsidRPr="005E13FE">
        <w:rPr>
          <w:rFonts w:asciiTheme="minorBidi" w:hAnsiTheme="minorBidi" w:cstheme="minorBidi"/>
          <w:b/>
          <w:bCs/>
          <w:sz w:val="22"/>
          <w:szCs w:val="22"/>
          <w:lang w:val="en-GB"/>
        </w:rPr>
        <w:t>Behavior</w:t>
      </w:r>
      <w:proofErr w:type="spellEnd"/>
    </w:p>
    <w:p w14:paraId="1A3E52A1" w14:textId="7777777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physicochemical properties of each horizon determine pollutant partitioning, transformation, and movement. Clay-rich B horizons promote metal adsorption; SOM-rich A horizons enhance pesticide sorption while enabling biodegradation; fluctuating redox conditions can mobilize Fe, Mn,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and soil moisture and microbial activity control agrochemical degradation pathways.</w:t>
      </w:r>
      <w:r w:rsidRPr="005E13FE">
        <w:rPr>
          <w:rFonts w:asciiTheme="minorBidi" w:hAnsiTheme="minorBidi" w:cstheme="minorBidi"/>
          <w:sz w:val="22"/>
          <w:szCs w:val="22"/>
          <w:lang w:val="en-GB"/>
        </w:rPr>
        <w:br/>
        <w:t>Thus, nutrient–soil interactions are inseparable from contaminant dynamics, as the soil profile ultimately dictates pollutant persistence, root and microbial exposure, and pathways into the food chain.</w:t>
      </w:r>
    </w:p>
    <w:p w14:paraId="4634C806" w14:textId="77777777" w:rsidR="00956A63" w:rsidRPr="005E13FE" w:rsidRDefault="00956A63" w:rsidP="00CB7B1B">
      <w:pPr>
        <w:jc w:val="both"/>
        <w:rPr>
          <w:rFonts w:asciiTheme="minorBidi" w:hAnsiTheme="minorBidi" w:cstheme="minorBidi"/>
          <w:sz w:val="22"/>
          <w:szCs w:val="22"/>
          <w:lang w:val="en-GB"/>
        </w:rPr>
      </w:pPr>
    </w:p>
    <w:p w14:paraId="63F4A9E0"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 Heavy Metals, Pesticides, and Their Toxicological Mechanisms</w:t>
      </w:r>
    </w:p>
    <w:p w14:paraId="3C25E9D7" w14:textId="7777777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Building on the nutrient–soil interactions described in Section 4, heavy metals and pesticides represent two dominant contaminant classes that disrupt soil biochemical processes, plant physiology, microbial communities, and broader ecological and human health pathways. Their persistence, bioavailability, and capacity for food-chain accumulation make them among the most consequential pollutants. Although widely reported in soils, their mechanistic toxicological effects require integrated interpretation to understand how contamination impairs soil function, agricultural productivity, and One Health outcomes.</w:t>
      </w:r>
    </w:p>
    <w:p w14:paraId="5C0DBC2B" w14:textId="77777777" w:rsidR="00142825" w:rsidRPr="005E13FE" w:rsidRDefault="00142825" w:rsidP="00CB7B1B">
      <w:pPr>
        <w:jc w:val="both"/>
        <w:rPr>
          <w:rFonts w:asciiTheme="minorBidi" w:hAnsiTheme="minorBidi" w:cstheme="minorBidi"/>
          <w:sz w:val="22"/>
          <w:szCs w:val="22"/>
          <w:lang w:val="en-GB"/>
        </w:rPr>
      </w:pPr>
    </w:p>
    <w:p w14:paraId="1588B36D"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5.1 Heavy Metals: Sources, Persistence, and Environmental Behaviour</w:t>
      </w:r>
    </w:p>
    <w:p w14:paraId="385819AA" w14:textId="5B1F31DB"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Heavy metals enter agricultural soils through mining effluents, industrial emissions, sewage sludge, agrochemical residues, and atmospheric deposition (Alloway, </w:t>
      </w:r>
      <w:r w:rsidRPr="005E13FE">
        <w:rPr>
          <w:rFonts w:asciiTheme="minorBidi" w:hAnsiTheme="minorBidi" w:cstheme="minorBidi"/>
          <w:sz w:val="22"/>
          <w:szCs w:val="22"/>
          <w:lang w:val="en-GB"/>
        </w:rPr>
        <w:lastRenderedPageBreak/>
        <w:t>1995).</w:t>
      </w:r>
      <w:r w:rsidR="00142825">
        <w:rPr>
          <w:rFonts w:asciiTheme="minorBidi" w:hAnsiTheme="minorBidi" w:cstheme="minorBidi"/>
          <w:sz w:val="22"/>
          <w:szCs w:val="22"/>
          <w:lang w:val="en-GB"/>
        </w:rPr>
        <w:t xml:space="preserve"> And </w:t>
      </w:r>
      <w:proofErr w:type="gramStart"/>
      <w:r w:rsidR="00142825">
        <w:rPr>
          <w:rFonts w:asciiTheme="minorBidi" w:hAnsiTheme="minorBidi" w:cstheme="minorBidi"/>
          <w:sz w:val="22"/>
          <w:szCs w:val="22"/>
          <w:lang w:val="en-GB"/>
        </w:rPr>
        <w:t>again</w:t>
      </w:r>
      <w:proofErr w:type="gramEnd"/>
      <w:r w:rsidR="00142825">
        <w:rPr>
          <w:rFonts w:asciiTheme="minorBidi" w:hAnsiTheme="minorBidi" w:cstheme="minorBidi"/>
          <w:sz w:val="22"/>
          <w:szCs w:val="22"/>
          <w:lang w:val="en-GB"/>
        </w:rPr>
        <w:t xml:space="preserve"> we should keep in mind that b</w:t>
      </w:r>
      <w:r w:rsidRPr="005E13FE">
        <w:rPr>
          <w:rFonts w:asciiTheme="minorBidi" w:hAnsiTheme="minorBidi" w:cstheme="minorBidi"/>
          <w:sz w:val="22"/>
          <w:szCs w:val="22"/>
          <w:lang w:val="en-GB"/>
        </w:rPr>
        <w:t>ecause they cannot degrade, heavy metals persist indefinitely, with environmental behavio</w:t>
      </w:r>
      <w:r w:rsidR="00142825">
        <w:rPr>
          <w:rFonts w:asciiTheme="minorBidi" w:hAnsiTheme="minorBidi" w:cstheme="minorBidi"/>
          <w:sz w:val="22"/>
          <w:szCs w:val="22"/>
          <w:lang w:val="en-GB"/>
        </w:rPr>
        <w:t>u</w:t>
      </w:r>
      <w:r w:rsidRPr="005E13FE">
        <w:rPr>
          <w:rFonts w:asciiTheme="minorBidi" w:hAnsiTheme="minorBidi" w:cstheme="minorBidi"/>
          <w:sz w:val="22"/>
          <w:szCs w:val="22"/>
          <w:lang w:val="en-GB"/>
        </w:rPr>
        <w:t>r governed by soil pH, redox potential, clay mineralogy, organic matter, and competing ions. Metals such as Zn, Cu, and Fe are essential micronutrients but become toxic beyond threshold levels (Nieboer &amp; Richardson, 1980; McGinley et al., 2022), whereas non-essential elements like Cd, Pb, and Hg exert toxicity even at low concentrations.</w:t>
      </w:r>
    </w:p>
    <w:p w14:paraId="476368ED" w14:textId="77777777" w:rsidR="00142825" w:rsidRPr="005E13FE" w:rsidRDefault="00142825" w:rsidP="00CB7B1B">
      <w:pPr>
        <w:jc w:val="both"/>
        <w:rPr>
          <w:rFonts w:asciiTheme="minorBidi" w:hAnsiTheme="minorBidi" w:cstheme="minorBidi"/>
          <w:sz w:val="22"/>
          <w:szCs w:val="22"/>
          <w:lang w:val="en-GB"/>
        </w:rPr>
      </w:pPr>
    </w:p>
    <w:p w14:paraId="26DD6A06"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5.1.1 Mechanisms of Heavy Metal Toxicity in Plants</w:t>
      </w:r>
    </w:p>
    <w:p w14:paraId="173924CD" w14:textId="53A9D706"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Heavy metals interfere with plant processes through:</w:t>
      </w:r>
      <w:r w:rsidRPr="005E13FE">
        <w:rPr>
          <w:rFonts w:asciiTheme="minorBidi" w:hAnsiTheme="minorBidi" w:cstheme="minorBidi"/>
          <w:sz w:val="22"/>
          <w:szCs w:val="22"/>
          <w:lang w:val="en-GB"/>
        </w:rPr>
        <w:br/>
        <w:t>• Oxidative stress, with Cd, Pb, and Cr</w:t>
      </w:r>
      <w:r w:rsidR="00E15ED1">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(VI) promoting </w:t>
      </w:r>
      <w:r w:rsidR="00E15ED1" w:rsidRPr="00E15ED1">
        <w:rPr>
          <w:rFonts w:asciiTheme="minorBidi" w:hAnsiTheme="minorBidi" w:cstheme="minorBidi"/>
          <w:sz w:val="22"/>
          <w:szCs w:val="22"/>
          <w:lang w:val="en-GB"/>
        </w:rPr>
        <w:t xml:space="preserve">Reactive Oxygen Species </w:t>
      </w:r>
      <w:r w:rsidR="00E15ED1">
        <w:rPr>
          <w:rFonts w:asciiTheme="minorBidi" w:hAnsiTheme="minorBidi" w:cstheme="minorBidi"/>
          <w:sz w:val="22"/>
          <w:szCs w:val="22"/>
          <w:lang w:val="en-GB"/>
        </w:rPr>
        <w:t>(</w:t>
      </w:r>
      <w:r w:rsidRPr="005E13FE">
        <w:rPr>
          <w:rFonts w:asciiTheme="minorBidi" w:hAnsiTheme="minorBidi" w:cstheme="minorBidi"/>
          <w:sz w:val="22"/>
          <w:szCs w:val="22"/>
          <w:lang w:val="en-GB"/>
        </w:rPr>
        <w:t>ROS</w:t>
      </w:r>
      <w:r w:rsidR="00E15ED1">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accumulation and damaging cellular components.</w:t>
      </w:r>
      <w:r w:rsidRPr="005E13FE">
        <w:rPr>
          <w:rFonts w:asciiTheme="minorBidi" w:hAnsiTheme="minorBidi" w:cstheme="minorBidi"/>
          <w:sz w:val="22"/>
          <w:szCs w:val="22"/>
          <w:lang w:val="en-GB"/>
        </w:rPr>
        <w:br/>
        <w:t>• Photosynthetic impairment, disrupting chlorophyll synthesis and electron transport.</w:t>
      </w:r>
      <w:r w:rsidRPr="005E13FE">
        <w:rPr>
          <w:rFonts w:asciiTheme="minorBidi" w:hAnsiTheme="minorBidi" w:cstheme="minorBidi"/>
          <w:sz w:val="22"/>
          <w:szCs w:val="22"/>
          <w:lang w:val="en-GB"/>
        </w:rPr>
        <w:br/>
        <w:t>• Root growth inhibition, disturbing cell division, elongation, and nutrient uptake.</w:t>
      </w:r>
      <w:r w:rsidRPr="005E13FE">
        <w:rPr>
          <w:rFonts w:asciiTheme="minorBidi" w:hAnsiTheme="minorBidi" w:cstheme="minorBidi"/>
          <w:sz w:val="22"/>
          <w:szCs w:val="22"/>
          <w:lang w:val="en-GB"/>
        </w:rPr>
        <w:br/>
        <w:t>• Nutrient imbalances, limiting Ca, Mg, Fe, and Zn uptake.</w:t>
      </w:r>
      <w:r w:rsidRPr="005E13FE">
        <w:rPr>
          <w:rFonts w:asciiTheme="minorBidi" w:hAnsiTheme="minorBidi" w:cstheme="minorBidi"/>
          <w:sz w:val="22"/>
          <w:szCs w:val="22"/>
          <w:lang w:val="en-GB"/>
        </w:rPr>
        <w:br/>
        <w:t>• Microbial disruption, inhibiting enzymes, nitrogen fixation, and beneficial microbial populations.</w:t>
      </w:r>
      <w:r w:rsidRPr="005E13FE">
        <w:rPr>
          <w:rFonts w:asciiTheme="minorBidi" w:hAnsiTheme="minorBidi" w:cstheme="minorBidi"/>
          <w:sz w:val="22"/>
          <w:szCs w:val="22"/>
          <w:lang w:val="en-GB"/>
        </w:rPr>
        <w:br/>
        <w:t>These mechanisms underpin the ecological and food-chain consequences of metal contamination.</w:t>
      </w:r>
    </w:p>
    <w:p w14:paraId="1ABABBCE" w14:textId="77777777" w:rsidR="00E15ED1" w:rsidRPr="005E13FE" w:rsidRDefault="00E15ED1" w:rsidP="00CB7B1B">
      <w:pPr>
        <w:jc w:val="both"/>
        <w:rPr>
          <w:rFonts w:asciiTheme="minorBidi" w:hAnsiTheme="minorBidi" w:cstheme="minorBidi"/>
          <w:sz w:val="22"/>
          <w:szCs w:val="22"/>
          <w:lang w:val="en-GB"/>
        </w:rPr>
      </w:pPr>
    </w:p>
    <w:p w14:paraId="06457DEE"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5.2 Pesticides: Classification, Environmental Persistence, and Soil Interactions</w:t>
      </w:r>
    </w:p>
    <w:p w14:paraId="32FCC271" w14:textId="337608D6" w:rsidR="00C64FEA" w:rsidRPr="005E13FE"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Pesticides vary widely in chemical structures and modes of action, with fate determined by adsorption–desorption processes, pH, organic matter, and microbial degradation. Major groups include organochlorines, organophosphates, carbamates, and pyrethroids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xml:space="preserve">, 2021; Kim et al., 2017). </w:t>
      </w:r>
      <w:r w:rsidR="005D5FD9" w:rsidRPr="005D5FD9">
        <w:rPr>
          <w:rFonts w:asciiTheme="minorBidi" w:hAnsiTheme="minorBidi" w:cstheme="minorBidi"/>
          <w:sz w:val="22"/>
          <w:szCs w:val="22"/>
          <w:lang w:val="en-GB"/>
        </w:rPr>
        <w:t xml:space="preserve">Dichloro-Diphenyl-Trichloroethane </w:t>
      </w:r>
      <w:r w:rsidR="005D5FD9">
        <w:rPr>
          <w:rFonts w:asciiTheme="minorBidi" w:hAnsiTheme="minorBidi" w:cstheme="minorBidi"/>
          <w:sz w:val="22"/>
          <w:szCs w:val="22"/>
          <w:lang w:val="en-GB"/>
        </w:rPr>
        <w:t>(</w:t>
      </w:r>
      <w:r w:rsidRPr="005E13FE">
        <w:rPr>
          <w:rFonts w:asciiTheme="minorBidi" w:hAnsiTheme="minorBidi" w:cstheme="minorBidi"/>
          <w:sz w:val="22"/>
          <w:szCs w:val="22"/>
          <w:lang w:val="en-GB"/>
        </w:rPr>
        <w:t>DDT</w:t>
      </w:r>
      <w:r w:rsidR="005D5FD9">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remains a classic example of environmental persistence and bioaccumulation (Figure 7).</w:t>
      </w:r>
      <w:r w:rsidRPr="005E13FE">
        <w:rPr>
          <w:rFonts w:asciiTheme="minorBidi" w:hAnsiTheme="minorBidi" w:cstheme="minorBidi"/>
          <w:sz w:val="22"/>
          <w:szCs w:val="22"/>
          <w:lang w:val="en-GB"/>
        </w:rPr>
        <w:br/>
        <w:t>Carbamates, derived from organic carbamic acid structures, include widely used compounds such as carbaryl (Figure 8) (Zacharia &amp; Tano, 2011). Mechanistically, carbamates and organophosphates share toxicity patterns through acetylcholinesterase inhibition (Silberman &amp; Taylor, 2023).</w:t>
      </w:r>
    </w:p>
    <w:p w14:paraId="25BC3E9F" w14:textId="77777777" w:rsidR="00C64FEA" w:rsidRPr="005E13FE" w:rsidRDefault="00C64FEA" w:rsidP="00CB7B1B">
      <w:pPr>
        <w:jc w:val="both"/>
        <w:rPr>
          <w:rFonts w:asciiTheme="minorBidi" w:hAnsiTheme="minorBidi" w:cstheme="minorBidi"/>
          <w:b/>
          <w:bCs/>
          <w:sz w:val="22"/>
          <w:szCs w:val="22"/>
          <w:lang w:val="en-GB"/>
        </w:rPr>
      </w:pPr>
    </w:p>
    <w:p w14:paraId="41BB1DDF" w14:textId="77777777" w:rsidR="00C64FEA" w:rsidRPr="005E13FE" w:rsidRDefault="00C64FEA" w:rsidP="00CB7B1B">
      <w:pPr>
        <w:jc w:val="both"/>
        <w:rPr>
          <w:rFonts w:asciiTheme="minorBidi" w:hAnsiTheme="minorBidi" w:cstheme="minorBidi"/>
          <w:b/>
          <w:bCs/>
          <w:sz w:val="22"/>
          <w:szCs w:val="22"/>
          <w:lang w:val="en-GB"/>
        </w:rPr>
      </w:pPr>
    </w:p>
    <w:p w14:paraId="4275D21F" w14:textId="77777777" w:rsidR="00C64FEA" w:rsidRPr="005E13FE" w:rsidRDefault="00C64FEA" w:rsidP="00CB7B1B">
      <w:pPr>
        <w:jc w:val="both"/>
        <w:rPr>
          <w:rFonts w:asciiTheme="minorBidi" w:hAnsiTheme="minorBidi" w:cstheme="minorBidi"/>
          <w:b/>
          <w:bCs/>
          <w:sz w:val="22"/>
          <w:szCs w:val="22"/>
          <w:lang w:val="en-GB"/>
        </w:rPr>
      </w:pPr>
    </w:p>
    <w:p w14:paraId="030457EF" w14:textId="1256C4E6" w:rsidR="00C64FEA" w:rsidRPr="005E13FE" w:rsidRDefault="00B1170C" w:rsidP="00CB7B1B">
      <w:pPr>
        <w:pStyle w:val="NormalWeb"/>
        <w:spacing w:before="0" w:after="0"/>
        <w:jc w:val="center"/>
        <w:textAlignment w:val="baseline"/>
        <w:rPr>
          <w:rFonts w:asciiTheme="minorBidi" w:hAnsiTheme="minorBidi" w:cstheme="minorBidi"/>
          <w:spacing w:val="-2"/>
          <w:sz w:val="22"/>
          <w:szCs w:val="22"/>
          <w:lang w:val="en-GB"/>
        </w:rPr>
      </w:pPr>
      <w:r w:rsidRPr="005E13FE">
        <w:rPr>
          <w:rFonts w:asciiTheme="minorBidi" w:hAnsiTheme="minorBidi" w:cstheme="minorBidi"/>
          <w:noProof/>
          <w:sz w:val="22"/>
          <w:szCs w:val="22"/>
          <w:lang w:val="en-GB"/>
        </w:rPr>
        <w:lastRenderedPageBreak/>
        <w:drawing>
          <wp:inline distT="0" distB="0" distL="0" distR="0" wp14:anchorId="25CC6ADF" wp14:editId="252A316D">
            <wp:extent cx="5212080" cy="2839030"/>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objekt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12080" cy="2839030"/>
                    </a:xfrm>
                    <a:prstGeom prst="rect">
                      <a:avLst/>
                    </a:prstGeom>
                    <a:noFill/>
                    <a:ln>
                      <a:noFill/>
                    </a:ln>
                  </pic:spPr>
                </pic:pic>
              </a:graphicData>
            </a:graphic>
          </wp:inline>
        </w:drawing>
      </w:r>
    </w:p>
    <w:p w14:paraId="2F5F3061" w14:textId="77777777" w:rsidR="00B1170C" w:rsidRDefault="00B1170C"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7 </w:t>
      </w:r>
      <w:r w:rsidRPr="005E13FE">
        <w:rPr>
          <w:rFonts w:asciiTheme="minorBidi" w:hAnsiTheme="minorBidi" w:cstheme="minorBidi"/>
          <w:sz w:val="22"/>
          <w:szCs w:val="22"/>
          <w:lang w:val="en-GB"/>
        </w:rPr>
        <w:t>Classification and examples of pesticides.</w:t>
      </w:r>
    </w:p>
    <w:p w14:paraId="04717E67" w14:textId="77777777" w:rsidR="00BD42FA" w:rsidRDefault="00BD42FA" w:rsidP="00CB7B1B">
      <w:pPr>
        <w:jc w:val="both"/>
        <w:rPr>
          <w:rFonts w:asciiTheme="minorBidi" w:hAnsiTheme="minorBidi" w:cstheme="minorBidi"/>
          <w:sz w:val="22"/>
          <w:szCs w:val="22"/>
          <w:lang w:val="en-GB"/>
        </w:rPr>
      </w:pPr>
    </w:p>
    <w:p w14:paraId="6F7B4989" w14:textId="77777777" w:rsidR="003709FA" w:rsidRPr="005E13FE" w:rsidRDefault="003709FA" w:rsidP="00CB7B1B">
      <w:pPr>
        <w:jc w:val="both"/>
        <w:rPr>
          <w:rFonts w:asciiTheme="minorBidi" w:hAnsiTheme="minorBidi" w:cstheme="minorBidi"/>
          <w:sz w:val="22"/>
          <w:szCs w:val="22"/>
          <w:lang w:val="en-GB"/>
        </w:rPr>
      </w:pPr>
    </w:p>
    <w:tbl>
      <w:tblPr>
        <w:tblStyle w:val="TableGrid"/>
        <w:tblW w:w="0" w:type="auto"/>
        <w:tblLook w:val="04A0" w:firstRow="1" w:lastRow="0" w:firstColumn="1" w:lastColumn="0" w:noHBand="0" w:noVBand="1"/>
      </w:tblPr>
      <w:tblGrid>
        <w:gridCol w:w="1864"/>
        <w:gridCol w:w="1599"/>
        <w:gridCol w:w="2821"/>
        <w:gridCol w:w="2140"/>
      </w:tblGrid>
      <w:tr w:rsidR="003709FA" w:rsidRPr="005E13FE" w14:paraId="0B67EA9E" w14:textId="77777777" w:rsidTr="00F3226F">
        <w:tc>
          <w:tcPr>
            <w:tcW w:w="1907" w:type="dxa"/>
          </w:tcPr>
          <w:p w14:paraId="67C0F1B2"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Name</w:t>
            </w:r>
          </w:p>
        </w:tc>
        <w:tc>
          <w:tcPr>
            <w:tcW w:w="1632" w:type="dxa"/>
          </w:tcPr>
          <w:p w14:paraId="70052D47"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Mode of action</w:t>
            </w:r>
          </w:p>
        </w:tc>
        <w:tc>
          <w:tcPr>
            <w:tcW w:w="3180" w:type="dxa"/>
          </w:tcPr>
          <w:p w14:paraId="11A6E10D"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Mechanism</w:t>
            </w:r>
          </w:p>
        </w:tc>
        <w:tc>
          <w:tcPr>
            <w:tcW w:w="2343" w:type="dxa"/>
          </w:tcPr>
          <w:p w14:paraId="4A1464B2"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Target diseases</w:t>
            </w:r>
          </w:p>
        </w:tc>
      </w:tr>
      <w:tr w:rsidR="003709FA" w:rsidRPr="005E13FE" w14:paraId="43882B51" w14:textId="77777777" w:rsidTr="00F3226F">
        <w:tc>
          <w:tcPr>
            <w:tcW w:w="1907" w:type="dxa"/>
          </w:tcPr>
          <w:p w14:paraId="2CA05CBB" w14:textId="77777777" w:rsidR="003709FA" w:rsidRPr="005E13FE" w:rsidRDefault="003709FA" w:rsidP="00CB7B1B">
            <w:pPr>
              <w:rPr>
                <w:rFonts w:asciiTheme="minorBidi" w:hAnsiTheme="minorBidi" w:cstheme="minorBidi"/>
              </w:rPr>
            </w:pPr>
            <w:r w:rsidRPr="005E13FE">
              <w:rPr>
                <w:rFonts w:asciiTheme="minorBidi" w:hAnsiTheme="minorBidi" w:cstheme="minorBidi"/>
              </w:rPr>
              <w:t>Tebuconazole</w:t>
            </w:r>
          </w:p>
        </w:tc>
        <w:tc>
          <w:tcPr>
            <w:tcW w:w="1632" w:type="dxa"/>
            <w:vMerge w:val="restart"/>
          </w:tcPr>
          <w:p w14:paraId="1F1247A7"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1B53A3B8"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 (C14-demethylation)</w:t>
            </w:r>
          </w:p>
        </w:tc>
        <w:tc>
          <w:tcPr>
            <w:tcW w:w="2343" w:type="dxa"/>
          </w:tcPr>
          <w:p w14:paraId="72BC7958"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Rusts</w:t>
            </w:r>
          </w:p>
        </w:tc>
      </w:tr>
      <w:tr w:rsidR="003709FA" w:rsidRPr="005E13FE" w14:paraId="04FCF471" w14:textId="77777777" w:rsidTr="00F3226F">
        <w:tc>
          <w:tcPr>
            <w:tcW w:w="1907" w:type="dxa"/>
          </w:tcPr>
          <w:p w14:paraId="59F29020" w14:textId="77777777" w:rsidR="003709FA" w:rsidRPr="005E13FE" w:rsidRDefault="003709FA" w:rsidP="00CB7B1B">
            <w:pPr>
              <w:rPr>
                <w:rFonts w:asciiTheme="minorBidi" w:hAnsiTheme="minorBidi" w:cstheme="minorBidi"/>
              </w:rPr>
            </w:pPr>
            <w:r w:rsidRPr="005E13FE">
              <w:rPr>
                <w:rFonts w:asciiTheme="minorBidi" w:hAnsiTheme="minorBidi" w:cstheme="minorBidi"/>
              </w:rPr>
              <w:t>Propiconazole</w:t>
            </w:r>
          </w:p>
        </w:tc>
        <w:tc>
          <w:tcPr>
            <w:tcW w:w="1632" w:type="dxa"/>
            <w:vMerge/>
          </w:tcPr>
          <w:p w14:paraId="49900353" w14:textId="77777777" w:rsidR="003709FA" w:rsidRPr="005E13FE" w:rsidRDefault="003709FA" w:rsidP="00CB7B1B">
            <w:pPr>
              <w:rPr>
                <w:rFonts w:asciiTheme="minorBidi" w:hAnsiTheme="minorBidi" w:cstheme="minorBidi"/>
              </w:rPr>
            </w:pPr>
          </w:p>
        </w:tc>
        <w:tc>
          <w:tcPr>
            <w:tcW w:w="3180" w:type="dxa"/>
          </w:tcPr>
          <w:p w14:paraId="34DC6FF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07C0A815"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Powdery mildew</w:t>
            </w:r>
          </w:p>
        </w:tc>
      </w:tr>
      <w:tr w:rsidR="003709FA" w:rsidRPr="005E13FE" w14:paraId="717806C0" w14:textId="77777777" w:rsidTr="00F3226F">
        <w:tc>
          <w:tcPr>
            <w:tcW w:w="1907" w:type="dxa"/>
          </w:tcPr>
          <w:p w14:paraId="773A391C" w14:textId="77777777" w:rsidR="003709FA" w:rsidRPr="005E13FE" w:rsidRDefault="003709FA" w:rsidP="00CB7B1B">
            <w:pPr>
              <w:rPr>
                <w:rFonts w:asciiTheme="minorBidi" w:hAnsiTheme="minorBidi" w:cstheme="minorBidi"/>
              </w:rPr>
            </w:pPr>
            <w:r w:rsidRPr="005E13FE">
              <w:rPr>
                <w:rFonts w:asciiTheme="minorBidi" w:hAnsiTheme="minorBidi" w:cstheme="minorBidi"/>
              </w:rPr>
              <w:t>Hexaconazole</w:t>
            </w:r>
          </w:p>
        </w:tc>
        <w:tc>
          <w:tcPr>
            <w:tcW w:w="1632" w:type="dxa"/>
            <w:vMerge/>
          </w:tcPr>
          <w:p w14:paraId="0FADF1DE" w14:textId="77777777" w:rsidR="003709FA" w:rsidRPr="005E13FE" w:rsidRDefault="003709FA" w:rsidP="00CB7B1B">
            <w:pPr>
              <w:rPr>
                <w:rFonts w:asciiTheme="minorBidi" w:hAnsiTheme="minorBidi" w:cstheme="minorBidi"/>
              </w:rPr>
            </w:pPr>
          </w:p>
        </w:tc>
        <w:tc>
          <w:tcPr>
            <w:tcW w:w="3180" w:type="dxa"/>
          </w:tcPr>
          <w:p w14:paraId="1F248D85"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5855DFD0" w14:textId="77777777" w:rsidR="003709FA" w:rsidRPr="005E13FE" w:rsidRDefault="003709FA" w:rsidP="00CB7B1B">
            <w:pPr>
              <w:rPr>
                <w:rFonts w:asciiTheme="minorBidi" w:hAnsiTheme="minorBidi" w:cstheme="minorBidi"/>
              </w:rPr>
            </w:pPr>
            <w:r w:rsidRPr="005E13FE">
              <w:rPr>
                <w:rFonts w:asciiTheme="minorBidi" w:hAnsiTheme="minorBidi" w:cstheme="minorBidi"/>
              </w:rPr>
              <w:t>Sheath blight, Rusts</w:t>
            </w:r>
          </w:p>
        </w:tc>
      </w:tr>
      <w:tr w:rsidR="003709FA" w:rsidRPr="005E13FE" w14:paraId="33DFA06B" w14:textId="77777777" w:rsidTr="00F3226F">
        <w:tc>
          <w:tcPr>
            <w:tcW w:w="1907" w:type="dxa"/>
          </w:tcPr>
          <w:p w14:paraId="24A7EBF0" w14:textId="77777777" w:rsidR="003709FA" w:rsidRPr="005E13FE" w:rsidRDefault="003709FA" w:rsidP="00CB7B1B">
            <w:pPr>
              <w:rPr>
                <w:rFonts w:asciiTheme="minorBidi" w:hAnsiTheme="minorBidi" w:cstheme="minorBidi"/>
              </w:rPr>
            </w:pPr>
            <w:r w:rsidRPr="005E13FE">
              <w:rPr>
                <w:rFonts w:asciiTheme="minorBidi" w:hAnsiTheme="minorBidi" w:cstheme="minorBidi"/>
              </w:rPr>
              <w:t>Difenoconazole</w:t>
            </w:r>
          </w:p>
        </w:tc>
        <w:tc>
          <w:tcPr>
            <w:tcW w:w="1632" w:type="dxa"/>
            <w:vMerge/>
          </w:tcPr>
          <w:p w14:paraId="59131726" w14:textId="77777777" w:rsidR="003709FA" w:rsidRPr="005E13FE" w:rsidRDefault="003709FA" w:rsidP="00CB7B1B">
            <w:pPr>
              <w:rPr>
                <w:rFonts w:asciiTheme="minorBidi" w:hAnsiTheme="minorBidi" w:cstheme="minorBidi"/>
              </w:rPr>
            </w:pPr>
          </w:p>
        </w:tc>
        <w:tc>
          <w:tcPr>
            <w:tcW w:w="3180" w:type="dxa"/>
          </w:tcPr>
          <w:p w14:paraId="4C6BF927"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654219AB" w14:textId="77777777" w:rsidR="003709FA" w:rsidRPr="005E13FE" w:rsidRDefault="003709FA" w:rsidP="00CB7B1B">
            <w:pPr>
              <w:rPr>
                <w:rFonts w:asciiTheme="minorBidi" w:hAnsiTheme="minorBidi" w:cstheme="minorBidi"/>
              </w:rPr>
            </w:pPr>
            <w:r w:rsidRPr="005E13FE">
              <w:rPr>
                <w:rFonts w:asciiTheme="minorBidi" w:hAnsiTheme="minorBidi" w:cstheme="minorBidi"/>
              </w:rPr>
              <w:t>Anthracnose, Powdery mildew</w:t>
            </w:r>
          </w:p>
        </w:tc>
      </w:tr>
      <w:tr w:rsidR="003709FA" w:rsidRPr="005E13FE" w14:paraId="1699BBD2" w14:textId="77777777" w:rsidTr="00F3226F">
        <w:tc>
          <w:tcPr>
            <w:tcW w:w="1907" w:type="dxa"/>
          </w:tcPr>
          <w:p w14:paraId="251A06E8" w14:textId="77777777" w:rsidR="003709FA" w:rsidRPr="005E13FE" w:rsidRDefault="003709FA" w:rsidP="00CB7B1B">
            <w:pPr>
              <w:rPr>
                <w:rFonts w:asciiTheme="minorBidi" w:hAnsiTheme="minorBidi" w:cstheme="minorBidi"/>
              </w:rPr>
            </w:pPr>
            <w:r w:rsidRPr="005E13FE">
              <w:rPr>
                <w:rFonts w:asciiTheme="minorBidi" w:hAnsiTheme="minorBidi" w:cstheme="minorBidi"/>
              </w:rPr>
              <w:t>Azoxystrobin</w:t>
            </w:r>
          </w:p>
        </w:tc>
        <w:tc>
          <w:tcPr>
            <w:tcW w:w="1632" w:type="dxa"/>
          </w:tcPr>
          <w:p w14:paraId="7287CA8B"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 Translaminar</w:t>
            </w:r>
          </w:p>
        </w:tc>
        <w:tc>
          <w:tcPr>
            <w:tcW w:w="3180" w:type="dxa"/>
          </w:tcPr>
          <w:p w14:paraId="5E7235A6"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5E810495" w14:textId="77777777" w:rsidR="003709FA" w:rsidRPr="005E13FE" w:rsidRDefault="003709FA" w:rsidP="00CB7B1B">
            <w:pPr>
              <w:rPr>
                <w:rFonts w:asciiTheme="minorBidi" w:hAnsiTheme="minorBidi" w:cstheme="minorBidi"/>
              </w:rPr>
            </w:pPr>
            <w:r w:rsidRPr="005E13FE">
              <w:rPr>
                <w:rFonts w:asciiTheme="minorBidi" w:hAnsiTheme="minorBidi" w:cstheme="minorBidi"/>
              </w:rPr>
              <w:t>Blast, Downy mildew</w:t>
            </w:r>
          </w:p>
        </w:tc>
      </w:tr>
      <w:tr w:rsidR="003709FA" w:rsidRPr="005E13FE" w14:paraId="3CE93252" w14:textId="77777777" w:rsidTr="00F3226F">
        <w:tc>
          <w:tcPr>
            <w:tcW w:w="1907" w:type="dxa"/>
          </w:tcPr>
          <w:p w14:paraId="22C72C26"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Trifloxystrobin</w:t>
            </w:r>
            <w:proofErr w:type="spellEnd"/>
          </w:p>
        </w:tc>
        <w:tc>
          <w:tcPr>
            <w:tcW w:w="1632" w:type="dxa"/>
          </w:tcPr>
          <w:p w14:paraId="4DF584DF"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 Contact</w:t>
            </w:r>
          </w:p>
        </w:tc>
        <w:tc>
          <w:tcPr>
            <w:tcW w:w="3180" w:type="dxa"/>
          </w:tcPr>
          <w:p w14:paraId="5EF73B66"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Inhibits mitochondrial electron transport (cytochrome b)</w:t>
            </w:r>
          </w:p>
        </w:tc>
        <w:tc>
          <w:tcPr>
            <w:tcW w:w="2343" w:type="dxa"/>
          </w:tcPr>
          <w:p w14:paraId="4DAE907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Rusts, Powdery mildew</w:t>
            </w:r>
          </w:p>
        </w:tc>
      </w:tr>
      <w:tr w:rsidR="003709FA" w:rsidRPr="005E13FE" w14:paraId="3DD814C0" w14:textId="77777777" w:rsidTr="00F3226F">
        <w:tc>
          <w:tcPr>
            <w:tcW w:w="1907" w:type="dxa"/>
          </w:tcPr>
          <w:p w14:paraId="593C4EC0"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Kresoxim</w:t>
            </w:r>
            <w:proofErr w:type="spellEnd"/>
            <w:r w:rsidRPr="005E13FE">
              <w:rPr>
                <w:rFonts w:asciiTheme="minorBidi" w:hAnsiTheme="minorBidi" w:cstheme="minorBidi"/>
              </w:rPr>
              <w:t>-methyl</w:t>
            </w:r>
          </w:p>
        </w:tc>
        <w:tc>
          <w:tcPr>
            <w:tcW w:w="1632" w:type="dxa"/>
          </w:tcPr>
          <w:p w14:paraId="79A60938"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71BC91A4"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mitochondrial respiration</w:t>
            </w:r>
          </w:p>
        </w:tc>
        <w:tc>
          <w:tcPr>
            <w:tcW w:w="2343" w:type="dxa"/>
          </w:tcPr>
          <w:p w14:paraId="6A2C3AC9"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Rusts</w:t>
            </w:r>
          </w:p>
        </w:tc>
      </w:tr>
      <w:tr w:rsidR="003709FA" w:rsidRPr="005E13FE" w14:paraId="589A1253" w14:textId="77777777" w:rsidTr="00F3226F">
        <w:tc>
          <w:tcPr>
            <w:tcW w:w="1907" w:type="dxa"/>
          </w:tcPr>
          <w:p w14:paraId="25A0DA86"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Boscalid</w:t>
            </w:r>
            <w:proofErr w:type="spellEnd"/>
          </w:p>
        </w:tc>
        <w:tc>
          <w:tcPr>
            <w:tcW w:w="1632" w:type="dxa"/>
            <w:vMerge w:val="restart"/>
          </w:tcPr>
          <w:p w14:paraId="26EC192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4A8EACA9"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mitochondrial respiration</w:t>
            </w:r>
          </w:p>
        </w:tc>
        <w:tc>
          <w:tcPr>
            <w:tcW w:w="2343" w:type="dxa"/>
          </w:tcPr>
          <w:p w14:paraId="5E82BD03" w14:textId="77777777" w:rsidR="003709FA" w:rsidRPr="005E13FE" w:rsidRDefault="003709FA" w:rsidP="00CB7B1B">
            <w:pPr>
              <w:rPr>
                <w:rFonts w:asciiTheme="minorBidi" w:hAnsiTheme="minorBidi" w:cstheme="minorBidi"/>
              </w:rPr>
            </w:pPr>
            <w:r w:rsidRPr="005E13FE">
              <w:rPr>
                <w:rFonts w:asciiTheme="minorBidi" w:hAnsiTheme="minorBidi" w:cstheme="minorBidi"/>
              </w:rPr>
              <w:t>Botrytis, Alternaria</w:t>
            </w:r>
          </w:p>
        </w:tc>
      </w:tr>
      <w:tr w:rsidR="003709FA" w:rsidRPr="005E13FE" w14:paraId="39AB57C1" w14:textId="77777777" w:rsidTr="00F3226F">
        <w:tc>
          <w:tcPr>
            <w:tcW w:w="1907" w:type="dxa"/>
          </w:tcPr>
          <w:p w14:paraId="29BDEC1F" w14:textId="77777777" w:rsidR="003709FA" w:rsidRPr="005E13FE" w:rsidRDefault="003709FA" w:rsidP="00CB7B1B">
            <w:pPr>
              <w:rPr>
                <w:rFonts w:asciiTheme="minorBidi" w:hAnsiTheme="minorBidi" w:cstheme="minorBidi"/>
              </w:rPr>
            </w:pPr>
            <w:r w:rsidRPr="005E13FE">
              <w:rPr>
                <w:rFonts w:asciiTheme="minorBidi" w:hAnsiTheme="minorBidi" w:cstheme="minorBidi"/>
              </w:rPr>
              <w:t>Fluxapyroxad</w:t>
            </w:r>
          </w:p>
        </w:tc>
        <w:tc>
          <w:tcPr>
            <w:tcW w:w="1632" w:type="dxa"/>
            <w:vMerge/>
          </w:tcPr>
          <w:p w14:paraId="76181F4D" w14:textId="77777777" w:rsidR="003709FA" w:rsidRPr="005E13FE" w:rsidRDefault="003709FA" w:rsidP="00CB7B1B">
            <w:pPr>
              <w:rPr>
                <w:rFonts w:asciiTheme="minorBidi" w:hAnsiTheme="minorBidi" w:cstheme="minorBidi"/>
              </w:rPr>
            </w:pPr>
          </w:p>
        </w:tc>
        <w:tc>
          <w:tcPr>
            <w:tcW w:w="3180" w:type="dxa"/>
          </w:tcPr>
          <w:p w14:paraId="1675B61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CD7B0ED"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r w:rsidR="003709FA" w:rsidRPr="005E13FE" w14:paraId="03A39917" w14:textId="77777777" w:rsidTr="00F3226F">
        <w:tc>
          <w:tcPr>
            <w:tcW w:w="1907" w:type="dxa"/>
          </w:tcPr>
          <w:p w14:paraId="7D5250EA" w14:textId="77777777" w:rsidR="003709FA" w:rsidRPr="005E13FE" w:rsidRDefault="003709FA" w:rsidP="00CB7B1B">
            <w:pPr>
              <w:rPr>
                <w:rFonts w:asciiTheme="minorBidi" w:hAnsiTheme="minorBidi" w:cstheme="minorBidi"/>
              </w:rPr>
            </w:pPr>
            <w:r w:rsidRPr="005E13FE">
              <w:rPr>
                <w:rFonts w:asciiTheme="minorBidi" w:hAnsiTheme="minorBidi" w:cstheme="minorBidi"/>
              </w:rPr>
              <w:t>Penthiopyrad</w:t>
            </w:r>
          </w:p>
        </w:tc>
        <w:tc>
          <w:tcPr>
            <w:tcW w:w="1632" w:type="dxa"/>
            <w:vMerge/>
          </w:tcPr>
          <w:p w14:paraId="59F71DFD" w14:textId="77777777" w:rsidR="003709FA" w:rsidRPr="005E13FE" w:rsidRDefault="003709FA" w:rsidP="00CB7B1B">
            <w:pPr>
              <w:rPr>
                <w:rFonts w:asciiTheme="minorBidi" w:hAnsiTheme="minorBidi" w:cstheme="minorBidi"/>
              </w:rPr>
            </w:pPr>
          </w:p>
        </w:tc>
        <w:tc>
          <w:tcPr>
            <w:tcW w:w="3180" w:type="dxa"/>
          </w:tcPr>
          <w:p w14:paraId="78464BD9"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BD8B4F9"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157423E5" w14:textId="77777777" w:rsidTr="00F3226F">
        <w:tc>
          <w:tcPr>
            <w:tcW w:w="1907" w:type="dxa"/>
          </w:tcPr>
          <w:p w14:paraId="3634B8A9" w14:textId="77777777" w:rsidR="003709FA" w:rsidRPr="005E13FE" w:rsidRDefault="003709FA" w:rsidP="00CB7B1B">
            <w:pPr>
              <w:rPr>
                <w:rFonts w:asciiTheme="minorBidi" w:hAnsiTheme="minorBidi" w:cstheme="minorBidi"/>
              </w:rPr>
            </w:pPr>
            <w:r w:rsidRPr="005E13FE">
              <w:rPr>
                <w:rFonts w:asciiTheme="minorBidi" w:hAnsiTheme="minorBidi" w:cstheme="minorBidi"/>
              </w:rPr>
              <w:t>Mancozeb</w:t>
            </w:r>
          </w:p>
        </w:tc>
        <w:tc>
          <w:tcPr>
            <w:tcW w:w="1632" w:type="dxa"/>
          </w:tcPr>
          <w:p w14:paraId="1F9CF2CE"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631B8048"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11533E2"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78CCDCE4" w14:textId="77777777" w:rsidTr="00F3226F">
        <w:tc>
          <w:tcPr>
            <w:tcW w:w="1907" w:type="dxa"/>
          </w:tcPr>
          <w:p w14:paraId="2391C3E9" w14:textId="77777777" w:rsidR="003709FA" w:rsidRPr="005E13FE" w:rsidRDefault="003709FA" w:rsidP="00CB7B1B">
            <w:pPr>
              <w:rPr>
                <w:rFonts w:asciiTheme="minorBidi" w:hAnsiTheme="minorBidi" w:cstheme="minorBidi"/>
              </w:rPr>
            </w:pPr>
            <w:r w:rsidRPr="005E13FE">
              <w:rPr>
                <w:rFonts w:asciiTheme="minorBidi" w:hAnsiTheme="minorBidi" w:cstheme="minorBidi"/>
              </w:rPr>
              <w:t>Zineb</w:t>
            </w:r>
          </w:p>
        </w:tc>
        <w:tc>
          <w:tcPr>
            <w:tcW w:w="1632" w:type="dxa"/>
          </w:tcPr>
          <w:p w14:paraId="2A159292"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18A4A51C"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 xml:space="preserve">Multi-site activity affecting </w:t>
            </w:r>
            <w:r w:rsidRPr="005E13FE">
              <w:rPr>
                <w:rFonts w:asciiTheme="minorBidi" w:hAnsiTheme="minorBidi" w:cstheme="minorBidi"/>
                <w:lang w:val="en-GB"/>
              </w:rPr>
              <w:lastRenderedPageBreak/>
              <w:t>enzyme systems</w:t>
            </w:r>
          </w:p>
        </w:tc>
        <w:tc>
          <w:tcPr>
            <w:tcW w:w="2343" w:type="dxa"/>
          </w:tcPr>
          <w:p w14:paraId="7F5EF43E"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lastRenderedPageBreak/>
              <w:t xml:space="preserve">Downy mildew, </w:t>
            </w:r>
            <w:r w:rsidRPr="005E13FE">
              <w:rPr>
                <w:rFonts w:asciiTheme="minorBidi" w:hAnsiTheme="minorBidi" w:cstheme="minorBidi"/>
                <w:lang w:val="en-GB"/>
              </w:rPr>
              <w:lastRenderedPageBreak/>
              <w:t>Leaf spots</w:t>
            </w:r>
          </w:p>
        </w:tc>
      </w:tr>
      <w:tr w:rsidR="003709FA" w:rsidRPr="005E13FE" w14:paraId="69AC8309" w14:textId="77777777" w:rsidTr="00F3226F">
        <w:tc>
          <w:tcPr>
            <w:tcW w:w="1907" w:type="dxa"/>
          </w:tcPr>
          <w:p w14:paraId="66430618" w14:textId="77777777" w:rsidR="003709FA" w:rsidRPr="005E13FE" w:rsidRDefault="003709FA" w:rsidP="00CB7B1B">
            <w:pPr>
              <w:rPr>
                <w:rFonts w:asciiTheme="minorBidi" w:hAnsiTheme="minorBidi" w:cstheme="minorBidi"/>
              </w:rPr>
            </w:pPr>
            <w:r w:rsidRPr="005E13FE">
              <w:rPr>
                <w:rFonts w:asciiTheme="minorBidi" w:hAnsiTheme="minorBidi" w:cstheme="minorBidi"/>
              </w:rPr>
              <w:t>Thiram</w:t>
            </w:r>
          </w:p>
        </w:tc>
        <w:tc>
          <w:tcPr>
            <w:tcW w:w="1632" w:type="dxa"/>
          </w:tcPr>
          <w:p w14:paraId="344DBCE2"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2553EEBD"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1FFA8AD3"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Seed-borne diseases</w:t>
            </w:r>
          </w:p>
        </w:tc>
      </w:tr>
      <w:tr w:rsidR="003709FA" w:rsidRPr="005E13FE" w14:paraId="6E37B616" w14:textId="77777777" w:rsidTr="00F3226F">
        <w:tc>
          <w:tcPr>
            <w:tcW w:w="1907" w:type="dxa"/>
          </w:tcPr>
          <w:p w14:paraId="1A2BEDED"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Captan</w:t>
            </w:r>
            <w:proofErr w:type="spellEnd"/>
          </w:p>
        </w:tc>
        <w:tc>
          <w:tcPr>
            <w:tcW w:w="1632" w:type="dxa"/>
          </w:tcPr>
          <w:p w14:paraId="22536807"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74CAA09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1C7FCF12"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Fruit rots, Leaf spots</w:t>
            </w:r>
          </w:p>
        </w:tc>
      </w:tr>
      <w:tr w:rsidR="003709FA" w:rsidRPr="005E13FE" w14:paraId="018195D1" w14:textId="77777777" w:rsidTr="00F3226F">
        <w:tc>
          <w:tcPr>
            <w:tcW w:w="1907" w:type="dxa"/>
          </w:tcPr>
          <w:p w14:paraId="6A514DF2" w14:textId="77777777" w:rsidR="003709FA" w:rsidRPr="005E13FE" w:rsidRDefault="003709FA" w:rsidP="00CB7B1B">
            <w:pPr>
              <w:rPr>
                <w:rFonts w:asciiTheme="minorBidi" w:hAnsiTheme="minorBidi" w:cstheme="minorBidi"/>
              </w:rPr>
            </w:pPr>
            <w:bookmarkStart w:id="1" w:name="_Hlk188264614"/>
            <w:r w:rsidRPr="005E13FE">
              <w:rPr>
                <w:rFonts w:asciiTheme="minorBidi" w:hAnsiTheme="minorBidi" w:cstheme="minorBidi"/>
              </w:rPr>
              <w:t>Myclobutanil</w:t>
            </w:r>
          </w:p>
        </w:tc>
        <w:tc>
          <w:tcPr>
            <w:tcW w:w="1632" w:type="dxa"/>
          </w:tcPr>
          <w:p w14:paraId="4C2822BE"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AC9A71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651C15EA"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rPr>
              <w:t>Powdery mildew, Leaf spots</w:t>
            </w:r>
          </w:p>
        </w:tc>
      </w:tr>
      <w:bookmarkEnd w:id="1"/>
      <w:tr w:rsidR="003709FA" w:rsidRPr="005E13FE" w14:paraId="10B1D4BB" w14:textId="77777777" w:rsidTr="00F3226F">
        <w:tc>
          <w:tcPr>
            <w:tcW w:w="1907" w:type="dxa"/>
          </w:tcPr>
          <w:p w14:paraId="635D244D" w14:textId="77777777" w:rsidR="003709FA" w:rsidRPr="005E13FE" w:rsidRDefault="003709FA" w:rsidP="00CB7B1B">
            <w:pPr>
              <w:rPr>
                <w:rFonts w:asciiTheme="minorBidi" w:hAnsiTheme="minorBidi" w:cstheme="minorBidi"/>
              </w:rPr>
            </w:pPr>
            <w:r w:rsidRPr="005E13FE">
              <w:rPr>
                <w:rFonts w:asciiTheme="minorBidi" w:hAnsiTheme="minorBidi" w:cstheme="minorBidi"/>
              </w:rPr>
              <w:t>Triadimefon</w:t>
            </w:r>
          </w:p>
        </w:tc>
        <w:tc>
          <w:tcPr>
            <w:tcW w:w="1632" w:type="dxa"/>
          </w:tcPr>
          <w:p w14:paraId="074692B7"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9773545"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2D437A26" w14:textId="77777777" w:rsidR="003709FA" w:rsidRPr="005E13FE" w:rsidRDefault="003709FA" w:rsidP="00CB7B1B">
            <w:pPr>
              <w:rPr>
                <w:rFonts w:asciiTheme="minorBidi" w:hAnsiTheme="minorBidi" w:cstheme="minorBidi"/>
              </w:rPr>
            </w:pPr>
            <w:r w:rsidRPr="005E13FE">
              <w:rPr>
                <w:rFonts w:asciiTheme="minorBidi" w:hAnsiTheme="minorBidi" w:cstheme="minorBidi"/>
                <w:lang w:val="en-GB"/>
              </w:rPr>
              <w:t>Rusts, Powdery mildew</w:t>
            </w:r>
          </w:p>
        </w:tc>
      </w:tr>
      <w:tr w:rsidR="003709FA" w:rsidRPr="005E13FE" w14:paraId="546838E4" w14:textId="77777777" w:rsidTr="00F3226F">
        <w:tc>
          <w:tcPr>
            <w:tcW w:w="1907" w:type="dxa"/>
          </w:tcPr>
          <w:p w14:paraId="113AC402" w14:textId="77777777" w:rsidR="003709FA" w:rsidRPr="005E13FE" w:rsidRDefault="003709FA" w:rsidP="00CB7B1B">
            <w:pPr>
              <w:rPr>
                <w:rFonts w:asciiTheme="minorBidi" w:hAnsiTheme="minorBidi" w:cstheme="minorBidi"/>
              </w:rPr>
            </w:pPr>
            <w:r w:rsidRPr="005E13FE">
              <w:rPr>
                <w:rFonts w:asciiTheme="minorBidi" w:hAnsiTheme="minorBidi" w:cstheme="minorBidi"/>
              </w:rPr>
              <w:t>Cymoxanil</w:t>
            </w:r>
          </w:p>
        </w:tc>
        <w:tc>
          <w:tcPr>
            <w:tcW w:w="1632" w:type="dxa"/>
          </w:tcPr>
          <w:p w14:paraId="167E2B70" w14:textId="77777777" w:rsidR="003709FA" w:rsidRPr="005E13FE" w:rsidRDefault="003709FA" w:rsidP="00CB7B1B">
            <w:pPr>
              <w:rPr>
                <w:rFonts w:asciiTheme="minorBidi" w:hAnsiTheme="minorBidi" w:cstheme="minorBidi"/>
              </w:rPr>
            </w:pPr>
            <w:r w:rsidRPr="005E13FE">
              <w:rPr>
                <w:rFonts w:asciiTheme="minorBidi" w:hAnsiTheme="minorBidi" w:cstheme="minorBidi"/>
              </w:rPr>
              <w:t>Translaminar</w:t>
            </w:r>
          </w:p>
        </w:tc>
        <w:tc>
          <w:tcPr>
            <w:tcW w:w="3180" w:type="dxa"/>
          </w:tcPr>
          <w:p w14:paraId="01552FB3"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3C13887F" w14:textId="77777777" w:rsidR="003709FA" w:rsidRPr="005E13FE" w:rsidRDefault="003709FA" w:rsidP="00CB7B1B">
            <w:pPr>
              <w:rPr>
                <w:rFonts w:asciiTheme="minorBidi" w:hAnsiTheme="minorBidi" w:cstheme="minorBidi"/>
              </w:rPr>
            </w:pPr>
            <w:r w:rsidRPr="005E13FE">
              <w:rPr>
                <w:rFonts w:asciiTheme="minorBidi" w:hAnsiTheme="minorBidi" w:cstheme="minorBidi"/>
              </w:rPr>
              <w:t>Downy mildew, Late blight</w:t>
            </w:r>
          </w:p>
        </w:tc>
      </w:tr>
      <w:tr w:rsidR="003709FA" w:rsidRPr="005E13FE" w14:paraId="55380A1C" w14:textId="77777777" w:rsidTr="00F3226F">
        <w:tc>
          <w:tcPr>
            <w:tcW w:w="1907" w:type="dxa"/>
          </w:tcPr>
          <w:p w14:paraId="3D5B7671"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Metalaxyl</w:t>
            </w:r>
            <w:proofErr w:type="spellEnd"/>
          </w:p>
        </w:tc>
        <w:tc>
          <w:tcPr>
            <w:tcW w:w="1632" w:type="dxa"/>
          </w:tcPr>
          <w:p w14:paraId="78DBB14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1F2DD887"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3CD868C4" w14:textId="77777777" w:rsidR="003709FA" w:rsidRPr="005E13FE" w:rsidRDefault="003709FA" w:rsidP="00CB7B1B">
            <w:pPr>
              <w:rPr>
                <w:rFonts w:asciiTheme="minorBidi" w:hAnsiTheme="minorBidi" w:cstheme="minorBidi"/>
              </w:rPr>
            </w:pPr>
            <w:r w:rsidRPr="005E13FE">
              <w:rPr>
                <w:rFonts w:asciiTheme="minorBidi" w:hAnsiTheme="minorBidi" w:cstheme="minorBidi"/>
              </w:rPr>
              <w:t>Downy mildew, Late blight</w:t>
            </w:r>
          </w:p>
        </w:tc>
      </w:tr>
      <w:tr w:rsidR="003709FA" w:rsidRPr="005E13FE" w14:paraId="1BC89FDF" w14:textId="77777777" w:rsidTr="00F3226F">
        <w:tc>
          <w:tcPr>
            <w:tcW w:w="1907" w:type="dxa"/>
          </w:tcPr>
          <w:p w14:paraId="61E8A505" w14:textId="77777777" w:rsidR="003709FA" w:rsidRPr="005E13FE" w:rsidRDefault="003709FA" w:rsidP="00CB7B1B">
            <w:pPr>
              <w:rPr>
                <w:rFonts w:asciiTheme="minorBidi" w:hAnsiTheme="minorBidi" w:cstheme="minorBidi"/>
              </w:rPr>
            </w:pPr>
            <w:r w:rsidRPr="005E13FE">
              <w:rPr>
                <w:rFonts w:asciiTheme="minorBidi" w:hAnsiTheme="minorBidi" w:cstheme="minorBidi"/>
              </w:rPr>
              <w:t>Mefenoxam</w:t>
            </w:r>
          </w:p>
        </w:tc>
        <w:tc>
          <w:tcPr>
            <w:tcW w:w="1632" w:type="dxa"/>
          </w:tcPr>
          <w:p w14:paraId="350F8A48"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038C15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0C5E6155" w14:textId="77777777" w:rsidR="003709FA" w:rsidRPr="005E13FE" w:rsidRDefault="003709FA" w:rsidP="00CB7B1B">
            <w:pPr>
              <w:rPr>
                <w:rFonts w:asciiTheme="minorBidi" w:hAnsiTheme="minorBidi" w:cstheme="minorBidi"/>
              </w:rPr>
            </w:pPr>
            <w:r w:rsidRPr="005E13FE">
              <w:rPr>
                <w:rFonts w:asciiTheme="minorBidi" w:hAnsiTheme="minorBidi" w:cstheme="minorBidi"/>
              </w:rPr>
              <w:t>Pythium, Downy mildew</w:t>
            </w:r>
          </w:p>
        </w:tc>
      </w:tr>
      <w:tr w:rsidR="003709FA" w:rsidRPr="005E13FE" w14:paraId="6AACA4FB" w14:textId="77777777" w:rsidTr="00F3226F">
        <w:tc>
          <w:tcPr>
            <w:tcW w:w="1907" w:type="dxa"/>
          </w:tcPr>
          <w:p w14:paraId="7AA9E501" w14:textId="77777777" w:rsidR="003709FA" w:rsidRPr="005E13FE" w:rsidRDefault="003709FA" w:rsidP="00CB7B1B">
            <w:pPr>
              <w:rPr>
                <w:rFonts w:asciiTheme="minorBidi" w:hAnsiTheme="minorBidi" w:cstheme="minorBidi"/>
              </w:rPr>
            </w:pPr>
            <w:r w:rsidRPr="005E13FE">
              <w:rPr>
                <w:rFonts w:asciiTheme="minorBidi" w:hAnsiTheme="minorBidi" w:cstheme="minorBidi"/>
              </w:rPr>
              <w:t>Chlorothalonil</w:t>
            </w:r>
          </w:p>
        </w:tc>
        <w:tc>
          <w:tcPr>
            <w:tcW w:w="1632" w:type="dxa"/>
          </w:tcPr>
          <w:p w14:paraId="62C36400"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7CE051F3"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44B4E471"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62C347DE" w14:textId="77777777" w:rsidTr="00F3226F">
        <w:tc>
          <w:tcPr>
            <w:tcW w:w="1907" w:type="dxa"/>
          </w:tcPr>
          <w:p w14:paraId="7C421A88" w14:textId="77777777" w:rsidR="003709FA" w:rsidRPr="005E13FE" w:rsidRDefault="003709FA" w:rsidP="00CB7B1B">
            <w:pPr>
              <w:rPr>
                <w:rFonts w:asciiTheme="minorBidi" w:hAnsiTheme="minorBidi" w:cstheme="minorBidi"/>
              </w:rPr>
            </w:pPr>
            <w:r w:rsidRPr="005E13FE">
              <w:rPr>
                <w:rFonts w:asciiTheme="minorBidi" w:hAnsiTheme="minorBidi" w:cstheme="minorBidi"/>
              </w:rPr>
              <w:t>Fosetyl-AI</w:t>
            </w:r>
          </w:p>
        </w:tc>
        <w:tc>
          <w:tcPr>
            <w:tcW w:w="1632" w:type="dxa"/>
          </w:tcPr>
          <w:p w14:paraId="0F00BC16"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2A3C4207"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fungal enzymes</w:t>
            </w:r>
          </w:p>
        </w:tc>
        <w:tc>
          <w:tcPr>
            <w:tcW w:w="2343" w:type="dxa"/>
          </w:tcPr>
          <w:p w14:paraId="64BDDC8F" w14:textId="77777777" w:rsidR="003709FA" w:rsidRPr="005E13FE" w:rsidRDefault="003709FA" w:rsidP="00CB7B1B">
            <w:pPr>
              <w:rPr>
                <w:rFonts w:asciiTheme="minorBidi" w:hAnsiTheme="minorBidi" w:cstheme="minorBidi"/>
              </w:rPr>
            </w:pPr>
            <w:r w:rsidRPr="005E13FE">
              <w:rPr>
                <w:rFonts w:asciiTheme="minorBidi" w:hAnsiTheme="minorBidi" w:cstheme="minorBidi"/>
                <w:lang w:val="en-GB"/>
              </w:rPr>
              <w:t xml:space="preserve">Downy mildew, </w:t>
            </w:r>
            <w:r w:rsidRPr="005E13FE">
              <w:rPr>
                <w:rFonts w:asciiTheme="minorBidi" w:hAnsiTheme="minorBidi" w:cstheme="minorBidi"/>
              </w:rPr>
              <w:t>Phytophthora</w:t>
            </w:r>
          </w:p>
        </w:tc>
      </w:tr>
      <w:tr w:rsidR="003709FA" w:rsidRPr="005E13FE" w14:paraId="5CBBB3D4" w14:textId="77777777" w:rsidTr="00F3226F">
        <w:tc>
          <w:tcPr>
            <w:tcW w:w="1907" w:type="dxa"/>
          </w:tcPr>
          <w:p w14:paraId="78A8FB64" w14:textId="77777777" w:rsidR="003709FA" w:rsidRPr="005E13FE" w:rsidRDefault="003709FA" w:rsidP="00CB7B1B">
            <w:pPr>
              <w:rPr>
                <w:rFonts w:asciiTheme="minorBidi" w:hAnsiTheme="minorBidi" w:cstheme="minorBidi"/>
              </w:rPr>
            </w:pPr>
            <w:r w:rsidRPr="005E13FE">
              <w:rPr>
                <w:rFonts w:asciiTheme="minorBidi" w:hAnsiTheme="minorBidi" w:cstheme="minorBidi"/>
              </w:rPr>
              <w:t>Carbendazim</w:t>
            </w:r>
          </w:p>
        </w:tc>
        <w:tc>
          <w:tcPr>
            <w:tcW w:w="1632" w:type="dxa"/>
          </w:tcPr>
          <w:p w14:paraId="05C1332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5FD504F6" w14:textId="77777777" w:rsidR="003709FA" w:rsidRPr="005E13FE" w:rsidRDefault="003709FA" w:rsidP="00CB7B1B">
            <w:pPr>
              <w:rPr>
                <w:rFonts w:asciiTheme="minorBidi" w:hAnsiTheme="minorBidi" w:cstheme="minorBidi"/>
              </w:rPr>
            </w:pPr>
            <w:r w:rsidRPr="005E13FE">
              <w:rPr>
                <w:rFonts w:asciiTheme="minorBidi" w:hAnsiTheme="minorBidi" w:cstheme="minorBidi"/>
              </w:rPr>
              <w:t>Disrupts fungal metabolism</w:t>
            </w:r>
          </w:p>
        </w:tc>
        <w:tc>
          <w:tcPr>
            <w:tcW w:w="2343" w:type="dxa"/>
          </w:tcPr>
          <w:p w14:paraId="0A2C3361"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Leaf spots, Blights</w:t>
            </w:r>
          </w:p>
        </w:tc>
      </w:tr>
      <w:tr w:rsidR="003709FA" w:rsidRPr="005E13FE" w14:paraId="239D2156" w14:textId="77777777" w:rsidTr="00F3226F">
        <w:tc>
          <w:tcPr>
            <w:tcW w:w="1907" w:type="dxa"/>
          </w:tcPr>
          <w:p w14:paraId="27EEB092" w14:textId="77777777" w:rsidR="003709FA" w:rsidRPr="005E13FE" w:rsidRDefault="003709FA" w:rsidP="00CB7B1B">
            <w:pPr>
              <w:rPr>
                <w:rFonts w:asciiTheme="minorBidi" w:hAnsiTheme="minorBidi" w:cstheme="minorBidi"/>
              </w:rPr>
            </w:pPr>
            <w:r w:rsidRPr="005E13FE">
              <w:rPr>
                <w:rFonts w:asciiTheme="minorBidi" w:hAnsiTheme="minorBidi" w:cstheme="minorBidi"/>
              </w:rPr>
              <w:t>Thiophanate-methyl</w:t>
            </w:r>
          </w:p>
        </w:tc>
        <w:tc>
          <w:tcPr>
            <w:tcW w:w="1632" w:type="dxa"/>
          </w:tcPr>
          <w:p w14:paraId="0AF8A1BE"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7F619B2F"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microtubule assembly</w:t>
            </w:r>
          </w:p>
        </w:tc>
        <w:tc>
          <w:tcPr>
            <w:tcW w:w="2343" w:type="dxa"/>
          </w:tcPr>
          <w:p w14:paraId="5E8B5DDF"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r w:rsidR="003709FA" w:rsidRPr="005E13FE" w14:paraId="77F5D37F" w14:textId="77777777" w:rsidTr="00F3226F">
        <w:tc>
          <w:tcPr>
            <w:tcW w:w="1907" w:type="dxa"/>
          </w:tcPr>
          <w:p w14:paraId="5E14943E" w14:textId="77777777" w:rsidR="003709FA" w:rsidRPr="005E13FE" w:rsidRDefault="003709FA" w:rsidP="00CB7B1B">
            <w:pPr>
              <w:rPr>
                <w:rFonts w:asciiTheme="minorBidi" w:hAnsiTheme="minorBidi" w:cstheme="minorBidi"/>
              </w:rPr>
            </w:pPr>
            <w:r w:rsidRPr="005E13FE">
              <w:rPr>
                <w:rFonts w:asciiTheme="minorBidi" w:hAnsiTheme="minorBidi" w:cstheme="minorBidi"/>
              </w:rPr>
              <w:t>Pyrimethanil</w:t>
            </w:r>
          </w:p>
        </w:tc>
        <w:tc>
          <w:tcPr>
            <w:tcW w:w="1632" w:type="dxa"/>
          </w:tcPr>
          <w:p w14:paraId="5687EA9C"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7404594"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methionine biosynthesis</w:t>
            </w:r>
          </w:p>
        </w:tc>
        <w:tc>
          <w:tcPr>
            <w:tcW w:w="2343" w:type="dxa"/>
          </w:tcPr>
          <w:p w14:paraId="37BA0F9D"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Botrytis, Anthracnose</w:t>
            </w:r>
          </w:p>
        </w:tc>
      </w:tr>
      <w:tr w:rsidR="003709FA" w:rsidRPr="005E13FE" w14:paraId="6F169D0C" w14:textId="77777777" w:rsidTr="00F3226F">
        <w:tc>
          <w:tcPr>
            <w:tcW w:w="1907" w:type="dxa"/>
          </w:tcPr>
          <w:p w14:paraId="2CBFAAB2" w14:textId="77777777" w:rsidR="003709FA" w:rsidRPr="005E13FE" w:rsidRDefault="003709FA" w:rsidP="00CB7B1B">
            <w:pPr>
              <w:rPr>
                <w:rFonts w:asciiTheme="minorBidi" w:hAnsiTheme="minorBidi" w:cstheme="minorBidi"/>
              </w:rPr>
            </w:pPr>
            <w:r w:rsidRPr="005E13FE">
              <w:rPr>
                <w:rFonts w:asciiTheme="minorBidi" w:hAnsiTheme="minorBidi" w:cstheme="minorBidi"/>
              </w:rPr>
              <w:t>Neem oil</w:t>
            </w:r>
          </w:p>
        </w:tc>
        <w:tc>
          <w:tcPr>
            <w:tcW w:w="1632" w:type="dxa"/>
          </w:tcPr>
          <w:p w14:paraId="5004365F"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4CA6ADD5" w14:textId="77777777" w:rsidR="003709FA" w:rsidRPr="005E13FE" w:rsidRDefault="003709FA" w:rsidP="00CB7B1B">
            <w:pPr>
              <w:rPr>
                <w:rFonts w:asciiTheme="minorBidi" w:hAnsiTheme="minorBidi" w:cstheme="minorBidi"/>
              </w:rPr>
            </w:pPr>
            <w:r w:rsidRPr="005E13FE">
              <w:rPr>
                <w:rFonts w:asciiTheme="minorBidi" w:hAnsiTheme="minorBidi" w:cstheme="minorBidi"/>
              </w:rPr>
              <w:t>Disrupts fungal reproduction</w:t>
            </w:r>
          </w:p>
        </w:tc>
        <w:tc>
          <w:tcPr>
            <w:tcW w:w="2343" w:type="dxa"/>
          </w:tcPr>
          <w:p w14:paraId="31679D9F"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bl>
    <w:p w14:paraId="5193CFB7" w14:textId="77777777" w:rsidR="003709FA" w:rsidRDefault="003709FA" w:rsidP="00CB7B1B">
      <w:pPr>
        <w:jc w:val="both"/>
        <w:rPr>
          <w:rFonts w:asciiTheme="minorBidi" w:hAnsiTheme="minorBidi" w:cstheme="minorBidi"/>
          <w:sz w:val="22"/>
          <w:szCs w:val="22"/>
          <w:lang w:val="en-GB" w:eastAsia="zh-CN"/>
        </w:rPr>
      </w:pPr>
      <w:r w:rsidRPr="005E13FE">
        <w:rPr>
          <w:rFonts w:asciiTheme="minorBidi" w:hAnsiTheme="minorBidi" w:cstheme="minorBidi"/>
          <w:b/>
          <w:bCs/>
          <w:sz w:val="22"/>
          <w:szCs w:val="22"/>
          <w:lang w:val="en-GB" w:eastAsia="zh-CN"/>
        </w:rPr>
        <w:t xml:space="preserve">                                                                                                                                                        Table 1.</w:t>
      </w:r>
      <w:r w:rsidRPr="005E13FE">
        <w:rPr>
          <w:rFonts w:asciiTheme="minorBidi" w:hAnsiTheme="minorBidi" w:cstheme="minorBidi"/>
          <w:sz w:val="22"/>
          <w:szCs w:val="22"/>
          <w:lang w:val="en-GB" w:eastAsia="zh-CN"/>
        </w:rPr>
        <w:t xml:space="preserve"> Application of fungicides: Classification based on mode of action and mechanism.</w:t>
      </w:r>
    </w:p>
    <w:p w14:paraId="1B363E62" w14:textId="77777777" w:rsidR="000740B8" w:rsidRPr="005E13FE" w:rsidRDefault="000740B8" w:rsidP="00CB7B1B">
      <w:pPr>
        <w:jc w:val="both"/>
        <w:rPr>
          <w:rFonts w:asciiTheme="minorBidi" w:hAnsiTheme="minorBidi" w:cstheme="minorBidi"/>
          <w:sz w:val="22"/>
          <w:szCs w:val="22"/>
          <w:lang w:val="en-GB"/>
        </w:rPr>
      </w:pPr>
    </w:p>
    <w:p w14:paraId="44A8C7BC" w14:textId="77777777" w:rsidR="00D75A47" w:rsidRPr="005E13FE" w:rsidRDefault="00D75A47"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5.2.1 Mechanisms of Pesticide Toxicity in Plants and Soil Microbes</w:t>
      </w:r>
    </w:p>
    <w:p w14:paraId="1A0356D5" w14:textId="77777777"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Key toxicological effects include:</w:t>
      </w:r>
      <w:r w:rsidRPr="005E13FE">
        <w:rPr>
          <w:rFonts w:asciiTheme="minorBidi" w:hAnsiTheme="minorBidi" w:cstheme="minorBidi"/>
          <w:sz w:val="22"/>
          <w:szCs w:val="22"/>
          <w:lang w:val="en-GB"/>
        </w:rPr>
        <w:br/>
        <w:t>• Acetylcholinesterase inhibition, affecting soil fauna and non-target insects.</w:t>
      </w:r>
      <w:r w:rsidRPr="005E13FE">
        <w:rPr>
          <w:rFonts w:asciiTheme="minorBidi" w:hAnsiTheme="minorBidi" w:cstheme="minorBidi"/>
          <w:sz w:val="22"/>
          <w:szCs w:val="22"/>
          <w:lang w:val="en-GB"/>
        </w:rPr>
        <w:br/>
        <w:t>• Membrane damage, altering cellular ion exchange.</w:t>
      </w:r>
      <w:r w:rsidRPr="005E13FE">
        <w:rPr>
          <w:rFonts w:asciiTheme="minorBidi" w:hAnsiTheme="minorBidi" w:cstheme="minorBidi"/>
          <w:sz w:val="22"/>
          <w:szCs w:val="22"/>
          <w:lang w:val="en-GB"/>
        </w:rPr>
        <w:br/>
        <w:t>• Oxidative imbalance, with ROS-induced lipid and protein damage.</w:t>
      </w:r>
      <w:r w:rsidRPr="005E13FE">
        <w:rPr>
          <w:rFonts w:asciiTheme="minorBidi" w:hAnsiTheme="minorBidi" w:cstheme="minorBidi"/>
          <w:sz w:val="22"/>
          <w:szCs w:val="22"/>
          <w:lang w:val="en-GB"/>
        </w:rPr>
        <w:br/>
        <w:t>• Soil microbial dysbiosis, reducing abundance, diversity, and nutrient-cycling capacity (Faruque Ahmad et al., 2024).</w:t>
      </w:r>
      <w:r w:rsidRPr="005E13FE">
        <w:rPr>
          <w:rFonts w:asciiTheme="minorBidi" w:hAnsiTheme="minorBidi" w:cstheme="minorBidi"/>
          <w:sz w:val="22"/>
          <w:szCs w:val="22"/>
          <w:lang w:val="en-GB"/>
        </w:rPr>
        <w:br/>
        <w:t>• Altered nutrient cycling, disrupting nitrification, phosphate solubilization, and carbon turnover.</w:t>
      </w:r>
      <w:r w:rsidRPr="005E13FE">
        <w:rPr>
          <w:rFonts w:asciiTheme="minorBidi" w:hAnsiTheme="minorBidi" w:cstheme="minorBidi"/>
          <w:sz w:val="22"/>
          <w:szCs w:val="22"/>
          <w:lang w:val="en-GB"/>
        </w:rPr>
        <w:br/>
        <w:t>These mechanisms compromise soil fertility, plant health, and food safety.</w:t>
      </w:r>
    </w:p>
    <w:p w14:paraId="0D26F390" w14:textId="77777777" w:rsidR="00D75A47" w:rsidRPr="005E13FE" w:rsidRDefault="00D75A47" w:rsidP="00CB7B1B">
      <w:pPr>
        <w:rPr>
          <w:rFonts w:asciiTheme="minorBidi" w:hAnsiTheme="minorBidi" w:cstheme="minorBidi"/>
          <w:b/>
          <w:bCs/>
          <w:sz w:val="22"/>
          <w:szCs w:val="22"/>
          <w:lang w:val="en-GB"/>
        </w:rPr>
      </w:pPr>
    </w:p>
    <w:p w14:paraId="2A5A880C"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5.3 Interactions Between Heavy Metals and Pesticides in Soil</w:t>
      </w:r>
    </w:p>
    <w:p w14:paraId="6E21F8B1" w14:textId="77777777"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Co-contamination is common and produces synergistic effects:</w:t>
      </w:r>
      <w:r w:rsidRPr="005E13FE">
        <w:rPr>
          <w:rFonts w:asciiTheme="minorBidi" w:hAnsiTheme="minorBidi" w:cstheme="minorBidi"/>
          <w:sz w:val="22"/>
          <w:szCs w:val="22"/>
          <w:lang w:val="en-GB"/>
        </w:rPr>
        <w:br/>
        <w:t>• Competitive sorption on clay and organic matter.</w:t>
      </w:r>
      <w:r w:rsidRPr="005E13FE">
        <w:rPr>
          <w:rFonts w:asciiTheme="minorBidi" w:hAnsiTheme="minorBidi" w:cstheme="minorBidi"/>
          <w:sz w:val="22"/>
          <w:szCs w:val="22"/>
          <w:lang w:val="en-GB"/>
        </w:rPr>
        <w:br/>
        <w:t>• Altered bioavailability, with pesticides modifying soil pH/redox conditions and metals inhibiting pesticide degradation.</w:t>
      </w:r>
      <w:r w:rsidRPr="005E13FE">
        <w:rPr>
          <w:rFonts w:asciiTheme="minorBidi" w:hAnsiTheme="minorBidi" w:cstheme="minorBidi"/>
          <w:sz w:val="22"/>
          <w:szCs w:val="22"/>
          <w:lang w:val="en-GB"/>
        </w:rPr>
        <w:br/>
        <w:t>• Synergistic toxicity, exacerbating oxidative stress and impairing detoxification.</w:t>
      </w:r>
      <w:r w:rsidRPr="005E13FE">
        <w:rPr>
          <w:rFonts w:asciiTheme="minorBidi" w:hAnsiTheme="minorBidi" w:cstheme="minorBidi"/>
          <w:sz w:val="22"/>
          <w:szCs w:val="22"/>
          <w:lang w:val="en-GB"/>
        </w:rPr>
        <w:br/>
        <w:t>• Microbial impacts, reducing richness and inhibiting nutrient-cycling enzymes.</w:t>
      </w:r>
      <w:r w:rsidRPr="005E13FE">
        <w:rPr>
          <w:rFonts w:asciiTheme="minorBidi" w:hAnsiTheme="minorBidi" w:cstheme="minorBidi"/>
          <w:sz w:val="22"/>
          <w:szCs w:val="22"/>
          <w:lang w:val="en-GB"/>
        </w:rPr>
        <w:br/>
      </w:r>
      <w:r w:rsidRPr="005E13FE">
        <w:rPr>
          <w:rFonts w:asciiTheme="minorBidi" w:hAnsiTheme="minorBidi" w:cstheme="minorBidi"/>
          <w:sz w:val="22"/>
          <w:szCs w:val="22"/>
          <w:lang w:val="en-GB"/>
        </w:rPr>
        <w:lastRenderedPageBreak/>
        <w:t>Such interactions highlight the need for mitigation strategies addressing multiple pollutants.</w:t>
      </w:r>
    </w:p>
    <w:p w14:paraId="298136EC" w14:textId="77777777" w:rsidR="002F3D9F" w:rsidRDefault="002F3D9F" w:rsidP="00CB7B1B">
      <w:pPr>
        <w:rPr>
          <w:rFonts w:asciiTheme="minorBidi" w:hAnsiTheme="minorBidi" w:cstheme="minorBidi"/>
          <w:b/>
          <w:bCs/>
          <w:sz w:val="22"/>
          <w:szCs w:val="22"/>
          <w:lang w:val="en-GB"/>
        </w:rPr>
      </w:pPr>
    </w:p>
    <w:p w14:paraId="284E9151" w14:textId="347938B5"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5.4 Food Chain Transfer and One Health Implications</w:t>
      </w:r>
    </w:p>
    <w:p w14:paraId="6929A35F" w14:textId="5848A824"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Heavy metals and pesticides affect One Health by linking soil pollution to plant,</w:t>
      </w:r>
      <w:r w:rsidR="002F3D9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animal, and human outcomes:</w:t>
      </w:r>
      <w:r w:rsidRPr="005E13FE">
        <w:rPr>
          <w:rFonts w:asciiTheme="minorBidi" w:hAnsiTheme="minorBidi" w:cstheme="minorBidi"/>
          <w:sz w:val="22"/>
          <w:szCs w:val="22"/>
          <w:lang w:val="en-GB"/>
        </w:rPr>
        <w:br/>
        <w:t>• Bioaccumulation of Cd, Pb, and As in edible plant tissues.</w:t>
      </w:r>
      <w:r w:rsidRPr="005E13FE">
        <w:rPr>
          <w:rFonts w:asciiTheme="minorBidi" w:hAnsiTheme="minorBidi" w:cstheme="minorBidi"/>
          <w:sz w:val="22"/>
          <w:szCs w:val="22"/>
          <w:lang w:val="en-GB"/>
        </w:rPr>
        <w:br/>
        <w:t>• Pesticide residue persistence in food crops and animal feed.</w:t>
      </w:r>
      <w:r w:rsidRPr="005E13FE">
        <w:rPr>
          <w:rFonts w:asciiTheme="minorBidi" w:hAnsiTheme="minorBidi" w:cstheme="minorBidi"/>
          <w:sz w:val="22"/>
          <w:szCs w:val="22"/>
          <w:lang w:val="en-GB"/>
        </w:rPr>
        <w:br/>
        <w:t>• Microbiome disruption, compromising rhizosphere health and plant resilience (Philippot et al., 2024).</w:t>
      </w:r>
      <w:r w:rsidRPr="005E13FE">
        <w:rPr>
          <w:rFonts w:asciiTheme="minorBidi" w:hAnsiTheme="minorBidi" w:cstheme="minorBidi"/>
          <w:sz w:val="22"/>
          <w:szCs w:val="22"/>
          <w:lang w:val="en-GB"/>
        </w:rPr>
        <w:br/>
        <w:t>• Human health impacts, including neurological damage, endocrine disruption, renal injury, carcinogenicity, and immunotoxicity.</w:t>
      </w:r>
      <w:r w:rsidRPr="005E13FE">
        <w:rPr>
          <w:rFonts w:asciiTheme="minorBidi" w:hAnsiTheme="minorBidi" w:cstheme="minorBidi"/>
          <w:sz w:val="22"/>
          <w:szCs w:val="22"/>
          <w:lang w:val="en-GB"/>
        </w:rPr>
        <w:br/>
        <w:t>• Ecosystem effects, impairing soil fauna, pollinators, and decomposers.</w:t>
      </w:r>
      <w:r w:rsidRPr="005E13FE">
        <w:rPr>
          <w:rFonts w:asciiTheme="minorBidi" w:hAnsiTheme="minorBidi" w:cstheme="minorBidi"/>
          <w:sz w:val="22"/>
          <w:szCs w:val="22"/>
          <w:lang w:val="en-GB"/>
        </w:rPr>
        <w:br/>
        <w:t>These pathways demonstrate that soil contamination is both an environmental and public health concern.</w:t>
      </w:r>
    </w:p>
    <w:p w14:paraId="60B8AB26" w14:textId="77777777" w:rsidR="002F3D9F" w:rsidRDefault="002F3D9F" w:rsidP="00CB7B1B">
      <w:pPr>
        <w:rPr>
          <w:rFonts w:asciiTheme="minorBidi" w:hAnsiTheme="minorBidi" w:cstheme="minorBidi"/>
          <w:b/>
          <w:bCs/>
          <w:sz w:val="22"/>
          <w:szCs w:val="22"/>
          <w:lang w:val="en-GB"/>
        </w:rPr>
      </w:pPr>
    </w:p>
    <w:p w14:paraId="7D6D5045" w14:textId="2F22AFA2"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5.5 Toward Sustainable Mitigation: The Need for Mechanistic Understanding</w:t>
      </w:r>
    </w:p>
    <w:p w14:paraId="65AD6252" w14:textId="4E9276B9" w:rsidR="00D75A47" w:rsidRPr="005E13FE" w:rsidRDefault="00D75A47" w:rsidP="003A2C7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Mechanistic insights into toxicity are essential for designing effective remediation.</w:t>
      </w:r>
      <w:r w:rsidR="003A2C7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The persistence of heavy metals, stability of many pesticides, and synergistic effects of co-contamination necessitate scalable, ecologically compatible remediation solutions. The next section examines biological,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and green chemistry-based remediation approaches, assessing their efficiencies, limitations, and relevance to restoring soil function within a One Health framework.</w:t>
      </w:r>
    </w:p>
    <w:p w14:paraId="044D0D28" w14:textId="77777777" w:rsidR="00D75A47" w:rsidRPr="005E13FE" w:rsidRDefault="00D75A47" w:rsidP="00CB7B1B">
      <w:pPr>
        <w:rPr>
          <w:rFonts w:asciiTheme="minorBidi" w:hAnsiTheme="minorBidi" w:cstheme="minorBidi"/>
          <w:b/>
          <w:bCs/>
          <w:sz w:val="22"/>
          <w:szCs w:val="22"/>
          <w:lang w:val="en-GB"/>
        </w:rPr>
      </w:pPr>
    </w:p>
    <w:p w14:paraId="47A1DC59" w14:textId="79170CA5"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 Remediation Technologies – Comparative Critical Evaluation</w:t>
      </w:r>
    </w:p>
    <w:p w14:paraId="278F2623" w14:textId="77777777" w:rsidR="00D75A47" w:rsidRPr="005E13FE" w:rsidRDefault="00D75A4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Remediating contaminated agricultural soils requires understanding the scientific basis of each technology alongside their advantages, limitations, scalability, and environmental trade-offs. Because heavy metals and many pesticides persist in soils, remediation must reduce contaminant loads while restoring soil ecological functioning, sustaining crop productivity, and aligning with One Health principles.</w:t>
      </w:r>
    </w:p>
    <w:p w14:paraId="47E547D7" w14:textId="77777777" w:rsidR="00D75A47" w:rsidRPr="005E13FE" w:rsidRDefault="00D75A47" w:rsidP="00CB7B1B">
      <w:pPr>
        <w:rPr>
          <w:rFonts w:asciiTheme="minorBidi" w:hAnsiTheme="minorBidi" w:cstheme="minorBidi"/>
          <w:b/>
          <w:bCs/>
          <w:sz w:val="22"/>
          <w:szCs w:val="22"/>
          <w:lang w:val="en-GB"/>
        </w:rPr>
      </w:pPr>
    </w:p>
    <w:p w14:paraId="39B6E475" w14:textId="6329711D"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 Scientific Principles of Major Remediation Technologies</w:t>
      </w:r>
    </w:p>
    <w:p w14:paraId="38672AE1"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6.1.1 </w:t>
      </w:r>
      <w:proofErr w:type="spellStart"/>
      <w:r w:rsidRPr="005E13FE">
        <w:rPr>
          <w:rFonts w:asciiTheme="minorBidi" w:hAnsiTheme="minorBidi" w:cstheme="minorBidi"/>
          <w:b/>
          <w:bCs/>
          <w:sz w:val="22"/>
          <w:szCs w:val="22"/>
          <w:lang w:val="en-GB"/>
        </w:rPr>
        <w:t>Physico</w:t>
      </w:r>
      <w:proofErr w:type="spellEnd"/>
      <w:r w:rsidRPr="005E13FE">
        <w:rPr>
          <w:rFonts w:asciiTheme="minorBidi" w:hAnsiTheme="minorBidi" w:cstheme="minorBidi"/>
          <w:b/>
          <w:bCs/>
          <w:sz w:val="22"/>
          <w:szCs w:val="22"/>
          <w:lang w:val="en-GB"/>
        </w:rPr>
        <w:t>-Chemical Approaches</w:t>
      </w:r>
    </w:p>
    <w:p w14:paraId="68E4D36D" w14:textId="5EC56833" w:rsidR="00D75A47" w:rsidRPr="005E13FE" w:rsidRDefault="00D75A47" w:rsidP="00CB7B1B">
      <w:pPr>
        <w:jc w:val="both"/>
        <w:rPr>
          <w:rFonts w:asciiTheme="minorBidi" w:hAnsiTheme="minorBidi" w:cstheme="minorBidi"/>
          <w:sz w:val="22"/>
          <w:szCs w:val="22"/>
          <w:lang w:val="en-GB"/>
        </w:rPr>
      </w:pP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methods</w:t>
      </w:r>
      <w:r w:rsidR="003936F0">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soil</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washing, immobilization/stabilization, solidification, electrokinetic remediation, and thermal vitrification</w:t>
      </w:r>
      <w:r w:rsidR="003936F0">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primarily</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rely on desorption, solubilization, or structural transformation of pollutants. Soil washing uses surfactants, chelators, or acidic agents to extract metals and organics, while stabilization binds contaminants within mineral matrices to reduce mobility. Electrokinetic remediation, effective in fine-textured soils, mobilizes metals such as Cd, Pb, Zn, Cr</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(VI),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xml:space="preserve"> under applied electric fields. Although efficient, these approaches can substantially alter soil chemistry and disturb microbial equilibria.</w:t>
      </w:r>
    </w:p>
    <w:p w14:paraId="48581470" w14:textId="77777777" w:rsidR="00D75A47" w:rsidRPr="005E13FE" w:rsidRDefault="00D75A47" w:rsidP="00CB7B1B">
      <w:pPr>
        <w:rPr>
          <w:rFonts w:asciiTheme="minorBidi" w:hAnsiTheme="minorBidi" w:cstheme="minorBidi"/>
          <w:b/>
          <w:bCs/>
          <w:sz w:val="22"/>
          <w:szCs w:val="22"/>
          <w:lang w:val="en-GB"/>
        </w:rPr>
      </w:pPr>
    </w:p>
    <w:p w14:paraId="2D8FE6B3" w14:textId="5D776484"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6.1.2 Biological Approaches</w:t>
      </w:r>
    </w:p>
    <w:p w14:paraId="04921C4D" w14:textId="1B4DF58C" w:rsidR="00D75A47" w:rsidRPr="005E13FE" w:rsidRDefault="00D75A4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Biological remediation</w:t>
      </w:r>
      <w:r w:rsidR="00092AE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092AE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microbial degradation, phytoremediation, </w:t>
      </w:r>
      <w:proofErr w:type="spellStart"/>
      <w:r w:rsidRPr="005E13FE">
        <w:rPr>
          <w:rFonts w:asciiTheme="minorBidi" w:hAnsiTheme="minorBidi" w:cstheme="minorBidi"/>
          <w:sz w:val="22"/>
          <w:szCs w:val="22"/>
          <w:lang w:val="en-GB"/>
        </w:rPr>
        <w:t>rhizofiltration</w:t>
      </w:r>
      <w:proofErr w:type="spellEnd"/>
      <w:r w:rsidRPr="005E13FE">
        <w:rPr>
          <w:rFonts w:asciiTheme="minorBidi" w:hAnsiTheme="minorBidi" w:cstheme="minorBidi"/>
          <w:sz w:val="22"/>
          <w:szCs w:val="22"/>
          <w:lang w:val="en-GB"/>
        </w:rPr>
        <w:t xml:space="preserve">, bioaugmentation, and </w:t>
      </w:r>
      <w:proofErr w:type="spellStart"/>
      <w:r w:rsidRPr="005E13FE">
        <w:rPr>
          <w:rFonts w:asciiTheme="minorBidi" w:hAnsiTheme="minorBidi" w:cstheme="minorBidi"/>
          <w:sz w:val="22"/>
          <w:szCs w:val="22"/>
          <w:lang w:val="en-GB"/>
        </w:rPr>
        <w:t>biostimulation</w:t>
      </w:r>
      <w:proofErr w:type="spellEnd"/>
      <w:r w:rsidR="00092AE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leverages</w:t>
      </w:r>
      <w:r w:rsidR="00092AE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natural ecological processes. Microorganisms transform pesticides via oxidative, reductive, or hydrolytic pathways (Chia et al., 2024), while hyperaccumulator plants extract or immobilize metals over successive growth cycles. Amendments such as compost, </w:t>
      </w:r>
      <w:r w:rsidRPr="005E13FE">
        <w:rPr>
          <w:rFonts w:asciiTheme="minorBidi" w:hAnsiTheme="minorBidi" w:cstheme="minorBidi"/>
          <w:sz w:val="22"/>
          <w:szCs w:val="22"/>
          <w:lang w:val="en-GB"/>
        </w:rPr>
        <w:lastRenderedPageBreak/>
        <w:t>organic matter, or biosurfactants enhance native microbial activity and pollutant degradation.</w:t>
      </w:r>
    </w:p>
    <w:p w14:paraId="76B204F1" w14:textId="77777777" w:rsidR="00D75A47" w:rsidRPr="005E13FE" w:rsidRDefault="00D75A47" w:rsidP="00CB7B1B">
      <w:pPr>
        <w:rPr>
          <w:rFonts w:asciiTheme="minorBidi" w:hAnsiTheme="minorBidi" w:cstheme="minorBidi"/>
          <w:b/>
          <w:bCs/>
          <w:sz w:val="22"/>
          <w:szCs w:val="22"/>
          <w:lang w:val="en-GB"/>
        </w:rPr>
      </w:pPr>
    </w:p>
    <w:p w14:paraId="74545D15"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6.1.3 Green Chemistry and Integrated Approaches</w:t>
      </w:r>
    </w:p>
    <w:p w14:paraId="3C42BCA6" w14:textId="77777777" w:rsidR="00577851" w:rsidRPr="005E13FE" w:rsidRDefault="00577851"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Green chemistry approaches incorporate biochar amendments, nanomaterials, engineered enzymes, and hydrogel systems. Biochar improves cation exchange capacity, immobilizes metals, and enhances soil structure, while nano-enabled phytoremediation increases root uptake and detoxification potential (Dhanapal et al., 2024). These strategies are valued for low energy requirements, reduced secondary pollution, and suitability for long-term soil health restoration.</w:t>
      </w:r>
    </w:p>
    <w:p w14:paraId="0D573946" w14:textId="77777777" w:rsidR="007F5715" w:rsidRPr="005E13FE" w:rsidRDefault="007F5715" w:rsidP="00CB7B1B">
      <w:pPr>
        <w:rPr>
          <w:rFonts w:asciiTheme="minorBidi" w:hAnsiTheme="minorBidi" w:cstheme="minorBidi"/>
          <w:b/>
          <w:bCs/>
          <w:sz w:val="22"/>
          <w:szCs w:val="22"/>
          <w:lang w:val="en-GB"/>
        </w:rPr>
      </w:pPr>
    </w:p>
    <w:p w14:paraId="10C57F8B" w14:textId="734DDE54" w:rsidR="007F5715" w:rsidRPr="005E13FE" w:rsidRDefault="007F5715"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6.2 Advantages and Limitations</w:t>
      </w:r>
    </w:p>
    <w:p w14:paraId="03BAAF06" w14:textId="04000808" w:rsidR="007F5715" w:rsidRPr="005E13FE" w:rsidRDefault="007F5715" w:rsidP="00CB7B1B">
      <w:pPr>
        <w:rPr>
          <w:rFonts w:asciiTheme="minorBidi" w:hAnsiTheme="minorBidi" w:cstheme="minorBidi"/>
          <w:sz w:val="22"/>
          <w:szCs w:val="22"/>
          <w:lang w:val="en-GB"/>
        </w:rPr>
      </w:pPr>
      <w:proofErr w:type="spellStart"/>
      <w:r w:rsidRPr="00092AEB">
        <w:rPr>
          <w:rFonts w:asciiTheme="minorBidi" w:hAnsiTheme="minorBidi" w:cstheme="minorBidi"/>
          <w:b/>
          <w:bCs/>
          <w:i/>
          <w:iCs/>
          <w:sz w:val="22"/>
          <w:szCs w:val="22"/>
          <w:lang w:val="en-GB"/>
        </w:rPr>
        <w:t>Physico</w:t>
      </w:r>
      <w:proofErr w:type="spellEnd"/>
      <w:r w:rsidRPr="00092AEB">
        <w:rPr>
          <w:rFonts w:asciiTheme="minorBidi" w:hAnsiTheme="minorBidi" w:cstheme="minorBidi"/>
          <w:b/>
          <w:bCs/>
          <w:i/>
          <w:iCs/>
          <w:sz w:val="22"/>
          <w:szCs w:val="22"/>
          <w:lang w:val="en-GB"/>
        </w:rPr>
        <w:t>-Chemical Methods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Rapid and efficient, particularly at high contamination levels.</w:t>
      </w:r>
      <w:r w:rsidRPr="005E13FE">
        <w:rPr>
          <w:rFonts w:asciiTheme="minorBidi" w:hAnsiTheme="minorBidi" w:cstheme="minorBidi"/>
          <w:sz w:val="22"/>
          <w:szCs w:val="22"/>
          <w:lang w:val="en-GB"/>
        </w:rPr>
        <w:br/>
        <w:t>• Applicable to both organic and inorganic pollutants.</w:t>
      </w:r>
      <w:r w:rsidRPr="005E13FE">
        <w:rPr>
          <w:rFonts w:asciiTheme="minorBidi" w:hAnsiTheme="minorBidi" w:cstheme="minorBidi"/>
          <w:sz w:val="22"/>
          <w:szCs w:val="22"/>
          <w:lang w:val="en-GB"/>
        </w:rPr>
        <w:br/>
        <w:t>• Suitable for industrial hotspots and acute contamination events.</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High operational and energy costs.</w:t>
      </w:r>
      <w:r w:rsidRPr="005E13FE">
        <w:rPr>
          <w:rFonts w:asciiTheme="minorBidi" w:hAnsiTheme="minorBidi" w:cstheme="minorBidi"/>
          <w:sz w:val="22"/>
          <w:szCs w:val="22"/>
          <w:lang w:val="en-GB"/>
        </w:rPr>
        <w:br/>
        <w:t>• Generation of secondary waste requiring safe disposal.</w:t>
      </w:r>
      <w:r w:rsidRPr="005E13FE">
        <w:rPr>
          <w:rFonts w:asciiTheme="minorBidi" w:hAnsiTheme="minorBidi" w:cstheme="minorBidi"/>
          <w:sz w:val="22"/>
          <w:szCs w:val="22"/>
          <w:lang w:val="en-GB"/>
        </w:rPr>
        <w:br/>
        <w:t>• Potential alteration of soil physicochemical properties.</w:t>
      </w:r>
      <w:r w:rsidRPr="005E13FE">
        <w:rPr>
          <w:rFonts w:asciiTheme="minorBidi" w:hAnsiTheme="minorBidi" w:cstheme="minorBidi"/>
          <w:sz w:val="22"/>
          <w:szCs w:val="22"/>
          <w:lang w:val="en-GB"/>
        </w:rPr>
        <w:br/>
        <w:t>• Limited feasibility in large-scale agricultural contexts.</w:t>
      </w:r>
    </w:p>
    <w:p w14:paraId="02AA2F22" w14:textId="77777777" w:rsidR="00092AEB" w:rsidRDefault="00092AEB" w:rsidP="00CB7B1B">
      <w:pPr>
        <w:rPr>
          <w:rFonts w:asciiTheme="minorBidi" w:hAnsiTheme="minorBidi" w:cstheme="minorBidi"/>
          <w:i/>
          <w:iCs/>
          <w:sz w:val="22"/>
          <w:szCs w:val="22"/>
          <w:lang w:val="en-GB"/>
        </w:rPr>
      </w:pPr>
    </w:p>
    <w:p w14:paraId="2BD91D26" w14:textId="5E89E44D" w:rsidR="007F5715" w:rsidRPr="005E13FE" w:rsidRDefault="007F5715" w:rsidP="00CB7B1B">
      <w:pPr>
        <w:rPr>
          <w:rFonts w:asciiTheme="minorBidi" w:hAnsiTheme="minorBidi" w:cstheme="minorBidi"/>
          <w:sz w:val="22"/>
          <w:szCs w:val="22"/>
          <w:lang w:val="en-GB"/>
        </w:rPr>
      </w:pPr>
      <w:r w:rsidRPr="00092AEB">
        <w:rPr>
          <w:rFonts w:asciiTheme="minorBidi" w:hAnsiTheme="minorBidi" w:cstheme="minorBidi"/>
          <w:b/>
          <w:bCs/>
          <w:i/>
          <w:iCs/>
          <w:sz w:val="22"/>
          <w:szCs w:val="22"/>
          <w:lang w:val="en-GB"/>
        </w:rPr>
        <w:t>Biological Methods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Environmentally sustainable and cost-effective.</w:t>
      </w:r>
      <w:r w:rsidRPr="005E13FE">
        <w:rPr>
          <w:rFonts w:asciiTheme="minorBidi" w:hAnsiTheme="minorBidi" w:cstheme="minorBidi"/>
          <w:sz w:val="22"/>
          <w:szCs w:val="22"/>
          <w:lang w:val="en-GB"/>
        </w:rPr>
        <w:br/>
        <w:t xml:space="preserve">• Enhance </w:t>
      </w:r>
      <w:r w:rsidR="00092AEB">
        <w:rPr>
          <w:rFonts w:asciiTheme="minorBidi" w:hAnsiTheme="minorBidi" w:cstheme="minorBidi"/>
          <w:sz w:val="22"/>
          <w:szCs w:val="22"/>
          <w:lang w:val="en-GB"/>
        </w:rPr>
        <w:t xml:space="preserve">SOM </w:t>
      </w:r>
      <w:r w:rsidRPr="005E13FE">
        <w:rPr>
          <w:rFonts w:asciiTheme="minorBidi" w:hAnsiTheme="minorBidi" w:cstheme="minorBidi"/>
          <w:sz w:val="22"/>
          <w:szCs w:val="22"/>
          <w:lang w:val="en-GB"/>
        </w:rPr>
        <w:t>and microbial biodiversity.</w:t>
      </w:r>
      <w:r w:rsidRPr="005E13FE">
        <w:rPr>
          <w:rFonts w:asciiTheme="minorBidi" w:hAnsiTheme="minorBidi" w:cstheme="minorBidi"/>
          <w:sz w:val="22"/>
          <w:szCs w:val="22"/>
          <w:lang w:val="en-GB"/>
        </w:rPr>
        <w:br/>
        <w:t>• Support long-term ecological restoration.</w:t>
      </w:r>
      <w:r w:rsidRPr="005E13FE">
        <w:rPr>
          <w:rFonts w:asciiTheme="minorBidi" w:hAnsiTheme="minorBidi" w:cstheme="minorBidi"/>
          <w:sz w:val="22"/>
          <w:szCs w:val="22"/>
          <w:lang w:val="en-GB"/>
        </w:rPr>
        <w:br/>
        <w:t>• Integrate well with agroecological and organic systems.</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xml:space="preserve">• Slower than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techniques.</w:t>
      </w:r>
      <w:r w:rsidRPr="005E13FE">
        <w:rPr>
          <w:rFonts w:asciiTheme="minorBidi" w:hAnsiTheme="minorBidi" w:cstheme="minorBidi"/>
          <w:sz w:val="22"/>
          <w:szCs w:val="22"/>
          <w:lang w:val="en-GB"/>
        </w:rPr>
        <w:br/>
        <w:t>• Sensitive to climate, soil properties, and plant traits.</w:t>
      </w:r>
      <w:r w:rsidRPr="005E13FE">
        <w:rPr>
          <w:rFonts w:asciiTheme="minorBidi" w:hAnsiTheme="minorBidi" w:cstheme="minorBidi"/>
          <w:sz w:val="22"/>
          <w:szCs w:val="22"/>
          <w:lang w:val="en-GB"/>
        </w:rPr>
        <w:br/>
        <w:t>• Low biomass of hyperaccumulators constrains extraction efficiency.</w:t>
      </w:r>
      <w:r w:rsidRPr="005E13FE">
        <w:rPr>
          <w:rFonts w:asciiTheme="minorBidi" w:hAnsiTheme="minorBidi" w:cstheme="minorBidi"/>
          <w:sz w:val="22"/>
          <w:szCs w:val="22"/>
          <w:lang w:val="en-GB"/>
        </w:rPr>
        <w:br/>
        <w:t>• Less effective in severely contaminated soils.</w:t>
      </w:r>
    </w:p>
    <w:p w14:paraId="466C3CA2" w14:textId="77777777" w:rsidR="00092AEB" w:rsidRDefault="00092AEB" w:rsidP="00CB7B1B">
      <w:pPr>
        <w:rPr>
          <w:rFonts w:asciiTheme="minorBidi" w:hAnsiTheme="minorBidi" w:cstheme="minorBidi"/>
          <w:sz w:val="22"/>
          <w:szCs w:val="22"/>
          <w:lang w:val="en-GB"/>
        </w:rPr>
      </w:pPr>
    </w:p>
    <w:p w14:paraId="433FF579" w14:textId="56703210" w:rsidR="007F5715" w:rsidRPr="005E13FE" w:rsidRDefault="007F5715" w:rsidP="00CB7B1B">
      <w:pPr>
        <w:rPr>
          <w:rFonts w:asciiTheme="minorBidi" w:hAnsiTheme="minorBidi" w:cstheme="minorBidi"/>
          <w:sz w:val="22"/>
          <w:szCs w:val="22"/>
          <w:lang w:val="en-GB"/>
        </w:rPr>
      </w:pPr>
      <w:r w:rsidRPr="00092AEB">
        <w:rPr>
          <w:rFonts w:asciiTheme="minorBidi" w:hAnsiTheme="minorBidi" w:cstheme="minorBidi"/>
          <w:b/>
          <w:bCs/>
          <w:i/>
          <w:iCs/>
          <w:sz w:val="22"/>
          <w:szCs w:val="22"/>
          <w:lang w:val="en-GB"/>
        </w:rPr>
        <w:t>Biochar and Green Chemistry Approaches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Improve soil structure, pH regulation, and carbon sequestration.</w:t>
      </w:r>
      <w:r w:rsidRPr="005E13FE">
        <w:rPr>
          <w:rFonts w:asciiTheme="minorBidi" w:hAnsiTheme="minorBidi" w:cstheme="minorBidi"/>
          <w:sz w:val="22"/>
          <w:szCs w:val="22"/>
          <w:lang w:val="en-GB"/>
        </w:rPr>
        <w:br/>
        <w:t>• Facilitate metal immobilization while supporting crops.</w:t>
      </w:r>
      <w:r w:rsidRPr="005E13FE">
        <w:rPr>
          <w:rFonts w:asciiTheme="minorBidi" w:hAnsiTheme="minorBidi" w:cstheme="minorBidi"/>
          <w:sz w:val="22"/>
          <w:szCs w:val="22"/>
          <w:lang w:val="en-GB"/>
        </w:rPr>
        <w:br/>
        <w:t>• Promote microbial-mediated remediation.</w:t>
      </w:r>
      <w:r w:rsidRPr="005E13FE">
        <w:rPr>
          <w:rFonts w:asciiTheme="minorBidi" w:hAnsiTheme="minorBidi" w:cstheme="minorBidi"/>
          <w:sz w:val="22"/>
          <w:szCs w:val="22"/>
          <w:lang w:val="en-GB"/>
        </w:rPr>
        <w:br/>
        <w:t>• Align with circular bioeconomy, converting waste to value.</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Efficacy depends on feedstock type and pyrolysis temperature.</w:t>
      </w:r>
      <w:r w:rsidRPr="005E13FE">
        <w:rPr>
          <w:rFonts w:asciiTheme="minorBidi" w:hAnsiTheme="minorBidi" w:cstheme="minorBidi"/>
          <w:sz w:val="22"/>
          <w:szCs w:val="22"/>
          <w:lang w:val="en-GB"/>
        </w:rPr>
        <w:br/>
        <w:t>• Over-application may disrupt nutrient balance.</w:t>
      </w:r>
      <w:r w:rsidRPr="005E13FE">
        <w:rPr>
          <w:rFonts w:asciiTheme="minorBidi" w:hAnsiTheme="minorBidi" w:cstheme="minorBidi"/>
          <w:sz w:val="22"/>
          <w:szCs w:val="22"/>
          <w:lang w:val="en-GB"/>
        </w:rPr>
        <w:br/>
        <w:t>• Limited long-term field validation.</w:t>
      </w:r>
    </w:p>
    <w:p w14:paraId="3A47968B" w14:textId="77777777" w:rsidR="00092AEB" w:rsidRDefault="00092AEB" w:rsidP="00CB7B1B">
      <w:pPr>
        <w:rPr>
          <w:rFonts w:asciiTheme="minorBidi" w:hAnsiTheme="minorBidi" w:cstheme="minorBidi"/>
          <w:sz w:val="22"/>
          <w:szCs w:val="22"/>
          <w:lang w:val="en-GB"/>
        </w:rPr>
      </w:pPr>
    </w:p>
    <w:p w14:paraId="07B9056B" w14:textId="6DAE4793" w:rsidR="007F5715" w:rsidRPr="005E13FE" w:rsidRDefault="007F5715"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 xml:space="preserve">Previous studies show that absence of early monitoring has escalated public health risks in polluted sites, as </w:t>
      </w:r>
      <w:r w:rsidR="00092AEB" w:rsidRPr="00092AEB">
        <w:rPr>
          <w:rFonts w:asciiTheme="minorBidi" w:hAnsiTheme="minorBidi" w:cstheme="minorBidi"/>
          <w:sz w:val="22"/>
          <w:szCs w:val="22"/>
          <w:lang w:val="en-GB"/>
        </w:rPr>
        <w:t>Pollution Load Index (</w:t>
      </w:r>
      <w:r w:rsidRPr="005E13FE">
        <w:rPr>
          <w:rFonts w:asciiTheme="minorBidi" w:hAnsiTheme="minorBidi" w:cstheme="minorBidi"/>
          <w:sz w:val="22"/>
          <w:szCs w:val="22"/>
          <w:lang w:val="en-GB"/>
        </w:rPr>
        <w:t>PLI</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values were not assessed in </w:t>
      </w:r>
      <w:r w:rsidRPr="005E13FE">
        <w:rPr>
          <w:rFonts w:asciiTheme="minorBidi" w:hAnsiTheme="minorBidi" w:cstheme="minorBidi"/>
          <w:sz w:val="22"/>
          <w:szCs w:val="22"/>
          <w:lang w:val="en-GB"/>
        </w:rPr>
        <w:lastRenderedPageBreak/>
        <w:t>time (Al-</w:t>
      </w:r>
      <w:proofErr w:type="spellStart"/>
      <w:r w:rsidRPr="005E13FE">
        <w:rPr>
          <w:rFonts w:asciiTheme="minorBidi" w:hAnsiTheme="minorBidi" w:cstheme="minorBidi"/>
          <w:sz w:val="22"/>
          <w:szCs w:val="22"/>
          <w:lang w:val="en-GB"/>
        </w:rPr>
        <w:t>Mashhadi</w:t>
      </w:r>
      <w:proofErr w:type="spellEnd"/>
      <w:r w:rsidRPr="005E13FE">
        <w:rPr>
          <w:rFonts w:asciiTheme="minorBidi" w:hAnsiTheme="minorBidi" w:cstheme="minorBidi"/>
          <w:sz w:val="22"/>
          <w:szCs w:val="22"/>
          <w:lang w:val="en-GB"/>
        </w:rPr>
        <w:t xml:space="preserve"> &amp; </w:t>
      </w:r>
      <w:proofErr w:type="spellStart"/>
      <w:r w:rsidRPr="005E13FE">
        <w:rPr>
          <w:rFonts w:asciiTheme="minorBidi" w:hAnsiTheme="minorBidi" w:cstheme="minorBidi"/>
          <w:sz w:val="22"/>
          <w:szCs w:val="22"/>
          <w:lang w:val="en-GB"/>
        </w:rPr>
        <w:t>Alabadi</w:t>
      </w:r>
      <w:proofErr w:type="spellEnd"/>
      <w:r w:rsidRPr="005E13FE">
        <w:rPr>
          <w:rFonts w:asciiTheme="minorBidi" w:hAnsiTheme="minorBidi" w:cstheme="minorBidi"/>
          <w:sz w:val="22"/>
          <w:szCs w:val="22"/>
          <w:lang w:val="en-GB"/>
        </w:rPr>
        <w:t>, 2023). Due to long-term accumulation and persistence of heavy metals, affected areas require urgent intervention (Figure 9) to prevent further ecological degradation, reduced agricultural productivity, diminished crop quality, and increased human health disorders.</w:t>
      </w:r>
    </w:p>
    <w:p w14:paraId="52C9DC0F" w14:textId="77777777" w:rsidR="00D75A47" w:rsidRPr="005E13FE" w:rsidRDefault="00D75A47" w:rsidP="00CB7B1B">
      <w:pPr>
        <w:pStyle w:val="Head1"/>
        <w:spacing w:after="0"/>
        <w:jc w:val="both"/>
        <w:rPr>
          <w:rFonts w:asciiTheme="minorBidi" w:hAnsiTheme="minorBidi" w:cstheme="minorBidi"/>
          <w:b w:val="0"/>
          <w:szCs w:val="22"/>
          <w:lang w:val="en-GB"/>
        </w:rPr>
      </w:pPr>
    </w:p>
    <w:p w14:paraId="4E48FA9E" w14:textId="71D39C5C" w:rsidR="004E708C" w:rsidRPr="005E13FE" w:rsidRDefault="00936B67" w:rsidP="00CB7B1B">
      <w:pPr>
        <w:jc w:val="center"/>
        <w:rPr>
          <w:rFonts w:asciiTheme="minorBidi" w:hAnsiTheme="minorBidi" w:cstheme="minorBidi"/>
          <w:b/>
          <w:bCs/>
          <w:sz w:val="22"/>
          <w:szCs w:val="22"/>
          <w:lang w:val="en-GB"/>
        </w:rPr>
      </w:pPr>
      <w:r w:rsidRPr="005E13FE">
        <w:rPr>
          <w:rFonts w:asciiTheme="minorBidi" w:hAnsiTheme="minorBidi" w:cstheme="minorBidi"/>
          <w:noProof/>
          <w:sz w:val="22"/>
          <w:szCs w:val="22"/>
          <w:lang w:val="en-GB"/>
        </w:rPr>
        <w:drawing>
          <wp:inline distT="0" distB="0" distL="0" distR="0" wp14:anchorId="5E225F25" wp14:editId="6C02A78D">
            <wp:extent cx="5212080" cy="419718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12080" cy="4197187"/>
                    </a:xfrm>
                    <a:prstGeom prst="rect">
                      <a:avLst/>
                    </a:prstGeom>
                    <a:noFill/>
                    <a:ln>
                      <a:noFill/>
                    </a:ln>
                  </pic:spPr>
                </pic:pic>
              </a:graphicData>
            </a:graphic>
          </wp:inline>
        </w:drawing>
      </w:r>
    </w:p>
    <w:p w14:paraId="0077EC71" w14:textId="0519EA95" w:rsidR="004E708C" w:rsidRPr="005E13FE" w:rsidRDefault="004E708C"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8</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Various different remediation techniques for heavy metal pollution.</w:t>
      </w:r>
    </w:p>
    <w:p w14:paraId="0A405B2D" w14:textId="77777777" w:rsidR="00D75A47" w:rsidRPr="005E13FE" w:rsidRDefault="00D75A47" w:rsidP="00CB7B1B">
      <w:pPr>
        <w:pStyle w:val="Head1"/>
        <w:spacing w:after="0"/>
        <w:jc w:val="both"/>
        <w:rPr>
          <w:rFonts w:asciiTheme="minorBidi" w:hAnsiTheme="minorBidi" w:cstheme="minorBidi"/>
          <w:b w:val="0"/>
          <w:szCs w:val="22"/>
          <w:lang w:val="en-GB"/>
        </w:rPr>
      </w:pPr>
    </w:p>
    <w:p w14:paraId="70417580"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6.3 Scalability and Cost Considerations</w:t>
      </w:r>
    </w:p>
    <w:p w14:paraId="1A459C27" w14:textId="08B26B3B" w:rsidR="004A2284" w:rsidRPr="005E13FE" w:rsidRDefault="004A2284" w:rsidP="0051656E">
      <w:pPr>
        <w:rPr>
          <w:rFonts w:asciiTheme="minorBidi" w:hAnsiTheme="minorBidi" w:cstheme="minorBidi"/>
          <w:sz w:val="22"/>
          <w:szCs w:val="22"/>
          <w:lang w:val="en-GB"/>
        </w:rPr>
      </w:pPr>
      <w:r w:rsidRPr="005E13FE">
        <w:rPr>
          <w:rFonts w:asciiTheme="minorBidi" w:hAnsiTheme="minorBidi" w:cstheme="minorBidi"/>
          <w:sz w:val="22"/>
          <w:szCs w:val="22"/>
          <w:lang w:val="en-GB"/>
        </w:rPr>
        <w:t>• Large-scale agriculture: Biological and biochar-based methods are most feasible, offering low cost and minimal disruption.</w:t>
      </w:r>
      <w:r w:rsidRPr="005E13FE">
        <w:rPr>
          <w:rFonts w:asciiTheme="minorBidi" w:hAnsiTheme="minorBidi" w:cstheme="minorBidi"/>
          <w:sz w:val="22"/>
          <w:szCs w:val="22"/>
          <w:lang w:val="en-GB"/>
        </w:rPr>
        <w:br/>
        <w:t xml:space="preserve">• Localized hotspots: Soil washing, thermal treatments, and </w:t>
      </w:r>
      <w:proofErr w:type="spellStart"/>
      <w:r w:rsidRPr="005E13FE">
        <w:rPr>
          <w:rFonts w:asciiTheme="minorBidi" w:hAnsiTheme="minorBidi" w:cstheme="minorBidi"/>
          <w:sz w:val="22"/>
          <w:szCs w:val="22"/>
          <w:lang w:val="en-GB"/>
        </w:rPr>
        <w:t>electrokinetics</w:t>
      </w:r>
      <w:proofErr w:type="spellEnd"/>
      <w:r w:rsidRPr="005E13FE">
        <w:rPr>
          <w:rFonts w:asciiTheme="minorBidi" w:hAnsiTheme="minorBidi" w:cstheme="minorBidi"/>
          <w:sz w:val="22"/>
          <w:szCs w:val="22"/>
          <w:lang w:val="en-GB"/>
        </w:rPr>
        <w:t xml:space="preserve"> provide high efficiency but require significant capital.</w:t>
      </w:r>
      <w:r w:rsidRPr="005E13FE">
        <w:rPr>
          <w:rFonts w:asciiTheme="minorBidi" w:hAnsiTheme="minorBidi" w:cstheme="minorBidi"/>
          <w:sz w:val="22"/>
          <w:szCs w:val="22"/>
          <w:lang w:val="en-GB"/>
        </w:rPr>
        <w:br/>
        <w:t>• Low-resource regions: Phytoremediation and organic amendments (manure, compost, crop residues) remain accessible and affordable.</w:t>
      </w:r>
      <w:r w:rsidRPr="005E13FE">
        <w:rPr>
          <w:rFonts w:asciiTheme="minorBidi" w:hAnsiTheme="minorBidi" w:cstheme="minorBidi"/>
          <w:sz w:val="22"/>
          <w:szCs w:val="22"/>
          <w:lang w:val="en-GB"/>
        </w:rPr>
        <w:br/>
        <w:t>• Industrial–agricultural interfaces: Hybrid approaches</w:t>
      </w:r>
      <w:r w:rsidR="0051656E">
        <w:rPr>
          <w:rFonts w:asciiTheme="minorBidi" w:hAnsiTheme="minorBidi" w:cstheme="minorBidi"/>
          <w:sz w:val="22"/>
          <w:szCs w:val="22"/>
          <w:lang w:val="en-GB"/>
        </w:rPr>
        <w:t xml:space="preserve"> –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remediation for hotspots combined with phytoremediation for surrounding areas</w:t>
      </w:r>
      <w:r w:rsidR="0051656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optimize</w:t>
      </w:r>
      <w:r w:rsidR="0051656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recovery.</w:t>
      </w:r>
      <w:r w:rsidRPr="005E13FE">
        <w:rPr>
          <w:rFonts w:asciiTheme="minorBidi" w:hAnsiTheme="minorBidi" w:cstheme="minorBidi"/>
          <w:sz w:val="22"/>
          <w:szCs w:val="22"/>
          <w:lang w:val="en-GB"/>
        </w:rPr>
        <w:br/>
        <w:t>Cost-effectiveness varies by contaminant: metals require long-term immobilization, whereas pesticides benefit from microbial and enzymatic degradation pathways.</w:t>
      </w:r>
    </w:p>
    <w:p w14:paraId="7B8436E4" w14:textId="77777777" w:rsidR="004A2284" w:rsidRPr="005E13FE" w:rsidRDefault="004A2284" w:rsidP="00CB7B1B">
      <w:pPr>
        <w:rPr>
          <w:rFonts w:asciiTheme="minorBidi" w:hAnsiTheme="minorBidi" w:cstheme="minorBidi"/>
          <w:b/>
          <w:bCs/>
          <w:sz w:val="22"/>
          <w:szCs w:val="22"/>
          <w:lang w:val="en-GB"/>
        </w:rPr>
      </w:pPr>
    </w:p>
    <w:p w14:paraId="1A3AC7E9"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6.4 Environmental Trade-Offs</w:t>
      </w:r>
    </w:p>
    <w:p w14:paraId="5C13EB84" w14:textId="77777777" w:rsidR="004A2284" w:rsidRPr="005E13FE" w:rsidRDefault="004A2284" w:rsidP="0005722A">
      <w:pPr>
        <w:rPr>
          <w:rFonts w:asciiTheme="minorBidi" w:hAnsiTheme="minorBidi" w:cstheme="minorBidi"/>
          <w:sz w:val="22"/>
          <w:szCs w:val="22"/>
          <w:lang w:val="en-GB"/>
        </w:rPr>
      </w:pPr>
      <w:r w:rsidRPr="005E13FE">
        <w:rPr>
          <w:rFonts w:asciiTheme="minorBidi" w:hAnsiTheme="minorBidi" w:cstheme="minorBidi"/>
          <w:sz w:val="22"/>
          <w:szCs w:val="22"/>
          <w:lang w:val="en-GB"/>
        </w:rPr>
        <w:lastRenderedPageBreak/>
        <w:t>A comprehensive evaluation includes potential ecological side effects:</w:t>
      </w:r>
      <w:r w:rsidRPr="005E13FE">
        <w:rPr>
          <w:rFonts w:asciiTheme="minorBidi" w:hAnsiTheme="minorBidi" w:cstheme="minorBidi"/>
          <w:sz w:val="22"/>
          <w:szCs w:val="22"/>
          <w:lang w:val="en-GB"/>
        </w:rPr>
        <w:br/>
        <w:t xml:space="preserve">•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treatments may induce soil acidification, organic matter loss, and microbial decline.</w:t>
      </w:r>
      <w:r w:rsidRPr="005E13FE">
        <w:rPr>
          <w:rFonts w:asciiTheme="minorBidi" w:hAnsiTheme="minorBidi" w:cstheme="minorBidi"/>
          <w:sz w:val="22"/>
          <w:szCs w:val="22"/>
          <w:lang w:val="en-GB"/>
        </w:rPr>
        <w:br/>
        <w:t>• Phytoremediation risks contaminant concentration in plant biomass, requiring secure disposal.</w:t>
      </w:r>
      <w:r w:rsidRPr="005E13FE">
        <w:rPr>
          <w:rFonts w:asciiTheme="minorBidi" w:hAnsiTheme="minorBidi" w:cstheme="minorBidi"/>
          <w:sz w:val="22"/>
          <w:szCs w:val="22"/>
          <w:lang w:val="en-GB"/>
        </w:rPr>
        <w:br/>
        <w:t>• Nanomaterial use necessitates monitoring of nano-toxicity and trophic impacts.</w:t>
      </w:r>
      <w:r w:rsidRPr="005E13FE">
        <w:rPr>
          <w:rFonts w:asciiTheme="minorBidi" w:hAnsiTheme="minorBidi" w:cstheme="minorBidi"/>
          <w:sz w:val="22"/>
          <w:szCs w:val="22"/>
          <w:lang w:val="en-GB"/>
        </w:rPr>
        <w:br/>
        <w:t>• Improperly produced biochar may contain polyaromatic hydrocarbons.</w:t>
      </w:r>
      <w:r w:rsidRPr="005E13FE">
        <w:rPr>
          <w:rFonts w:asciiTheme="minorBidi" w:hAnsiTheme="minorBidi" w:cstheme="minorBidi"/>
          <w:sz w:val="22"/>
          <w:szCs w:val="22"/>
          <w:lang w:val="en-GB"/>
        </w:rPr>
        <w:br/>
        <w:t>• Microbial remediation may generate by-products with uncertain long-term ecological effects.</w:t>
      </w:r>
    </w:p>
    <w:p w14:paraId="033F17CD" w14:textId="77777777" w:rsidR="004A2284" w:rsidRPr="005E13FE" w:rsidRDefault="004A2284" w:rsidP="0005722A">
      <w:pPr>
        <w:rPr>
          <w:rFonts w:asciiTheme="minorBidi" w:hAnsiTheme="minorBidi" w:cstheme="minorBidi"/>
          <w:sz w:val="22"/>
          <w:szCs w:val="22"/>
          <w:lang w:val="en-GB"/>
        </w:rPr>
      </w:pPr>
      <w:r w:rsidRPr="005E13FE">
        <w:rPr>
          <w:rFonts w:asciiTheme="minorBidi" w:hAnsiTheme="minorBidi" w:cstheme="minorBidi"/>
          <w:sz w:val="22"/>
          <w:szCs w:val="22"/>
          <w:lang w:val="en-GB"/>
        </w:rPr>
        <w:t>These considerations emphasize the need for integrated, ecosystem-aligned remediation strategies that maintain soil functionality, biodiversity, and agricultural resilience.</w:t>
      </w:r>
    </w:p>
    <w:p w14:paraId="2680B5B7" w14:textId="77777777" w:rsidR="004A2284" w:rsidRPr="005E13FE" w:rsidRDefault="004A2284" w:rsidP="00CB7B1B">
      <w:pPr>
        <w:rPr>
          <w:rFonts w:asciiTheme="minorBidi" w:hAnsiTheme="minorBidi" w:cstheme="minorBidi"/>
          <w:b/>
          <w:bCs/>
          <w:sz w:val="22"/>
          <w:szCs w:val="22"/>
          <w:lang w:val="en-GB"/>
        </w:rPr>
      </w:pPr>
    </w:p>
    <w:p w14:paraId="32C807B3"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 Integrating Soil Pollution with the One Health Framework</w:t>
      </w:r>
    </w:p>
    <w:p w14:paraId="3EDC1CD1"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 Mechanistic Exposure Pathways Linking Soil to Human and Environmental Health</w:t>
      </w:r>
    </w:p>
    <w:p w14:paraId="1D4A6002"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The One Health framework provides a mechanistic lens linking soil contamination with plant dysfunction, ecosystem disruption, and human disease.</w:t>
      </w:r>
    </w:p>
    <w:p w14:paraId="441EA932" w14:textId="77777777" w:rsidR="004A2284" w:rsidRPr="005E13FE" w:rsidRDefault="004A2284" w:rsidP="00CB7B1B">
      <w:pPr>
        <w:rPr>
          <w:rFonts w:asciiTheme="minorBidi" w:hAnsiTheme="minorBidi" w:cstheme="minorBidi"/>
          <w:b/>
          <w:bCs/>
          <w:sz w:val="22"/>
          <w:szCs w:val="22"/>
          <w:lang w:val="en-GB"/>
        </w:rPr>
      </w:pPr>
    </w:p>
    <w:p w14:paraId="4951FDA6" w14:textId="38843CD6"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7.1.1 Soil–Plant–Food Chain Transfer</w:t>
      </w:r>
    </w:p>
    <w:p w14:paraId="697CA9BC"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Heavy metals such as Cd, Pb,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xml:space="preserve"> readily enter roots, accumulate in edible tissues, and persist through trophic levels. Persistent pesticides, including OCPs and certain herbicides, follow similar bioaccumulation trajectories.</w:t>
      </w:r>
    </w:p>
    <w:p w14:paraId="4446AD82" w14:textId="77777777" w:rsidR="004A2284" w:rsidRPr="005E13FE" w:rsidRDefault="004A2284" w:rsidP="00CB7B1B">
      <w:pPr>
        <w:rPr>
          <w:rFonts w:asciiTheme="minorBidi" w:hAnsiTheme="minorBidi" w:cstheme="minorBidi"/>
          <w:b/>
          <w:bCs/>
          <w:sz w:val="22"/>
          <w:szCs w:val="22"/>
          <w:lang w:val="en-GB"/>
        </w:rPr>
      </w:pPr>
    </w:p>
    <w:p w14:paraId="6E8888BB" w14:textId="6C9FA9EC"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7.1.2 Impacts on the Soil Microbiome and Rhizosphere Health</w:t>
      </w:r>
    </w:p>
    <w:p w14:paraId="06F25C4F"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Microbiome dysbiosis induced by metals or xenobiotic pesticides suppresses nitrogen fixation, disrupts beneficial microbes and enzyme systems, and heightens plant vulnerability to stress.</w:t>
      </w:r>
    </w:p>
    <w:p w14:paraId="46C8F5A2" w14:textId="77777777" w:rsidR="004A2284" w:rsidRPr="005E13FE" w:rsidRDefault="004A2284" w:rsidP="00CB7B1B">
      <w:pPr>
        <w:rPr>
          <w:rFonts w:asciiTheme="minorBidi" w:hAnsiTheme="minorBidi" w:cstheme="minorBidi"/>
          <w:b/>
          <w:bCs/>
          <w:sz w:val="22"/>
          <w:szCs w:val="22"/>
          <w:lang w:val="en-GB"/>
        </w:rPr>
      </w:pPr>
    </w:p>
    <w:p w14:paraId="1ACBE53E" w14:textId="181A5F5B"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7.1.3 Ecotoxicological Feedback Loops</w:t>
      </w:r>
    </w:p>
    <w:p w14:paraId="1B264B40"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Contaminants affect soil fauna, pollinators, and decomposers, weakening nutrient cycling and organic matter turnover.</w:t>
      </w:r>
    </w:p>
    <w:p w14:paraId="3EF397FB" w14:textId="77777777" w:rsidR="004A2284" w:rsidRPr="005E13FE" w:rsidRDefault="004A2284" w:rsidP="00CB7B1B">
      <w:pPr>
        <w:rPr>
          <w:rFonts w:asciiTheme="minorBidi" w:hAnsiTheme="minorBidi" w:cstheme="minorBidi"/>
          <w:b/>
          <w:bCs/>
          <w:sz w:val="22"/>
          <w:szCs w:val="22"/>
          <w:lang w:val="en-GB"/>
        </w:rPr>
      </w:pPr>
    </w:p>
    <w:p w14:paraId="272193EB" w14:textId="018DFB70"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7.1.4 Human Exposure Pathways</w:t>
      </w:r>
    </w:p>
    <w:p w14:paraId="4E3464A7"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Exposure occurs via contaminated food, inhalation of dust, polluted groundwater, and occupational handling. These pathways contribute to carcinogenicity, neurotoxicity, endocrine disruption, and cardiometabolic disorders (Rusin et al., 2021; Popescu et al., 2024).</w:t>
      </w:r>
    </w:p>
    <w:p w14:paraId="4B06430B" w14:textId="77777777" w:rsidR="004A2284" w:rsidRPr="005E13FE" w:rsidRDefault="004A2284" w:rsidP="00CB7B1B">
      <w:pPr>
        <w:rPr>
          <w:rFonts w:asciiTheme="minorBidi" w:hAnsiTheme="minorBidi" w:cstheme="minorBidi"/>
          <w:b/>
          <w:bCs/>
          <w:sz w:val="22"/>
          <w:szCs w:val="22"/>
          <w:lang w:val="en-GB"/>
        </w:rPr>
      </w:pPr>
    </w:p>
    <w:p w14:paraId="4A46D7CF"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7.2 Planetary Health and Sustainable Agriculture Alignment</w:t>
      </w:r>
    </w:p>
    <w:p w14:paraId="1AD1FFBC"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Integrating remediation with One Health emphasizes soil as a regulator of nutrient cycles, biodiversity, and food security, and positions soil contamination as a planetary boundary threat. Climate change intensifies contaminant mobility, redox shifts, and pesticide volatilization. Consequently, remediation must align with climate adaptation, biodiversity conservation, and sustainable food-system transitions. This interdependence underscores soils as foundational to ecosystem integrity and human well-being.</w:t>
      </w:r>
    </w:p>
    <w:p w14:paraId="054C997B" w14:textId="77777777" w:rsidR="004A2284" w:rsidRPr="005E13FE" w:rsidRDefault="004A2284" w:rsidP="00CB7B1B">
      <w:pPr>
        <w:rPr>
          <w:rFonts w:asciiTheme="minorBidi" w:hAnsiTheme="minorBidi" w:cstheme="minorBidi"/>
          <w:b/>
          <w:bCs/>
          <w:sz w:val="22"/>
          <w:szCs w:val="22"/>
          <w:lang w:val="en-GB"/>
        </w:rPr>
      </w:pPr>
    </w:p>
    <w:p w14:paraId="66A8B06A"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lastRenderedPageBreak/>
        <w:t>8. Future Directions and Knowledge Gaps</w:t>
      </w:r>
    </w:p>
    <w:p w14:paraId="7084BD34"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8.1 </w:t>
      </w:r>
      <w:proofErr w:type="spellStart"/>
      <w:r w:rsidRPr="005E13FE">
        <w:rPr>
          <w:rFonts w:asciiTheme="minorBidi" w:hAnsiTheme="minorBidi" w:cstheme="minorBidi"/>
          <w:b/>
          <w:bCs/>
          <w:sz w:val="22"/>
          <w:szCs w:val="22"/>
          <w:lang w:val="en-GB"/>
        </w:rPr>
        <w:t>Multicontaminant</w:t>
      </w:r>
      <w:proofErr w:type="spellEnd"/>
      <w:r w:rsidRPr="005E13FE">
        <w:rPr>
          <w:rFonts w:asciiTheme="minorBidi" w:hAnsiTheme="minorBidi" w:cstheme="minorBidi"/>
          <w:b/>
          <w:bCs/>
          <w:sz w:val="22"/>
          <w:szCs w:val="22"/>
          <w:lang w:val="en-GB"/>
        </w:rPr>
        <w:t xml:space="preserve"> and Co-Exposure Models</w:t>
      </w:r>
    </w:p>
    <w:p w14:paraId="2F5B66E8"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Most remediation studies examine pollutants individually, although agricultural soils often contain metals, pesticides, microplastics, and pharmaceuticals. Integrated models are required to predict synergistic and antagonistic effects.</w:t>
      </w:r>
    </w:p>
    <w:p w14:paraId="22D1485B" w14:textId="77777777" w:rsidR="004A2284" w:rsidRPr="005E13FE" w:rsidRDefault="004A2284" w:rsidP="00CB7B1B">
      <w:pPr>
        <w:rPr>
          <w:rFonts w:asciiTheme="minorBidi" w:hAnsiTheme="minorBidi" w:cstheme="minorBidi"/>
          <w:b/>
          <w:bCs/>
          <w:sz w:val="22"/>
          <w:szCs w:val="22"/>
          <w:lang w:val="en-GB"/>
        </w:rPr>
      </w:pPr>
    </w:p>
    <w:p w14:paraId="6087A53A" w14:textId="46616E4D"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8.2 Long-Term Field Validation</w:t>
      </w:r>
    </w:p>
    <w:p w14:paraId="4EDA7ED5" w14:textId="45E0142C"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Key technologies</w:t>
      </w:r>
      <w:r w:rsidR="005F626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biochar, nanomaterials, enzymatic remediation</w:t>
      </w:r>
      <w:r w:rsidR="005F626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lack</w:t>
      </w:r>
      <w:r w:rsidR="005F626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long-term field trials assessing durability, safety, and agronomic performance across diverse climates.</w:t>
      </w:r>
    </w:p>
    <w:p w14:paraId="74C43B99" w14:textId="77777777" w:rsidR="004A2284" w:rsidRPr="005E13FE" w:rsidRDefault="004A2284" w:rsidP="00CB7B1B">
      <w:pPr>
        <w:rPr>
          <w:rFonts w:asciiTheme="minorBidi" w:hAnsiTheme="minorBidi" w:cstheme="minorBidi"/>
          <w:b/>
          <w:bCs/>
          <w:sz w:val="22"/>
          <w:szCs w:val="22"/>
          <w:lang w:val="en-GB"/>
        </w:rPr>
      </w:pPr>
    </w:p>
    <w:p w14:paraId="2F408646" w14:textId="258830C8"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8.3 Soil Microbiome–</w:t>
      </w:r>
      <w:proofErr w:type="spellStart"/>
      <w:r w:rsidRPr="005E13FE">
        <w:rPr>
          <w:rFonts w:asciiTheme="minorBidi" w:hAnsiTheme="minorBidi" w:cstheme="minorBidi"/>
          <w:b/>
          <w:bCs/>
          <w:sz w:val="22"/>
          <w:szCs w:val="22"/>
          <w:lang w:val="en-GB"/>
        </w:rPr>
        <w:t>Centered</w:t>
      </w:r>
      <w:proofErr w:type="spellEnd"/>
      <w:r w:rsidRPr="005E13FE">
        <w:rPr>
          <w:rFonts w:asciiTheme="minorBidi" w:hAnsiTheme="minorBidi" w:cstheme="minorBidi"/>
          <w:b/>
          <w:bCs/>
          <w:sz w:val="22"/>
          <w:szCs w:val="22"/>
          <w:lang w:val="en-GB"/>
        </w:rPr>
        <w:t xml:space="preserve"> Remediation</w:t>
      </w:r>
    </w:p>
    <w:p w14:paraId="596BFD8D" w14:textId="7C4B3999"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soil microbiome remains </w:t>
      </w:r>
      <w:r w:rsidR="005F626B" w:rsidRPr="005E13FE">
        <w:rPr>
          <w:rFonts w:asciiTheme="minorBidi" w:hAnsiTheme="minorBidi" w:cstheme="minorBidi"/>
          <w:sz w:val="22"/>
          <w:szCs w:val="22"/>
          <w:lang w:val="en-GB"/>
        </w:rPr>
        <w:t>under integrated</w:t>
      </w:r>
      <w:r w:rsidRPr="005E13FE">
        <w:rPr>
          <w:rFonts w:asciiTheme="minorBidi" w:hAnsiTheme="minorBidi" w:cstheme="minorBidi"/>
          <w:sz w:val="22"/>
          <w:szCs w:val="22"/>
          <w:lang w:val="en-GB"/>
        </w:rPr>
        <w:t xml:space="preserve"> in remediation design. Metagenomic, metabolomic, and systems-level tools are needed to harness microbiome-driven detoxification.</w:t>
      </w:r>
    </w:p>
    <w:p w14:paraId="420B9368" w14:textId="77777777" w:rsidR="004A2284" w:rsidRPr="005E13FE" w:rsidRDefault="004A2284" w:rsidP="00CB7B1B">
      <w:pPr>
        <w:rPr>
          <w:rFonts w:asciiTheme="minorBidi" w:hAnsiTheme="minorBidi" w:cstheme="minorBidi"/>
          <w:b/>
          <w:bCs/>
          <w:sz w:val="22"/>
          <w:szCs w:val="22"/>
          <w:lang w:val="en-GB"/>
        </w:rPr>
      </w:pPr>
    </w:p>
    <w:p w14:paraId="1EEAE710"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8.4 Harmonized Regulatory Frameworks</w:t>
      </w:r>
    </w:p>
    <w:p w14:paraId="34AF0650"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Inconsistent residue limits and monitoring protocols across nations hinder effective soil and food safety governance. Harmonized standards and integrated risk assessments are essential.</w:t>
      </w:r>
    </w:p>
    <w:p w14:paraId="55141D30" w14:textId="77777777" w:rsidR="004A2284" w:rsidRPr="005E13FE" w:rsidRDefault="004A2284" w:rsidP="00CB7B1B">
      <w:pPr>
        <w:rPr>
          <w:rFonts w:asciiTheme="minorBidi" w:hAnsiTheme="minorBidi" w:cstheme="minorBidi"/>
          <w:b/>
          <w:bCs/>
          <w:sz w:val="22"/>
          <w:szCs w:val="22"/>
          <w:lang w:val="en-GB"/>
        </w:rPr>
      </w:pPr>
    </w:p>
    <w:p w14:paraId="3991F910" w14:textId="71D009C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8.5 Scalable Green Chemistry Approaches</w:t>
      </w:r>
    </w:p>
    <w:p w14:paraId="300CB806"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Biochar, biodegradable </w:t>
      </w:r>
      <w:proofErr w:type="spellStart"/>
      <w:r w:rsidRPr="005E13FE">
        <w:rPr>
          <w:rFonts w:asciiTheme="minorBidi" w:hAnsiTheme="minorBidi" w:cstheme="minorBidi"/>
          <w:sz w:val="22"/>
          <w:szCs w:val="22"/>
          <w:lang w:val="en-GB"/>
        </w:rPr>
        <w:t>nanopolymers</w:t>
      </w:r>
      <w:proofErr w:type="spellEnd"/>
      <w:r w:rsidRPr="005E13FE">
        <w:rPr>
          <w:rFonts w:asciiTheme="minorBidi" w:hAnsiTheme="minorBidi" w:cstheme="minorBidi"/>
          <w:sz w:val="22"/>
          <w:szCs w:val="22"/>
          <w:lang w:val="en-GB"/>
        </w:rPr>
        <w:t>, biosurfactants, and enzyme biocatalysts require further development to increase scalability, affordability, and agricultural compatibility.</w:t>
      </w:r>
    </w:p>
    <w:p w14:paraId="1E30A31E" w14:textId="77777777" w:rsidR="004A2284" w:rsidRPr="005E13FE" w:rsidRDefault="004A2284" w:rsidP="00CB7B1B">
      <w:pPr>
        <w:rPr>
          <w:rFonts w:asciiTheme="minorBidi" w:hAnsiTheme="minorBidi" w:cstheme="minorBidi"/>
          <w:b/>
          <w:bCs/>
          <w:sz w:val="22"/>
          <w:szCs w:val="22"/>
          <w:lang w:val="en-GB"/>
        </w:rPr>
      </w:pPr>
    </w:p>
    <w:p w14:paraId="72FC9684"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8.6 Climate–Pollution Interactions</w:t>
      </w:r>
    </w:p>
    <w:p w14:paraId="5F274C13"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Shifts in rainfall, temperature, and soil moisture will influence contaminant mobility and degradation. Improved predictive models are needed for future climate scenarios.</w:t>
      </w:r>
    </w:p>
    <w:p w14:paraId="4739E5C0" w14:textId="77777777" w:rsidR="004A2284" w:rsidRPr="005E13FE" w:rsidRDefault="004A2284" w:rsidP="00CB7B1B">
      <w:pPr>
        <w:rPr>
          <w:rFonts w:asciiTheme="minorBidi" w:hAnsiTheme="minorBidi" w:cstheme="minorBidi"/>
          <w:b/>
          <w:bCs/>
          <w:sz w:val="22"/>
          <w:szCs w:val="22"/>
          <w:lang w:val="en-GB"/>
        </w:rPr>
      </w:pPr>
    </w:p>
    <w:p w14:paraId="019E5424" w14:textId="4EFC7C50"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8.7 Research Enterprise, Policy, and Practice</w:t>
      </w:r>
    </w:p>
    <w:p w14:paraId="320E9763" w14:textId="4E36E9BA"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Jacquet et al. (2022) advocate a paradigm shift toward pesticide-free agriculture. The European Commission (2023) provides a comprehensive IPM “toolbox” with ~1,300 examples aligned with eight </w:t>
      </w:r>
      <w:r w:rsidR="005F626B" w:rsidRPr="005F626B">
        <w:rPr>
          <w:rFonts w:asciiTheme="minorBidi" w:hAnsiTheme="minorBidi" w:cstheme="minorBidi"/>
          <w:sz w:val="22"/>
          <w:szCs w:val="22"/>
          <w:lang w:val="en-GB"/>
        </w:rPr>
        <w:t xml:space="preserve">Integrated Pest Management (IPM) </w:t>
      </w:r>
      <w:r w:rsidRPr="005E13FE">
        <w:rPr>
          <w:rFonts w:asciiTheme="minorBidi" w:hAnsiTheme="minorBidi" w:cstheme="minorBidi"/>
          <w:sz w:val="22"/>
          <w:szCs w:val="22"/>
          <w:lang w:val="en-GB"/>
        </w:rPr>
        <w:t xml:space="preserve">principles. Given persistent risks from hazardous fungicides (Table 1), remediation must remain agronomically viable and environmentally sustainable (Ball et al., 2018; Jacobson et al., 2024). The One Health framework is therefore central, linking healthy soils, crops, food, and ecosystems (Figure 10). </w:t>
      </w:r>
    </w:p>
    <w:p w14:paraId="7256ACEA" w14:textId="77777777" w:rsidR="00D75A47" w:rsidRPr="005E13FE" w:rsidRDefault="00D75A47" w:rsidP="00CB7B1B">
      <w:pPr>
        <w:pStyle w:val="Head1"/>
        <w:spacing w:after="0"/>
        <w:jc w:val="both"/>
        <w:rPr>
          <w:rFonts w:asciiTheme="minorBidi" w:hAnsiTheme="minorBidi" w:cstheme="minorBidi"/>
          <w:szCs w:val="22"/>
          <w:lang w:val="en-GB"/>
        </w:rPr>
      </w:pPr>
    </w:p>
    <w:p w14:paraId="1756D8EA" w14:textId="0BB59536" w:rsidR="005E4E45" w:rsidRPr="005E13FE" w:rsidRDefault="005E4E45"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lang w:val="en-GB"/>
        </w:rPr>
        <w:drawing>
          <wp:inline distT="0" distB="0" distL="0" distR="0" wp14:anchorId="5029E20D" wp14:editId="4A65B78D">
            <wp:extent cx="5212080" cy="283903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12080" cy="2839030"/>
                    </a:xfrm>
                    <a:prstGeom prst="rect">
                      <a:avLst/>
                    </a:prstGeom>
                    <a:noFill/>
                    <a:ln>
                      <a:noFill/>
                    </a:ln>
                  </pic:spPr>
                </pic:pic>
              </a:graphicData>
            </a:graphic>
          </wp:inline>
        </w:drawing>
      </w:r>
    </w:p>
    <w:p w14:paraId="080E95A3" w14:textId="77777777" w:rsidR="005E4E45" w:rsidRPr="005E13FE" w:rsidRDefault="005E4E45" w:rsidP="00CB7B1B">
      <w:pPr>
        <w:pStyle w:val="Head1"/>
        <w:spacing w:after="0"/>
        <w:jc w:val="both"/>
        <w:rPr>
          <w:rFonts w:asciiTheme="minorBidi" w:hAnsiTheme="minorBidi" w:cstheme="minorBidi"/>
          <w:szCs w:val="22"/>
          <w:lang w:val="en-GB"/>
        </w:rPr>
      </w:pPr>
    </w:p>
    <w:p w14:paraId="0C32B572" w14:textId="77777777" w:rsidR="005E4E45" w:rsidRPr="005E13FE" w:rsidRDefault="005E4E45"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Fig. 9 </w:t>
      </w:r>
      <w:r w:rsidRPr="005E13FE">
        <w:rPr>
          <w:rFonts w:asciiTheme="minorBidi" w:hAnsiTheme="minorBidi" w:cstheme="minorBidi"/>
          <w:sz w:val="22"/>
          <w:szCs w:val="22"/>
          <w:lang w:val="en-GB"/>
        </w:rPr>
        <w:t xml:space="preserve">Schematic design of soil washing (including the remediation example using surfactants, </w:t>
      </w:r>
      <w:proofErr w:type="spellStart"/>
      <w:r w:rsidRPr="005E13FE">
        <w:rPr>
          <w:rFonts w:asciiTheme="minorBidi" w:hAnsiTheme="minorBidi" w:cstheme="minorBidi"/>
          <w:sz w:val="22"/>
          <w:szCs w:val="22"/>
          <w:lang w:val="en-GB"/>
        </w:rPr>
        <w:t>bioreports</w:t>
      </w:r>
      <w:proofErr w:type="spellEnd"/>
      <w:r w:rsidRPr="005E13FE">
        <w:rPr>
          <w:rFonts w:asciiTheme="minorBidi" w:hAnsiTheme="minorBidi" w:cstheme="minorBidi"/>
          <w:sz w:val="22"/>
          <w:szCs w:val="22"/>
          <w:lang w:val="en-GB"/>
        </w:rPr>
        <w:t>, etc. (</w:t>
      </w:r>
      <w:proofErr w:type="spellStart"/>
      <w:r w:rsidRPr="005E13FE">
        <w:rPr>
          <w:rFonts w:asciiTheme="minorBidi" w:hAnsiTheme="minorBidi" w:cstheme="minorBidi"/>
          <w:sz w:val="22"/>
          <w:szCs w:val="22"/>
          <w:lang w:val="en-GB"/>
        </w:rPr>
        <w:t>RoyChowdhury</w:t>
      </w:r>
      <w:proofErr w:type="spellEnd"/>
      <w:r w:rsidRPr="005E13FE">
        <w:rPr>
          <w:rFonts w:asciiTheme="minorBidi" w:hAnsiTheme="minorBidi" w:cstheme="minorBidi"/>
          <w:sz w:val="22"/>
          <w:szCs w:val="22"/>
          <w:lang w:val="en-GB"/>
        </w:rPr>
        <w:t xml:space="preserve"> et al., 2018 and </w:t>
      </w:r>
      <w:proofErr w:type="spellStart"/>
      <w:r w:rsidRPr="005E13FE">
        <w:rPr>
          <w:rFonts w:asciiTheme="minorBidi" w:hAnsiTheme="minorBidi" w:cstheme="minorBidi"/>
          <w:sz w:val="22"/>
          <w:szCs w:val="22"/>
          <w:lang w:val="en-GB"/>
        </w:rPr>
        <w:t>Arfasa</w:t>
      </w:r>
      <w:proofErr w:type="spellEnd"/>
      <w:r w:rsidRPr="005E13FE">
        <w:rPr>
          <w:rFonts w:asciiTheme="minorBidi" w:hAnsiTheme="minorBidi" w:cstheme="minorBidi"/>
          <w:sz w:val="22"/>
          <w:szCs w:val="22"/>
          <w:lang w:val="en-GB"/>
        </w:rPr>
        <w:t>, G.F. et al. 2022).</w:t>
      </w:r>
    </w:p>
    <w:p w14:paraId="3D387159" w14:textId="77777777" w:rsidR="005E4E45" w:rsidRPr="005E13FE" w:rsidRDefault="005E4E45" w:rsidP="00CB7B1B">
      <w:pPr>
        <w:pStyle w:val="Head1"/>
        <w:spacing w:after="0"/>
        <w:jc w:val="both"/>
        <w:rPr>
          <w:rFonts w:asciiTheme="minorBidi" w:hAnsiTheme="minorBidi" w:cstheme="minorBidi"/>
          <w:szCs w:val="22"/>
          <w:lang w:val="en-GB"/>
        </w:rPr>
      </w:pPr>
    </w:p>
    <w:p w14:paraId="1034BFD5" w14:textId="5DBEC7D0" w:rsidR="005E4E45" w:rsidRPr="005E13FE" w:rsidRDefault="005E4E45" w:rsidP="00CB7B1B">
      <w:pPr>
        <w:pStyle w:val="Head1"/>
        <w:spacing w:after="0"/>
        <w:jc w:val="both"/>
        <w:rPr>
          <w:rFonts w:asciiTheme="minorBidi" w:hAnsiTheme="minorBidi" w:cstheme="minorBidi"/>
          <w:szCs w:val="22"/>
          <w:lang w:val="en-GB"/>
        </w:rPr>
      </w:pPr>
      <w:r w:rsidRPr="005E13FE">
        <w:rPr>
          <w:rFonts w:asciiTheme="minorBidi" w:hAnsiTheme="minorBidi" w:cstheme="minorBidi"/>
          <w:noProof/>
          <w:szCs w:val="22"/>
        </w:rPr>
        <w:drawing>
          <wp:inline distT="0" distB="0" distL="0" distR="0" wp14:anchorId="7B044E4D" wp14:editId="687758BC">
            <wp:extent cx="5212080" cy="273128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12080" cy="2731286"/>
                    </a:xfrm>
                    <a:prstGeom prst="rect">
                      <a:avLst/>
                    </a:prstGeom>
                    <a:noFill/>
                    <a:ln>
                      <a:noFill/>
                    </a:ln>
                  </pic:spPr>
                </pic:pic>
              </a:graphicData>
            </a:graphic>
          </wp:inline>
        </w:drawing>
      </w:r>
    </w:p>
    <w:p w14:paraId="2684F1A4" w14:textId="77777777" w:rsidR="005E4E45" w:rsidRPr="005E13FE" w:rsidRDefault="005E4E45"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10 </w:t>
      </w:r>
      <w:r w:rsidRPr="005E13FE">
        <w:rPr>
          <w:rFonts w:asciiTheme="minorBidi" w:hAnsiTheme="minorBidi" w:cstheme="minorBidi"/>
          <w:sz w:val="22"/>
          <w:szCs w:val="22"/>
          <w:lang w:val="en-GB"/>
        </w:rPr>
        <w:t>Soil food web: Structure and pathways for nutrients.</w:t>
      </w:r>
    </w:p>
    <w:p w14:paraId="3F186D64" w14:textId="77777777" w:rsidR="005E4E45" w:rsidRPr="005E13FE" w:rsidRDefault="005E4E45"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Our earlier work demonstrated that excessive nutrient inputs trigger eutrophication via runoff into irrigation canal systems (Shaikh et al., 2013) (Figures 11 and 12).</w:t>
      </w:r>
    </w:p>
    <w:p w14:paraId="3F10490D" w14:textId="062502CF" w:rsidR="005E4E45" w:rsidRPr="005E13FE" w:rsidRDefault="00BA4C76"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rPr>
        <w:lastRenderedPageBreak/>
        <w:drawing>
          <wp:inline distT="0" distB="0" distL="0" distR="0" wp14:anchorId="54E96C15" wp14:editId="0DCFAF43">
            <wp:extent cx="5212080" cy="421011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12080" cy="4210110"/>
                    </a:xfrm>
                    <a:prstGeom prst="rect">
                      <a:avLst/>
                    </a:prstGeom>
                    <a:noFill/>
                    <a:ln>
                      <a:noFill/>
                    </a:ln>
                  </pic:spPr>
                </pic:pic>
              </a:graphicData>
            </a:graphic>
          </wp:inline>
        </w:drawing>
      </w:r>
    </w:p>
    <w:p w14:paraId="3F8E5086" w14:textId="77777777" w:rsidR="009051F7" w:rsidRPr="005E13FE" w:rsidRDefault="009051F7" w:rsidP="00CB7B1B">
      <w:pPr>
        <w:pStyle w:val="Head1"/>
        <w:spacing w:after="0"/>
        <w:jc w:val="both"/>
        <w:rPr>
          <w:rFonts w:asciiTheme="minorBidi" w:hAnsiTheme="minorBidi" w:cstheme="minorBidi"/>
          <w:szCs w:val="22"/>
        </w:rPr>
      </w:pPr>
    </w:p>
    <w:p w14:paraId="1ED6BEB0" w14:textId="77777777" w:rsidR="009051F7" w:rsidRPr="005E13FE" w:rsidRDefault="009051F7" w:rsidP="00CB7B1B">
      <w:pPr>
        <w:pStyle w:val="Head1"/>
        <w:spacing w:after="0"/>
        <w:jc w:val="both"/>
        <w:rPr>
          <w:rFonts w:asciiTheme="minorBidi" w:hAnsiTheme="minorBidi" w:cstheme="minorBidi"/>
          <w:szCs w:val="22"/>
        </w:rPr>
      </w:pPr>
    </w:p>
    <w:p w14:paraId="0619D484" w14:textId="254BC2EA" w:rsidR="009051F7" w:rsidRPr="005E13FE" w:rsidRDefault="009051F7"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lastRenderedPageBreak/>
        <w:t xml:space="preserve">Fig. 11 | </w:t>
      </w:r>
      <w:r w:rsidRPr="005E13FE">
        <w:rPr>
          <w:rFonts w:asciiTheme="minorBidi" w:hAnsiTheme="minorBidi" w:cstheme="minorBidi"/>
          <w:sz w:val="22"/>
          <w:szCs w:val="22"/>
          <w:lang w:val="en-GB"/>
        </w:rPr>
        <w:t>Photograph of eutrophicated canal (called nala in the local language) which was later abandoned after the Purna dam was modified (</w:t>
      </w:r>
      <w:r w:rsidRPr="005E13FE">
        <w:rPr>
          <w:rFonts w:asciiTheme="minorBidi" w:hAnsiTheme="minorBidi" w:cstheme="minorBidi"/>
          <w:sz w:val="22"/>
          <w:szCs w:val="22"/>
        </w:rPr>
        <w:t>Shaikh et al., 2013)</w:t>
      </w:r>
      <w:r w:rsidRPr="005E13FE">
        <w:rPr>
          <w:rFonts w:asciiTheme="minorBidi" w:hAnsiTheme="minorBidi" w:cstheme="minorBidi"/>
          <w:sz w:val="22"/>
          <w:szCs w:val="22"/>
          <w:lang w:val="en-GB"/>
        </w:rPr>
        <w:t>.</w:t>
      </w:r>
      <w:r w:rsidRPr="005E13FE">
        <w:rPr>
          <w:rFonts w:asciiTheme="minorBidi" w:hAnsiTheme="minorBidi" w:cstheme="minorBidi"/>
          <w:noProof/>
          <w:sz w:val="22"/>
          <w:szCs w:val="22"/>
          <w:lang w:val="en-GB"/>
        </w:rPr>
        <w:drawing>
          <wp:inline distT="0" distB="0" distL="0" distR="0" wp14:anchorId="3C867914" wp14:editId="0DDFBC20">
            <wp:extent cx="4952365" cy="5676265"/>
            <wp:effectExtent l="0" t="0" r="635" b="133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54770" cy="5679416"/>
                    </a:xfrm>
                    <a:prstGeom prst="rect">
                      <a:avLst/>
                    </a:prstGeom>
                    <a:noFill/>
                    <a:ln>
                      <a:noFill/>
                    </a:ln>
                  </pic:spPr>
                </pic:pic>
              </a:graphicData>
            </a:graphic>
          </wp:inline>
        </w:drawing>
      </w:r>
    </w:p>
    <w:p w14:paraId="1F56B3CB" w14:textId="77777777" w:rsidR="009051F7" w:rsidRPr="005E13FE" w:rsidRDefault="009051F7"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12 </w:t>
      </w:r>
      <w:r w:rsidRPr="005E13FE">
        <w:rPr>
          <w:rFonts w:asciiTheme="minorBidi" w:hAnsiTheme="minorBidi" w:cstheme="minorBidi"/>
          <w:sz w:val="22"/>
          <w:szCs w:val="22"/>
          <w:lang w:val="en-GB"/>
        </w:rPr>
        <w:t>(a) Percentage composition of phytoplankton in the eutrophicated study area</w:t>
      </w:r>
    </w:p>
    <w:p w14:paraId="5C3C4325" w14:textId="77777777" w:rsidR="009051F7" w:rsidRPr="005E13FE" w:rsidRDefault="009051F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             (b) Percentage composition of zooplankton in the study area (Shaikh, I.R. et al. 2013) </w:t>
      </w:r>
    </w:p>
    <w:p w14:paraId="73181A62" w14:textId="77777777" w:rsidR="00CB7B1B" w:rsidRPr="005E13FE" w:rsidRDefault="00CB7B1B"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The Science of the One Health Approach</w:t>
      </w:r>
    </w:p>
    <w:p w14:paraId="7EB91596" w14:textId="77777777"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t>The One Health (OH) framework recognizes the interdependence of environmental, plant, animal, and human health (Kahn, 2017). Established conceptually after the 2003 SARS pandemic, OH fosters collaboration among medical, veterinary, ecological, and agricultural sciences to address zoonoses, pollution, climate change, and plant disease. Sustainable agriculture operationalizes OH by reducing biodiversity loss, improving environmental quality, and enhancing food safety.</w:t>
      </w:r>
    </w:p>
    <w:p w14:paraId="1D7E2297" w14:textId="77777777"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lastRenderedPageBreak/>
        <w:t xml:space="preserve">Advancing OH requires interdisciplinary collaboration. Seminal work on zoonotic transmission (Mackenzie &amp; </w:t>
      </w:r>
      <w:proofErr w:type="spellStart"/>
      <w:r w:rsidRPr="00487414">
        <w:rPr>
          <w:rFonts w:asciiTheme="minorBidi" w:hAnsiTheme="minorBidi" w:cstheme="minorBidi"/>
          <w:sz w:val="22"/>
          <w:szCs w:val="22"/>
          <w:lang w:val="en-GB"/>
        </w:rPr>
        <w:t>Jeggo</w:t>
      </w:r>
      <w:proofErr w:type="spellEnd"/>
      <w:r w:rsidRPr="00487414">
        <w:rPr>
          <w:rFonts w:asciiTheme="minorBidi" w:hAnsiTheme="minorBidi" w:cstheme="minorBidi"/>
          <w:sz w:val="22"/>
          <w:szCs w:val="22"/>
          <w:lang w:val="en-GB"/>
        </w:rPr>
        <w:t xml:space="preserve">, 2019; Mackenzie et al., 2014; </w:t>
      </w:r>
      <w:proofErr w:type="spellStart"/>
      <w:r w:rsidRPr="00487414">
        <w:rPr>
          <w:rFonts w:asciiTheme="minorBidi" w:hAnsiTheme="minorBidi" w:cstheme="minorBidi"/>
          <w:sz w:val="22"/>
          <w:szCs w:val="22"/>
          <w:lang w:val="en-GB"/>
        </w:rPr>
        <w:t>Mubareka</w:t>
      </w:r>
      <w:proofErr w:type="spellEnd"/>
      <w:r w:rsidRPr="00487414">
        <w:rPr>
          <w:rFonts w:asciiTheme="minorBidi" w:hAnsiTheme="minorBidi" w:cstheme="minorBidi"/>
          <w:sz w:val="22"/>
          <w:szCs w:val="22"/>
          <w:lang w:val="en-GB"/>
        </w:rPr>
        <w:t xml:space="preserve"> et al., 2023) and the COVID-19 pandemic illustrate the urgency of this integrative approach. Plant diseases can also influence human well-being (Al-Sadi &amp; Abdullah, 2017), with evidence showing cross-kingdom pathogen transfer (Kim, 2020) and human-mediated plant viral dispersal (Ranawaka et al., 2020). Microbiomes further connect plant, animal, and human health (Kahn, 2017; Trinh et al., 2018), and soil pollution remains a major global driver of environmental degradation (Steffan et al., 2020). Climate-related stressors, such as extreme heat in the Arabian Peninsula, further destabilize OH balances (The Lancet Series on One Health and Global Health Security, 2023).</w:t>
      </w:r>
    </w:p>
    <w:p w14:paraId="0B01C184" w14:textId="69A510A3"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t>Global momentum for OH continues to grow (Brown et al., 2024; Gibbs, 2014; Destoumieux-Garzón et al., 2018). The OH paradigm now features prominently in major scientific journals (Nature Communications, 2023; Nature, 2025), and a dedicated OH journal has recently been launched (Zhou &amp; Tanner, 2022; DOAJ, 2022). International institutions</w:t>
      </w:r>
      <w:r w:rsidR="00487414">
        <w:rPr>
          <w:rFonts w:asciiTheme="minorBidi" w:hAnsiTheme="minorBidi" w:cstheme="minorBidi"/>
          <w:sz w:val="22"/>
          <w:szCs w:val="22"/>
          <w:lang w:val="en-GB"/>
        </w:rPr>
        <w:t xml:space="preserve"> </w:t>
      </w:r>
      <w:r w:rsidRPr="00487414">
        <w:rPr>
          <w:rFonts w:asciiTheme="minorBidi" w:hAnsiTheme="minorBidi" w:cstheme="minorBidi"/>
          <w:sz w:val="22"/>
          <w:szCs w:val="22"/>
          <w:lang w:val="en-GB"/>
        </w:rPr>
        <w:t>WOAH, FAO, UNEP, WHO</w:t>
      </w:r>
      <w:r w:rsidR="00487414">
        <w:rPr>
          <w:rFonts w:asciiTheme="minorBidi" w:hAnsiTheme="minorBidi" w:cstheme="minorBidi"/>
          <w:sz w:val="22"/>
          <w:szCs w:val="22"/>
          <w:lang w:val="en-GB"/>
        </w:rPr>
        <w:t xml:space="preserve"> </w:t>
      </w:r>
      <w:r w:rsidRPr="00487414">
        <w:rPr>
          <w:rFonts w:asciiTheme="minorBidi" w:hAnsiTheme="minorBidi" w:cstheme="minorBidi"/>
          <w:sz w:val="22"/>
          <w:szCs w:val="22"/>
          <w:lang w:val="en-GB"/>
        </w:rPr>
        <w:t>are increasingly integrating OH into ecosystem and public-health policy (WOAH, 2023; FAO/UNEP/WHO/WOAH, 2024). Banerjee and van der Heijden (2023) further highlight soil microbiomes as central to OH, affirming soil as a core pillar of ecological and human well-being.</w:t>
      </w:r>
    </w:p>
    <w:p w14:paraId="16F50DB0" w14:textId="77777777" w:rsidR="00421F28" w:rsidRPr="00487414" w:rsidRDefault="00421F28" w:rsidP="00487414">
      <w:pPr>
        <w:jc w:val="both"/>
        <w:rPr>
          <w:rFonts w:asciiTheme="minorBidi" w:hAnsiTheme="minorBidi" w:cstheme="minorBidi"/>
          <w:sz w:val="22"/>
          <w:szCs w:val="22"/>
          <w:lang w:val="en-GB"/>
        </w:rPr>
      </w:pPr>
    </w:p>
    <w:p w14:paraId="5D69A371" w14:textId="1883E501" w:rsidR="00CB7B1B" w:rsidRPr="005E13FE" w:rsidRDefault="00CB7B1B"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9. Conclusion</w:t>
      </w:r>
    </w:p>
    <w:p w14:paraId="38B0129F"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Soil contamination by heavy metals and pesticides is a multidimensional environmental challenge with critical consequences for plant productivity, ecosystem stability, food-chain integrity, and human health. This review shows that soil health is inseparable from the broader One Health continuum. Mechanistic evidence demonstrates that contaminants disrupt plant physiology, alter microbial ecology, and threaten biodiversity and public health through multiple exposure pathways.</w:t>
      </w:r>
    </w:p>
    <w:p w14:paraId="55C73F2B" w14:textId="32E7F8F8"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 xml:space="preserve">A synthesis of remediation technologies indicates that sustainable, scalable, and biologically compatible strategies are urgently needed. While </w:t>
      </w:r>
      <w:proofErr w:type="spellStart"/>
      <w:r w:rsidRPr="00421F28">
        <w:rPr>
          <w:rFonts w:asciiTheme="minorBidi" w:hAnsiTheme="minorBidi" w:cstheme="minorBidi"/>
          <w:sz w:val="22"/>
          <w:szCs w:val="22"/>
          <w:lang w:val="en-GB"/>
        </w:rPr>
        <w:t>physico</w:t>
      </w:r>
      <w:proofErr w:type="spellEnd"/>
      <w:r w:rsidRPr="00421F28">
        <w:rPr>
          <w:rFonts w:asciiTheme="minorBidi" w:hAnsiTheme="minorBidi" w:cstheme="minorBidi"/>
          <w:sz w:val="22"/>
          <w:szCs w:val="22"/>
          <w:lang w:val="en-GB"/>
        </w:rPr>
        <w:t>-chemical methods offer rapid decontamination, biological and green chemistry approaches</w:t>
      </w:r>
      <w:r w:rsidR="00B751A1">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biochar</w:t>
      </w:r>
      <w:r w:rsidR="00B751A1">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amendments, phytoremediation, microbial degradation, and nano-enabled methods</w:t>
      </w:r>
      <w:r w:rsidR="00B751A1">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provide</w:t>
      </w:r>
      <w:r w:rsidR="00B751A1">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longer-term ecological restoration aligned with sustainable agriculture.</w:t>
      </w:r>
    </w:p>
    <w:p w14:paraId="57CF338E" w14:textId="77777777"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Addressing current gaps demands interdisciplinary collaboration, integrated multi-contaminant models, long-term field research, and harmonized global regulatory frameworks. Safeguarding soil health is therefore central to food security, environmental sustainability, and public health. Framed within One Health, soil remediation becomes a transformative pathway for strengthening ecosystem resilience and protecting the well-being of current and future generations.</w:t>
      </w:r>
    </w:p>
    <w:p w14:paraId="33833DFE" w14:textId="77777777" w:rsidR="00B751A1" w:rsidRPr="00421F28" w:rsidRDefault="00B751A1" w:rsidP="00B751A1">
      <w:pPr>
        <w:jc w:val="both"/>
        <w:rPr>
          <w:rFonts w:asciiTheme="minorBidi" w:hAnsiTheme="minorBidi" w:cstheme="minorBidi"/>
          <w:sz w:val="22"/>
          <w:szCs w:val="22"/>
          <w:lang w:val="en-GB"/>
        </w:rPr>
      </w:pPr>
    </w:p>
    <w:p w14:paraId="42F9ADBF" w14:textId="77777777" w:rsidR="00CB7B1B" w:rsidRPr="00B751A1" w:rsidRDefault="00CB7B1B" w:rsidP="00B751A1">
      <w:pPr>
        <w:jc w:val="both"/>
        <w:rPr>
          <w:rFonts w:asciiTheme="minorBidi" w:hAnsiTheme="minorBidi" w:cstheme="minorBidi"/>
          <w:b/>
          <w:bCs/>
          <w:sz w:val="22"/>
          <w:szCs w:val="22"/>
          <w:lang w:val="en-GB"/>
        </w:rPr>
      </w:pPr>
      <w:r w:rsidRPr="00B751A1">
        <w:rPr>
          <w:rFonts w:asciiTheme="minorBidi" w:hAnsiTheme="minorBidi" w:cstheme="minorBidi"/>
          <w:b/>
          <w:bCs/>
          <w:sz w:val="22"/>
          <w:szCs w:val="22"/>
          <w:lang w:val="en-GB"/>
        </w:rPr>
        <w:t>10. Future Scope</w:t>
      </w:r>
    </w:p>
    <w:p w14:paraId="7F8B4615"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Addressing heavy metal contamination and excessive pesticide use is essential for ensuring food security in a growing global population. Although plants possess innate stress-response mechanisms, farmers must understand the environmental and physiological impacts of pollutants from agrochemicals, industry, and unsustainable land use. Awareness at the grassroots level remains essential for reducing environmental and health risks.</w:t>
      </w:r>
    </w:p>
    <w:p w14:paraId="1D0CA1B2" w14:textId="77777777"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lastRenderedPageBreak/>
        <w:t>Scientific research continues to inform policy on permissible pollutant thresholds and risk assessment, ensuring that soil toxicology, remediation, and sustainable agriculture remain central to environmental management. Prevention remains preferable to remediation, yet innovation in field-applicable mitigation strategies is vital for achieving sustainability goals consistent with One Health principles.</w:t>
      </w:r>
    </w:p>
    <w:p w14:paraId="5C0E63B9" w14:textId="77777777" w:rsidR="00B751A1" w:rsidRPr="00421F28" w:rsidRDefault="00B751A1" w:rsidP="00B751A1">
      <w:pPr>
        <w:jc w:val="both"/>
        <w:rPr>
          <w:rFonts w:asciiTheme="minorBidi" w:hAnsiTheme="minorBidi" w:cstheme="minorBidi"/>
          <w:sz w:val="22"/>
          <w:szCs w:val="22"/>
          <w:lang w:val="en-GB"/>
        </w:rPr>
      </w:pPr>
    </w:p>
    <w:p w14:paraId="08A3EC21"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 xml:space="preserve">This manuscript serves as a comprehensive resource for environmental and agricultural researchers, synthesizing evidence on soil nutrient dynamics, contamination, plant stress responses, and mitigation strategies through a One Health lens. Multidisciplinary collaboration remains crucial for advancing sustainable agricultural practices (Kahn, 2017; Mackenzie &amp; </w:t>
      </w:r>
      <w:proofErr w:type="spellStart"/>
      <w:r w:rsidRPr="00421F28">
        <w:rPr>
          <w:rFonts w:asciiTheme="minorBidi" w:hAnsiTheme="minorBidi" w:cstheme="minorBidi"/>
          <w:sz w:val="22"/>
          <w:szCs w:val="22"/>
          <w:lang w:val="en-GB"/>
        </w:rPr>
        <w:t>Jeggo</w:t>
      </w:r>
      <w:proofErr w:type="spellEnd"/>
      <w:r w:rsidRPr="00421F28">
        <w:rPr>
          <w:rFonts w:asciiTheme="minorBidi" w:hAnsiTheme="minorBidi" w:cstheme="minorBidi"/>
          <w:sz w:val="22"/>
          <w:szCs w:val="22"/>
          <w:lang w:val="en-GB"/>
        </w:rPr>
        <w:t>, 2019; Mackenzie et al., 2014).</w:t>
      </w:r>
    </w:p>
    <w:p w14:paraId="13A665E3"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Among remediation strategies, biochar is a cost-effective amendment for alleviating environmental stress (Foyer et al., 2016). It mitigates abiotic stressors (salinity, UV radiation, temperature extremes, heavy metals) and biotic pressures (pathogens, pests, fungi, nematodes), while enhancing soil fertility, microbial activity, cation exchange capacity, and reducing contaminant bioavailability through adsorption, ion exchange, co-precipitation, and surface complexation (Hasnain et al., 2023). Empirical studies demonstrate its ability to improve soil quality and reduce trace metal accumulation in cadmium-contaminated rice paddies (Xia et al., 2024; Priya et al., 2023; Xu et al., 2019; Tian et al., 2025), and to immobilize Zn, Pb, and Cd in switchgrass and poultry litter-derived biochar, lowering accumulation in ryegrass (</w:t>
      </w:r>
      <w:proofErr w:type="spellStart"/>
      <w:r w:rsidRPr="00421F28">
        <w:rPr>
          <w:rFonts w:asciiTheme="minorBidi" w:hAnsiTheme="minorBidi" w:cstheme="minorBidi"/>
          <w:sz w:val="22"/>
          <w:szCs w:val="22"/>
          <w:lang w:val="en-GB"/>
        </w:rPr>
        <w:t>Antonangelo</w:t>
      </w:r>
      <w:proofErr w:type="spellEnd"/>
      <w:r w:rsidRPr="00421F28">
        <w:rPr>
          <w:rFonts w:asciiTheme="minorBidi" w:hAnsiTheme="minorBidi" w:cstheme="minorBidi"/>
          <w:sz w:val="22"/>
          <w:szCs w:val="22"/>
          <w:lang w:val="en-GB"/>
        </w:rPr>
        <w:t xml:space="preserve"> et al., 2023). Biochar also enhances carbon sequestration and modulates greenhouse gas emissions (Zhang, 2015; Qi, 2023), while microbial bioremediation continues to show high efficacy.</w:t>
      </w:r>
    </w:p>
    <w:p w14:paraId="719F7C45" w14:textId="1D79BEDA"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Established remediation methods</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soil</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washing, solidification, electrokinetic treatment, chemical stabilization, and phytoremediation</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remain</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important, though biological and plant-based approaches offer sustainable long-term potential (Liu et al., 2018; Xu et al., 2019; Kim et al., 2022; Selvi et al., 2019). Prioritizing phytoremediation with responsible plant disposal is essential to prevent secondary pollution (Hu et al., 2023).</w:t>
      </w:r>
    </w:p>
    <w:p w14:paraId="0993E344" w14:textId="77777777" w:rsidR="00B73935" w:rsidRPr="00421F28" w:rsidRDefault="00B73935" w:rsidP="00B751A1">
      <w:pPr>
        <w:jc w:val="both"/>
        <w:rPr>
          <w:rFonts w:asciiTheme="minorBidi" w:hAnsiTheme="minorBidi" w:cstheme="minorBidi"/>
          <w:sz w:val="22"/>
          <w:szCs w:val="22"/>
          <w:lang w:val="en-GB"/>
        </w:rPr>
      </w:pPr>
    </w:p>
    <w:p w14:paraId="0E6F55DC"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This review highlights the need to identify contamination sources, evaluate toxicological impacts, and link them to ecosystem and human health. Soil serves as a cornerstone of the One Health paradigm, reinforcing that human well-being is fundamentally tied to the health of plants, animals, and the environment (Banerjee &amp; van der Heijden, 2023). Ultimately, healthy soils underpin ecological stability, agricultural productivity, and human health (</w:t>
      </w:r>
      <w:proofErr w:type="spellStart"/>
      <w:r w:rsidRPr="00421F28">
        <w:rPr>
          <w:rFonts w:asciiTheme="minorBidi" w:hAnsiTheme="minorBidi" w:cstheme="minorBidi"/>
          <w:sz w:val="22"/>
          <w:szCs w:val="22"/>
          <w:lang w:val="en-GB"/>
        </w:rPr>
        <w:t>Emikpe</w:t>
      </w:r>
      <w:proofErr w:type="spellEnd"/>
      <w:r w:rsidRPr="00421F28">
        <w:rPr>
          <w:rFonts w:asciiTheme="minorBidi" w:hAnsiTheme="minorBidi" w:cstheme="minorBidi"/>
          <w:sz w:val="22"/>
          <w:szCs w:val="22"/>
          <w:lang w:val="en-GB"/>
        </w:rPr>
        <w:t xml:space="preserve"> et al., 2024).</w:t>
      </w:r>
    </w:p>
    <w:p w14:paraId="603D96E3"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Future research must advance sustainable agriculture as a multidimensional framework integrating environmental protection, biodiversity conservation, plant and animal health, and human well-being. One Health offers the scientific foundation for evaluating risks posed by agrochemicals, microorganisms, plant pathogens, and infectious diseases, supported by comprehensive monitoring, life-cycle assessments, and strong environmental–health risk analyses.</w:t>
      </w:r>
    </w:p>
    <w:p w14:paraId="35D2649F" w14:textId="66B6F8E5"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Responding to the consequences of anthropogenic activities</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especially</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soil pollution</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requires</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production-appropriate agricultural practices that protect soil, water, and air, particularly under climate change, land degradation, and declining fertility. Green chemistry provides a unifying discipline for bridging agricultural </w:t>
      </w:r>
      <w:r w:rsidRPr="00421F28">
        <w:rPr>
          <w:rFonts w:asciiTheme="minorBidi" w:hAnsiTheme="minorBidi" w:cstheme="minorBidi"/>
          <w:sz w:val="22"/>
          <w:szCs w:val="22"/>
          <w:lang w:val="en-GB"/>
        </w:rPr>
        <w:lastRenderedPageBreak/>
        <w:t>innovation with sustainability (Shaikh et al., 2013; Shaikh &amp; Shaikh, 2018; Shaikh, 2014). Innovations in green chemistry and sustainable engineering will be central to restoring degraded soils, minimizing pollution, and enhancing resource efficiency.</w:t>
      </w:r>
    </w:p>
    <w:p w14:paraId="636AFFA7"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Although the present study provides scientific insights, its broader impact extends to societal transformation. Building resilient, knowledge-based communities and equitable food systems will require holistic approaches grounded in environmental stewardship, social justice, and sustainable livelihoods.</w:t>
      </w:r>
    </w:p>
    <w:p w14:paraId="1ADE85FB" w14:textId="77777777" w:rsidR="00CB7B1B" w:rsidRPr="005E13FE" w:rsidRDefault="00CB7B1B" w:rsidP="00CB7B1B">
      <w:pPr>
        <w:rPr>
          <w:rFonts w:asciiTheme="minorBidi" w:hAnsiTheme="minorBidi" w:cstheme="minorBidi"/>
          <w:b/>
          <w:bCs/>
          <w:sz w:val="22"/>
          <w:szCs w:val="22"/>
          <w:lang w:val="en-GB"/>
        </w:rPr>
      </w:pPr>
    </w:p>
    <w:p w14:paraId="65C6BFA1" w14:textId="77777777" w:rsidR="00CB7B1B" w:rsidRPr="005E13FE" w:rsidRDefault="00CB7B1B" w:rsidP="00CB7B1B">
      <w:pPr>
        <w:autoSpaceDE w:val="0"/>
        <w:autoSpaceDN w:val="0"/>
        <w:adjustRightInd w:val="0"/>
        <w:jc w:val="both"/>
        <w:rPr>
          <w:rFonts w:asciiTheme="minorBidi" w:hAnsiTheme="minorBidi" w:cstheme="minorBidi"/>
          <w:sz w:val="22"/>
          <w:szCs w:val="22"/>
          <w:lang w:val="en-GB"/>
        </w:rPr>
      </w:pPr>
    </w:p>
    <w:p w14:paraId="78CB5F87" w14:textId="77777777" w:rsidR="00CB7B1B" w:rsidRPr="005E13FE" w:rsidRDefault="00CB7B1B" w:rsidP="00CB7B1B">
      <w:pPr>
        <w:autoSpaceDE w:val="0"/>
        <w:autoSpaceDN w:val="0"/>
        <w:adjustRightInd w:val="0"/>
        <w:jc w:val="both"/>
        <w:rPr>
          <w:rFonts w:asciiTheme="minorBidi" w:hAnsiTheme="minorBidi" w:cstheme="minorBidi"/>
          <w:b/>
          <w:bCs/>
          <w:sz w:val="22"/>
          <w:szCs w:val="22"/>
          <w:lang w:val="en-GB"/>
        </w:rPr>
      </w:pPr>
    </w:p>
    <w:p w14:paraId="2D1CC883" w14:textId="77777777" w:rsidR="00CB7B1B" w:rsidRPr="005E13FE" w:rsidRDefault="00CB7B1B" w:rsidP="00CB7B1B">
      <w:pPr>
        <w:autoSpaceDE w:val="0"/>
        <w:autoSpaceDN w:val="0"/>
        <w:adjustRightInd w:val="0"/>
        <w:jc w:val="both"/>
        <w:rPr>
          <w:rFonts w:asciiTheme="minorBidi" w:hAnsiTheme="minorBidi" w:cstheme="minorBidi"/>
          <w:b/>
          <w:bCs/>
          <w:sz w:val="22"/>
          <w:szCs w:val="22"/>
        </w:rPr>
      </w:pPr>
      <w:r w:rsidRPr="005E13FE">
        <w:rPr>
          <w:rFonts w:asciiTheme="minorBidi" w:hAnsiTheme="minorBidi" w:cstheme="minorBidi"/>
          <w:b/>
          <w:bCs/>
          <w:sz w:val="22"/>
          <w:szCs w:val="22"/>
        </w:rPr>
        <w:t>Competing interests</w:t>
      </w:r>
    </w:p>
    <w:p w14:paraId="444516D7" w14:textId="77777777" w:rsidR="00CB7B1B" w:rsidRPr="005E13FE" w:rsidRDefault="00CB7B1B"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The authors declare that there are no conflicts of interest or competing financial interests associated with this work.</w:t>
      </w:r>
    </w:p>
    <w:p w14:paraId="298A1A5C" w14:textId="77777777" w:rsidR="00CB7B1B" w:rsidRPr="005E13FE" w:rsidRDefault="00CB7B1B" w:rsidP="00CB7B1B">
      <w:pPr>
        <w:autoSpaceDE w:val="0"/>
        <w:autoSpaceDN w:val="0"/>
        <w:adjustRightInd w:val="0"/>
        <w:jc w:val="both"/>
        <w:rPr>
          <w:rFonts w:asciiTheme="minorBidi" w:hAnsiTheme="minorBidi" w:cstheme="minorBidi"/>
          <w:b/>
          <w:bCs/>
          <w:sz w:val="22"/>
          <w:szCs w:val="22"/>
          <w:lang w:val="en-GB"/>
        </w:rPr>
      </w:pPr>
    </w:p>
    <w:p w14:paraId="2F76558E" w14:textId="77777777" w:rsidR="006F024A" w:rsidRPr="006F024A" w:rsidRDefault="006F024A" w:rsidP="006F024A">
      <w:pPr>
        <w:spacing w:after="200" w:line="276" w:lineRule="auto"/>
        <w:jc w:val="both"/>
        <w:outlineLvl w:val="0"/>
        <w:rPr>
          <w:rFonts w:ascii="Arial" w:eastAsiaTheme="minorEastAsia" w:hAnsi="Arial" w:cs="Arial"/>
          <w:sz w:val="22"/>
          <w:szCs w:val="22"/>
          <w:lang w:val="en-GB" w:eastAsia="en-GB"/>
        </w:rPr>
      </w:pPr>
      <w:r w:rsidRPr="006F024A">
        <w:rPr>
          <w:rFonts w:ascii="Arial" w:eastAsiaTheme="minorEastAsia" w:hAnsi="Arial" w:cs="Arial"/>
          <w:b/>
          <w:bCs/>
          <w:sz w:val="22"/>
          <w:szCs w:val="22"/>
          <w:lang w:val="en-GB" w:eastAsia="en-GB"/>
        </w:rPr>
        <w:t>COMPETING INTERESTS DISCLAIMER:</w:t>
      </w:r>
    </w:p>
    <w:p w14:paraId="69BCEB45" w14:textId="77777777" w:rsidR="006F024A" w:rsidRPr="006F024A" w:rsidRDefault="006F024A" w:rsidP="006F024A">
      <w:pPr>
        <w:spacing w:after="200" w:line="276" w:lineRule="auto"/>
        <w:rPr>
          <w:rFonts w:asciiTheme="minorHAnsi" w:eastAsiaTheme="minorEastAsia" w:hAnsiTheme="minorHAnsi" w:cstheme="minorBidi"/>
          <w:sz w:val="22"/>
          <w:szCs w:val="22"/>
          <w:lang w:val="en-GB" w:eastAsia="en-GB"/>
        </w:rPr>
      </w:pPr>
      <w:r w:rsidRPr="006F024A">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93A2783" w14:textId="77777777" w:rsidR="00CB7B1B" w:rsidRPr="00CB7B1B" w:rsidRDefault="00CB7B1B" w:rsidP="00CB7B1B">
      <w:pPr>
        <w:rPr>
          <w:rFonts w:asciiTheme="minorBidi" w:hAnsiTheme="minorBidi" w:cstheme="minorBidi"/>
          <w:b/>
          <w:bCs/>
          <w:lang w:val="en-GB"/>
        </w:rPr>
      </w:pPr>
    </w:p>
    <w:p w14:paraId="25BD85B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CF86EC3" w14:textId="77777777" w:rsidR="006F024A" w:rsidRDefault="006F024A" w:rsidP="00441B6F">
      <w:pPr>
        <w:pStyle w:val="ReferHead"/>
        <w:spacing w:after="0"/>
        <w:jc w:val="both"/>
        <w:rPr>
          <w:rFonts w:ascii="Arial" w:hAnsi="Arial" w:cs="Arial"/>
        </w:rPr>
      </w:pPr>
    </w:p>
    <w:p w14:paraId="43B39BFA" w14:textId="7DD795A4" w:rsidR="003D52C9" w:rsidRPr="003D52C9" w:rsidRDefault="003D52C9" w:rsidP="003D52C9">
      <w:pPr>
        <w:pStyle w:val="Body"/>
        <w:spacing w:after="0"/>
        <w:jc w:val="left"/>
        <w:rPr>
          <w:rFonts w:ascii="Arial" w:hAnsi="Arial" w:cs="Arial"/>
          <w:u w:val="single"/>
          <w:lang w:val="en-GB"/>
        </w:rPr>
      </w:pPr>
      <w:r w:rsidRPr="003D52C9">
        <w:rPr>
          <w:rFonts w:ascii="Arial" w:hAnsi="Arial" w:cs="Arial"/>
          <w:lang w:val="en-GB"/>
        </w:rPr>
        <w:t>Ahmad, M. (2015). Phosphate-solubilizing bacteria-assisted phytoremediation of metalliferous soils: a review. 3 Biotech 5, 111–121</w:t>
      </w:r>
      <w:proofErr w:type="gramStart"/>
      <w:r w:rsidRPr="003D52C9">
        <w:rPr>
          <w:rFonts w:ascii="Arial" w:hAnsi="Arial" w:cs="Arial"/>
          <w:lang w:val="en-GB"/>
        </w:rPr>
        <w:t xml:space="preserve">. </w:t>
      </w:r>
      <w:r w:rsidR="006C1094" w:rsidRPr="006C1094">
        <w:rPr>
          <w:rFonts w:ascii="Arial" w:hAnsi="Arial" w:cs="Arial"/>
          <w:lang w:val="en-GB"/>
        </w:rPr>
        <w:t>.</w:t>
      </w:r>
      <w:proofErr w:type="gramEnd"/>
      <w:r w:rsidR="006C1094" w:rsidRPr="006C1094">
        <w:rPr>
          <w:rFonts w:ascii="Arial" w:hAnsi="Arial" w:cs="Arial"/>
          <w:lang w:val="en-GB"/>
        </w:rPr>
        <w:t xml:space="preserve"> https://doi.org/10.1007/s13205-014-0206-0</w:t>
      </w:r>
    </w:p>
    <w:p w14:paraId="6C7C7B4B" w14:textId="77777777" w:rsidR="003D52C9" w:rsidRPr="005F713A" w:rsidRDefault="003D52C9" w:rsidP="003D52C9">
      <w:pPr>
        <w:pStyle w:val="Body"/>
        <w:spacing w:after="0"/>
        <w:jc w:val="left"/>
        <w:rPr>
          <w:rFonts w:ascii="Arial" w:hAnsi="Arial" w:cs="Arial"/>
          <w:lang w:val="en-GB"/>
        </w:rPr>
      </w:pPr>
    </w:p>
    <w:p w14:paraId="5C739C5C" w14:textId="2C78C3F1" w:rsidR="003D52C9" w:rsidRPr="003D52C9" w:rsidRDefault="003D52C9" w:rsidP="003D52C9">
      <w:pPr>
        <w:pStyle w:val="Body"/>
        <w:spacing w:after="0"/>
        <w:jc w:val="left"/>
        <w:rPr>
          <w:rFonts w:ascii="Arial" w:hAnsi="Arial" w:cs="Arial"/>
          <w:u w:val="single"/>
          <w:lang w:val="en-GB"/>
        </w:rPr>
      </w:pPr>
      <w:r w:rsidRPr="005F713A">
        <w:rPr>
          <w:rFonts w:ascii="Arial" w:hAnsi="Arial" w:cs="Arial"/>
          <w:lang w:val="en-GB"/>
        </w:rPr>
        <w:t xml:space="preserve">Allam, M., Radicetti, E., </w:t>
      </w:r>
      <w:proofErr w:type="spellStart"/>
      <w:r w:rsidRPr="005F713A">
        <w:rPr>
          <w:rFonts w:ascii="Arial" w:hAnsi="Arial" w:cs="Arial"/>
          <w:lang w:val="en-GB"/>
        </w:rPr>
        <w:t>Quintarelli</w:t>
      </w:r>
      <w:proofErr w:type="spellEnd"/>
      <w:r w:rsidRPr="005F713A">
        <w:rPr>
          <w:rFonts w:ascii="Arial" w:hAnsi="Arial" w:cs="Arial"/>
          <w:lang w:val="en-GB"/>
        </w:rPr>
        <w:t xml:space="preserve">, V., Petroselli, V., Marinari, S., &amp; Mancinelli, R. (2022). </w:t>
      </w:r>
      <w:r w:rsidRPr="003D52C9">
        <w:rPr>
          <w:rFonts w:ascii="Arial" w:hAnsi="Arial" w:cs="Arial"/>
          <w:lang w:val="en-GB"/>
        </w:rPr>
        <w:t>Influence of Organic and Mineral Fertilizers on Soil Organic Carbon and Crop Productivity under Different Tillage Systems: A Meta-Analysis. </w:t>
      </w:r>
      <w:r w:rsidRPr="003D52C9">
        <w:rPr>
          <w:rFonts w:ascii="Arial" w:hAnsi="Arial" w:cs="Arial"/>
          <w:i/>
          <w:iCs/>
          <w:lang w:val="en-GB"/>
        </w:rPr>
        <w:t>Agriculture</w:t>
      </w:r>
      <w:r w:rsidRPr="003D52C9">
        <w:rPr>
          <w:rFonts w:ascii="Arial" w:hAnsi="Arial" w:cs="Arial"/>
          <w:lang w:val="en-GB"/>
        </w:rPr>
        <w:t>, </w:t>
      </w:r>
      <w:r w:rsidRPr="003D52C9">
        <w:rPr>
          <w:rFonts w:ascii="Arial" w:hAnsi="Arial" w:cs="Arial"/>
          <w:i/>
          <w:iCs/>
          <w:lang w:val="en-GB"/>
        </w:rPr>
        <w:t>12</w:t>
      </w:r>
      <w:r w:rsidRPr="003D52C9">
        <w:rPr>
          <w:rFonts w:ascii="Arial" w:hAnsi="Arial" w:cs="Arial"/>
          <w:lang w:val="en-GB"/>
        </w:rPr>
        <w:t xml:space="preserve">(4), 464. </w:t>
      </w:r>
      <w:hyperlink r:id="rId26" w:history="1">
        <w:r w:rsidR="006C1094" w:rsidRPr="00E109C7">
          <w:rPr>
            <w:rStyle w:val="Hyperlink"/>
            <w:rFonts w:ascii="Arial" w:hAnsi="Arial" w:cs="Arial"/>
            <w:lang w:val="en-GB"/>
          </w:rPr>
          <w:t>https://doi.org/10.3390/agriculture12040464</w:t>
        </w:r>
      </w:hyperlink>
      <w:r w:rsidR="006C1094">
        <w:rPr>
          <w:rFonts w:ascii="Arial" w:hAnsi="Arial" w:cs="Arial"/>
          <w:lang w:val="en-GB"/>
        </w:rPr>
        <w:t xml:space="preserve"> </w:t>
      </w:r>
    </w:p>
    <w:p w14:paraId="6B02EFAA" w14:textId="77777777" w:rsidR="003D52C9" w:rsidRDefault="003D52C9" w:rsidP="003D52C9">
      <w:pPr>
        <w:pStyle w:val="Body"/>
        <w:spacing w:after="0"/>
        <w:jc w:val="left"/>
        <w:rPr>
          <w:rFonts w:ascii="Arial" w:hAnsi="Arial" w:cs="Arial"/>
          <w:lang w:val="en-GB"/>
        </w:rPr>
      </w:pPr>
    </w:p>
    <w:p w14:paraId="5A426DC1" w14:textId="4CCCC388"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Alloway B.J., Heavy Metals in Soils, Blackie Academic</w:t>
      </w:r>
      <w:r w:rsidRPr="003D52C9">
        <w:rPr>
          <w:rFonts w:ascii="Arial" w:hAnsi="Arial" w:cs="Arial"/>
        </w:rPr>
        <w:t xml:space="preserve"> </w:t>
      </w:r>
      <w:r w:rsidRPr="003D52C9">
        <w:rPr>
          <w:rFonts w:ascii="Arial" w:hAnsi="Arial" w:cs="Arial"/>
          <w:lang w:val="en-GB"/>
        </w:rPr>
        <w:t xml:space="preserve">and Professional, Glasgow, UK (1995).    </w:t>
      </w:r>
      <w:r w:rsidR="006C1094">
        <w:rPr>
          <w:rFonts w:ascii="Arial" w:hAnsi="Arial" w:cs="Arial"/>
          <w:lang w:val="en-GB"/>
        </w:rPr>
        <w:t xml:space="preserve"> </w:t>
      </w:r>
      <w:hyperlink r:id="rId27" w:history="1">
        <w:r w:rsidR="006C1094" w:rsidRPr="00E109C7">
          <w:rPr>
            <w:rStyle w:val="Hyperlink"/>
            <w:rFonts w:ascii="Arial" w:hAnsi="Arial" w:cs="Arial"/>
            <w:lang w:val="en-GB"/>
          </w:rPr>
          <w:t>https://doi.org/10.1007/978-94-011-1344-1V</w:t>
        </w:r>
      </w:hyperlink>
      <w:r w:rsidR="006C1094">
        <w:rPr>
          <w:rFonts w:ascii="Arial" w:hAnsi="Arial" w:cs="Arial"/>
          <w:lang w:val="en-GB"/>
        </w:rPr>
        <w:t xml:space="preserve"> </w:t>
      </w:r>
      <w:r w:rsidRPr="003D52C9">
        <w:rPr>
          <w:rFonts w:ascii="Arial" w:hAnsi="Arial" w:cs="Arial"/>
          <w:lang w:val="en-GB"/>
        </w:rPr>
        <w:t xml:space="preserve">                                                                                                                     </w:t>
      </w:r>
    </w:p>
    <w:p w14:paraId="1F3A2DB6" w14:textId="77777777" w:rsidR="003D52C9" w:rsidRDefault="003D52C9" w:rsidP="003D52C9">
      <w:pPr>
        <w:pStyle w:val="Body"/>
        <w:spacing w:after="0"/>
        <w:jc w:val="left"/>
        <w:rPr>
          <w:rFonts w:ascii="Arial" w:hAnsi="Arial" w:cs="Arial"/>
          <w:lang w:val="en-GB"/>
        </w:rPr>
      </w:pPr>
    </w:p>
    <w:p w14:paraId="41797A60" w14:textId="434EF08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Al-Mashhadi, Mortada Jabr Hussein and </w:t>
      </w:r>
      <w:proofErr w:type="spellStart"/>
      <w:r w:rsidRPr="003D52C9">
        <w:rPr>
          <w:rFonts w:ascii="Arial" w:hAnsi="Arial" w:cs="Arial"/>
          <w:lang w:val="en-GB"/>
        </w:rPr>
        <w:t>Luma</w:t>
      </w:r>
      <w:proofErr w:type="spellEnd"/>
      <w:r w:rsidRPr="003D52C9">
        <w:rPr>
          <w:rFonts w:ascii="Arial" w:hAnsi="Arial" w:cs="Arial"/>
          <w:lang w:val="en-GB"/>
        </w:rPr>
        <w:t xml:space="preserve"> </w:t>
      </w:r>
      <w:proofErr w:type="spellStart"/>
      <w:r w:rsidRPr="003D52C9">
        <w:rPr>
          <w:rFonts w:ascii="Arial" w:hAnsi="Arial" w:cs="Arial"/>
          <w:lang w:val="en-GB"/>
        </w:rPr>
        <w:t>Abdalalah</w:t>
      </w:r>
      <w:proofErr w:type="spellEnd"/>
      <w:r w:rsidRPr="003D52C9">
        <w:rPr>
          <w:rFonts w:ascii="Arial" w:hAnsi="Arial" w:cs="Arial"/>
          <w:lang w:val="en-GB"/>
        </w:rPr>
        <w:t xml:space="preserve"> </w:t>
      </w:r>
      <w:proofErr w:type="spellStart"/>
      <w:r w:rsidRPr="003D52C9">
        <w:rPr>
          <w:rFonts w:ascii="Arial" w:hAnsi="Arial" w:cs="Arial"/>
          <w:lang w:val="en-GB"/>
        </w:rPr>
        <w:t>Sagban</w:t>
      </w:r>
      <w:proofErr w:type="spellEnd"/>
      <w:r w:rsidRPr="003D52C9">
        <w:rPr>
          <w:rFonts w:ascii="Arial" w:hAnsi="Arial" w:cs="Arial"/>
          <w:lang w:val="en-GB"/>
        </w:rPr>
        <w:t xml:space="preserve"> </w:t>
      </w:r>
      <w:proofErr w:type="spellStart"/>
      <w:r w:rsidRPr="003D52C9">
        <w:rPr>
          <w:rFonts w:ascii="Arial" w:hAnsi="Arial" w:cs="Arial"/>
          <w:lang w:val="en-GB"/>
        </w:rPr>
        <w:t>Alabadi</w:t>
      </w:r>
      <w:proofErr w:type="spellEnd"/>
      <w:r w:rsidRPr="003D52C9">
        <w:rPr>
          <w:rFonts w:ascii="Arial" w:hAnsi="Arial" w:cs="Arial"/>
          <w:lang w:val="en-GB"/>
        </w:rPr>
        <w:t xml:space="preserve"> 2023</w:t>
      </w:r>
      <w:r w:rsidRPr="003D52C9">
        <w:rPr>
          <w:rFonts w:ascii="Arial" w:hAnsi="Arial" w:cs="Arial"/>
        </w:rPr>
        <w:t xml:space="preserve"> </w:t>
      </w:r>
      <w:r w:rsidRPr="003D52C9">
        <w:rPr>
          <w:rFonts w:ascii="Arial" w:hAnsi="Arial" w:cs="Arial"/>
          <w:lang w:val="en-GB"/>
        </w:rPr>
        <w:t>Study and Evaluation of Soil Contamination with some Heavy Metals According to International Standards for Pollution </w:t>
      </w:r>
      <w:r w:rsidRPr="003D52C9">
        <w:rPr>
          <w:rFonts w:ascii="Arial" w:hAnsi="Arial" w:cs="Arial"/>
          <w:i/>
          <w:iCs/>
          <w:lang w:val="en-GB"/>
        </w:rPr>
        <w:t>IOP Conf. Ser.: Earth Environ. Sci.</w:t>
      </w:r>
      <w:r w:rsidRPr="003D52C9">
        <w:rPr>
          <w:rFonts w:ascii="Arial" w:hAnsi="Arial" w:cs="Arial"/>
          <w:lang w:val="en-GB"/>
        </w:rPr>
        <w:t> 1213 012107</w:t>
      </w:r>
      <w:r w:rsidRPr="003D52C9">
        <w:rPr>
          <w:rFonts w:ascii="Arial" w:hAnsi="Arial" w:cs="Arial"/>
        </w:rPr>
        <w:t xml:space="preserve"> </w:t>
      </w:r>
      <w:r w:rsidRPr="003D52C9">
        <w:rPr>
          <w:rFonts w:ascii="Arial" w:hAnsi="Arial" w:cs="Arial"/>
          <w:lang w:val="en-GB"/>
        </w:rPr>
        <w:t>DOI 10.1088/1755-1315/1213/1/012107 Published under licence by IOP Publishing Ltd IOP Conference Series: Earth and Environmental Science, Volume 1213, 4th International Agricultural Conference (IAC-2023) 10/01/2023 - 11/01/2023 Mosul, Iraq.</w:t>
      </w:r>
      <w:r w:rsidR="006C1094">
        <w:rPr>
          <w:rFonts w:ascii="Arial" w:hAnsi="Arial" w:cs="Arial"/>
          <w:lang w:val="en-GB"/>
        </w:rPr>
        <w:t xml:space="preserve"> </w:t>
      </w:r>
      <w:hyperlink r:id="rId28" w:history="1">
        <w:r w:rsidR="006C1094" w:rsidRPr="00E109C7">
          <w:rPr>
            <w:rStyle w:val="Hyperlink"/>
            <w:rFonts w:ascii="Arial" w:hAnsi="Arial" w:cs="Arial"/>
            <w:lang w:val="en-GB"/>
          </w:rPr>
          <w:t>https://doi.org/10.1088/1755-1315/1213/1/012107</w:t>
        </w:r>
      </w:hyperlink>
      <w:r w:rsidR="006C1094">
        <w:rPr>
          <w:rFonts w:ascii="Arial" w:hAnsi="Arial" w:cs="Arial"/>
          <w:lang w:val="en-GB"/>
        </w:rPr>
        <w:t xml:space="preserve"> </w:t>
      </w:r>
    </w:p>
    <w:p w14:paraId="76656FEE" w14:textId="77777777" w:rsidR="003D52C9" w:rsidRPr="005F713A" w:rsidRDefault="003D52C9" w:rsidP="003D52C9">
      <w:pPr>
        <w:pStyle w:val="Body"/>
        <w:spacing w:after="0"/>
        <w:jc w:val="left"/>
        <w:rPr>
          <w:rFonts w:ascii="Arial" w:hAnsi="Arial" w:cs="Arial"/>
          <w:lang w:val="en-GB"/>
        </w:rPr>
      </w:pPr>
    </w:p>
    <w:p w14:paraId="6C5898FA" w14:textId="5D62A5AB" w:rsidR="003D52C9" w:rsidRPr="003D52C9" w:rsidRDefault="003D52C9" w:rsidP="003D52C9">
      <w:pPr>
        <w:pStyle w:val="Body"/>
        <w:spacing w:after="0"/>
        <w:jc w:val="left"/>
        <w:rPr>
          <w:rFonts w:ascii="Arial" w:hAnsi="Arial" w:cs="Arial"/>
          <w:lang w:val="en-GB"/>
        </w:rPr>
      </w:pPr>
      <w:r w:rsidRPr="003D52C9">
        <w:rPr>
          <w:rFonts w:ascii="Arial" w:hAnsi="Arial" w:cs="Arial"/>
          <w:lang w:val="sv-SE"/>
        </w:rPr>
        <w:t xml:space="preserve">Arfasa, G.F., Cobbina, S.J., Ampofo, A. (2022). </w:t>
      </w:r>
      <w:r w:rsidRPr="003D52C9">
        <w:rPr>
          <w:rFonts w:ascii="Arial" w:hAnsi="Arial" w:cs="Arial"/>
          <w:lang w:val="en-GB"/>
        </w:rPr>
        <w:t xml:space="preserve">Remediation Technologies for Polluted Sites: Review, </w:t>
      </w:r>
      <w:proofErr w:type="spellStart"/>
      <w:proofErr w:type="gramStart"/>
      <w:r w:rsidRPr="003D52C9">
        <w:rPr>
          <w:rFonts w:ascii="Arial" w:hAnsi="Arial" w:cs="Arial"/>
          <w:lang w:val="en-GB"/>
        </w:rPr>
        <w:t>J.Env.Earth</w:t>
      </w:r>
      <w:proofErr w:type="spellEnd"/>
      <w:proofErr w:type="gramEnd"/>
      <w:r w:rsidRPr="003D52C9">
        <w:rPr>
          <w:rFonts w:ascii="Arial" w:hAnsi="Arial" w:cs="Arial"/>
          <w:lang w:val="en-GB"/>
        </w:rPr>
        <w:t xml:space="preserve"> Sci. 12(12), www.iiste.org          </w:t>
      </w:r>
      <w:r w:rsidR="006C1094">
        <w:rPr>
          <w:rFonts w:ascii="Arial" w:hAnsi="Arial" w:cs="Arial"/>
          <w:lang w:val="en-GB"/>
        </w:rPr>
        <w:t xml:space="preserve"> </w:t>
      </w:r>
      <w:hyperlink r:id="rId29" w:history="1">
        <w:r w:rsidR="006C1094" w:rsidRPr="00E109C7">
          <w:rPr>
            <w:rStyle w:val="Hyperlink"/>
            <w:rFonts w:ascii="Arial" w:hAnsi="Arial" w:cs="Arial"/>
            <w:lang w:val="en-GB"/>
          </w:rPr>
          <w:t>https://doi.org/10.7176/JEES/12-12-02</w:t>
        </w:r>
      </w:hyperlink>
      <w:r w:rsidR="006C1094">
        <w:rPr>
          <w:rFonts w:ascii="Arial" w:hAnsi="Arial" w:cs="Arial"/>
          <w:lang w:val="en-GB"/>
        </w:rPr>
        <w:t xml:space="preserve"> </w:t>
      </w:r>
      <w:r w:rsidRPr="003D52C9">
        <w:rPr>
          <w:rFonts w:ascii="Arial" w:hAnsi="Arial" w:cs="Arial"/>
          <w:lang w:val="en-GB"/>
        </w:rPr>
        <w:t xml:space="preserve">                                              </w:t>
      </w:r>
    </w:p>
    <w:p w14:paraId="3A298A88" w14:textId="77777777" w:rsidR="003D52C9" w:rsidRDefault="003D52C9" w:rsidP="003D52C9">
      <w:pPr>
        <w:pStyle w:val="Body"/>
        <w:spacing w:after="0"/>
        <w:jc w:val="left"/>
        <w:rPr>
          <w:rFonts w:ascii="Arial" w:hAnsi="Arial" w:cs="Arial"/>
          <w:lang w:val="en-GB"/>
        </w:rPr>
      </w:pPr>
    </w:p>
    <w:p w14:paraId="2CE3E3E0" w14:textId="1A798F6B" w:rsidR="003D52C9" w:rsidRDefault="003D52C9" w:rsidP="003D52C9">
      <w:pPr>
        <w:pStyle w:val="Body"/>
        <w:spacing w:after="0"/>
        <w:jc w:val="left"/>
        <w:rPr>
          <w:rFonts w:ascii="Arial" w:hAnsi="Arial" w:cs="Arial"/>
          <w:lang w:val="en-GB"/>
        </w:rPr>
      </w:pPr>
      <w:r w:rsidRPr="003D52C9">
        <w:rPr>
          <w:rFonts w:ascii="Arial" w:hAnsi="Arial" w:cs="Arial"/>
          <w:lang w:val="en-GB"/>
        </w:rPr>
        <w:t xml:space="preserve">Al-Sadi, Abdullah </w:t>
      </w:r>
      <w:proofErr w:type="gramStart"/>
      <w:r w:rsidRPr="003D52C9">
        <w:rPr>
          <w:rFonts w:ascii="Arial" w:hAnsi="Arial" w:cs="Arial"/>
          <w:lang w:val="en-GB"/>
        </w:rPr>
        <w:t>M..</w:t>
      </w:r>
      <w:proofErr w:type="gramEnd"/>
      <w:r w:rsidRPr="003D52C9">
        <w:rPr>
          <w:rFonts w:ascii="Arial" w:hAnsi="Arial" w:cs="Arial"/>
          <w:lang w:val="en-GB"/>
        </w:rPr>
        <w:t xml:space="preserve"> Impact of Plant Diseases on Human Health. International Journal of Nutrition, Pharmacology, Neurological Diseases 7(2</w:t>
      </w:r>
      <w:proofErr w:type="gramStart"/>
      <w:r w:rsidRPr="003D52C9">
        <w:rPr>
          <w:rFonts w:ascii="Arial" w:hAnsi="Arial" w:cs="Arial"/>
          <w:lang w:val="en-GB"/>
        </w:rPr>
        <w:t>):p</w:t>
      </w:r>
      <w:proofErr w:type="gramEnd"/>
      <w:r w:rsidRPr="003D52C9">
        <w:rPr>
          <w:rFonts w:ascii="Arial" w:hAnsi="Arial" w:cs="Arial"/>
          <w:lang w:val="en-GB"/>
        </w:rPr>
        <w:t xml:space="preserve"> 21-22, Apr–Jun 2017.</w:t>
      </w:r>
      <w:r w:rsidR="006C1094" w:rsidRPr="006C1094">
        <w:t xml:space="preserve"> </w:t>
      </w:r>
      <w:hyperlink r:id="rId30" w:history="1">
        <w:r w:rsidR="006C1094" w:rsidRPr="00E109C7">
          <w:rPr>
            <w:rStyle w:val="Hyperlink"/>
            <w:rFonts w:ascii="Arial" w:hAnsi="Arial" w:cs="Arial"/>
            <w:lang w:val="en-GB"/>
          </w:rPr>
          <w:t>https://doi.org/10.4103/ijnpnd.ijnpnd_24_17</w:t>
        </w:r>
      </w:hyperlink>
      <w:r w:rsidR="006C1094">
        <w:rPr>
          <w:rFonts w:ascii="Arial" w:hAnsi="Arial" w:cs="Arial"/>
          <w:lang w:val="en-GB"/>
        </w:rPr>
        <w:t xml:space="preserve"> </w:t>
      </w:r>
    </w:p>
    <w:p w14:paraId="447FADC6" w14:textId="77777777" w:rsidR="006C1094" w:rsidRDefault="006C1094" w:rsidP="003D52C9">
      <w:pPr>
        <w:pStyle w:val="Body"/>
        <w:spacing w:after="0"/>
        <w:jc w:val="left"/>
        <w:rPr>
          <w:rFonts w:ascii="Arial" w:hAnsi="Arial" w:cs="Arial"/>
          <w:lang w:val="en-GB"/>
        </w:rPr>
      </w:pPr>
    </w:p>
    <w:p w14:paraId="59F160A7" w14:textId="779DDB00"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lastRenderedPageBreak/>
        <w:t xml:space="preserve">Atwood, D. and Paisley-Jones, C. (2017) Pesticides Industry Sales and Usage. 2008-2012 Market Estimates. Biological and Economic Analysis Division, Office of Pesticide Programs | Office of Chemical Safety and Pollution Prevention, U.S. Environmental Protection Agency Washington, DC, USA. </w:t>
      </w:r>
      <w:proofErr w:type="spellStart"/>
      <w:r w:rsidRPr="003D52C9">
        <w:rPr>
          <w:rFonts w:ascii="Arial" w:hAnsi="Arial" w:cs="Arial"/>
          <w:lang w:val="en-GB"/>
        </w:rPr>
        <w:t>Retrived</w:t>
      </w:r>
      <w:proofErr w:type="spellEnd"/>
      <w:r w:rsidRPr="003D52C9">
        <w:rPr>
          <w:rFonts w:ascii="Arial" w:hAnsi="Arial" w:cs="Arial"/>
          <w:lang w:val="en-GB"/>
        </w:rPr>
        <w:t xml:space="preserve"> on 2014-12-12.  </w:t>
      </w:r>
      <w:r w:rsidR="006C1094">
        <w:rPr>
          <w:rFonts w:ascii="Arial" w:hAnsi="Arial" w:cs="Arial"/>
          <w:lang w:val="en-GB"/>
        </w:rPr>
        <w:t xml:space="preserve"> </w:t>
      </w:r>
      <w:hyperlink r:id="rId31" w:history="1">
        <w:r w:rsidR="006C1094" w:rsidRPr="00E109C7">
          <w:rPr>
            <w:rStyle w:val="Hyperlink"/>
            <w:rFonts w:ascii="Arial" w:hAnsi="Arial" w:cs="Arial"/>
            <w:lang w:val="en-GB"/>
          </w:rPr>
          <w:t>https://www.epa.gov/pesticides/pesticides-industry-sales-and-usage-2008-2012-market-estimates</w:t>
        </w:r>
      </w:hyperlink>
      <w:r w:rsidR="006C1094">
        <w:rPr>
          <w:rFonts w:ascii="Arial" w:hAnsi="Arial" w:cs="Arial"/>
          <w:lang w:val="en-GB"/>
        </w:rPr>
        <w:t xml:space="preserve"> </w:t>
      </w:r>
    </w:p>
    <w:p w14:paraId="1C15C8D4" w14:textId="77777777" w:rsidR="003D52C9" w:rsidRPr="003D52C9" w:rsidRDefault="003D52C9" w:rsidP="003D52C9">
      <w:pPr>
        <w:pStyle w:val="Body"/>
        <w:spacing w:after="0"/>
        <w:jc w:val="left"/>
        <w:rPr>
          <w:rFonts w:ascii="Arial" w:hAnsi="Arial" w:cs="Arial"/>
          <w:lang w:val="en-GB"/>
        </w:rPr>
      </w:pPr>
    </w:p>
    <w:p w14:paraId="0AC61E8C" w14:textId="0D813D5E"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Ball BC, Hargreaves PR, Watson CA. A framework of connections between soil and people can help improve sustainability of the food system and soil functions. </w:t>
      </w:r>
      <w:proofErr w:type="spellStart"/>
      <w:r w:rsidRPr="003D52C9">
        <w:rPr>
          <w:rFonts w:ascii="Arial" w:hAnsi="Arial" w:cs="Arial"/>
          <w:lang w:val="en-GB"/>
        </w:rPr>
        <w:t>Ambio</w:t>
      </w:r>
      <w:proofErr w:type="spellEnd"/>
      <w:r w:rsidRPr="003D52C9">
        <w:rPr>
          <w:rFonts w:ascii="Arial" w:hAnsi="Arial" w:cs="Arial"/>
          <w:lang w:val="en-GB"/>
        </w:rPr>
        <w:t xml:space="preserve">. 2018 Apr;47(3):269-283. </w:t>
      </w:r>
      <w:hyperlink r:id="rId32" w:history="1">
        <w:r w:rsidR="006C1094" w:rsidRPr="00E109C7">
          <w:rPr>
            <w:rStyle w:val="Hyperlink"/>
            <w:rFonts w:ascii="Arial" w:hAnsi="Arial" w:cs="Arial"/>
            <w:lang w:val="en-GB"/>
          </w:rPr>
          <w:t>https://doi.org/10.1007/s13280-017-0965-z</w:t>
        </w:r>
      </w:hyperlink>
      <w:r w:rsidR="006C1094">
        <w:rPr>
          <w:rFonts w:ascii="Arial" w:hAnsi="Arial" w:cs="Arial"/>
          <w:lang w:val="en-GB"/>
        </w:rPr>
        <w:t xml:space="preserve"> </w:t>
      </w:r>
    </w:p>
    <w:p w14:paraId="219ADCBD" w14:textId="77777777" w:rsidR="003D52C9" w:rsidRPr="005F713A" w:rsidRDefault="003D52C9" w:rsidP="003D52C9">
      <w:pPr>
        <w:pStyle w:val="Body"/>
        <w:spacing w:after="0"/>
        <w:jc w:val="left"/>
        <w:rPr>
          <w:rFonts w:ascii="Arial" w:hAnsi="Arial" w:cs="Arial"/>
          <w:lang w:val="en-GB"/>
        </w:rPr>
      </w:pPr>
    </w:p>
    <w:p w14:paraId="6D8E96CE" w14:textId="5FFC449B" w:rsidR="003D52C9" w:rsidRPr="003D52C9" w:rsidRDefault="003D52C9" w:rsidP="003D52C9">
      <w:pPr>
        <w:pStyle w:val="Body"/>
        <w:spacing w:after="0"/>
        <w:jc w:val="left"/>
        <w:rPr>
          <w:rFonts w:ascii="Arial" w:hAnsi="Arial" w:cs="Arial"/>
          <w:u w:val="single"/>
          <w:lang w:val="en-GB"/>
        </w:rPr>
      </w:pPr>
      <w:r w:rsidRPr="003D52C9">
        <w:rPr>
          <w:rFonts w:ascii="Arial" w:hAnsi="Arial" w:cs="Arial"/>
          <w:lang w:val="sv-SE"/>
        </w:rPr>
        <w:t xml:space="preserve">Banerjee, S., van der Heijden, M.G.A. (2023). </w:t>
      </w:r>
      <w:r w:rsidRPr="003D52C9">
        <w:rPr>
          <w:rFonts w:ascii="Arial" w:hAnsi="Arial" w:cs="Arial"/>
          <w:lang w:val="en-GB"/>
        </w:rPr>
        <w:t>Soil microbiomes and one health. </w:t>
      </w:r>
      <w:r w:rsidRPr="003D52C9">
        <w:rPr>
          <w:rFonts w:ascii="Arial" w:hAnsi="Arial" w:cs="Arial"/>
          <w:i/>
          <w:iCs/>
          <w:lang w:val="en-GB"/>
        </w:rPr>
        <w:t xml:space="preserve">Nat Rev </w:t>
      </w:r>
      <w:proofErr w:type="spellStart"/>
      <w:r w:rsidRPr="003D52C9">
        <w:rPr>
          <w:rFonts w:ascii="Arial" w:hAnsi="Arial" w:cs="Arial"/>
          <w:i/>
          <w:iCs/>
          <w:lang w:val="en-GB"/>
        </w:rPr>
        <w:t>Microbiol</w:t>
      </w:r>
      <w:proofErr w:type="spellEnd"/>
      <w:r w:rsidRPr="003D52C9">
        <w:rPr>
          <w:rFonts w:ascii="Arial" w:hAnsi="Arial" w:cs="Arial"/>
          <w:lang w:val="en-GB"/>
        </w:rPr>
        <w:t xml:space="preserve"> 21, 6–20 (2023). </w:t>
      </w:r>
      <w:hyperlink r:id="rId33" w:history="1">
        <w:r w:rsidR="006C1094" w:rsidRPr="00E109C7">
          <w:rPr>
            <w:rStyle w:val="Hyperlink"/>
            <w:rFonts w:ascii="Arial" w:hAnsi="Arial" w:cs="Arial"/>
            <w:lang w:val="en-GB"/>
          </w:rPr>
          <w:t>https://doi.org/10.1038/s41579-022-00779-w</w:t>
        </w:r>
      </w:hyperlink>
      <w:r w:rsidR="006C1094">
        <w:rPr>
          <w:rFonts w:ascii="Arial" w:hAnsi="Arial" w:cs="Arial"/>
          <w:lang w:val="en-GB"/>
        </w:rPr>
        <w:t xml:space="preserve"> </w:t>
      </w:r>
    </w:p>
    <w:p w14:paraId="75C48F5A" w14:textId="77777777" w:rsidR="003D52C9" w:rsidRDefault="003D52C9" w:rsidP="003D52C9">
      <w:pPr>
        <w:pStyle w:val="Body"/>
        <w:spacing w:after="0"/>
        <w:jc w:val="left"/>
        <w:rPr>
          <w:rFonts w:ascii="Arial" w:hAnsi="Arial" w:cs="Arial"/>
          <w:lang w:val="en-GB"/>
        </w:rPr>
      </w:pPr>
    </w:p>
    <w:p w14:paraId="123C54A6" w14:textId="35C0DEF7" w:rsidR="003D52C9" w:rsidRPr="003D52C9" w:rsidRDefault="003D52C9" w:rsidP="003D52C9">
      <w:pPr>
        <w:pStyle w:val="Body"/>
        <w:spacing w:after="0"/>
        <w:jc w:val="left"/>
        <w:rPr>
          <w:rFonts w:ascii="Arial" w:hAnsi="Arial" w:cs="Arial"/>
        </w:rPr>
      </w:pPr>
      <w:r w:rsidRPr="003D52C9">
        <w:rPr>
          <w:rFonts w:ascii="Arial" w:hAnsi="Arial" w:cs="Arial"/>
          <w:lang w:val="en-GB"/>
        </w:rPr>
        <w:t xml:space="preserve">Brown, H. L., Pursley, I. G., Horton, D. L., Pinchbeck, G. L., Léger, A., &amp; Halliday, J. E. B. (2024). </w:t>
      </w:r>
      <w:r w:rsidRPr="003D52C9">
        <w:rPr>
          <w:rFonts w:ascii="Arial" w:hAnsi="Arial" w:cs="Arial"/>
          <w:i/>
          <w:iCs/>
          <w:lang w:val="en-GB"/>
        </w:rPr>
        <w:t>One health: a structured review and commentary on trends and themes.</w:t>
      </w:r>
      <w:r w:rsidRPr="003D52C9">
        <w:rPr>
          <w:rFonts w:ascii="Arial" w:hAnsi="Arial" w:cs="Arial"/>
          <w:lang w:val="en-GB"/>
        </w:rPr>
        <w:t xml:space="preserve"> One Health Outlook, 6, 17. </w:t>
      </w:r>
      <w:hyperlink r:id="rId34" w:history="1">
        <w:r w:rsidR="006C1094" w:rsidRPr="00E109C7">
          <w:rPr>
            <w:rStyle w:val="Hyperlink"/>
            <w:rFonts w:ascii="Arial" w:hAnsi="Arial" w:cs="Arial"/>
            <w:lang w:val="en-GB"/>
          </w:rPr>
          <w:t>https://doi.org/10.1186/s42522-024-00111-x</w:t>
        </w:r>
      </w:hyperlink>
      <w:r w:rsidR="006C1094">
        <w:rPr>
          <w:rFonts w:ascii="Arial" w:hAnsi="Arial" w:cs="Arial"/>
          <w:lang w:val="en-GB"/>
        </w:rPr>
        <w:t xml:space="preserve"> </w:t>
      </w:r>
    </w:p>
    <w:p w14:paraId="2F8828DE" w14:textId="77777777" w:rsidR="003D52C9" w:rsidRPr="003D52C9" w:rsidRDefault="003D52C9" w:rsidP="003D52C9">
      <w:pPr>
        <w:pStyle w:val="Body"/>
        <w:spacing w:after="0"/>
        <w:jc w:val="left"/>
        <w:rPr>
          <w:rFonts w:ascii="Arial" w:hAnsi="Arial" w:cs="Arial"/>
          <w:lang w:val="en-GB"/>
        </w:rPr>
      </w:pPr>
    </w:p>
    <w:p w14:paraId="159487D8" w14:textId="7777777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Chia, R. S., Abdullah, N., &amp; Rosli, R. (2024). Microbial pathways for the degradation of pesticides in agricultural soils: Mechanistic insights and biotechnological advancements. </w:t>
      </w:r>
      <w:r w:rsidRPr="003D52C9">
        <w:rPr>
          <w:rFonts w:ascii="Arial" w:hAnsi="Arial" w:cs="Arial"/>
          <w:i/>
          <w:iCs/>
          <w:lang w:val="en-GB"/>
        </w:rPr>
        <w:t>Environmental Pollution, 335</w:t>
      </w:r>
      <w:r w:rsidRPr="003D52C9">
        <w:rPr>
          <w:rFonts w:ascii="Arial" w:hAnsi="Arial" w:cs="Arial"/>
          <w:lang w:val="en-GB"/>
        </w:rPr>
        <w:t>, 122940. https://doi.org/10.1016/j.envpol.2023.122940</w:t>
      </w:r>
    </w:p>
    <w:p w14:paraId="7E2C2FF9" w14:textId="77777777" w:rsidR="003D52C9" w:rsidRPr="003D52C9" w:rsidRDefault="003D52C9" w:rsidP="003D52C9">
      <w:pPr>
        <w:pStyle w:val="Body"/>
        <w:spacing w:after="0"/>
        <w:jc w:val="left"/>
        <w:rPr>
          <w:rFonts w:ascii="Arial" w:hAnsi="Arial" w:cs="Arial"/>
          <w:lang w:val="en-GB"/>
        </w:rPr>
      </w:pPr>
    </w:p>
    <w:p w14:paraId="003960BE" w14:textId="227B640E"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Destoumieux-Garzón, D., </w:t>
      </w:r>
      <w:proofErr w:type="spellStart"/>
      <w:r w:rsidRPr="003D52C9">
        <w:rPr>
          <w:rFonts w:ascii="Arial" w:hAnsi="Arial" w:cs="Arial"/>
          <w:lang w:val="en-GB"/>
        </w:rPr>
        <w:t>Mavingui</w:t>
      </w:r>
      <w:proofErr w:type="spellEnd"/>
      <w:r w:rsidRPr="003D52C9">
        <w:rPr>
          <w:rFonts w:ascii="Arial" w:hAnsi="Arial" w:cs="Arial"/>
          <w:lang w:val="en-GB"/>
        </w:rPr>
        <w:t xml:space="preserve">, P., </w:t>
      </w:r>
      <w:proofErr w:type="spellStart"/>
      <w:r w:rsidRPr="003D52C9">
        <w:rPr>
          <w:rFonts w:ascii="Arial" w:hAnsi="Arial" w:cs="Arial"/>
          <w:lang w:val="en-GB"/>
        </w:rPr>
        <w:t>Boetsch</w:t>
      </w:r>
      <w:proofErr w:type="spellEnd"/>
      <w:r w:rsidRPr="003D52C9">
        <w:rPr>
          <w:rFonts w:ascii="Arial" w:hAnsi="Arial" w:cs="Arial"/>
          <w:lang w:val="en-GB"/>
        </w:rPr>
        <w:t xml:space="preserve">, G., Boissier, J., </w:t>
      </w:r>
      <w:proofErr w:type="spellStart"/>
      <w:r w:rsidRPr="003D52C9">
        <w:rPr>
          <w:rFonts w:ascii="Arial" w:hAnsi="Arial" w:cs="Arial"/>
          <w:lang w:val="en-GB"/>
        </w:rPr>
        <w:t>Darriet</w:t>
      </w:r>
      <w:proofErr w:type="spellEnd"/>
      <w:r w:rsidRPr="003D52C9">
        <w:rPr>
          <w:rFonts w:ascii="Arial" w:hAnsi="Arial" w:cs="Arial"/>
          <w:lang w:val="en-GB"/>
        </w:rPr>
        <w:t xml:space="preserve">, F., </w:t>
      </w:r>
      <w:proofErr w:type="spellStart"/>
      <w:r w:rsidRPr="003D52C9">
        <w:rPr>
          <w:rFonts w:ascii="Arial" w:hAnsi="Arial" w:cs="Arial"/>
          <w:lang w:val="en-GB"/>
        </w:rPr>
        <w:t>Duboz</w:t>
      </w:r>
      <w:proofErr w:type="spellEnd"/>
      <w:r w:rsidRPr="003D52C9">
        <w:rPr>
          <w:rFonts w:ascii="Arial" w:hAnsi="Arial" w:cs="Arial"/>
          <w:lang w:val="en-GB"/>
        </w:rPr>
        <w:t xml:space="preserve">, P., Fritsch, C., Giraudoux, P., Le Roux, F., Morand, S., Paillard, C., Pontier, D., Sueur, C., &amp; </w:t>
      </w:r>
      <w:proofErr w:type="spellStart"/>
      <w:r w:rsidRPr="003D52C9">
        <w:rPr>
          <w:rFonts w:ascii="Arial" w:hAnsi="Arial" w:cs="Arial"/>
          <w:lang w:val="en-GB"/>
        </w:rPr>
        <w:t>Voituron</w:t>
      </w:r>
      <w:proofErr w:type="spellEnd"/>
      <w:r w:rsidRPr="003D52C9">
        <w:rPr>
          <w:rFonts w:ascii="Arial" w:hAnsi="Arial" w:cs="Arial"/>
          <w:lang w:val="en-GB"/>
        </w:rPr>
        <w:t xml:space="preserve">, Y. (2018). The One Health concept: 10 years old and a long road ahead. </w:t>
      </w:r>
      <w:r w:rsidRPr="003D52C9">
        <w:rPr>
          <w:rFonts w:ascii="Arial" w:hAnsi="Arial" w:cs="Arial"/>
          <w:i/>
          <w:iCs/>
          <w:lang w:val="en-GB"/>
        </w:rPr>
        <w:t>Frontiers in Veterinary Science, 5</w:t>
      </w:r>
      <w:r w:rsidRPr="003D52C9">
        <w:rPr>
          <w:rFonts w:ascii="Arial" w:hAnsi="Arial" w:cs="Arial"/>
          <w:lang w:val="en-GB"/>
        </w:rPr>
        <w:t xml:space="preserve">, 14. </w:t>
      </w:r>
      <w:hyperlink r:id="rId35" w:history="1">
        <w:r w:rsidR="006C1094" w:rsidRPr="00E109C7">
          <w:rPr>
            <w:rStyle w:val="Hyperlink"/>
            <w:rFonts w:ascii="Arial" w:hAnsi="Arial" w:cs="Arial"/>
            <w:lang w:val="en-GB"/>
          </w:rPr>
          <w:t>https://doi.org/10.3389/fvets.2018.00014</w:t>
        </w:r>
      </w:hyperlink>
      <w:r w:rsidR="006C1094">
        <w:rPr>
          <w:rFonts w:ascii="Arial" w:hAnsi="Arial" w:cs="Arial"/>
          <w:lang w:val="en-GB"/>
        </w:rPr>
        <w:t xml:space="preserve"> </w:t>
      </w:r>
    </w:p>
    <w:p w14:paraId="159DFBCE" w14:textId="77777777" w:rsidR="003D52C9" w:rsidRDefault="003D52C9" w:rsidP="003D52C9">
      <w:pPr>
        <w:pStyle w:val="Body"/>
        <w:spacing w:after="0"/>
        <w:jc w:val="left"/>
        <w:rPr>
          <w:rFonts w:ascii="Arial" w:hAnsi="Arial" w:cs="Arial"/>
          <w:lang w:val="en-GB"/>
        </w:rPr>
      </w:pPr>
    </w:p>
    <w:p w14:paraId="3441011C" w14:textId="719C560C"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Dhanapal, A., Sharma, N., &amp; Gupta, R. (2024). Nano-enabled phytoremediation of contaminated soils: Current trends, mechanisms, and environmental considerations. </w:t>
      </w:r>
      <w:r w:rsidRPr="003D52C9">
        <w:rPr>
          <w:rFonts w:ascii="Arial" w:hAnsi="Arial" w:cs="Arial"/>
          <w:i/>
          <w:iCs/>
          <w:lang w:val="en-GB"/>
        </w:rPr>
        <w:t>Journal of Hazardous Materials, 456</w:t>
      </w:r>
      <w:r w:rsidRPr="003D52C9">
        <w:rPr>
          <w:rFonts w:ascii="Arial" w:hAnsi="Arial" w:cs="Arial"/>
          <w:lang w:val="en-GB"/>
        </w:rPr>
        <w:t>, 131089. https://doi.org/10.1016/j.jhazmat.2023.131089</w:t>
      </w:r>
    </w:p>
    <w:p w14:paraId="52767ACD" w14:textId="77777777" w:rsidR="003D52C9" w:rsidRDefault="003D52C9" w:rsidP="003D52C9">
      <w:pPr>
        <w:pStyle w:val="Body"/>
        <w:spacing w:after="0"/>
        <w:jc w:val="left"/>
        <w:rPr>
          <w:rFonts w:ascii="Arial" w:hAnsi="Arial" w:cs="Arial"/>
          <w:lang w:val="en-GB"/>
        </w:rPr>
      </w:pPr>
    </w:p>
    <w:p w14:paraId="3CD46FD5" w14:textId="6C77FECA"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DOAJ on new journal (2015). https://doaj.org/article/75de618e757b4690bb1a87071d646bf4</w:t>
      </w:r>
    </w:p>
    <w:p w14:paraId="3CD30C61" w14:textId="77777777" w:rsidR="003D52C9" w:rsidRPr="003D52C9" w:rsidRDefault="003D52C9" w:rsidP="003D52C9">
      <w:pPr>
        <w:pStyle w:val="Body"/>
        <w:spacing w:after="0"/>
        <w:jc w:val="left"/>
        <w:rPr>
          <w:rFonts w:ascii="Arial" w:hAnsi="Arial" w:cs="Arial"/>
          <w:lang w:val="en-GB"/>
        </w:rPr>
      </w:pPr>
    </w:p>
    <w:p w14:paraId="078EC274" w14:textId="2BD28F24"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European Commission, Directorate-General for Agriculture and Rural Development. (2023). </w:t>
      </w:r>
      <w:r w:rsidRPr="003D52C9">
        <w:rPr>
          <w:rFonts w:ascii="Arial" w:hAnsi="Arial" w:cs="Arial"/>
          <w:i/>
          <w:iCs/>
          <w:lang w:val="en-GB"/>
        </w:rPr>
        <w:t>Farmer’s toolbox for integrated pest management</w:t>
      </w:r>
      <w:r w:rsidRPr="003D52C9">
        <w:rPr>
          <w:rFonts w:ascii="Arial" w:hAnsi="Arial" w:cs="Arial"/>
          <w:lang w:val="en-GB"/>
        </w:rPr>
        <w:t xml:space="preserve">. Publications Office of the European Union. </w:t>
      </w:r>
      <w:hyperlink r:id="rId36" w:history="1">
        <w:r w:rsidR="006C1094" w:rsidRPr="00E109C7">
          <w:rPr>
            <w:rStyle w:val="Hyperlink"/>
            <w:rFonts w:ascii="Arial" w:hAnsi="Arial" w:cs="Arial"/>
            <w:lang w:val="en-GB"/>
          </w:rPr>
          <w:t>https://doi.org/10.2762/457165</w:t>
        </w:r>
      </w:hyperlink>
      <w:r w:rsidR="006C1094">
        <w:rPr>
          <w:rFonts w:ascii="Arial" w:hAnsi="Arial" w:cs="Arial"/>
          <w:lang w:val="en-GB"/>
        </w:rPr>
        <w:t xml:space="preserve"> </w:t>
      </w:r>
    </w:p>
    <w:p w14:paraId="3055E8DF" w14:textId="77777777" w:rsidR="003D52C9" w:rsidRDefault="003D52C9" w:rsidP="003D52C9">
      <w:pPr>
        <w:pStyle w:val="Body"/>
        <w:spacing w:after="0"/>
        <w:jc w:val="left"/>
        <w:rPr>
          <w:rFonts w:ascii="Arial" w:hAnsi="Arial" w:cs="Arial"/>
          <w:lang w:val="en-GB"/>
        </w:rPr>
      </w:pPr>
    </w:p>
    <w:p w14:paraId="7BD547FE" w14:textId="7F303DB5" w:rsidR="005F713A" w:rsidRDefault="003D52C9" w:rsidP="003D52C9">
      <w:pPr>
        <w:pStyle w:val="Body"/>
        <w:spacing w:after="0"/>
        <w:jc w:val="left"/>
        <w:rPr>
          <w:rFonts w:ascii="Arial" w:hAnsi="Arial" w:cs="Arial"/>
          <w:lang w:val="en-GB"/>
        </w:rPr>
      </w:pPr>
      <w:r w:rsidRPr="003D52C9">
        <w:rPr>
          <w:rFonts w:ascii="Arial" w:hAnsi="Arial" w:cs="Arial"/>
          <w:lang w:val="en-GB"/>
        </w:rPr>
        <w:t xml:space="preserve">European Commission: Directorate-General for Environment, Grizzetti, B., Teller, A., Maes, J., </w:t>
      </w:r>
      <w:proofErr w:type="spellStart"/>
      <w:r w:rsidRPr="003D52C9">
        <w:rPr>
          <w:rFonts w:ascii="Arial" w:hAnsi="Arial" w:cs="Arial"/>
          <w:lang w:val="en-GB"/>
        </w:rPr>
        <w:t>Orgiazzi</w:t>
      </w:r>
      <w:proofErr w:type="spellEnd"/>
      <w:r w:rsidRPr="003D52C9">
        <w:rPr>
          <w:rFonts w:ascii="Arial" w:hAnsi="Arial" w:cs="Arial"/>
          <w:lang w:val="en-GB"/>
        </w:rPr>
        <w:t xml:space="preserve">, A., Erhard, M., Loffler, P., Petersen, J., </w:t>
      </w:r>
      <w:proofErr w:type="spellStart"/>
      <w:r w:rsidRPr="003D52C9">
        <w:rPr>
          <w:rFonts w:ascii="Arial" w:hAnsi="Arial" w:cs="Arial"/>
          <w:lang w:val="en-GB"/>
        </w:rPr>
        <w:t>Czúcz</w:t>
      </w:r>
      <w:proofErr w:type="spellEnd"/>
      <w:r w:rsidRPr="003D52C9">
        <w:rPr>
          <w:rFonts w:ascii="Arial" w:hAnsi="Arial" w:cs="Arial"/>
          <w:lang w:val="en-GB"/>
        </w:rPr>
        <w:t xml:space="preserve">, B., Kovacevic, V., Paracchini, M., Bastrup-Birk, A., Christiansen, T., </w:t>
      </w:r>
      <w:proofErr w:type="spellStart"/>
      <w:r w:rsidRPr="003D52C9">
        <w:rPr>
          <w:rFonts w:ascii="Arial" w:hAnsi="Arial" w:cs="Arial"/>
          <w:lang w:val="en-GB"/>
        </w:rPr>
        <w:t>Zulian</w:t>
      </w:r>
      <w:proofErr w:type="spellEnd"/>
      <w:r w:rsidRPr="003D52C9">
        <w:rPr>
          <w:rFonts w:ascii="Arial" w:hAnsi="Arial" w:cs="Arial"/>
          <w:lang w:val="en-GB"/>
        </w:rPr>
        <w:t xml:space="preserve">, G., Somma, F., Condé, S., Abdul Malak, D., Marin, A., Mauri, A., ...Biala, K., (2018). Mapping and assessment of ecosystems and their services: an analytical framework for mapping and assessment of ecosystem condition in EU: discussion paper, Publications Office. </w:t>
      </w:r>
      <w:hyperlink r:id="rId37" w:history="1">
        <w:r w:rsidR="006C1094" w:rsidRPr="00E109C7">
          <w:rPr>
            <w:rStyle w:val="Hyperlink"/>
            <w:rFonts w:ascii="Arial" w:hAnsi="Arial" w:cs="Arial"/>
            <w:lang w:val="en-GB"/>
          </w:rPr>
          <w:t>https://doi.org/10.2779/055584</w:t>
        </w:r>
      </w:hyperlink>
      <w:r w:rsidR="006C1094">
        <w:rPr>
          <w:rFonts w:ascii="Arial" w:hAnsi="Arial" w:cs="Arial"/>
          <w:lang w:val="en-GB"/>
        </w:rPr>
        <w:t xml:space="preserve"> </w:t>
      </w:r>
    </w:p>
    <w:p w14:paraId="78BC40DC" w14:textId="77777777" w:rsidR="006C1094" w:rsidRDefault="006C1094" w:rsidP="003D52C9">
      <w:pPr>
        <w:pStyle w:val="Body"/>
        <w:spacing w:after="0"/>
        <w:jc w:val="left"/>
        <w:rPr>
          <w:rFonts w:ascii="Arial" w:hAnsi="Arial" w:cs="Arial"/>
          <w:lang w:val="en-GB"/>
        </w:rPr>
      </w:pPr>
    </w:p>
    <w:p w14:paraId="7E46F4A7" w14:textId="39619178"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European Commission: Directorate-General for Environment, </w:t>
      </w:r>
      <w:r w:rsidRPr="003D52C9">
        <w:rPr>
          <w:rFonts w:ascii="Arial" w:hAnsi="Arial" w:cs="Arial"/>
          <w:i/>
          <w:iCs/>
          <w:lang w:val="en-GB"/>
        </w:rPr>
        <w:t>Mapping and assessment of ecosystems and their services – An analytical framework for mapping and assessment of ecosystem condition in EU – Discussion paper</w:t>
      </w:r>
      <w:r w:rsidRPr="003D52C9">
        <w:rPr>
          <w:rFonts w:ascii="Arial" w:hAnsi="Arial" w:cs="Arial"/>
          <w:lang w:val="en-GB"/>
        </w:rPr>
        <w:t>, Publications Office of the European Union, 2018, </w:t>
      </w:r>
      <w:hyperlink r:id="rId38" w:history="1">
        <w:r w:rsidR="006C1094" w:rsidRPr="00E109C7">
          <w:rPr>
            <w:rStyle w:val="Hyperlink"/>
            <w:rFonts w:ascii="Arial" w:hAnsi="Arial" w:cs="Arial"/>
            <w:lang w:val="en-GB"/>
          </w:rPr>
          <w:t>https://doi.org/10.2779/055584</w:t>
        </w:r>
      </w:hyperlink>
      <w:r w:rsidR="006C1094">
        <w:rPr>
          <w:rFonts w:ascii="Arial" w:hAnsi="Arial" w:cs="Arial"/>
          <w:lang w:val="en-GB"/>
        </w:rPr>
        <w:t xml:space="preserve"> </w:t>
      </w:r>
    </w:p>
    <w:p w14:paraId="0324B01F" w14:textId="77777777" w:rsidR="003D52C9" w:rsidRPr="003D52C9" w:rsidRDefault="003D52C9" w:rsidP="003D52C9">
      <w:pPr>
        <w:pStyle w:val="Body"/>
        <w:spacing w:after="0"/>
        <w:jc w:val="left"/>
        <w:rPr>
          <w:rFonts w:ascii="Arial" w:hAnsi="Arial" w:cs="Arial"/>
          <w:lang w:val="en-GB"/>
        </w:rPr>
      </w:pPr>
    </w:p>
    <w:p w14:paraId="69A4674E" w14:textId="434B1FD0" w:rsidR="003D52C9" w:rsidRDefault="003D52C9" w:rsidP="003D52C9">
      <w:pPr>
        <w:pStyle w:val="Body"/>
        <w:spacing w:after="0"/>
        <w:jc w:val="left"/>
        <w:rPr>
          <w:rFonts w:ascii="Arial" w:hAnsi="Arial" w:cs="Arial"/>
          <w:lang w:val="en-GB"/>
        </w:rPr>
      </w:pPr>
      <w:r w:rsidRPr="003D52C9">
        <w:rPr>
          <w:rFonts w:ascii="Arial" w:hAnsi="Arial" w:cs="Arial"/>
          <w:lang w:val="en-GB"/>
        </w:rPr>
        <w:t xml:space="preserve">FAO &amp; UNEP. (2021). </w:t>
      </w:r>
      <w:r w:rsidRPr="003D52C9">
        <w:rPr>
          <w:rFonts w:ascii="Arial" w:hAnsi="Arial" w:cs="Arial"/>
          <w:i/>
          <w:iCs/>
          <w:lang w:val="en-GB"/>
        </w:rPr>
        <w:t>Global assessment of soil pollution: Report</w:t>
      </w:r>
      <w:r w:rsidRPr="003D52C9">
        <w:rPr>
          <w:rFonts w:ascii="Arial" w:hAnsi="Arial" w:cs="Arial"/>
          <w:lang w:val="en-GB"/>
        </w:rPr>
        <w:t xml:space="preserve">. Food and Agriculture Organization of the United Nations. </w:t>
      </w:r>
      <w:hyperlink r:id="rId39" w:history="1">
        <w:r w:rsidR="006C1094" w:rsidRPr="00E109C7">
          <w:rPr>
            <w:rStyle w:val="Hyperlink"/>
            <w:rFonts w:ascii="Arial" w:hAnsi="Arial" w:cs="Arial"/>
            <w:lang w:val="en-GB"/>
          </w:rPr>
          <w:t>https://doi.org/10.4060/cb4894en</w:t>
        </w:r>
      </w:hyperlink>
      <w:r w:rsidR="006C1094">
        <w:rPr>
          <w:rFonts w:ascii="Arial" w:hAnsi="Arial" w:cs="Arial"/>
          <w:lang w:val="en-GB"/>
        </w:rPr>
        <w:t xml:space="preserve"> .</w:t>
      </w:r>
    </w:p>
    <w:p w14:paraId="341053F1" w14:textId="77777777" w:rsidR="006C1094" w:rsidRDefault="006C1094" w:rsidP="003D52C9">
      <w:pPr>
        <w:pStyle w:val="Body"/>
        <w:spacing w:after="0"/>
        <w:jc w:val="left"/>
        <w:rPr>
          <w:rFonts w:ascii="Arial" w:hAnsi="Arial" w:cs="Arial"/>
          <w:lang w:val="en-GB"/>
        </w:rPr>
      </w:pPr>
    </w:p>
    <w:p w14:paraId="2A54390B" w14:textId="0856C3D2" w:rsidR="003D52C9" w:rsidRPr="003D52C9" w:rsidRDefault="003D52C9" w:rsidP="003D52C9">
      <w:pPr>
        <w:pStyle w:val="Body"/>
        <w:spacing w:after="0"/>
        <w:jc w:val="left"/>
        <w:rPr>
          <w:rFonts w:ascii="Arial" w:hAnsi="Arial" w:cs="Arial"/>
          <w:u w:val="single"/>
          <w:lang w:val="en-GB"/>
        </w:rPr>
      </w:pPr>
      <w:r w:rsidRPr="003D52C9">
        <w:rPr>
          <w:rFonts w:ascii="Arial" w:hAnsi="Arial" w:cs="Arial"/>
          <w:lang w:val="en-GB"/>
        </w:rPr>
        <w:t>FAO/UNEP/WHO/WOAH (</w:t>
      </w:r>
      <w:proofErr w:type="gramStart"/>
      <w:r w:rsidRPr="003D52C9">
        <w:rPr>
          <w:rFonts w:ascii="Arial" w:hAnsi="Arial" w:cs="Arial"/>
          <w:lang w:val="en-GB"/>
        </w:rPr>
        <w:t>quadripartite)  2024</w:t>
      </w:r>
      <w:proofErr w:type="gramEnd"/>
      <w:r w:rsidRPr="003D52C9">
        <w:rPr>
          <w:rFonts w:ascii="Arial" w:hAnsi="Arial" w:cs="Arial"/>
          <w:lang w:val="en-GB"/>
        </w:rPr>
        <w:t xml:space="preserve"> </w:t>
      </w:r>
      <w:hyperlink r:id="rId40" w:history="1">
        <w:r w:rsidR="006C1094" w:rsidRPr="00E109C7">
          <w:rPr>
            <w:rStyle w:val="Hyperlink"/>
            <w:rFonts w:ascii="Arial" w:hAnsi="Arial" w:cs="Arial"/>
            <w:lang w:val="en-GB"/>
          </w:rPr>
          <w:t>https://iris.who.int/bitstream/handle/10665/375700/9789240106208-eng.pdf</w:t>
        </w:r>
      </w:hyperlink>
      <w:r w:rsidR="006C1094">
        <w:rPr>
          <w:rFonts w:ascii="Arial" w:hAnsi="Arial" w:cs="Arial"/>
          <w:lang w:val="en-GB"/>
        </w:rPr>
        <w:t xml:space="preserve"> </w:t>
      </w:r>
    </w:p>
    <w:p w14:paraId="3BF65177" w14:textId="77777777" w:rsidR="003D52C9" w:rsidRDefault="003D52C9" w:rsidP="003D52C9">
      <w:pPr>
        <w:pStyle w:val="Body"/>
        <w:spacing w:after="0"/>
        <w:jc w:val="left"/>
        <w:rPr>
          <w:rFonts w:ascii="Arial" w:hAnsi="Arial" w:cs="Arial"/>
        </w:rPr>
      </w:pPr>
    </w:p>
    <w:p w14:paraId="7C1D3415" w14:textId="69A77107" w:rsidR="003D52C9" w:rsidRPr="003D52C9" w:rsidRDefault="003D52C9" w:rsidP="003D52C9">
      <w:pPr>
        <w:pStyle w:val="Body"/>
        <w:spacing w:after="0"/>
        <w:jc w:val="left"/>
        <w:rPr>
          <w:rFonts w:ascii="Arial" w:hAnsi="Arial" w:cs="Arial"/>
        </w:rPr>
      </w:pPr>
      <w:r w:rsidRPr="003D52C9">
        <w:rPr>
          <w:rFonts w:ascii="Arial" w:hAnsi="Arial" w:cs="Arial"/>
        </w:rPr>
        <w:t xml:space="preserve">Faruque Ahmad MD., Fakhruddin Ali Ahmad, Abdulrahman A. </w:t>
      </w:r>
      <w:proofErr w:type="spellStart"/>
      <w:r w:rsidRPr="003D52C9">
        <w:rPr>
          <w:rFonts w:ascii="Arial" w:hAnsi="Arial" w:cs="Arial"/>
        </w:rPr>
        <w:t>Alsayegh</w:t>
      </w:r>
      <w:proofErr w:type="spellEnd"/>
      <w:r w:rsidRPr="003D52C9">
        <w:rPr>
          <w:rFonts w:ascii="Arial" w:hAnsi="Arial" w:cs="Arial"/>
        </w:rPr>
        <w:t xml:space="preserve">, Md. </w:t>
      </w:r>
      <w:proofErr w:type="spellStart"/>
      <w:r w:rsidRPr="003D52C9">
        <w:rPr>
          <w:rFonts w:ascii="Arial" w:hAnsi="Arial" w:cs="Arial"/>
        </w:rPr>
        <w:t>Zeyaullah</w:t>
      </w:r>
      <w:proofErr w:type="spellEnd"/>
      <w:r w:rsidRPr="003D52C9">
        <w:rPr>
          <w:rFonts w:ascii="Arial" w:hAnsi="Arial" w:cs="Arial"/>
        </w:rPr>
        <w:t xml:space="preserve">, Abdullah M. AlShahrani, Khursheed Muzammil, Abdullah Ali </w:t>
      </w:r>
      <w:proofErr w:type="spellStart"/>
      <w:r w:rsidRPr="003D52C9">
        <w:rPr>
          <w:rFonts w:ascii="Arial" w:hAnsi="Arial" w:cs="Arial"/>
        </w:rPr>
        <w:t>Saati</w:t>
      </w:r>
      <w:proofErr w:type="spellEnd"/>
      <w:r w:rsidRPr="003D52C9">
        <w:rPr>
          <w:rFonts w:ascii="Arial" w:hAnsi="Arial" w:cs="Arial"/>
        </w:rPr>
        <w:t xml:space="preserve">, </w:t>
      </w:r>
      <w:proofErr w:type="spellStart"/>
      <w:r w:rsidRPr="003D52C9">
        <w:rPr>
          <w:rFonts w:ascii="Arial" w:hAnsi="Arial" w:cs="Arial"/>
        </w:rPr>
        <w:t>Shadma</w:t>
      </w:r>
      <w:proofErr w:type="spellEnd"/>
      <w:r w:rsidRPr="003D52C9">
        <w:rPr>
          <w:rFonts w:ascii="Arial" w:hAnsi="Arial" w:cs="Arial"/>
        </w:rPr>
        <w:t xml:space="preserve"> Wahab, Ehab Y. </w:t>
      </w:r>
      <w:proofErr w:type="spellStart"/>
      <w:r w:rsidRPr="003D52C9">
        <w:rPr>
          <w:rFonts w:ascii="Arial" w:hAnsi="Arial" w:cs="Arial"/>
        </w:rPr>
        <w:t>Elbendary</w:t>
      </w:r>
      <w:proofErr w:type="spellEnd"/>
      <w:r w:rsidRPr="003D52C9">
        <w:rPr>
          <w:rFonts w:ascii="Arial" w:hAnsi="Arial" w:cs="Arial"/>
        </w:rPr>
        <w:t xml:space="preserve">, </w:t>
      </w:r>
      <w:proofErr w:type="spellStart"/>
      <w:r w:rsidRPr="003D52C9">
        <w:rPr>
          <w:rFonts w:ascii="Arial" w:hAnsi="Arial" w:cs="Arial"/>
        </w:rPr>
        <w:t>Nahla</w:t>
      </w:r>
      <w:proofErr w:type="spellEnd"/>
      <w:r w:rsidRPr="003D52C9">
        <w:rPr>
          <w:rFonts w:ascii="Arial" w:hAnsi="Arial" w:cs="Arial"/>
        </w:rPr>
        <w:t xml:space="preserve"> </w:t>
      </w:r>
      <w:proofErr w:type="spellStart"/>
      <w:r w:rsidRPr="003D52C9">
        <w:rPr>
          <w:rFonts w:ascii="Arial" w:hAnsi="Arial" w:cs="Arial"/>
        </w:rPr>
        <w:t>Kambal</w:t>
      </w:r>
      <w:proofErr w:type="spellEnd"/>
      <w:r w:rsidRPr="003D52C9">
        <w:rPr>
          <w:rFonts w:ascii="Arial" w:hAnsi="Arial" w:cs="Arial"/>
        </w:rPr>
        <w:t xml:space="preserve">, Mohamed H. Abdelrahman, Sohail Hussain, Pesticides impacts on human health and the environment with their mechanisms of action and possible countermeasures, 2024, </w:t>
      </w:r>
      <w:proofErr w:type="spellStart"/>
      <w:r w:rsidRPr="003D52C9">
        <w:rPr>
          <w:rFonts w:ascii="Arial" w:hAnsi="Arial" w:cs="Arial"/>
        </w:rPr>
        <w:t>Heliyon</w:t>
      </w:r>
      <w:proofErr w:type="spellEnd"/>
      <w:r w:rsidRPr="003D52C9">
        <w:rPr>
          <w:rFonts w:ascii="Arial" w:hAnsi="Arial" w:cs="Arial"/>
        </w:rPr>
        <w:t xml:space="preserve">, Volume 10, Issue 7, 2024, e29128, </w:t>
      </w:r>
      <w:hyperlink r:id="rId41" w:history="1">
        <w:r w:rsidR="006C1094" w:rsidRPr="00E109C7">
          <w:rPr>
            <w:rStyle w:val="Hyperlink"/>
            <w:rFonts w:ascii="Arial" w:hAnsi="Arial" w:cs="Arial"/>
          </w:rPr>
          <w:t>https://doi.org/10.1016/j.heliyon.2024.e29128</w:t>
        </w:r>
      </w:hyperlink>
      <w:r w:rsidR="006C1094">
        <w:rPr>
          <w:rFonts w:ascii="Arial" w:hAnsi="Arial" w:cs="Arial"/>
        </w:rPr>
        <w:t xml:space="preserve"> </w:t>
      </w:r>
      <w:r w:rsidRPr="003D52C9">
        <w:rPr>
          <w:rFonts w:ascii="Arial" w:hAnsi="Arial" w:cs="Arial"/>
        </w:rPr>
        <w:t xml:space="preserve">.                                                                          </w:t>
      </w:r>
    </w:p>
    <w:p w14:paraId="5E7C0275" w14:textId="77777777" w:rsidR="003D52C9" w:rsidRDefault="003D52C9" w:rsidP="003D52C9">
      <w:pPr>
        <w:pStyle w:val="Body"/>
        <w:spacing w:after="0"/>
        <w:jc w:val="left"/>
        <w:rPr>
          <w:rFonts w:ascii="Arial" w:hAnsi="Arial" w:cs="Arial"/>
          <w:lang w:val="en-GB"/>
        </w:rPr>
      </w:pPr>
    </w:p>
    <w:p w14:paraId="076408B6" w14:textId="71C6F19E"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Foyer C.H., Rasool B., Davey J.W., Hancock R.D. Cross-tolerance to biotic and abiotic stresses in plants: A focus on resistance to aphid infestation. J. Exp. Bot. </w:t>
      </w:r>
      <w:proofErr w:type="gramStart"/>
      <w:r w:rsidRPr="003D52C9">
        <w:rPr>
          <w:rFonts w:ascii="Arial" w:hAnsi="Arial" w:cs="Arial"/>
          <w:lang w:val="en-GB"/>
        </w:rPr>
        <w:t>2016;67:2025</w:t>
      </w:r>
      <w:proofErr w:type="gramEnd"/>
      <w:r w:rsidRPr="003D52C9">
        <w:rPr>
          <w:rFonts w:ascii="Arial" w:hAnsi="Arial" w:cs="Arial"/>
          <w:lang w:val="en-GB"/>
        </w:rPr>
        <w:t xml:space="preserve">–2037. </w:t>
      </w:r>
      <w:hyperlink r:id="rId42" w:history="1">
        <w:r w:rsidR="006C1094" w:rsidRPr="00E109C7">
          <w:rPr>
            <w:rStyle w:val="Hyperlink"/>
            <w:rFonts w:ascii="Arial" w:hAnsi="Arial" w:cs="Arial"/>
            <w:lang w:val="en-GB"/>
          </w:rPr>
          <w:t>https://doi.org/10.1093/jxb/erw079</w:t>
        </w:r>
      </w:hyperlink>
      <w:r w:rsidR="006C1094">
        <w:rPr>
          <w:rFonts w:ascii="Arial" w:hAnsi="Arial" w:cs="Arial"/>
          <w:lang w:val="en-GB"/>
        </w:rPr>
        <w:t xml:space="preserve"> </w:t>
      </w:r>
    </w:p>
    <w:p w14:paraId="23AEE3FE" w14:textId="77777777" w:rsidR="003D52C9" w:rsidRPr="003D52C9" w:rsidRDefault="003D52C9" w:rsidP="003D52C9">
      <w:pPr>
        <w:pStyle w:val="Body"/>
        <w:spacing w:after="0"/>
        <w:jc w:val="left"/>
        <w:rPr>
          <w:rFonts w:ascii="Arial" w:hAnsi="Arial" w:cs="Arial"/>
          <w:lang w:val="en-GB"/>
        </w:rPr>
      </w:pPr>
    </w:p>
    <w:p w14:paraId="07E621B9" w14:textId="2A1AA70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Gibbs, E. P. J. The evolution of One Health: a decade of progress and challenges for the future. </w:t>
      </w:r>
      <w:r w:rsidRPr="003D52C9">
        <w:rPr>
          <w:rFonts w:ascii="Arial" w:hAnsi="Arial" w:cs="Arial"/>
          <w:i/>
          <w:iCs/>
          <w:lang w:val="en-GB"/>
        </w:rPr>
        <w:t>Vet. Rec.</w:t>
      </w:r>
      <w:r w:rsidRPr="003D52C9">
        <w:rPr>
          <w:rFonts w:ascii="Arial" w:hAnsi="Arial" w:cs="Arial"/>
          <w:lang w:val="en-GB"/>
        </w:rPr>
        <w:t xml:space="preserve"> 174, 85–91 (2014).    </w:t>
      </w:r>
      <w:r w:rsidR="006C1094">
        <w:rPr>
          <w:rFonts w:ascii="Arial" w:hAnsi="Arial" w:cs="Arial"/>
          <w:lang w:val="en-GB"/>
        </w:rPr>
        <w:t xml:space="preserve"> </w:t>
      </w:r>
      <w:hyperlink r:id="rId43" w:history="1">
        <w:r w:rsidR="006C1094" w:rsidRPr="00E109C7">
          <w:rPr>
            <w:rStyle w:val="Hyperlink"/>
            <w:rFonts w:ascii="Arial" w:hAnsi="Arial" w:cs="Arial"/>
            <w:lang w:val="en-GB"/>
          </w:rPr>
          <w:t>https://doi.org/10.1136/vr.g143</w:t>
        </w:r>
      </w:hyperlink>
      <w:r w:rsidR="006C1094">
        <w:rPr>
          <w:rFonts w:ascii="Arial" w:hAnsi="Arial" w:cs="Arial"/>
          <w:lang w:val="en-GB"/>
        </w:rPr>
        <w:t xml:space="preserve"> </w:t>
      </w:r>
      <w:r w:rsidRPr="003D52C9">
        <w:rPr>
          <w:rFonts w:ascii="Arial" w:hAnsi="Arial" w:cs="Arial"/>
          <w:lang w:val="en-GB"/>
        </w:rPr>
        <w:t xml:space="preserve">                                                                        </w:t>
      </w:r>
    </w:p>
    <w:p w14:paraId="22A86A0F" w14:textId="77777777" w:rsidR="003D52C9" w:rsidRPr="003D52C9" w:rsidRDefault="003D52C9" w:rsidP="003D52C9">
      <w:pPr>
        <w:pStyle w:val="Body"/>
        <w:spacing w:after="0"/>
        <w:jc w:val="left"/>
        <w:rPr>
          <w:rFonts w:ascii="Arial" w:hAnsi="Arial" w:cs="Arial"/>
          <w:lang w:val="en-GB"/>
        </w:rPr>
      </w:pPr>
    </w:p>
    <w:p w14:paraId="4E06CBBB" w14:textId="18723EC2" w:rsidR="003D52C9" w:rsidRPr="003D52C9" w:rsidRDefault="003D52C9" w:rsidP="003D52C9">
      <w:pPr>
        <w:pStyle w:val="Body"/>
        <w:spacing w:after="0"/>
        <w:jc w:val="left"/>
        <w:rPr>
          <w:rFonts w:ascii="Arial" w:hAnsi="Arial" w:cs="Arial"/>
          <w:lang w:val="en-GB"/>
        </w:rPr>
      </w:pPr>
      <w:proofErr w:type="spellStart"/>
      <w:r w:rsidRPr="003D52C9">
        <w:rPr>
          <w:rFonts w:ascii="Arial" w:hAnsi="Arial" w:cs="Arial"/>
          <w:lang w:val="en-GB"/>
        </w:rPr>
        <w:t>Hartemink</w:t>
      </w:r>
      <w:proofErr w:type="spellEnd"/>
      <w:r w:rsidRPr="003D52C9">
        <w:rPr>
          <w:rFonts w:ascii="Arial" w:hAnsi="Arial" w:cs="Arial"/>
          <w:lang w:val="en-GB"/>
        </w:rPr>
        <w:t xml:space="preserve">, A. E., Zhang, Y., Bockheim, J. G., Curi, N., Silva, S. H. G., Grauer-Gray, J., Lowe, D. J., &amp; Krasilnikov, P. (2020). Soil horizon variation: a review. </w:t>
      </w:r>
      <w:r w:rsidRPr="003D52C9">
        <w:rPr>
          <w:rFonts w:ascii="Arial" w:hAnsi="Arial" w:cs="Arial"/>
          <w:i/>
          <w:iCs/>
          <w:lang w:val="en-GB"/>
        </w:rPr>
        <w:t>Advances in Agronomy, 160</w:t>
      </w:r>
      <w:r w:rsidRPr="003D52C9">
        <w:rPr>
          <w:rFonts w:ascii="Arial" w:hAnsi="Arial" w:cs="Arial"/>
          <w:lang w:val="en-GB"/>
        </w:rPr>
        <w:t xml:space="preserve">, 125–185. </w:t>
      </w:r>
      <w:hyperlink r:id="rId44" w:history="1">
        <w:r w:rsidR="006C1094" w:rsidRPr="00E109C7">
          <w:rPr>
            <w:rStyle w:val="Hyperlink"/>
            <w:rFonts w:ascii="Arial" w:hAnsi="Arial" w:cs="Arial"/>
            <w:lang w:val="en-GB"/>
          </w:rPr>
          <w:t>https://doi.org/10.1016/bs.agron.2019.10.003</w:t>
        </w:r>
      </w:hyperlink>
      <w:r w:rsidR="006C1094">
        <w:rPr>
          <w:rFonts w:ascii="Arial" w:hAnsi="Arial" w:cs="Arial"/>
          <w:lang w:val="en-GB"/>
        </w:rPr>
        <w:t xml:space="preserve"> </w:t>
      </w:r>
    </w:p>
    <w:p w14:paraId="1232B704" w14:textId="77777777" w:rsidR="003D52C9" w:rsidRDefault="003D52C9" w:rsidP="003D52C9">
      <w:pPr>
        <w:pStyle w:val="Body"/>
        <w:spacing w:after="0"/>
        <w:jc w:val="left"/>
        <w:rPr>
          <w:rFonts w:ascii="Arial" w:hAnsi="Arial" w:cs="Arial"/>
          <w:lang w:val="en-GB"/>
        </w:rPr>
      </w:pPr>
    </w:p>
    <w:p w14:paraId="75C29507" w14:textId="56EA4832"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Hasnain, M., Munir, N., Abideen, Z., Zulfiqar, F., </w:t>
      </w:r>
      <w:proofErr w:type="spellStart"/>
      <w:r w:rsidRPr="003D52C9">
        <w:rPr>
          <w:rFonts w:ascii="Arial" w:hAnsi="Arial" w:cs="Arial"/>
          <w:lang w:val="en-GB"/>
        </w:rPr>
        <w:t>Koyro</w:t>
      </w:r>
      <w:proofErr w:type="spellEnd"/>
      <w:r w:rsidRPr="003D52C9">
        <w:rPr>
          <w:rFonts w:ascii="Arial" w:hAnsi="Arial" w:cs="Arial"/>
          <w:lang w:val="en-GB"/>
        </w:rPr>
        <w:t>, H. W., El</w:t>
      </w:r>
      <w:r w:rsidRPr="003D52C9">
        <w:rPr>
          <w:rFonts w:ascii="Arial" w:hAnsi="Arial" w:cs="Arial"/>
          <w:lang w:val="en-GB"/>
        </w:rPr>
        <w:noBreakHyphen/>
        <w:t xml:space="preserve">Naggar, A., </w:t>
      </w:r>
      <w:proofErr w:type="spellStart"/>
      <w:r w:rsidRPr="003D52C9">
        <w:rPr>
          <w:rFonts w:ascii="Arial" w:hAnsi="Arial" w:cs="Arial"/>
          <w:lang w:val="en-GB"/>
        </w:rPr>
        <w:t>Caçador</w:t>
      </w:r>
      <w:proofErr w:type="spellEnd"/>
      <w:r w:rsidRPr="003D52C9">
        <w:rPr>
          <w:rFonts w:ascii="Arial" w:hAnsi="Arial" w:cs="Arial"/>
          <w:lang w:val="en-GB"/>
        </w:rPr>
        <w:t xml:space="preserve">, I., Duarte, B., </w:t>
      </w:r>
      <w:proofErr w:type="spellStart"/>
      <w:r w:rsidRPr="003D52C9">
        <w:rPr>
          <w:rFonts w:ascii="Arial" w:hAnsi="Arial" w:cs="Arial"/>
          <w:lang w:val="en-GB"/>
        </w:rPr>
        <w:t>Rinklebe</w:t>
      </w:r>
      <w:proofErr w:type="spellEnd"/>
      <w:r w:rsidRPr="003D52C9">
        <w:rPr>
          <w:rFonts w:ascii="Arial" w:hAnsi="Arial" w:cs="Arial"/>
          <w:lang w:val="en-GB"/>
        </w:rPr>
        <w:t xml:space="preserve">, J., &amp; Yong, J. W. H. (2023). </w:t>
      </w:r>
      <w:r w:rsidRPr="003D52C9">
        <w:rPr>
          <w:rFonts w:ascii="Arial" w:hAnsi="Arial" w:cs="Arial"/>
          <w:i/>
          <w:iCs/>
          <w:lang w:val="en-GB"/>
        </w:rPr>
        <w:t>Biochar</w:t>
      </w:r>
      <w:r w:rsidRPr="003D52C9">
        <w:rPr>
          <w:rFonts w:ascii="Arial" w:hAnsi="Arial" w:cs="Arial"/>
          <w:i/>
          <w:iCs/>
          <w:lang w:val="en-GB"/>
        </w:rPr>
        <w:noBreakHyphen/>
        <w:t>plant interaction and detoxification strategies under abiotic stresses for achieving agricultural resilience: A critical review.</w:t>
      </w:r>
      <w:r w:rsidRPr="003D52C9">
        <w:rPr>
          <w:rFonts w:ascii="Arial" w:hAnsi="Arial" w:cs="Arial"/>
          <w:lang w:val="en-GB"/>
        </w:rPr>
        <w:t xml:space="preserve"> Ecotoxicology and Environmental Safety, 249, 114408. </w:t>
      </w:r>
      <w:hyperlink r:id="rId45" w:history="1">
        <w:r w:rsidR="006C1094" w:rsidRPr="00E109C7">
          <w:rPr>
            <w:rStyle w:val="Hyperlink"/>
            <w:rFonts w:ascii="Arial" w:hAnsi="Arial" w:cs="Arial"/>
            <w:lang w:val="en-GB"/>
          </w:rPr>
          <w:t>https://doi.org/10.1016/j.ecoenv.2022.114408</w:t>
        </w:r>
      </w:hyperlink>
      <w:r w:rsidR="006C1094">
        <w:rPr>
          <w:rFonts w:ascii="Arial" w:hAnsi="Arial" w:cs="Arial"/>
          <w:lang w:val="en-GB"/>
        </w:rPr>
        <w:t xml:space="preserve"> </w:t>
      </w:r>
    </w:p>
    <w:p w14:paraId="2AA3C241" w14:textId="77777777" w:rsidR="003D52C9" w:rsidRDefault="003D52C9" w:rsidP="003D52C9">
      <w:pPr>
        <w:pStyle w:val="Body"/>
        <w:spacing w:after="0"/>
        <w:jc w:val="left"/>
        <w:rPr>
          <w:rFonts w:ascii="Arial" w:hAnsi="Arial" w:cs="Arial"/>
          <w:lang w:val="en-GB"/>
        </w:rPr>
      </w:pPr>
    </w:p>
    <w:p w14:paraId="44DC346A" w14:textId="494BF09D" w:rsidR="003D52C9" w:rsidRPr="003D52C9" w:rsidRDefault="003D52C9" w:rsidP="003D52C9">
      <w:pPr>
        <w:pStyle w:val="Body"/>
        <w:spacing w:after="0"/>
        <w:jc w:val="left"/>
        <w:rPr>
          <w:rFonts w:ascii="Arial" w:hAnsi="Arial" w:cs="Arial"/>
        </w:rPr>
      </w:pPr>
      <w:r w:rsidRPr="003D52C9">
        <w:rPr>
          <w:rFonts w:ascii="Arial" w:hAnsi="Arial" w:cs="Arial"/>
          <w:lang w:val="en-GB"/>
        </w:rPr>
        <w:t xml:space="preserve">Hill, R., Stentiford, G. D., Walker, D. I., et al. (2024). Realising a global One Health disease surveillance approach: Insights from wastewater and beyond. </w:t>
      </w:r>
      <w:r w:rsidRPr="003D52C9">
        <w:rPr>
          <w:rFonts w:ascii="Arial" w:hAnsi="Arial" w:cs="Arial"/>
          <w:i/>
          <w:iCs/>
          <w:lang w:val="en-GB"/>
        </w:rPr>
        <w:t>Nature Communications, 15</w:t>
      </w:r>
      <w:r w:rsidRPr="003D52C9">
        <w:rPr>
          <w:rFonts w:ascii="Arial" w:hAnsi="Arial" w:cs="Arial"/>
          <w:lang w:val="en-GB"/>
        </w:rPr>
        <w:t xml:space="preserve">, 5324. </w:t>
      </w:r>
      <w:hyperlink r:id="rId46" w:history="1">
        <w:r w:rsidR="006C1094" w:rsidRPr="00E109C7">
          <w:rPr>
            <w:rStyle w:val="Hyperlink"/>
            <w:rFonts w:ascii="Arial" w:hAnsi="Arial" w:cs="Arial"/>
            <w:lang w:val="en-GB"/>
          </w:rPr>
          <w:t>https://doi.org/10.1038/s41467-024-49417-4</w:t>
        </w:r>
      </w:hyperlink>
      <w:r w:rsidR="006C1094">
        <w:rPr>
          <w:rFonts w:ascii="Arial" w:hAnsi="Arial" w:cs="Arial"/>
          <w:lang w:val="en-GB"/>
        </w:rPr>
        <w:t xml:space="preserve"> </w:t>
      </w:r>
    </w:p>
    <w:p w14:paraId="4ED39E8C" w14:textId="77777777" w:rsidR="003D52C9" w:rsidRPr="003D52C9" w:rsidRDefault="003D52C9" w:rsidP="003D52C9">
      <w:pPr>
        <w:pStyle w:val="Body"/>
        <w:spacing w:after="0"/>
        <w:jc w:val="left"/>
        <w:rPr>
          <w:rFonts w:ascii="Arial" w:hAnsi="Arial" w:cs="Arial"/>
        </w:rPr>
      </w:pPr>
    </w:p>
    <w:p w14:paraId="27764B1C" w14:textId="52888DCB" w:rsidR="003D52C9" w:rsidRPr="003D52C9" w:rsidRDefault="003D52C9" w:rsidP="003D52C9">
      <w:pPr>
        <w:pStyle w:val="Body"/>
        <w:spacing w:after="0"/>
        <w:jc w:val="left"/>
        <w:rPr>
          <w:rFonts w:ascii="Arial" w:hAnsi="Arial" w:cs="Arial"/>
        </w:rPr>
      </w:pPr>
      <w:r w:rsidRPr="003D52C9">
        <w:rPr>
          <w:rFonts w:ascii="Arial" w:hAnsi="Arial" w:cs="Arial"/>
        </w:rPr>
        <w:t xml:space="preserve">Jacobson, A., Guth, N., Stone, Z., Desmarteau, D., and Brain, R. (2024), Inventory and review of existing agricultural best management practices for pesticides </w:t>
      </w:r>
      <w:proofErr w:type="spellStart"/>
      <w:r w:rsidRPr="003D52C9">
        <w:rPr>
          <w:rFonts w:ascii="Arial" w:hAnsi="Arial" w:cs="Arial"/>
        </w:rPr>
        <w:t>inthe</w:t>
      </w:r>
      <w:proofErr w:type="spellEnd"/>
      <w:r w:rsidRPr="003D52C9">
        <w:rPr>
          <w:rFonts w:ascii="Arial" w:hAnsi="Arial" w:cs="Arial"/>
        </w:rPr>
        <w:t xml:space="preserve"> US (2024). ACS Agric. Sci. Technol. 2024, 4, 5, 567–579.  </w:t>
      </w:r>
      <w:r w:rsidR="006C1094">
        <w:rPr>
          <w:rFonts w:ascii="Arial" w:hAnsi="Arial" w:cs="Arial"/>
        </w:rPr>
        <w:t xml:space="preserve"> </w:t>
      </w:r>
      <w:hyperlink r:id="rId47" w:history="1">
        <w:r w:rsidR="006C1094" w:rsidRPr="00E109C7">
          <w:rPr>
            <w:rStyle w:val="Hyperlink"/>
            <w:rFonts w:ascii="Arial" w:hAnsi="Arial" w:cs="Arial"/>
          </w:rPr>
          <w:t>https://doi.org/10.1021/acsagscitech.3c00588</w:t>
        </w:r>
      </w:hyperlink>
      <w:r w:rsidR="006C1094">
        <w:rPr>
          <w:rFonts w:ascii="Arial" w:hAnsi="Arial" w:cs="Arial"/>
        </w:rPr>
        <w:t xml:space="preserve"> </w:t>
      </w:r>
      <w:r w:rsidRPr="003D52C9">
        <w:rPr>
          <w:rFonts w:ascii="Arial" w:hAnsi="Arial" w:cs="Arial"/>
        </w:rPr>
        <w:t xml:space="preserve">                  </w:t>
      </w:r>
    </w:p>
    <w:p w14:paraId="2D6E578E" w14:textId="77777777" w:rsidR="003D52C9" w:rsidRDefault="003D52C9" w:rsidP="003D52C9">
      <w:pPr>
        <w:pStyle w:val="Body"/>
        <w:spacing w:after="0"/>
        <w:jc w:val="left"/>
        <w:rPr>
          <w:rFonts w:ascii="Arial" w:hAnsi="Arial" w:cs="Arial"/>
          <w:lang w:val="en-GB"/>
        </w:rPr>
      </w:pPr>
    </w:p>
    <w:p w14:paraId="002C3A62" w14:textId="14526B28"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Jacquet, F., </w:t>
      </w:r>
      <w:proofErr w:type="spellStart"/>
      <w:r w:rsidRPr="003D52C9">
        <w:rPr>
          <w:rFonts w:ascii="Arial" w:hAnsi="Arial" w:cs="Arial"/>
          <w:lang w:val="en-GB"/>
        </w:rPr>
        <w:t>Jeuffroy</w:t>
      </w:r>
      <w:proofErr w:type="spellEnd"/>
      <w:r w:rsidRPr="003D52C9">
        <w:rPr>
          <w:rFonts w:ascii="Arial" w:hAnsi="Arial" w:cs="Arial"/>
          <w:lang w:val="en-GB"/>
        </w:rPr>
        <w:t xml:space="preserve">, M. H., Jouan, J., et al. (2022). Pesticide-free agriculture as a new paradigm for research. </w:t>
      </w:r>
      <w:r w:rsidRPr="003D52C9">
        <w:rPr>
          <w:rFonts w:ascii="Arial" w:hAnsi="Arial" w:cs="Arial"/>
          <w:i/>
          <w:iCs/>
          <w:lang w:val="en-GB"/>
        </w:rPr>
        <w:t>Agronomy for Sustainable Development, 42</w:t>
      </w:r>
      <w:r w:rsidRPr="003D52C9">
        <w:rPr>
          <w:rFonts w:ascii="Arial" w:hAnsi="Arial" w:cs="Arial"/>
          <w:lang w:val="en-GB"/>
        </w:rPr>
        <w:t xml:space="preserve">, 8. </w:t>
      </w:r>
      <w:hyperlink r:id="rId48" w:history="1">
        <w:r w:rsidR="006C1094" w:rsidRPr="00E109C7">
          <w:rPr>
            <w:rStyle w:val="Hyperlink"/>
            <w:rFonts w:ascii="Arial" w:hAnsi="Arial" w:cs="Arial"/>
            <w:lang w:val="en-GB"/>
          </w:rPr>
          <w:t>https://doi.org/10.1007/s13593-021-00742-8</w:t>
        </w:r>
      </w:hyperlink>
      <w:r w:rsidR="006C1094">
        <w:rPr>
          <w:rFonts w:ascii="Arial" w:hAnsi="Arial" w:cs="Arial"/>
          <w:lang w:val="en-GB"/>
        </w:rPr>
        <w:t xml:space="preserve"> </w:t>
      </w:r>
    </w:p>
    <w:p w14:paraId="0EB41CE9" w14:textId="77777777" w:rsidR="003D52C9" w:rsidRDefault="003D52C9" w:rsidP="003D52C9">
      <w:pPr>
        <w:pStyle w:val="Body"/>
        <w:spacing w:after="0"/>
        <w:jc w:val="left"/>
        <w:rPr>
          <w:rFonts w:ascii="Arial" w:hAnsi="Arial" w:cs="Arial"/>
          <w:lang w:val="en-GB"/>
        </w:rPr>
      </w:pPr>
    </w:p>
    <w:p w14:paraId="3BC86079" w14:textId="5CFE73ED"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Jensen G.H., Toxic limits and stimulation effects of some salts and poisons on wheat, </w:t>
      </w:r>
      <w:r w:rsidRPr="003D52C9">
        <w:rPr>
          <w:rFonts w:ascii="Arial" w:hAnsi="Arial" w:cs="Arial"/>
          <w:i/>
          <w:iCs/>
          <w:lang w:val="en-GB"/>
        </w:rPr>
        <w:t xml:space="preserve">Botanical Gazette, </w:t>
      </w:r>
      <w:r w:rsidRPr="003D52C9">
        <w:rPr>
          <w:rFonts w:ascii="Arial" w:hAnsi="Arial" w:cs="Arial"/>
          <w:lang w:val="en-GB"/>
        </w:rPr>
        <w:t xml:space="preserve">43, 11–44 (1907). </w:t>
      </w:r>
      <w:hyperlink r:id="rId49" w:history="1">
        <w:r w:rsidR="006C1094" w:rsidRPr="00E109C7">
          <w:rPr>
            <w:rStyle w:val="Hyperlink"/>
            <w:rFonts w:ascii="Arial" w:hAnsi="Arial" w:cs="Arial"/>
            <w:lang w:val="en-GB"/>
          </w:rPr>
          <w:t>https://www.jstor.org/stable/2465863?seq=1</w:t>
        </w:r>
      </w:hyperlink>
      <w:r w:rsidR="006C1094">
        <w:rPr>
          <w:rFonts w:ascii="Arial" w:hAnsi="Arial" w:cs="Arial"/>
          <w:lang w:val="en-GB"/>
        </w:rPr>
        <w:t xml:space="preserve"> </w:t>
      </w:r>
    </w:p>
    <w:p w14:paraId="1129D582" w14:textId="77777777" w:rsidR="003D52C9" w:rsidRPr="003D52C9" w:rsidRDefault="003D52C9" w:rsidP="003D52C9">
      <w:pPr>
        <w:pStyle w:val="Body"/>
        <w:spacing w:after="0"/>
        <w:jc w:val="left"/>
        <w:rPr>
          <w:rFonts w:ascii="Arial" w:hAnsi="Arial" w:cs="Arial"/>
          <w:lang w:val="en-GB"/>
        </w:rPr>
      </w:pPr>
    </w:p>
    <w:p w14:paraId="0CF08C09" w14:textId="7777777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Kahn LH. Antimicrobial resistance: a One Health perspective. </w:t>
      </w:r>
      <w:r w:rsidRPr="003D52C9">
        <w:rPr>
          <w:rFonts w:ascii="Arial" w:hAnsi="Arial" w:cs="Arial"/>
          <w:lang w:val="sv-SE"/>
        </w:rPr>
        <w:t xml:space="preserve">Trans R Soc Trop Med Hyg. 2017 Jun 1;111(6):255-260. doi: 10.1093/trstmh/trx050. </w:t>
      </w:r>
      <w:r w:rsidRPr="003D52C9">
        <w:rPr>
          <w:rFonts w:ascii="Arial" w:hAnsi="Arial" w:cs="Arial"/>
          <w:lang w:val="en-GB"/>
        </w:rPr>
        <w:t xml:space="preserve">PMID: 29044373. 168. Trinh, P., </w:t>
      </w:r>
      <w:proofErr w:type="spellStart"/>
      <w:r w:rsidRPr="003D52C9">
        <w:rPr>
          <w:rFonts w:ascii="Arial" w:hAnsi="Arial" w:cs="Arial"/>
          <w:lang w:val="en-GB"/>
        </w:rPr>
        <w:t>Zaneveld</w:t>
      </w:r>
      <w:proofErr w:type="spellEnd"/>
      <w:r w:rsidRPr="003D52C9">
        <w:rPr>
          <w:rFonts w:ascii="Arial" w:hAnsi="Arial" w:cs="Arial"/>
          <w:lang w:val="en-GB"/>
        </w:rPr>
        <w:t>, J. R., Safranek, S. &amp; Rabinowitz, P. M. One health relationships between human, animal, and environmental microbiomes: a mini-review. </w:t>
      </w:r>
      <w:r w:rsidRPr="003D52C9">
        <w:rPr>
          <w:rFonts w:ascii="Arial" w:hAnsi="Arial" w:cs="Arial"/>
          <w:i/>
          <w:iCs/>
          <w:lang w:val="en-GB"/>
        </w:rPr>
        <w:t>Front. Public Health</w:t>
      </w:r>
      <w:r w:rsidRPr="003D52C9">
        <w:rPr>
          <w:rFonts w:ascii="Arial" w:hAnsi="Arial" w:cs="Arial"/>
          <w:lang w:val="en-GB"/>
        </w:rPr>
        <w:t xml:space="preserve"> 6, 1–9 (2018). https://doi.org/10.3389/fpubh.2018.00235 </w:t>
      </w:r>
    </w:p>
    <w:p w14:paraId="340DBD37" w14:textId="77777777" w:rsidR="003D52C9" w:rsidRDefault="003D52C9" w:rsidP="003D52C9">
      <w:pPr>
        <w:pStyle w:val="Body"/>
        <w:spacing w:after="0"/>
        <w:jc w:val="left"/>
        <w:rPr>
          <w:rFonts w:ascii="Arial" w:hAnsi="Arial" w:cs="Arial"/>
          <w:lang w:val="en-GB"/>
        </w:rPr>
      </w:pPr>
    </w:p>
    <w:p w14:paraId="0338E467" w14:textId="3EF733A6"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Kahn LH. Perspective: The one-health way. Nature. 2017 Mar 29;543(7647</w:t>
      </w:r>
      <w:proofErr w:type="gramStart"/>
      <w:r w:rsidRPr="003D52C9">
        <w:rPr>
          <w:rFonts w:ascii="Arial" w:hAnsi="Arial" w:cs="Arial"/>
          <w:lang w:val="en-GB"/>
        </w:rPr>
        <w:t>):S</w:t>
      </w:r>
      <w:proofErr w:type="gramEnd"/>
      <w:r w:rsidRPr="003D52C9">
        <w:rPr>
          <w:rFonts w:ascii="Arial" w:hAnsi="Arial" w:cs="Arial"/>
          <w:lang w:val="en-GB"/>
        </w:rPr>
        <w:t xml:space="preserve">47. </w:t>
      </w:r>
      <w:hyperlink r:id="rId50" w:history="1">
        <w:r w:rsidR="006C1094" w:rsidRPr="00E109C7">
          <w:rPr>
            <w:rStyle w:val="Hyperlink"/>
            <w:rFonts w:ascii="Arial" w:hAnsi="Arial" w:cs="Arial"/>
            <w:lang w:val="en-GB"/>
          </w:rPr>
          <w:t>https://doi.org/10.1038/543S47a</w:t>
        </w:r>
      </w:hyperlink>
      <w:r w:rsidR="006C1094">
        <w:rPr>
          <w:rFonts w:ascii="Arial" w:hAnsi="Arial" w:cs="Arial"/>
          <w:lang w:val="en-GB"/>
        </w:rPr>
        <w:t xml:space="preserve"> </w:t>
      </w:r>
    </w:p>
    <w:p w14:paraId="6F87D53B" w14:textId="77777777" w:rsidR="003D52C9" w:rsidRDefault="003D52C9" w:rsidP="003D52C9">
      <w:pPr>
        <w:pStyle w:val="Body"/>
        <w:spacing w:after="0"/>
        <w:jc w:val="left"/>
        <w:rPr>
          <w:rFonts w:ascii="Arial" w:hAnsi="Arial" w:cs="Arial"/>
        </w:rPr>
      </w:pPr>
    </w:p>
    <w:p w14:paraId="389F008F" w14:textId="5C316F4D" w:rsidR="003D52C9" w:rsidRPr="003D52C9" w:rsidRDefault="003D52C9" w:rsidP="003D52C9">
      <w:pPr>
        <w:pStyle w:val="Body"/>
        <w:spacing w:after="0"/>
        <w:jc w:val="left"/>
        <w:rPr>
          <w:rFonts w:ascii="Arial" w:hAnsi="Arial" w:cs="Arial"/>
          <w:lang w:val="en-GB"/>
        </w:rPr>
      </w:pPr>
      <w:r w:rsidRPr="003D52C9">
        <w:rPr>
          <w:rFonts w:ascii="Arial" w:hAnsi="Arial" w:cs="Arial"/>
        </w:rPr>
        <w:t xml:space="preserve">Kalavathy, S. (2004). The Multidisciplinary nature of environmental studies. Environ. Stud, 1, 1-13.                                                                                                           6. </w:t>
      </w:r>
      <w:r w:rsidRPr="003D52C9">
        <w:rPr>
          <w:rFonts w:ascii="Arial" w:hAnsi="Arial" w:cs="Arial"/>
          <w:lang w:val="en-GB"/>
        </w:rPr>
        <w:t xml:space="preserve">                                                                                                                           </w:t>
      </w:r>
    </w:p>
    <w:p w14:paraId="00B61231" w14:textId="77777777" w:rsidR="003D52C9" w:rsidRDefault="003D52C9" w:rsidP="003D52C9">
      <w:pPr>
        <w:pStyle w:val="Body"/>
        <w:spacing w:after="0"/>
        <w:jc w:val="left"/>
        <w:rPr>
          <w:rFonts w:ascii="Arial" w:hAnsi="Arial" w:cs="Arial"/>
          <w:lang w:val="en-GB"/>
        </w:rPr>
      </w:pPr>
    </w:p>
    <w:p w14:paraId="46E5502F" w14:textId="47AE16C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lastRenderedPageBreak/>
        <w:t xml:space="preserve">Kim JS, Yoon SJ, Park YJ, Kim SY, Ryu CM. Crossing the kingdom border: Human diseases caused by plant pathogens. Environ </w:t>
      </w:r>
      <w:proofErr w:type="spellStart"/>
      <w:r w:rsidRPr="003D52C9">
        <w:rPr>
          <w:rFonts w:ascii="Arial" w:hAnsi="Arial" w:cs="Arial"/>
          <w:lang w:val="en-GB"/>
        </w:rPr>
        <w:t>Microbiol</w:t>
      </w:r>
      <w:proofErr w:type="spellEnd"/>
      <w:r w:rsidRPr="003D52C9">
        <w:rPr>
          <w:rFonts w:ascii="Arial" w:hAnsi="Arial" w:cs="Arial"/>
          <w:lang w:val="en-GB"/>
        </w:rPr>
        <w:t xml:space="preserve">. 2020 Jul;22(7):2485-2495. </w:t>
      </w:r>
      <w:hyperlink r:id="rId51" w:history="1">
        <w:r w:rsidR="006C1094" w:rsidRPr="00E109C7">
          <w:rPr>
            <w:rStyle w:val="Hyperlink"/>
            <w:rFonts w:ascii="Arial" w:hAnsi="Arial" w:cs="Arial"/>
            <w:lang w:val="en-GB"/>
          </w:rPr>
          <w:t>https://doi.org/10.1111/1462-2920.15028</w:t>
        </w:r>
      </w:hyperlink>
      <w:r w:rsidR="006C1094">
        <w:rPr>
          <w:rFonts w:ascii="Arial" w:hAnsi="Arial" w:cs="Arial"/>
          <w:lang w:val="en-GB"/>
        </w:rPr>
        <w:t xml:space="preserve"> </w:t>
      </w:r>
    </w:p>
    <w:p w14:paraId="36BA41C2" w14:textId="77777777" w:rsidR="003D52C9" w:rsidRDefault="003D52C9" w:rsidP="003D52C9">
      <w:pPr>
        <w:pStyle w:val="Body"/>
        <w:spacing w:after="0"/>
        <w:jc w:val="left"/>
        <w:rPr>
          <w:rFonts w:ascii="Arial" w:hAnsi="Arial" w:cs="Arial"/>
          <w:lang w:val="en-GB"/>
        </w:rPr>
      </w:pPr>
    </w:p>
    <w:p w14:paraId="6641EA92" w14:textId="3C010CAF" w:rsidR="003D52C9" w:rsidRPr="003D52C9" w:rsidRDefault="003D52C9" w:rsidP="003D52C9">
      <w:pPr>
        <w:pStyle w:val="Body"/>
        <w:spacing w:after="0"/>
        <w:jc w:val="left"/>
        <w:rPr>
          <w:rFonts w:ascii="Arial" w:hAnsi="Arial" w:cs="Arial"/>
          <w:lang w:val="en-GB"/>
        </w:rPr>
      </w:pPr>
      <w:r w:rsidRPr="005F713A">
        <w:rPr>
          <w:rFonts w:ascii="Arial" w:hAnsi="Arial" w:cs="Arial"/>
          <w:lang w:val="en-GB"/>
        </w:rPr>
        <w:t xml:space="preserve">Kim, K.-H., Kabir, E. &amp; Jahan, S.A. (2017). </w:t>
      </w:r>
      <w:r w:rsidRPr="003D52C9">
        <w:rPr>
          <w:rFonts w:ascii="Arial" w:hAnsi="Arial" w:cs="Arial"/>
          <w:lang w:val="en-GB"/>
        </w:rPr>
        <w:t>Exposure to pesticides and the associated human health effects. Science of The Total Environment, 575: 525–535. </w:t>
      </w:r>
      <w:hyperlink r:id="rId52" w:history="1">
        <w:r w:rsidR="006C1094" w:rsidRPr="00E109C7">
          <w:rPr>
            <w:rStyle w:val="Hyperlink"/>
            <w:rFonts w:ascii="Arial" w:hAnsi="Arial" w:cs="Arial"/>
            <w:lang w:val="en-GB"/>
          </w:rPr>
          <w:t>https://doi.org/10.1016/j.scitotenv.2016.09.009</w:t>
        </w:r>
      </w:hyperlink>
      <w:r w:rsidR="006C1094">
        <w:rPr>
          <w:rFonts w:ascii="Arial" w:hAnsi="Arial" w:cs="Arial"/>
          <w:lang w:val="en-GB"/>
        </w:rPr>
        <w:t xml:space="preserve"> </w:t>
      </w:r>
    </w:p>
    <w:p w14:paraId="09D0D888" w14:textId="77777777" w:rsidR="003D52C9" w:rsidRPr="003D52C9" w:rsidRDefault="003D52C9" w:rsidP="003D52C9">
      <w:pPr>
        <w:pStyle w:val="Body"/>
        <w:spacing w:after="0"/>
        <w:jc w:val="left"/>
        <w:rPr>
          <w:rFonts w:ascii="Arial" w:hAnsi="Arial" w:cs="Arial"/>
          <w:lang w:val="en-GB"/>
        </w:rPr>
      </w:pPr>
    </w:p>
    <w:p w14:paraId="6A889830" w14:textId="297B1464" w:rsidR="003D52C9" w:rsidRDefault="003D52C9" w:rsidP="003D52C9">
      <w:pPr>
        <w:pStyle w:val="Body"/>
        <w:spacing w:after="0"/>
        <w:jc w:val="left"/>
        <w:rPr>
          <w:rFonts w:ascii="Arial" w:hAnsi="Arial" w:cs="Arial"/>
          <w:lang w:val="en-GB"/>
        </w:rPr>
      </w:pPr>
      <w:r w:rsidRPr="003D52C9">
        <w:rPr>
          <w:rFonts w:ascii="Arial" w:hAnsi="Arial" w:cs="Arial"/>
          <w:lang w:val="en-GB"/>
        </w:rPr>
        <w:t xml:space="preserve">The Lancet Series on One Health and Global Health </w:t>
      </w:r>
      <w:proofErr w:type="spellStart"/>
      <w:r w:rsidRPr="003D52C9">
        <w:rPr>
          <w:rFonts w:ascii="Arial" w:hAnsi="Arial" w:cs="Arial"/>
          <w:lang w:val="en-GB"/>
        </w:rPr>
        <w:t>Securit</w:t>
      </w:r>
      <w:proofErr w:type="spellEnd"/>
      <w:r w:rsidRPr="003D52C9">
        <w:rPr>
          <w:rFonts w:ascii="Arial" w:hAnsi="Arial" w:cs="Arial"/>
          <w:lang w:val="en-GB"/>
        </w:rPr>
        <w:t xml:space="preserve"> 2023 </w:t>
      </w:r>
      <w:hyperlink r:id="rId53" w:history="1">
        <w:r w:rsidR="006C1094" w:rsidRPr="00E109C7">
          <w:rPr>
            <w:rStyle w:val="Hyperlink"/>
            <w:rFonts w:ascii="Arial" w:hAnsi="Arial" w:cs="Arial"/>
            <w:lang w:val="en-GB"/>
          </w:rPr>
          <w:t>https://www.thelancet.com/series/one-health-and-global-health-security</w:t>
        </w:r>
      </w:hyperlink>
      <w:r w:rsidR="006C1094">
        <w:rPr>
          <w:rFonts w:ascii="Arial" w:hAnsi="Arial" w:cs="Arial"/>
          <w:lang w:val="en-GB"/>
        </w:rPr>
        <w:t xml:space="preserve"> </w:t>
      </w:r>
    </w:p>
    <w:p w14:paraId="71CA1A77" w14:textId="77777777" w:rsidR="006C1094" w:rsidRPr="003D52C9" w:rsidRDefault="006C1094" w:rsidP="003D52C9">
      <w:pPr>
        <w:pStyle w:val="Body"/>
        <w:spacing w:after="0"/>
        <w:jc w:val="left"/>
        <w:rPr>
          <w:rFonts w:ascii="Arial" w:hAnsi="Arial" w:cs="Arial"/>
          <w:lang w:val="en-GB"/>
        </w:rPr>
      </w:pPr>
    </w:p>
    <w:p w14:paraId="15434ED2" w14:textId="7777777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Delete </w:t>
      </w:r>
      <w:proofErr w:type="spellStart"/>
      <w:r w:rsidRPr="003D52C9">
        <w:rPr>
          <w:rFonts w:ascii="Arial" w:hAnsi="Arial" w:cs="Arial"/>
          <w:lang w:val="en-GB"/>
        </w:rPr>
        <w:t>mckinley</w:t>
      </w:r>
      <w:proofErr w:type="spellEnd"/>
    </w:p>
    <w:p w14:paraId="5233788C" w14:textId="2016FF1E"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Mackenzie, J. S., &amp; </w:t>
      </w:r>
      <w:proofErr w:type="spellStart"/>
      <w:r w:rsidRPr="003D52C9">
        <w:rPr>
          <w:rFonts w:ascii="Arial" w:hAnsi="Arial" w:cs="Arial"/>
          <w:lang w:val="en-GB"/>
        </w:rPr>
        <w:t>Jeggo</w:t>
      </w:r>
      <w:proofErr w:type="spellEnd"/>
      <w:r w:rsidRPr="003D52C9">
        <w:rPr>
          <w:rFonts w:ascii="Arial" w:hAnsi="Arial" w:cs="Arial"/>
          <w:lang w:val="en-GB"/>
        </w:rPr>
        <w:t xml:space="preserve">, M. (2019). The one health approach—Why is it so important? </w:t>
      </w:r>
      <w:r w:rsidRPr="003D52C9">
        <w:rPr>
          <w:rFonts w:ascii="Arial" w:hAnsi="Arial" w:cs="Arial"/>
          <w:i/>
          <w:iCs/>
          <w:lang w:val="en-GB"/>
        </w:rPr>
        <w:t>Tropical Medicine and Infectious Diseases, 4</w:t>
      </w:r>
      <w:r w:rsidRPr="003D52C9">
        <w:rPr>
          <w:rFonts w:ascii="Arial" w:hAnsi="Arial" w:cs="Arial"/>
          <w:lang w:val="en-GB"/>
        </w:rPr>
        <w:t xml:space="preserve">(2), 88. </w:t>
      </w:r>
      <w:hyperlink r:id="rId54" w:history="1">
        <w:r w:rsidR="006C1094" w:rsidRPr="00E109C7">
          <w:rPr>
            <w:rStyle w:val="Hyperlink"/>
            <w:rFonts w:ascii="Arial" w:hAnsi="Arial" w:cs="Arial"/>
            <w:lang w:val="en-GB"/>
          </w:rPr>
          <w:t>https://doi.org/10.3390/tropicalmed4020088</w:t>
        </w:r>
      </w:hyperlink>
      <w:r w:rsidR="006C1094">
        <w:rPr>
          <w:rFonts w:ascii="Arial" w:hAnsi="Arial" w:cs="Arial"/>
          <w:lang w:val="en-GB"/>
        </w:rPr>
        <w:t xml:space="preserve"> </w:t>
      </w:r>
      <w:hyperlink r:id="rId55" w:history="1">
        <w:r w:rsidR="006C1094" w:rsidRPr="00E109C7">
          <w:rPr>
            <w:rStyle w:val="Hyperlink"/>
            <w:rFonts w:ascii="Arial" w:hAnsi="Arial" w:cs="Arial"/>
            <w:lang w:val="en-GB"/>
          </w:rPr>
          <w:t>https://doi.org/10.3390/tropicalmed4020088</w:t>
        </w:r>
      </w:hyperlink>
      <w:r w:rsidR="006C1094">
        <w:rPr>
          <w:rFonts w:ascii="Arial" w:hAnsi="Arial" w:cs="Arial"/>
          <w:lang w:val="en-GB"/>
        </w:rPr>
        <w:t xml:space="preserve"> </w:t>
      </w:r>
    </w:p>
    <w:p w14:paraId="57A550EF" w14:textId="77777777" w:rsidR="003D52C9" w:rsidRDefault="003D52C9" w:rsidP="003D52C9">
      <w:pPr>
        <w:pStyle w:val="Body"/>
        <w:spacing w:after="0"/>
        <w:jc w:val="left"/>
        <w:rPr>
          <w:rFonts w:ascii="Arial" w:hAnsi="Arial" w:cs="Arial"/>
          <w:lang w:val="en-GB"/>
        </w:rPr>
      </w:pPr>
    </w:p>
    <w:p w14:paraId="42D32F9D" w14:textId="0D0B5C7A" w:rsidR="006C1094" w:rsidRDefault="006C1094" w:rsidP="006C1094">
      <w:pPr>
        <w:rPr>
          <w:rFonts w:ascii="Arial" w:hAnsi="Arial" w:cs="Arial"/>
          <w:sz w:val="18"/>
          <w:szCs w:val="18"/>
        </w:rPr>
      </w:pPr>
      <w:r>
        <w:rPr>
          <w:rFonts w:ascii="Arial" w:hAnsi="Arial" w:cs="Arial"/>
          <w:sz w:val="18"/>
          <w:szCs w:val="18"/>
        </w:rPr>
        <w:t xml:space="preserve">Mackenzie, J. S., McKinnon, M., &amp; </w:t>
      </w:r>
      <w:proofErr w:type="spellStart"/>
      <w:r>
        <w:rPr>
          <w:rFonts w:ascii="Arial" w:hAnsi="Arial" w:cs="Arial"/>
          <w:sz w:val="18"/>
          <w:szCs w:val="18"/>
        </w:rPr>
        <w:t>Jeggo</w:t>
      </w:r>
      <w:proofErr w:type="spellEnd"/>
      <w:r>
        <w:rPr>
          <w:rFonts w:ascii="Arial" w:hAnsi="Arial" w:cs="Arial"/>
          <w:sz w:val="18"/>
          <w:szCs w:val="18"/>
        </w:rPr>
        <w:t xml:space="preserve">, M. (2014). One health: From concept to practice. In J. S. Mackenzie, M. </w:t>
      </w:r>
      <w:proofErr w:type="spellStart"/>
      <w:r>
        <w:rPr>
          <w:rFonts w:ascii="Arial" w:hAnsi="Arial" w:cs="Arial"/>
          <w:sz w:val="18"/>
          <w:szCs w:val="18"/>
        </w:rPr>
        <w:t>Jeggo</w:t>
      </w:r>
      <w:proofErr w:type="spellEnd"/>
      <w:r>
        <w:rPr>
          <w:rFonts w:ascii="Arial" w:hAnsi="Arial" w:cs="Arial"/>
          <w:sz w:val="18"/>
          <w:szCs w:val="18"/>
        </w:rPr>
        <w:t xml:space="preserve">, P. </w:t>
      </w:r>
      <w:proofErr w:type="spellStart"/>
      <w:r>
        <w:rPr>
          <w:rFonts w:ascii="Arial" w:hAnsi="Arial" w:cs="Arial"/>
          <w:sz w:val="18"/>
          <w:szCs w:val="18"/>
        </w:rPr>
        <w:t>Daszak</w:t>
      </w:r>
      <w:proofErr w:type="spellEnd"/>
      <w:r>
        <w:rPr>
          <w:rFonts w:ascii="Arial" w:hAnsi="Arial" w:cs="Arial"/>
          <w:sz w:val="18"/>
          <w:szCs w:val="18"/>
        </w:rPr>
        <w:t xml:space="preserve">, &amp; J. A. </w:t>
      </w:r>
      <w:proofErr w:type="spellStart"/>
      <w:r>
        <w:rPr>
          <w:rFonts w:ascii="Arial" w:hAnsi="Arial" w:cs="Arial"/>
          <w:sz w:val="18"/>
          <w:szCs w:val="18"/>
        </w:rPr>
        <w:t>Richt</w:t>
      </w:r>
      <w:proofErr w:type="spellEnd"/>
      <w:r>
        <w:rPr>
          <w:rFonts w:ascii="Arial" w:hAnsi="Arial" w:cs="Arial"/>
          <w:sz w:val="18"/>
          <w:szCs w:val="18"/>
        </w:rPr>
        <w:t xml:space="preserve"> (Eds.), Confronting emerging zoonoses: The One Health paradigm (pp. 163–189). Springer. </w:t>
      </w:r>
      <w:hyperlink r:id="rId56" w:history="1">
        <w:r w:rsidRPr="00E109C7">
          <w:rPr>
            <w:rStyle w:val="Hyperlink"/>
            <w:rFonts w:ascii="Arial" w:hAnsi="Arial" w:cs="Arial"/>
            <w:sz w:val="18"/>
            <w:szCs w:val="18"/>
          </w:rPr>
          <w:t>https://doi.org/10.1007/978-4-431-55120-1_8</w:t>
        </w:r>
      </w:hyperlink>
      <w:r>
        <w:rPr>
          <w:rFonts w:ascii="Arial" w:hAnsi="Arial" w:cs="Arial"/>
          <w:sz w:val="18"/>
          <w:szCs w:val="18"/>
        </w:rPr>
        <w:t xml:space="preserve"> </w:t>
      </w:r>
    </w:p>
    <w:p w14:paraId="3FA58FCE" w14:textId="10664963" w:rsidR="003D52C9" w:rsidRDefault="006C1094" w:rsidP="003D52C9">
      <w:pPr>
        <w:pStyle w:val="Body"/>
        <w:spacing w:after="0"/>
        <w:jc w:val="left"/>
        <w:rPr>
          <w:rFonts w:ascii="Arial" w:hAnsi="Arial" w:cs="Arial"/>
          <w:lang w:val="en-GB"/>
        </w:rPr>
      </w:pPr>
      <w:r>
        <w:rPr>
          <w:rFonts w:ascii="Arial" w:hAnsi="Arial" w:cs="Arial"/>
          <w:lang w:val="en-GB"/>
        </w:rPr>
        <w:t xml:space="preserve"> </w:t>
      </w:r>
    </w:p>
    <w:p w14:paraId="107A4337" w14:textId="348FE2C4" w:rsidR="003D52C9" w:rsidRPr="003D52C9" w:rsidRDefault="003D52C9" w:rsidP="003D52C9">
      <w:pPr>
        <w:pStyle w:val="Body"/>
        <w:spacing w:after="0"/>
        <w:jc w:val="left"/>
        <w:rPr>
          <w:rFonts w:ascii="Arial" w:hAnsi="Arial" w:cs="Arial"/>
        </w:rPr>
      </w:pPr>
      <w:proofErr w:type="spellStart"/>
      <w:r w:rsidRPr="003D52C9">
        <w:rPr>
          <w:rFonts w:ascii="Arial" w:hAnsi="Arial" w:cs="Arial"/>
          <w:lang w:val="en-GB"/>
        </w:rPr>
        <w:t>Mubareka</w:t>
      </w:r>
      <w:proofErr w:type="spellEnd"/>
      <w:r w:rsidRPr="003D52C9">
        <w:rPr>
          <w:rFonts w:ascii="Arial" w:hAnsi="Arial" w:cs="Arial"/>
          <w:lang w:val="en-GB"/>
        </w:rPr>
        <w:t xml:space="preserve">, S., </w:t>
      </w:r>
      <w:proofErr w:type="spellStart"/>
      <w:r w:rsidRPr="003D52C9">
        <w:rPr>
          <w:rFonts w:ascii="Arial" w:hAnsi="Arial" w:cs="Arial"/>
          <w:lang w:val="en-GB"/>
        </w:rPr>
        <w:t>Amuasi</w:t>
      </w:r>
      <w:proofErr w:type="spellEnd"/>
      <w:r w:rsidRPr="003D52C9">
        <w:rPr>
          <w:rFonts w:ascii="Arial" w:hAnsi="Arial" w:cs="Arial"/>
          <w:lang w:val="en-GB"/>
        </w:rPr>
        <w:t xml:space="preserve">, J., Banerjee, A., Carabin, H., Jack, J. C., Jardine, C., Jaroszewicz, B., Keefe, G., </w:t>
      </w:r>
      <w:proofErr w:type="spellStart"/>
      <w:r w:rsidRPr="003D52C9">
        <w:rPr>
          <w:rFonts w:ascii="Arial" w:hAnsi="Arial" w:cs="Arial"/>
          <w:lang w:val="en-GB"/>
        </w:rPr>
        <w:t>Kotwa</w:t>
      </w:r>
      <w:proofErr w:type="spellEnd"/>
      <w:r w:rsidRPr="003D52C9">
        <w:rPr>
          <w:rFonts w:ascii="Arial" w:hAnsi="Arial" w:cs="Arial"/>
          <w:lang w:val="en-GB"/>
        </w:rPr>
        <w:t>, J., Kutz, S., McGregor, D., Mease, A., Nicholson, L., Nowak, K., Pickering, B., Reed, M. G., Saint</w:t>
      </w:r>
      <w:r w:rsidRPr="003D52C9">
        <w:rPr>
          <w:rFonts w:ascii="Arial" w:hAnsi="Arial" w:cs="Arial"/>
          <w:lang w:val="en-GB"/>
        </w:rPr>
        <w:noBreakHyphen/>
        <w:t xml:space="preserve">Charles, J., </w:t>
      </w:r>
      <w:proofErr w:type="spellStart"/>
      <w:r w:rsidRPr="003D52C9">
        <w:rPr>
          <w:rFonts w:ascii="Arial" w:hAnsi="Arial" w:cs="Arial"/>
          <w:lang w:val="en-GB"/>
        </w:rPr>
        <w:t>Simonienko</w:t>
      </w:r>
      <w:proofErr w:type="spellEnd"/>
      <w:r w:rsidRPr="003D52C9">
        <w:rPr>
          <w:rFonts w:ascii="Arial" w:hAnsi="Arial" w:cs="Arial"/>
          <w:lang w:val="en-GB"/>
        </w:rPr>
        <w:t xml:space="preserve">, K., Smith, T., Weese, J. S., &amp; Parmley, E. J. (2023). Strengthening a One Health approach to emerging zoonoses. </w:t>
      </w:r>
      <w:r w:rsidRPr="003D52C9">
        <w:rPr>
          <w:rFonts w:ascii="Arial" w:hAnsi="Arial" w:cs="Arial"/>
          <w:i/>
          <w:iCs/>
          <w:lang w:val="en-GB"/>
        </w:rPr>
        <w:t>FACETS, 8</w:t>
      </w:r>
      <w:r w:rsidRPr="003D52C9">
        <w:rPr>
          <w:rFonts w:ascii="Arial" w:hAnsi="Arial" w:cs="Arial"/>
          <w:lang w:val="en-GB"/>
        </w:rPr>
        <w:t xml:space="preserve">, 1–64. </w:t>
      </w:r>
      <w:hyperlink r:id="rId57" w:history="1">
        <w:r w:rsidR="006C1094" w:rsidRPr="00E109C7">
          <w:rPr>
            <w:rStyle w:val="Hyperlink"/>
            <w:rFonts w:ascii="Arial" w:hAnsi="Arial" w:cs="Arial"/>
            <w:lang w:val="en-GB"/>
          </w:rPr>
          <w:t>https://doi.org/10.1139/facets-2021-0190</w:t>
        </w:r>
      </w:hyperlink>
      <w:r w:rsidR="006C1094">
        <w:rPr>
          <w:rFonts w:ascii="Arial" w:hAnsi="Arial" w:cs="Arial"/>
          <w:lang w:val="en-GB"/>
        </w:rPr>
        <w:t xml:space="preserve"> </w:t>
      </w:r>
    </w:p>
    <w:p w14:paraId="655324EB" w14:textId="77777777" w:rsidR="003D52C9" w:rsidRDefault="003D52C9" w:rsidP="003D52C9">
      <w:pPr>
        <w:pStyle w:val="Body"/>
        <w:spacing w:after="0"/>
        <w:jc w:val="left"/>
        <w:rPr>
          <w:rFonts w:ascii="Arial" w:hAnsi="Arial" w:cs="Arial"/>
          <w:lang w:val="en-GB"/>
        </w:rPr>
      </w:pPr>
    </w:p>
    <w:p w14:paraId="3D715B7D" w14:textId="743FF1FD"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Mumford, E. L., Martinez, D. J., </w:t>
      </w:r>
      <w:proofErr w:type="spellStart"/>
      <w:r w:rsidRPr="003D52C9">
        <w:rPr>
          <w:rFonts w:ascii="Arial" w:hAnsi="Arial" w:cs="Arial"/>
          <w:lang w:val="en-GB"/>
        </w:rPr>
        <w:t>Tyance</w:t>
      </w:r>
      <w:proofErr w:type="spellEnd"/>
      <w:r w:rsidRPr="003D52C9">
        <w:rPr>
          <w:rFonts w:ascii="Arial" w:hAnsi="Arial" w:cs="Arial"/>
          <w:lang w:val="en-GB"/>
        </w:rPr>
        <w:t xml:space="preserve">-Hassell, K., Cook, A., Hansen, G. R., Labonté, R., Mazet, J. A. K., Mumford, E. C., Rizzo, D. M., Togami, E., </w:t>
      </w:r>
      <w:proofErr w:type="spellStart"/>
      <w:r w:rsidRPr="003D52C9">
        <w:rPr>
          <w:rFonts w:ascii="Arial" w:hAnsi="Arial" w:cs="Arial"/>
          <w:lang w:val="en-GB"/>
        </w:rPr>
        <w:t>Vreedzaam</w:t>
      </w:r>
      <w:proofErr w:type="spellEnd"/>
      <w:r w:rsidRPr="003D52C9">
        <w:rPr>
          <w:rFonts w:ascii="Arial" w:hAnsi="Arial" w:cs="Arial"/>
          <w:lang w:val="en-GB"/>
        </w:rPr>
        <w:t xml:space="preserve">, A., &amp; Parrish-Sprowl, J. (2022). Evolution and expansion of the One Health approach to promote sustainable and resilient health and well-being: A call to action. </w:t>
      </w:r>
      <w:r w:rsidRPr="003D52C9">
        <w:rPr>
          <w:rFonts w:ascii="Arial" w:hAnsi="Arial" w:cs="Arial"/>
          <w:i/>
          <w:iCs/>
          <w:lang w:val="en-GB"/>
        </w:rPr>
        <w:t>Frontiers in Public Health, 10,</w:t>
      </w:r>
      <w:r w:rsidRPr="003D52C9">
        <w:rPr>
          <w:rFonts w:ascii="Arial" w:hAnsi="Arial" w:cs="Arial"/>
          <w:lang w:val="en-GB"/>
        </w:rPr>
        <w:t xml:space="preserve"> 1056459. </w:t>
      </w:r>
      <w:hyperlink r:id="rId58" w:history="1">
        <w:r w:rsidR="006C1094" w:rsidRPr="00E109C7">
          <w:rPr>
            <w:rStyle w:val="Hyperlink"/>
            <w:rFonts w:ascii="Arial" w:hAnsi="Arial" w:cs="Arial"/>
            <w:lang w:val="en-GB"/>
          </w:rPr>
          <w:t>https://doi.org/10.3389/fpubh.2022.1056459</w:t>
        </w:r>
      </w:hyperlink>
      <w:r w:rsidR="006C1094">
        <w:rPr>
          <w:rFonts w:ascii="Arial" w:hAnsi="Arial" w:cs="Arial"/>
          <w:lang w:val="en-GB"/>
        </w:rPr>
        <w:t xml:space="preserve"> </w:t>
      </w:r>
    </w:p>
    <w:p w14:paraId="7A5D7540" w14:textId="77777777" w:rsidR="003D52C9" w:rsidRDefault="003D52C9" w:rsidP="003D52C9">
      <w:pPr>
        <w:pStyle w:val="Body"/>
        <w:spacing w:after="0"/>
        <w:jc w:val="left"/>
        <w:rPr>
          <w:rFonts w:ascii="Arial" w:hAnsi="Arial" w:cs="Arial"/>
          <w:lang w:val="en-GB"/>
        </w:rPr>
      </w:pPr>
    </w:p>
    <w:p w14:paraId="40CFA154" w14:textId="2CAF9532"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Nieboer, E., &amp; Richardson, D. H. S. (1980). The replacement of the nondescript term “heavy metals” by a biologically and chemically significant classification of metal ions. </w:t>
      </w:r>
      <w:r w:rsidRPr="003D52C9">
        <w:rPr>
          <w:rFonts w:ascii="Arial" w:hAnsi="Arial" w:cs="Arial"/>
          <w:i/>
          <w:iCs/>
          <w:lang w:val="en-GB"/>
        </w:rPr>
        <w:t>Environmental Pollution Series B, Chemical and Physical, 1</w:t>
      </w:r>
      <w:r w:rsidRPr="003D52C9">
        <w:rPr>
          <w:rFonts w:ascii="Arial" w:hAnsi="Arial" w:cs="Arial"/>
          <w:lang w:val="en-GB"/>
        </w:rPr>
        <w:t xml:space="preserve">(1), 3–26. </w:t>
      </w:r>
      <w:hyperlink r:id="rId59" w:history="1">
        <w:r w:rsidR="006C1094" w:rsidRPr="00E109C7">
          <w:rPr>
            <w:rStyle w:val="Hyperlink"/>
            <w:rFonts w:ascii="Arial" w:hAnsi="Arial" w:cs="Arial"/>
            <w:lang w:val="en-GB"/>
          </w:rPr>
          <w:t>https://doi.org/10.1016/0143-148X(80)90017-8</w:t>
        </w:r>
      </w:hyperlink>
      <w:r w:rsidR="006C1094">
        <w:rPr>
          <w:rFonts w:ascii="Arial" w:hAnsi="Arial" w:cs="Arial"/>
          <w:lang w:val="en-GB"/>
        </w:rPr>
        <w:t xml:space="preserve"> </w:t>
      </w:r>
    </w:p>
    <w:p w14:paraId="786CE1F6" w14:textId="77777777" w:rsidR="003D52C9" w:rsidRPr="003D52C9" w:rsidRDefault="003D52C9" w:rsidP="003D52C9">
      <w:pPr>
        <w:pStyle w:val="Body"/>
        <w:spacing w:after="0"/>
        <w:jc w:val="left"/>
        <w:rPr>
          <w:rFonts w:ascii="Arial" w:hAnsi="Arial" w:cs="Arial"/>
          <w:lang w:val="en-GB"/>
        </w:rPr>
      </w:pPr>
    </w:p>
    <w:p w14:paraId="0425A164" w14:textId="77777777" w:rsidR="003D52C9" w:rsidRPr="003D52C9" w:rsidRDefault="003D52C9" w:rsidP="003D52C9">
      <w:pPr>
        <w:pStyle w:val="Body"/>
        <w:spacing w:after="0"/>
        <w:jc w:val="left"/>
        <w:rPr>
          <w:rFonts w:ascii="Arial" w:hAnsi="Arial" w:cs="Arial"/>
        </w:rPr>
      </w:pPr>
      <w:r w:rsidRPr="003D52C9">
        <w:rPr>
          <w:rFonts w:ascii="Arial" w:hAnsi="Arial" w:cs="Arial"/>
          <w:lang w:val="en-GB"/>
        </w:rPr>
        <w:t xml:space="preserve">Nature Research. (2025). One Health. </w:t>
      </w:r>
      <w:r w:rsidRPr="003D52C9">
        <w:rPr>
          <w:rFonts w:ascii="Arial" w:hAnsi="Arial" w:cs="Arial"/>
          <w:i/>
          <w:iCs/>
          <w:lang w:val="en-GB"/>
        </w:rPr>
        <w:t>Nature Research Intelligence.</w:t>
      </w:r>
      <w:r w:rsidRPr="003D52C9">
        <w:rPr>
          <w:rFonts w:ascii="Arial" w:hAnsi="Arial" w:cs="Arial"/>
          <w:lang w:val="en-GB"/>
        </w:rPr>
        <w:t xml:space="preserve"> Retrieved December 4, 2025, from https://www.nature.com/research-intelligence/one-health</w:t>
      </w:r>
    </w:p>
    <w:p w14:paraId="3A74174D" w14:textId="57A1BDF5" w:rsidR="003D52C9" w:rsidRDefault="003D52C9" w:rsidP="003D52C9">
      <w:pPr>
        <w:pStyle w:val="Body"/>
        <w:spacing w:after="0"/>
        <w:jc w:val="left"/>
        <w:rPr>
          <w:rFonts w:ascii="Arial" w:hAnsi="Arial" w:cs="Arial"/>
          <w:lang w:val="en-GB"/>
        </w:rPr>
      </w:pPr>
      <w:r w:rsidRPr="003D52C9">
        <w:rPr>
          <w:rFonts w:ascii="Arial" w:hAnsi="Arial" w:cs="Arial"/>
          <w:lang w:val="en-GB"/>
        </w:rPr>
        <w:t xml:space="preserve">Journal </w:t>
      </w:r>
      <w:r w:rsidRPr="003D52C9">
        <w:rPr>
          <w:rFonts w:ascii="Arial" w:hAnsi="Arial" w:cs="Arial"/>
          <w:i/>
          <w:iCs/>
          <w:lang w:val="en-GB"/>
        </w:rPr>
        <w:t>Nature Communications</w:t>
      </w:r>
      <w:r w:rsidRPr="003D52C9">
        <w:rPr>
          <w:rFonts w:ascii="Arial" w:hAnsi="Arial" w:cs="Arial"/>
          <w:lang w:val="en-GB"/>
        </w:rPr>
        <w:t xml:space="preserve"> (2023). Promoting the science of One Health. </w:t>
      </w:r>
      <w:r w:rsidRPr="003D52C9">
        <w:rPr>
          <w:rFonts w:ascii="Arial" w:hAnsi="Arial" w:cs="Arial"/>
          <w:i/>
          <w:iCs/>
          <w:lang w:val="en-GB"/>
        </w:rPr>
        <w:t>Nat Commun</w:t>
      </w:r>
      <w:r w:rsidRPr="003D52C9">
        <w:rPr>
          <w:rFonts w:ascii="Arial" w:hAnsi="Arial" w:cs="Arial"/>
          <w:lang w:val="en-GB"/>
        </w:rPr>
        <w:t xml:space="preserve"> 14, 4735 (2023). </w:t>
      </w:r>
      <w:hyperlink r:id="rId60" w:history="1">
        <w:r w:rsidR="006C1094" w:rsidRPr="00E109C7">
          <w:rPr>
            <w:rStyle w:val="Hyperlink"/>
            <w:rFonts w:ascii="Arial" w:hAnsi="Arial" w:cs="Arial"/>
            <w:lang w:val="en-GB"/>
          </w:rPr>
          <w:t>https://doi.org/10.1038/s41467-023-40293-y</w:t>
        </w:r>
      </w:hyperlink>
      <w:r w:rsidR="006C1094">
        <w:rPr>
          <w:rFonts w:ascii="Arial" w:hAnsi="Arial" w:cs="Arial"/>
          <w:lang w:val="en-GB"/>
        </w:rPr>
        <w:t xml:space="preserve"> </w:t>
      </w:r>
    </w:p>
    <w:p w14:paraId="730134BF" w14:textId="77777777" w:rsidR="006C1094" w:rsidRPr="003D52C9" w:rsidRDefault="006C1094" w:rsidP="003D52C9">
      <w:pPr>
        <w:pStyle w:val="Body"/>
        <w:spacing w:after="0"/>
        <w:jc w:val="left"/>
        <w:rPr>
          <w:rFonts w:ascii="Arial" w:hAnsi="Arial" w:cs="Arial"/>
          <w:lang w:val="en-GB"/>
        </w:rPr>
      </w:pPr>
    </w:p>
    <w:p w14:paraId="12AEA6B0" w14:textId="4168AF0D"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Philippot, L., Chenu, C., Kappler, A. </w:t>
      </w:r>
      <w:r w:rsidRPr="003D52C9">
        <w:rPr>
          <w:rFonts w:ascii="Arial" w:hAnsi="Arial" w:cs="Arial"/>
          <w:i/>
          <w:iCs/>
          <w:lang w:val="en-GB"/>
        </w:rPr>
        <w:t>et al.</w:t>
      </w:r>
      <w:r w:rsidRPr="003D52C9">
        <w:rPr>
          <w:rFonts w:ascii="Arial" w:hAnsi="Arial" w:cs="Arial"/>
          <w:lang w:val="en-GB"/>
        </w:rPr>
        <w:t> The interplay between microbial communities and soil properties. </w:t>
      </w:r>
      <w:r w:rsidRPr="003D52C9">
        <w:rPr>
          <w:rFonts w:ascii="Arial" w:hAnsi="Arial" w:cs="Arial"/>
          <w:i/>
          <w:iCs/>
          <w:lang w:val="en-GB"/>
        </w:rPr>
        <w:t xml:space="preserve">Nat Rev </w:t>
      </w:r>
      <w:proofErr w:type="spellStart"/>
      <w:r w:rsidRPr="003D52C9">
        <w:rPr>
          <w:rFonts w:ascii="Arial" w:hAnsi="Arial" w:cs="Arial"/>
          <w:i/>
          <w:iCs/>
          <w:lang w:val="en-GB"/>
        </w:rPr>
        <w:t>Microbiol</w:t>
      </w:r>
      <w:proofErr w:type="spellEnd"/>
      <w:r w:rsidRPr="003D52C9">
        <w:rPr>
          <w:rFonts w:ascii="Arial" w:hAnsi="Arial" w:cs="Arial"/>
          <w:lang w:val="en-GB"/>
        </w:rPr>
        <w:t xml:space="preserve"> 22, 226–239 (2024). </w:t>
      </w:r>
      <w:hyperlink r:id="rId61" w:history="1">
        <w:r w:rsidR="006C1094" w:rsidRPr="00E109C7">
          <w:rPr>
            <w:rStyle w:val="Hyperlink"/>
            <w:rFonts w:ascii="Arial" w:hAnsi="Arial" w:cs="Arial"/>
            <w:lang w:val="en-GB"/>
          </w:rPr>
          <w:t>https://doi.org/10.1038/s41579-023-00980-5</w:t>
        </w:r>
      </w:hyperlink>
      <w:r w:rsidR="006C1094">
        <w:rPr>
          <w:rFonts w:ascii="Arial" w:hAnsi="Arial" w:cs="Arial"/>
          <w:lang w:val="en-GB"/>
        </w:rPr>
        <w:t xml:space="preserve"> </w:t>
      </w:r>
      <w:r w:rsidRPr="003D52C9">
        <w:rPr>
          <w:rFonts w:ascii="Arial" w:hAnsi="Arial" w:cs="Arial"/>
          <w:lang w:val="en-GB"/>
        </w:rPr>
        <w:t xml:space="preserve">                                                            </w:t>
      </w:r>
    </w:p>
    <w:p w14:paraId="513D6CE0" w14:textId="77777777" w:rsidR="003D52C9" w:rsidRPr="003D52C9" w:rsidRDefault="003D52C9" w:rsidP="003D52C9">
      <w:pPr>
        <w:pStyle w:val="Body"/>
        <w:spacing w:after="0"/>
        <w:jc w:val="left"/>
        <w:rPr>
          <w:rFonts w:ascii="Arial" w:hAnsi="Arial" w:cs="Arial"/>
        </w:rPr>
      </w:pPr>
    </w:p>
    <w:p w14:paraId="3C86BD65" w14:textId="6974D3E8" w:rsidR="003D52C9" w:rsidRPr="003D52C9" w:rsidRDefault="003D52C9" w:rsidP="003D52C9">
      <w:pPr>
        <w:pStyle w:val="Body"/>
        <w:spacing w:after="0"/>
        <w:jc w:val="left"/>
        <w:rPr>
          <w:rFonts w:ascii="Arial" w:hAnsi="Arial" w:cs="Arial"/>
        </w:rPr>
      </w:pPr>
      <w:r w:rsidRPr="003D52C9">
        <w:rPr>
          <w:rFonts w:ascii="Arial" w:hAnsi="Arial" w:cs="Arial"/>
        </w:rPr>
        <w:t xml:space="preserve">Raffa CM, </w:t>
      </w:r>
      <w:proofErr w:type="spellStart"/>
      <w:r w:rsidRPr="003D52C9">
        <w:rPr>
          <w:rFonts w:ascii="Arial" w:hAnsi="Arial" w:cs="Arial"/>
        </w:rPr>
        <w:t>Chiampo</w:t>
      </w:r>
      <w:proofErr w:type="spellEnd"/>
      <w:r w:rsidRPr="003D52C9">
        <w:rPr>
          <w:rFonts w:ascii="Arial" w:hAnsi="Arial" w:cs="Arial"/>
        </w:rPr>
        <w:t xml:space="preserve"> F. Bioremediation of Agricultural Soils Polluted with Pesticides: A Review. Bioengineering (Basel). 2021 Jul 2;8(7):92. </w:t>
      </w:r>
      <w:hyperlink r:id="rId62" w:history="1">
        <w:r w:rsidR="006C1094" w:rsidRPr="00E109C7">
          <w:rPr>
            <w:rStyle w:val="Hyperlink"/>
            <w:rFonts w:ascii="Arial" w:hAnsi="Arial" w:cs="Arial"/>
          </w:rPr>
          <w:t>https://doi.org/10.3390/bioengineering8070092</w:t>
        </w:r>
      </w:hyperlink>
      <w:r w:rsidR="006C1094">
        <w:rPr>
          <w:rFonts w:ascii="Arial" w:hAnsi="Arial" w:cs="Arial"/>
        </w:rPr>
        <w:t xml:space="preserve"> </w:t>
      </w:r>
    </w:p>
    <w:p w14:paraId="0A46C56B" w14:textId="77777777" w:rsidR="003D52C9" w:rsidRDefault="003D52C9" w:rsidP="003D52C9">
      <w:pPr>
        <w:pStyle w:val="Body"/>
        <w:spacing w:after="0"/>
        <w:jc w:val="left"/>
        <w:rPr>
          <w:rFonts w:ascii="Arial" w:hAnsi="Arial" w:cs="Arial"/>
          <w:lang w:val="en-GB"/>
        </w:rPr>
      </w:pPr>
    </w:p>
    <w:p w14:paraId="181C9460" w14:textId="17D5A182"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Ranawaka, B., Hayashi, S., Waterhouse, P. M., &amp; de </w:t>
      </w:r>
      <w:proofErr w:type="spellStart"/>
      <w:r w:rsidRPr="003D52C9">
        <w:rPr>
          <w:rFonts w:ascii="Arial" w:hAnsi="Arial" w:cs="Arial"/>
          <w:lang w:val="en-GB"/>
        </w:rPr>
        <w:t>Felippes</w:t>
      </w:r>
      <w:proofErr w:type="spellEnd"/>
      <w:r w:rsidRPr="003D52C9">
        <w:rPr>
          <w:rFonts w:ascii="Arial" w:hAnsi="Arial" w:cs="Arial"/>
          <w:lang w:val="en-GB"/>
        </w:rPr>
        <w:t xml:space="preserve">, F. F. (2020). </w:t>
      </w:r>
      <w:r w:rsidRPr="003D52C9">
        <w:rPr>
          <w:rFonts w:ascii="Arial" w:hAnsi="Arial" w:cs="Arial"/>
          <w:i/>
          <w:iCs/>
          <w:lang w:val="en-GB"/>
        </w:rPr>
        <w:t>Homo sapiens: The superspreader of plant viral diseases.</w:t>
      </w:r>
      <w:r w:rsidRPr="003D52C9">
        <w:rPr>
          <w:rFonts w:ascii="Arial" w:hAnsi="Arial" w:cs="Arial"/>
          <w:lang w:val="en-GB"/>
        </w:rPr>
        <w:t xml:space="preserve"> Viruses, 12(12), 1462. </w:t>
      </w:r>
      <w:hyperlink r:id="rId63" w:history="1">
        <w:r w:rsidR="006C1094" w:rsidRPr="00E109C7">
          <w:rPr>
            <w:rStyle w:val="Hyperlink"/>
            <w:rFonts w:ascii="Arial" w:hAnsi="Arial" w:cs="Arial"/>
            <w:lang w:val="en-GB"/>
          </w:rPr>
          <w:t>https://doi.org/10.3390/v12121462</w:t>
        </w:r>
      </w:hyperlink>
      <w:r w:rsidR="006C1094">
        <w:rPr>
          <w:rFonts w:ascii="Arial" w:hAnsi="Arial" w:cs="Arial"/>
          <w:lang w:val="en-GB"/>
        </w:rPr>
        <w:t xml:space="preserve"> </w:t>
      </w:r>
    </w:p>
    <w:p w14:paraId="50345F37" w14:textId="77777777" w:rsidR="003D52C9" w:rsidRPr="005F713A" w:rsidRDefault="003D52C9" w:rsidP="003D52C9">
      <w:pPr>
        <w:pStyle w:val="Body"/>
        <w:spacing w:after="0"/>
        <w:jc w:val="left"/>
        <w:rPr>
          <w:rFonts w:ascii="Arial" w:hAnsi="Arial" w:cs="Arial"/>
          <w:lang w:val="en-GB"/>
        </w:rPr>
      </w:pPr>
    </w:p>
    <w:p w14:paraId="1B74E1B2" w14:textId="6A95A36F" w:rsidR="003D52C9" w:rsidRPr="003D52C9" w:rsidRDefault="003D52C9" w:rsidP="003D52C9">
      <w:pPr>
        <w:pStyle w:val="Body"/>
        <w:spacing w:after="0"/>
        <w:jc w:val="left"/>
        <w:rPr>
          <w:rFonts w:ascii="Arial" w:hAnsi="Arial" w:cs="Arial"/>
          <w:lang w:val="en-GB"/>
        </w:rPr>
      </w:pPr>
      <w:r w:rsidRPr="003D52C9">
        <w:rPr>
          <w:rFonts w:ascii="Arial" w:hAnsi="Arial" w:cs="Arial"/>
          <w:lang w:val="sv-SE"/>
        </w:rPr>
        <w:lastRenderedPageBreak/>
        <w:t xml:space="preserve">RoyChowdhury, A., Datta, R., &amp; Sarkar, D. (2018). </w:t>
      </w:r>
      <w:r w:rsidRPr="003D52C9">
        <w:rPr>
          <w:rFonts w:ascii="Arial" w:hAnsi="Arial" w:cs="Arial"/>
          <w:lang w:val="en-GB"/>
        </w:rPr>
        <w:t xml:space="preserve">Heavy Metal Pollution and Remediation. Green Chemistry: An Inclusive Approach, 359-373. </w:t>
      </w:r>
      <w:hyperlink r:id="rId64" w:history="1">
        <w:r w:rsidR="006C1094" w:rsidRPr="00E109C7">
          <w:rPr>
            <w:rStyle w:val="Hyperlink"/>
            <w:rFonts w:ascii="Arial" w:hAnsi="Arial" w:cs="Arial"/>
            <w:lang w:val="en-GB"/>
          </w:rPr>
          <w:t>https://doi.org/10.1016/B978-0-12-809270-5.00015-7</w:t>
        </w:r>
      </w:hyperlink>
      <w:r w:rsidR="006C1094">
        <w:rPr>
          <w:rFonts w:ascii="Arial" w:hAnsi="Arial" w:cs="Arial"/>
          <w:lang w:val="en-GB"/>
        </w:rPr>
        <w:t xml:space="preserve"> </w:t>
      </w:r>
    </w:p>
    <w:p w14:paraId="6E0333B1" w14:textId="77777777" w:rsidR="003D52C9" w:rsidRPr="003D52C9" w:rsidRDefault="003D52C9" w:rsidP="003D52C9">
      <w:pPr>
        <w:pStyle w:val="Body"/>
        <w:spacing w:after="0"/>
        <w:jc w:val="left"/>
        <w:rPr>
          <w:rFonts w:ascii="Arial" w:hAnsi="Arial" w:cs="Arial"/>
          <w:lang w:val="en-GB"/>
        </w:rPr>
      </w:pPr>
    </w:p>
    <w:p w14:paraId="0BE2F8D4" w14:textId="531D84A2"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Schelling, J. (1970). Soil genesis, soil classification and soil survey. </w:t>
      </w:r>
      <w:proofErr w:type="spellStart"/>
      <w:r w:rsidRPr="003D52C9">
        <w:rPr>
          <w:rFonts w:ascii="Arial" w:hAnsi="Arial" w:cs="Arial"/>
          <w:lang w:val="en-GB"/>
        </w:rPr>
        <w:t>Geoderma</w:t>
      </w:r>
      <w:proofErr w:type="spellEnd"/>
      <w:r w:rsidRPr="003D52C9">
        <w:rPr>
          <w:rFonts w:ascii="Arial" w:hAnsi="Arial" w:cs="Arial"/>
          <w:lang w:val="en-GB"/>
        </w:rPr>
        <w:t xml:space="preserve"> 4: 165-193. </w:t>
      </w:r>
      <w:hyperlink r:id="rId65" w:history="1">
        <w:r w:rsidR="006C1094" w:rsidRPr="00E109C7">
          <w:rPr>
            <w:rStyle w:val="Hyperlink"/>
            <w:rFonts w:ascii="Arial" w:hAnsi="Arial" w:cs="Arial"/>
            <w:lang w:val="en-GB"/>
          </w:rPr>
          <w:t>https://doi.org/10.1016/0016-7061(70)90002-9</w:t>
        </w:r>
      </w:hyperlink>
      <w:r w:rsidR="006C1094">
        <w:rPr>
          <w:rFonts w:ascii="Arial" w:hAnsi="Arial" w:cs="Arial"/>
          <w:lang w:val="en-GB"/>
        </w:rPr>
        <w:t xml:space="preserve"> </w:t>
      </w:r>
    </w:p>
    <w:p w14:paraId="30B45C1D" w14:textId="77777777" w:rsidR="003D52C9" w:rsidRDefault="003D52C9" w:rsidP="003D52C9">
      <w:pPr>
        <w:pStyle w:val="Body"/>
        <w:spacing w:after="0"/>
        <w:jc w:val="left"/>
        <w:rPr>
          <w:rFonts w:ascii="Arial" w:hAnsi="Arial" w:cs="Arial"/>
          <w:lang w:val="en-GB"/>
        </w:rPr>
      </w:pPr>
    </w:p>
    <w:p w14:paraId="1D70834E" w14:textId="130182C0"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Schwarz, E., Khurana, S., </w:t>
      </w:r>
      <w:proofErr w:type="spellStart"/>
      <w:r w:rsidRPr="003D52C9">
        <w:rPr>
          <w:rFonts w:ascii="Arial" w:hAnsi="Arial" w:cs="Arial"/>
          <w:lang w:val="en-GB"/>
        </w:rPr>
        <w:t>Chakrawal</w:t>
      </w:r>
      <w:proofErr w:type="spellEnd"/>
      <w:r w:rsidRPr="003D52C9">
        <w:rPr>
          <w:rFonts w:ascii="Arial" w:hAnsi="Arial" w:cs="Arial"/>
          <w:lang w:val="en-GB"/>
        </w:rPr>
        <w:t xml:space="preserve">, A., Chavez Rodriguez, L., Wirsching, J., Streck, T., Manzoni, S., </w:t>
      </w:r>
      <w:proofErr w:type="spellStart"/>
      <w:r w:rsidRPr="003D52C9">
        <w:rPr>
          <w:rFonts w:ascii="Arial" w:hAnsi="Arial" w:cs="Arial"/>
          <w:lang w:val="en-GB"/>
        </w:rPr>
        <w:t>Thullner</w:t>
      </w:r>
      <w:proofErr w:type="spellEnd"/>
      <w:r w:rsidRPr="003D52C9">
        <w:rPr>
          <w:rFonts w:ascii="Arial" w:hAnsi="Arial" w:cs="Arial"/>
          <w:lang w:val="en-GB"/>
        </w:rPr>
        <w:t>, M., &amp; Pag, H. (2022). Spatial control of microbial pesticide degradation in soil: A model</w:t>
      </w:r>
      <w:r w:rsidRPr="003D52C9">
        <w:rPr>
          <w:rFonts w:ascii="Arial" w:hAnsi="Arial" w:cs="Arial"/>
          <w:lang w:val="en-GB"/>
        </w:rPr>
        <w:noBreakHyphen/>
        <w:t xml:space="preserve">based scenario analysis. </w:t>
      </w:r>
      <w:r w:rsidRPr="003D52C9">
        <w:rPr>
          <w:rFonts w:ascii="Arial" w:hAnsi="Arial" w:cs="Arial"/>
          <w:i/>
          <w:iCs/>
          <w:lang w:val="en-GB"/>
        </w:rPr>
        <w:t>Environmental Science &amp; Technology, 56</w:t>
      </w:r>
      <w:r w:rsidRPr="003D52C9">
        <w:rPr>
          <w:rFonts w:ascii="Arial" w:hAnsi="Arial" w:cs="Arial"/>
          <w:lang w:val="en-GB"/>
        </w:rPr>
        <w:t xml:space="preserve">(20), 14427–14438. </w:t>
      </w:r>
      <w:hyperlink r:id="rId66" w:history="1">
        <w:r w:rsidR="006C1094" w:rsidRPr="00E109C7">
          <w:rPr>
            <w:rStyle w:val="Hyperlink"/>
            <w:rFonts w:ascii="Arial" w:hAnsi="Arial" w:cs="Arial"/>
            <w:lang w:val="en-GB"/>
          </w:rPr>
          <w:t>https://doi.org/10.1021/acs.est.2c03397</w:t>
        </w:r>
      </w:hyperlink>
      <w:r w:rsidR="006C1094">
        <w:rPr>
          <w:rFonts w:ascii="Arial" w:hAnsi="Arial" w:cs="Arial"/>
          <w:lang w:val="en-GB"/>
        </w:rPr>
        <w:t xml:space="preserve"> </w:t>
      </w:r>
    </w:p>
    <w:p w14:paraId="78E37E67" w14:textId="77777777" w:rsidR="003D52C9" w:rsidRDefault="003D52C9" w:rsidP="003D52C9">
      <w:pPr>
        <w:pStyle w:val="Body"/>
        <w:spacing w:after="0"/>
        <w:jc w:val="left"/>
        <w:rPr>
          <w:rFonts w:ascii="Arial" w:hAnsi="Arial" w:cs="Arial"/>
          <w:lang w:val="en-GB"/>
        </w:rPr>
      </w:pPr>
    </w:p>
    <w:p w14:paraId="006A1A36" w14:textId="763E4DE9"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Shaikh, Isak R. (2014). Development of Some Eco-Efficient and Selective Chemical Processes and Products Using Sustainable and Green Chemistry Approaches, Ph.D. thesis. </w:t>
      </w:r>
      <w:hyperlink r:id="rId67" w:history="1">
        <w:r w:rsidR="006C1094" w:rsidRPr="00E109C7">
          <w:rPr>
            <w:rStyle w:val="Hyperlink"/>
            <w:rFonts w:ascii="Arial" w:hAnsi="Arial" w:cs="Arial"/>
            <w:lang w:val="en-GB"/>
          </w:rPr>
          <w:t>https://shodhgangotri.inflibnet.ac.in:8443/jspui/bitstream/20.500.14146/3557/1/01_title.pdf</w:t>
        </w:r>
      </w:hyperlink>
      <w:r w:rsidR="006C1094">
        <w:rPr>
          <w:rFonts w:ascii="Arial" w:hAnsi="Arial" w:cs="Arial"/>
          <w:lang w:val="en-GB"/>
        </w:rPr>
        <w:t xml:space="preserve"> </w:t>
      </w:r>
    </w:p>
    <w:p w14:paraId="39A3E67D" w14:textId="77777777" w:rsidR="003D52C9" w:rsidRDefault="003D52C9" w:rsidP="003D52C9">
      <w:pPr>
        <w:pStyle w:val="Body"/>
        <w:spacing w:after="0"/>
        <w:jc w:val="left"/>
        <w:rPr>
          <w:rFonts w:ascii="Arial" w:hAnsi="Arial" w:cs="Arial"/>
          <w:lang w:val="en-GB"/>
        </w:rPr>
      </w:pPr>
    </w:p>
    <w:p w14:paraId="017C390D" w14:textId="47659E27" w:rsidR="003D52C9" w:rsidRPr="003D52C9" w:rsidRDefault="003D52C9" w:rsidP="003D52C9">
      <w:pPr>
        <w:pStyle w:val="Body"/>
        <w:spacing w:after="0"/>
        <w:jc w:val="left"/>
        <w:rPr>
          <w:rFonts w:ascii="Arial" w:hAnsi="Arial" w:cs="Arial"/>
        </w:rPr>
      </w:pPr>
      <w:r w:rsidRPr="003D52C9">
        <w:rPr>
          <w:rFonts w:ascii="Arial" w:hAnsi="Arial" w:cs="Arial"/>
          <w:lang w:val="en-GB"/>
        </w:rPr>
        <w:t>Shaikh, Isak R. and Shaikh, Alamgir A. (2018) Development of Some Eco-Efficient and Selective Chemical Processes and Products Using Sustainable and Green Chemistry Approaches. </w:t>
      </w:r>
      <w:r w:rsidRPr="003D52C9">
        <w:rPr>
          <w:rFonts w:ascii="Arial" w:hAnsi="Arial" w:cs="Arial"/>
          <w:i/>
          <w:iCs/>
          <w:lang w:val="en-GB"/>
        </w:rPr>
        <w:t>Drug Designing &amp; Intellectual Properties International Journal</w:t>
      </w:r>
      <w:r w:rsidRPr="003D52C9">
        <w:rPr>
          <w:rFonts w:ascii="Arial" w:hAnsi="Arial" w:cs="Arial"/>
          <w:lang w:val="en-GB"/>
        </w:rPr>
        <w:t>, </w:t>
      </w:r>
      <w:r w:rsidRPr="003D52C9">
        <w:rPr>
          <w:rFonts w:ascii="Arial" w:hAnsi="Arial" w:cs="Arial"/>
          <w:i/>
          <w:iCs/>
          <w:lang w:val="en-GB"/>
        </w:rPr>
        <w:t>2</w:t>
      </w:r>
      <w:r w:rsidRPr="003D52C9">
        <w:rPr>
          <w:rFonts w:ascii="Arial" w:hAnsi="Arial" w:cs="Arial"/>
          <w:lang w:val="en-GB"/>
        </w:rPr>
        <w:t xml:space="preserve">(4), 236-244. </w:t>
      </w:r>
      <w:hyperlink r:id="rId68" w:history="1">
        <w:r w:rsidR="006C1094" w:rsidRPr="00E109C7">
          <w:rPr>
            <w:rStyle w:val="Hyperlink"/>
            <w:rFonts w:ascii="Arial" w:hAnsi="Arial" w:cs="Arial"/>
            <w:lang w:val="en-GB"/>
          </w:rPr>
          <w:t>https://doi.org/10.32474/DDIPIJ.2018.02.000145</w:t>
        </w:r>
      </w:hyperlink>
      <w:r w:rsidR="006C1094">
        <w:rPr>
          <w:rFonts w:ascii="Arial" w:hAnsi="Arial" w:cs="Arial"/>
          <w:lang w:val="en-GB"/>
        </w:rPr>
        <w:t xml:space="preserve"> </w:t>
      </w:r>
    </w:p>
    <w:p w14:paraId="1DB5C77D" w14:textId="77777777" w:rsidR="003D52C9" w:rsidRDefault="003D52C9" w:rsidP="003D52C9">
      <w:pPr>
        <w:pStyle w:val="Body"/>
        <w:spacing w:after="0"/>
        <w:jc w:val="left"/>
        <w:rPr>
          <w:rFonts w:ascii="Arial" w:hAnsi="Arial" w:cs="Arial"/>
        </w:rPr>
      </w:pPr>
    </w:p>
    <w:p w14:paraId="15A55A61" w14:textId="24856C7A" w:rsidR="003D52C9" w:rsidRPr="003D52C9" w:rsidRDefault="003D52C9" w:rsidP="003D52C9">
      <w:pPr>
        <w:pStyle w:val="Body"/>
        <w:spacing w:after="0"/>
        <w:jc w:val="left"/>
        <w:rPr>
          <w:rFonts w:ascii="Arial" w:hAnsi="Arial" w:cs="Arial"/>
        </w:rPr>
      </w:pPr>
      <w:r w:rsidRPr="003D52C9">
        <w:rPr>
          <w:rFonts w:ascii="Arial" w:hAnsi="Arial" w:cs="Arial"/>
        </w:rPr>
        <w:t xml:space="preserve">Shaikh, Isak R., Shaikh, P.R., Shaikh, R.A., and Shaikh, A.A. (2013). Phytotoxic effects of Heavy metals (Cr, Cd, Mn and Zn) on Wheat (Triticum aestivum L.) Seed Germination and Seedlings growth in Black Cotton Soil of Nanded, India Research Journal of Chemical Sciences, Vol. 3(6), 14-23. </w:t>
      </w:r>
      <w:hyperlink r:id="rId69" w:history="1">
        <w:r w:rsidR="006C1094" w:rsidRPr="00E109C7">
          <w:rPr>
            <w:rStyle w:val="Hyperlink"/>
            <w:rFonts w:ascii="Arial" w:hAnsi="Arial" w:cs="Arial"/>
          </w:rPr>
          <w:t>https://www.isca.in/rjcs/Archives/v3/i6/3.ISCA-RJCS-2013-061.pdf</w:t>
        </w:r>
      </w:hyperlink>
      <w:r w:rsidR="006C1094">
        <w:rPr>
          <w:rFonts w:ascii="Arial" w:hAnsi="Arial" w:cs="Arial"/>
        </w:rPr>
        <w:t xml:space="preserve"> </w:t>
      </w:r>
      <w:r w:rsidRPr="003D52C9">
        <w:rPr>
          <w:rFonts w:ascii="Arial" w:hAnsi="Arial" w:cs="Arial"/>
        </w:rPr>
        <w:t xml:space="preserve">                                                                                                                     </w:t>
      </w:r>
    </w:p>
    <w:p w14:paraId="4EBD71CB" w14:textId="77777777" w:rsidR="003D52C9" w:rsidRDefault="003D52C9" w:rsidP="003D52C9">
      <w:pPr>
        <w:pStyle w:val="Body"/>
        <w:spacing w:after="0"/>
        <w:jc w:val="left"/>
        <w:rPr>
          <w:rFonts w:ascii="Arial" w:hAnsi="Arial" w:cs="Arial"/>
          <w:lang w:val="en-GB"/>
        </w:rPr>
      </w:pPr>
    </w:p>
    <w:p w14:paraId="0388F220" w14:textId="0E22B93C"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Schroder JJ, Cordell D, Smit AL and </w:t>
      </w:r>
      <w:proofErr w:type="spellStart"/>
      <w:r w:rsidRPr="003D52C9">
        <w:rPr>
          <w:rFonts w:ascii="Arial" w:hAnsi="Arial" w:cs="Arial"/>
          <w:lang w:val="en-GB"/>
        </w:rPr>
        <w:t>Rosemarin</w:t>
      </w:r>
      <w:proofErr w:type="spellEnd"/>
      <w:r w:rsidRPr="003D52C9">
        <w:rPr>
          <w:rFonts w:ascii="Arial" w:hAnsi="Arial" w:cs="Arial"/>
          <w:lang w:val="en-GB"/>
        </w:rPr>
        <w:t xml:space="preserve"> A. (2010). Sustainable Use of Phosphorus, Report 357, Plant Research Institute &amp; Stockholm Environment Institute, EU Tender ENV.B.1/ETU/2009/</w:t>
      </w:r>
      <w:proofErr w:type="gramStart"/>
      <w:r w:rsidRPr="003D52C9">
        <w:rPr>
          <w:rFonts w:ascii="Arial" w:hAnsi="Arial" w:cs="Arial"/>
          <w:lang w:val="en-GB"/>
        </w:rPr>
        <w:t>0025,October</w:t>
      </w:r>
      <w:proofErr w:type="gramEnd"/>
      <w:r w:rsidRPr="003D52C9">
        <w:rPr>
          <w:rFonts w:ascii="Arial" w:hAnsi="Arial" w:cs="Arial"/>
          <w:lang w:val="en-GB"/>
        </w:rPr>
        <w:t xml:space="preserve"> 2010.     </w:t>
      </w:r>
      <w:r w:rsidR="006C1094">
        <w:rPr>
          <w:rFonts w:ascii="Arial" w:hAnsi="Arial" w:cs="Arial"/>
          <w:lang w:val="en-GB"/>
        </w:rPr>
        <w:t xml:space="preserve"> </w:t>
      </w:r>
      <w:hyperlink r:id="rId70" w:history="1">
        <w:r w:rsidR="006C1094" w:rsidRPr="00E109C7">
          <w:rPr>
            <w:rStyle w:val="Hyperlink"/>
            <w:rFonts w:ascii="Arial" w:hAnsi="Arial" w:cs="Arial"/>
            <w:lang w:val="en-GB"/>
          </w:rPr>
          <w:t>https://library.wur.nl/WebQuery/wurpubs/fulltext/wurpubs_full_text_report_357.pdf</w:t>
        </w:r>
      </w:hyperlink>
      <w:r w:rsidR="006C1094">
        <w:rPr>
          <w:rFonts w:ascii="Arial" w:hAnsi="Arial" w:cs="Arial"/>
          <w:lang w:val="en-GB"/>
        </w:rPr>
        <w:t xml:space="preserve"> </w:t>
      </w:r>
      <w:r w:rsidRPr="003D52C9">
        <w:rPr>
          <w:rFonts w:ascii="Arial" w:hAnsi="Arial" w:cs="Arial"/>
          <w:lang w:val="en-GB"/>
        </w:rPr>
        <w:t xml:space="preserve">                                                                              </w:t>
      </w:r>
    </w:p>
    <w:p w14:paraId="40E2CBE0" w14:textId="77777777" w:rsidR="003D52C9" w:rsidRPr="005F713A" w:rsidRDefault="003D52C9" w:rsidP="003D52C9">
      <w:pPr>
        <w:pStyle w:val="Body"/>
        <w:spacing w:after="0"/>
        <w:jc w:val="left"/>
        <w:rPr>
          <w:rFonts w:ascii="Arial" w:hAnsi="Arial" w:cs="Arial"/>
          <w:lang w:val="en-GB"/>
        </w:rPr>
      </w:pPr>
    </w:p>
    <w:p w14:paraId="37BD6744" w14:textId="293B4EC6" w:rsidR="003D52C9" w:rsidRPr="003D52C9" w:rsidRDefault="003D52C9" w:rsidP="003D52C9">
      <w:pPr>
        <w:pStyle w:val="Body"/>
        <w:spacing w:after="0"/>
        <w:jc w:val="left"/>
        <w:rPr>
          <w:rFonts w:ascii="Arial" w:hAnsi="Arial" w:cs="Arial"/>
          <w:lang w:val="en-GB"/>
        </w:rPr>
      </w:pPr>
      <w:r w:rsidRPr="003D52C9">
        <w:rPr>
          <w:rFonts w:ascii="Arial" w:hAnsi="Arial" w:cs="Arial"/>
          <w:lang w:val="sv-SE"/>
        </w:rPr>
        <w:t xml:space="preserve">Shen, J., Yuan, L., Zhang, J., Li, H., Bai, Z., Chen, X., Zhang, W., &amp; Zhang, F. (2011). </w:t>
      </w:r>
      <w:r w:rsidRPr="003D52C9">
        <w:rPr>
          <w:rFonts w:ascii="Arial" w:hAnsi="Arial" w:cs="Arial"/>
          <w:lang w:val="en-GB"/>
        </w:rPr>
        <w:t xml:space="preserve">Phosphorus dynamics: From soil to plant. </w:t>
      </w:r>
      <w:r w:rsidRPr="003D52C9">
        <w:rPr>
          <w:rFonts w:ascii="Arial" w:hAnsi="Arial" w:cs="Arial"/>
          <w:i/>
          <w:iCs/>
          <w:lang w:val="en-GB"/>
        </w:rPr>
        <w:t>Plant Physiology, 156</w:t>
      </w:r>
      <w:r w:rsidRPr="003D52C9">
        <w:rPr>
          <w:rFonts w:ascii="Arial" w:hAnsi="Arial" w:cs="Arial"/>
          <w:lang w:val="en-GB"/>
        </w:rPr>
        <w:t xml:space="preserve">(3), 997–1005. </w:t>
      </w:r>
      <w:hyperlink r:id="rId71" w:history="1">
        <w:r w:rsidR="006C1094" w:rsidRPr="00E109C7">
          <w:rPr>
            <w:rStyle w:val="Hyperlink"/>
            <w:rFonts w:ascii="Arial" w:hAnsi="Arial" w:cs="Arial"/>
            <w:lang w:val="en-GB"/>
          </w:rPr>
          <w:t>https://doi.org/10.1104/pp.111.175232</w:t>
        </w:r>
      </w:hyperlink>
      <w:r w:rsidR="006C1094">
        <w:rPr>
          <w:rFonts w:ascii="Arial" w:hAnsi="Arial" w:cs="Arial"/>
          <w:lang w:val="en-GB"/>
        </w:rPr>
        <w:t xml:space="preserve"> </w:t>
      </w:r>
    </w:p>
    <w:p w14:paraId="34F1259D" w14:textId="77777777" w:rsidR="003D52C9" w:rsidRDefault="003D52C9" w:rsidP="003D52C9">
      <w:pPr>
        <w:pStyle w:val="Body"/>
        <w:spacing w:after="0"/>
        <w:jc w:val="left"/>
        <w:rPr>
          <w:rFonts w:ascii="Arial" w:hAnsi="Arial" w:cs="Arial"/>
          <w:lang w:val="en-GB"/>
        </w:rPr>
      </w:pPr>
    </w:p>
    <w:p w14:paraId="782F6F48" w14:textId="2710B3A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Shen, J., &amp; Schwarz, S. (2023). Introducing One Health Advances: a new journal connecting the dots for global health. </w:t>
      </w:r>
      <w:r w:rsidRPr="003D52C9">
        <w:rPr>
          <w:rFonts w:ascii="Arial" w:hAnsi="Arial" w:cs="Arial"/>
          <w:i/>
          <w:iCs/>
          <w:lang w:val="en-GB"/>
        </w:rPr>
        <w:t>One Health Advances, 1</w:t>
      </w:r>
      <w:r w:rsidRPr="003D52C9">
        <w:rPr>
          <w:rFonts w:ascii="Arial" w:hAnsi="Arial" w:cs="Arial"/>
          <w:lang w:val="en-GB"/>
        </w:rPr>
        <w:t xml:space="preserve">(1), 1. </w:t>
      </w:r>
      <w:hyperlink r:id="rId72" w:history="1">
        <w:r w:rsidR="006C1094" w:rsidRPr="00E109C7">
          <w:rPr>
            <w:rStyle w:val="Hyperlink"/>
            <w:rFonts w:ascii="Arial" w:hAnsi="Arial" w:cs="Arial"/>
            <w:lang w:val="en-GB"/>
          </w:rPr>
          <w:t>https://doi.org/10.1186/s44280-023-00011-1</w:t>
        </w:r>
      </w:hyperlink>
      <w:r w:rsidR="006C1094">
        <w:rPr>
          <w:rFonts w:ascii="Arial" w:hAnsi="Arial" w:cs="Arial"/>
          <w:lang w:val="en-GB"/>
        </w:rPr>
        <w:t xml:space="preserve"> </w:t>
      </w:r>
    </w:p>
    <w:p w14:paraId="48F723E2" w14:textId="77777777" w:rsidR="003D52C9" w:rsidRDefault="003D52C9" w:rsidP="003D52C9">
      <w:pPr>
        <w:pStyle w:val="Body"/>
        <w:spacing w:after="0"/>
        <w:jc w:val="left"/>
        <w:rPr>
          <w:rFonts w:ascii="Arial" w:hAnsi="Arial" w:cs="Arial"/>
          <w:lang w:val="en-GB"/>
        </w:rPr>
      </w:pPr>
    </w:p>
    <w:p w14:paraId="6961E3F7" w14:textId="7F654A2F" w:rsidR="006C1094" w:rsidRDefault="006C1094" w:rsidP="006C1094">
      <w:pPr>
        <w:rPr>
          <w:rFonts w:ascii="Arial" w:hAnsi="Arial" w:cs="Arial"/>
          <w:sz w:val="18"/>
          <w:szCs w:val="18"/>
        </w:rPr>
      </w:pPr>
      <w:r>
        <w:rPr>
          <w:rFonts w:ascii="Arial" w:hAnsi="Arial" w:cs="Arial"/>
          <w:sz w:val="18"/>
          <w:szCs w:val="18"/>
        </w:rPr>
        <w:t xml:space="preserve">Promoting the science of One Health. (2023). *Nature Communications*, *14*, 4735. </w:t>
      </w:r>
      <w:hyperlink r:id="rId73" w:history="1">
        <w:r w:rsidRPr="00E109C7">
          <w:rPr>
            <w:rStyle w:val="Hyperlink"/>
            <w:rFonts w:ascii="Arial" w:hAnsi="Arial" w:cs="Arial"/>
            <w:sz w:val="18"/>
            <w:szCs w:val="18"/>
          </w:rPr>
          <w:t>https://doi.org/10.1038/s41467-023-40293-y</w:t>
        </w:r>
      </w:hyperlink>
      <w:r>
        <w:rPr>
          <w:rFonts w:ascii="Arial" w:hAnsi="Arial" w:cs="Arial"/>
          <w:sz w:val="18"/>
          <w:szCs w:val="18"/>
        </w:rPr>
        <w:t xml:space="preserve"> </w:t>
      </w:r>
    </w:p>
    <w:p w14:paraId="5F3183A7" w14:textId="2F739315" w:rsidR="006C1094" w:rsidRPr="003D52C9" w:rsidRDefault="006C1094" w:rsidP="003D52C9">
      <w:pPr>
        <w:pStyle w:val="Body"/>
        <w:spacing w:after="0"/>
        <w:jc w:val="left"/>
        <w:rPr>
          <w:rFonts w:ascii="Arial" w:hAnsi="Arial" w:cs="Arial"/>
        </w:rPr>
      </w:pPr>
      <w:r>
        <w:rPr>
          <w:rFonts w:ascii="Arial" w:hAnsi="Arial" w:cs="Arial"/>
        </w:rPr>
        <w:t xml:space="preserve"> </w:t>
      </w:r>
    </w:p>
    <w:p w14:paraId="2E9B7C35" w14:textId="38D1CFC1"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Shridhar, B.S. 2012. Nitrogen fixing microorganisms. </w:t>
      </w:r>
      <w:r w:rsidRPr="003D52C9">
        <w:rPr>
          <w:rFonts w:ascii="Arial" w:hAnsi="Arial" w:cs="Arial"/>
          <w:i/>
          <w:iCs/>
          <w:lang w:val="en-GB"/>
        </w:rPr>
        <w:t>International Journal of Microbiological Research</w:t>
      </w:r>
      <w:r w:rsidRPr="003D52C9">
        <w:rPr>
          <w:rFonts w:ascii="Arial" w:hAnsi="Arial" w:cs="Arial"/>
          <w:lang w:val="en-GB"/>
        </w:rPr>
        <w:t xml:space="preserve">, 3(1): 46–52. </w:t>
      </w:r>
      <w:hyperlink r:id="rId74" w:history="1">
        <w:r w:rsidR="006C1094" w:rsidRPr="00E109C7">
          <w:rPr>
            <w:rStyle w:val="Hyperlink"/>
            <w:rFonts w:ascii="Arial" w:hAnsi="Arial" w:cs="Arial"/>
            <w:lang w:val="en-GB"/>
          </w:rPr>
          <w:t>https://doi.org/10.5829/idosi.ijmr.2012.3.1.61103</w:t>
        </w:r>
      </w:hyperlink>
      <w:r w:rsidR="006C1094">
        <w:rPr>
          <w:rFonts w:ascii="Arial" w:hAnsi="Arial" w:cs="Arial"/>
          <w:lang w:val="en-GB"/>
        </w:rPr>
        <w:t xml:space="preserve"> </w:t>
      </w:r>
    </w:p>
    <w:p w14:paraId="63296F20" w14:textId="77777777" w:rsidR="003D52C9" w:rsidRDefault="003D52C9" w:rsidP="003D52C9">
      <w:pPr>
        <w:pStyle w:val="Body"/>
        <w:spacing w:after="0"/>
        <w:jc w:val="left"/>
        <w:rPr>
          <w:rFonts w:ascii="Arial" w:hAnsi="Arial" w:cs="Arial"/>
          <w:lang w:val="en-GB"/>
        </w:rPr>
      </w:pPr>
    </w:p>
    <w:p w14:paraId="1DF8C171" w14:textId="51950C85" w:rsidR="003D52C9" w:rsidRPr="003D52C9" w:rsidRDefault="003D52C9" w:rsidP="003D52C9">
      <w:pPr>
        <w:pStyle w:val="Body"/>
        <w:spacing w:after="0"/>
        <w:jc w:val="left"/>
        <w:rPr>
          <w:rFonts w:ascii="Arial" w:hAnsi="Arial" w:cs="Arial"/>
        </w:rPr>
      </w:pPr>
      <w:r w:rsidRPr="003D52C9">
        <w:rPr>
          <w:rFonts w:ascii="Arial" w:hAnsi="Arial" w:cs="Arial"/>
          <w:lang w:val="en-GB"/>
        </w:rPr>
        <w:t xml:space="preserve">Silberman J, Taylor A. Carbamate Toxicity. 2023 May 1. In: </w:t>
      </w:r>
      <w:proofErr w:type="spellStart"/>
      <w:r w:rsidRPr="003D52C9">
        <w:rPr>
          <w:rFonts w:ascii="Arial" w:hAnsi="Arial" w:cs="Arial"/>
          <w:lang w:val="en-GB"/>
        </w:rPr>
        <w:t>StatPearls</w:t>
      </w:r>
      <w:proofErr w:type="spellEnd"/>
      <w:r w:rsidRPr="003D52C9">
        <w:rPr>
          <w:rFonts w:ascii="Arial" w:hAnsi="Arial" w:cs="Arial"/>
          <w:lang w:val="en-GB"/>
        </w:rPr>
        <w:t xml:space="preserve"> [Internet]. Treasure Island (FL): </w:t>
      </w:r>
      <w:proofErr w:type="spellStart"/>
      <w:r w:rsidRPr="003D52C9">
        <w:rPr>
          <w:rFonts w:ascii="Arial" w:hAnsi="Arial" w:cs="Arial"/>
          <w:lang w:val="en-GB"/>
        </w:rPr>
        <w:t>StatPearls</w:t>
      </w:r>
      <w:proofErr w:type="spellEnd"/>
      <w:r w:rsidRPr="003D52C9">
        <w:rPr>
          <w:rFonts w:ascii="Arial" w:hAnsi="Arial" w:cs="Arial"/>
          <w:lang w:val="en-GB"/>
        </w:rPr>
        <w:t xml:space="preserve"> Publishing; 2025 Jan–. PMID: 29489157.</w:t>
      </w:r>
      <w:r w:rsidRPr="003D52C9">
        <w:rPr>
          <w:rFonts w:ascii="Arial" w:hAnsi="Arial" w:cs="Arial"/>
        </w:rPr>
        <w:t xml:space="preserve">    </w:t>
      </w:r>
      <w:hyperlink r:id="rId75" w:history="1">
        <w:r w:rsidR="006C1094" w:rsidRPr="00E109C7">
          <w:rPr>
            <w:rStyle w:val="Hyperlink"/>
            <w:rFonts w:ascii="Arial" w:hAnsi="Arial" w:cs="Arial"/>
          </w:rPr>
          <w:t>https://www.ncbi.nlm.nih.gov/books/NBK482183/</w:t>
        </w:r>
      </w:hyperlink>
      <w:r w:rsidR="006C1094">
        <w:rPr>
          <w:rFonts w:ascii="Arial" w:hAnsi="Arial" w:cs="Arial"/>
        </w:rPr>
        <w:t xml:space="preserve"> </w:t>
      </w:r>
      <w:r w:rsidRPr="003D52C9">
        <w:rPr>
          <w:rFonts w:ascii="Arial" w:hAnsi="Arial" w:cs="Arial"/>
        </w:rPr>
        <w:t xml:space="preserve">                   </w:t>
      </w:r>
    </w:p>
    <w:p w14:paraId="401131B2" w14:textId="77777777" w:rsidR="003D52C9" w:rsidRDefault="003D52C9" w:rsidP="003D52C9">
      <w:pPr>
        <w:pStyle w:val="Body"/>
        <w:spacing w:after="0"/>
        <w:jc w:val="left"/>
        <w:rPr>
          <w:rFonts w:ascii="Arial" w:hAnsi="Arial" w:cs="Arial"/>
          <w:lang w:val="en-GB"/>
        </w:rPr>
      </w:pPr>
    </w:p>
    <w:p w14:paraId="6B21CAC3" w14:textId="594FD081" w:rsidR="003D52C9" w:rsidRPr="003D52C9" w:rsidRDefault="003D52C9" w:rsidP="003D52C9">
      <w:pPr>
        <w:pStyle w:val="Body"/>
        <w:spacing w:after="0"/>
        <w:jc w:val="left"/>
        <w:rPr>
          <w:rFonts w:ascii="Arial" w:hAnsi="Arial" w:cs="Arial"/>
        </w:rPr>
      </w:pPr>
      <w:r w:rsidRPr="002A1099">
        <w:rPr>
          <w:rFonts w:ascii="Arial" w:hAnsi="Arial" w:cs="Arial"/>
          <w:lang w:val="sv-SE"/>
        </w:rPr>
        <w:t xml:space="preserve">Steffan JJ, Derby JA, Brevik EC. </w:t>
      </w:r>
      <w:r w:rsidRPr="003D52C9">
        <w:rPr>
          <w:rFonts w:ascii="Arial" w:hAnsi="Arial" w:cs="Arial"/>
          <w:lang w:val="en-GB"/>
        </w:rPr>
        <w:t xml:space="preserve">Soil pathogens that may potentially cause pandemics, including severe acute respiratory syndrome (SARS) coronaviruses. </w:t>
      </w:r>
      <w:proofErr w:type="spellStart"/>
      <w:r w:rsidRPr="003D52C9">
        <w:rPr>
          <w:rFonts w:ascii="Arial" w:hAnsi="Arial" w:cs="Arial"/>
          <w:lang w:val="en-GB"/>
        </w:rPr>
        <w:t>Curr</w:t>
      </w:r>
      <w:proofErr w:type="spellEnd"/>
      <w:r w:rsidRPr="003D52C9">
        <w:rPr>
          <w:rFonts w:ascii="Arial" w:hAnsi="Arial" w:cs="Arial"/>
          <w:lang w:val="en-GB"/>
        </w:rPr>
        <w:t xml:space="preserve"> </w:t>
      </w:r>
      <w:proofErr w:type="spellStart"/>
      <w:r w:rsidRPr="003D52C9">
        <w:rPr>
          <w:rFonts w:ascii="Arial" w:hAnsi="Arial" w:cs="Arial"/>
          <w:lang w:val="en-GB"/>
        </w:rPr>
        <w:t>Opin</w:t>
      </w:r>
      <w:proofErr w:type="spellEnd"/>
      <w:r w:rsidRPr="003D52C9">
        <w:rPr>
          <w:rFonts w:ascii="Arial" w:hAnsi="Arial" w:cs="Arial"/>
          <w:lang w:val="en-GB"/>
        </w:rPr>
        <w:t xml:space="preserve"> Environ Sci Health. 2020 </w:t>
      </w:r>
      <w:proofErr w:type="gramStart"/>
      <w:r w:rsidRPr="003D52C9">
        <w:rPr>
          <w:rFonts w:ascii="Arial" w:hAnsi="Arial" w:cs="Arial"/>
          <w:lang w:val="en-GB"/>
        </w:rPr>
        <w:t>Oct;17:35</w:t>
      </w:r>
      <w:proofErr w:type="gramEnd"/>
      <w:r w:rsidRPr="003D52C9">
        <w:rPr>
          <w:rFonts w:ascii="Arial" w:hAnsi="Arial" w:cs="Arial"/>
          <w:lang w:val="en-GB"/>
        </w:rPr>
        <w:t xml:space="preserve">-40. </w:t>
      </w:r>
      <w:hyperlink r:id="rId76" w:history="1">
        <w:r w:rsidR="006C1094" w:rsidRPr="00E109C7">
          <w:rPr>
            <w:rStyle w:val="Hyperlink"/>
            <w:rFonts w:ascii="Arial" w:hAnsi="Arial" w:cs="Arial"/>
            <w:lang w:val="en-GB"/>
          </w:rPr>
          <w:t>https://doi.org/10.1016/j.coesh.2020.08.005</w:t>
        </w:r>
      </w:hyperlink>
      <w:r w:rsidR="006C1094">
        <w:rPr>
          <w:rFonts w:ascii="Arial" w:hAnsi="Arial" w:cs="Arial"/>
          <w:lang w:val="en-GB"/>
        </w:rPr>
        <w:t xml:space="preserve"> </w:t>
      </w:r>
    </w:p>
    <w:p w14:paraId="0A6C9C52" w14:textId="77777777" w:rsidR="003D52C9" w:rsidRPr="003D52C9" w:rsidRDefault="003D52C9" w:rsidP="003D52C9">
      <w:pPr>
        <w:pStyle w:val="Body"/>
        <w:spacing w:after="0"/>
        <w:jc w:val="left"/>
        <w:rPr>
          <w:rFonts w:ascii="Arial" w:hAnsi="Arial" w:cs="Arial"/>
          <w:lang w:val="en-GB"/>
        </w:rPr>
      </w:pPr>
    </w:p>
    <w:p w14:paraId="6A736FA6" w14:textId="199AF412" w:rsidR="003D52C9" w:rsidRDefault="003D52C9" w:rsidP="003D52C9">
      <w:pPr>
        <w:pStyle w:val="Body"/>
        <w:spacing w:after="0"/>
        <w:jc w:val="left"/>
        <w:rPr>
          <w:rFonts w:ascii="Arial" w:hAnsi="Arial" w:cs="Arial"/>
          <w:lang w:val="en-GB"/>
        </w:rPr>
      </w:pPr>
      <w:r w:rsidRPr="003D52C9">
        <w:rPr>
          <w:rFonts w:ascii="Arial" w:hAnsi="Arial" w:cs="Arial"/>
          <w:lang w:val="en-GB"/>
        </w:rPr>
        <w:lastRenderedPageBreak/>
        <w:t xml:space="preserve">Trinh, P., </w:t>
      </w:r>
      <w:proofErr w:type="spellStart"/>
      <w:r w:rsidRPr="003D52C9">
        <w:rPr>
          <w:rFonts w:ascii="Arial" w:hAnsi="Arial" w:cs="Arial"/>
          <w:lang w:val="en-GB"/>
        </w:rPr>
        <w:t>Zaneveld</w:t>
      </w:r>
      <w:proofErr w:type="spellEnd"/>
      <w:r w:rsidRPr="003D52C9">
        <w:rPr>
          <w:rFonts w:ascii="Arial" w:hAnsi="Arial" w:cs="Arial"/>
          <w:lang w:val="en-GB"/>
        </w:rPr>
        <w:t>, J. R., Safranek, S. &amp; Rabinowitz, P. M. One health relationships between human, animal, and environmental microbiomes: a mini-review. </w:t>
      </w:r>
      <w:r w:rsidRPr="003D52C9">
        <w:rPr>
          <w:rFonts w:ascii="Arial" w:hAnsi="Arial" w:cs="Arial"/>
          <w:i/>
          <w:iCs/>
          <w:lang w:val="en-GB"/>
        </w:rPr>
        <w:t>Front. Public Health</w:t>
      </w:r>
      <w:r w:rsidRPr="003D52C9">
        <w:rPr>
          <w:rFonts w:ascii="Arial" w:hAnsi="Arial" w:cs="Arial"/>
          <w:lang w:val="en-GB"/>
        </w:rPr>
        <w:t xml:space="preserve"> 6, 1–9 (2018). </w:t>
      </w:r>
      <w:hyperlink r:id="rId77" w:history="1">
        <w:r w:rsidR="006C1094" w:rsidRPr="00E109C7">
          <w:rPr>
            <w:rStyle w:val="Hyperlink"/>
            <w:rFonts w:ascii="Arial" w:hAnsi="Arial" w:cs="Arial"/>
            <w:lang w:val="en-GB"/>
          </w:rPr>
          <w:t>https://doi.org/10.3389/fpubh.2018.00235</w:t>
        </w:r>
      </w:hyperlink>
      <w:r w:rsidR="006C1094">
        <w:rPr>
          <w:rFonts w:ascii="Arial" w:hAnsi="Arial" w:cs="Arial"/>
          <w:lang w:val="en-GB"/>
        </w:rPr>
        <w:t xml:space="preserve"> </w:t>
      </w:r>
    </w:p>
    <w:p w14:paraId="68922630" w14:textId="77777777" w:rsidR="006C1094" w:rsidRPr="003D52C9" w:rsidRDefault="006C1094" w:rsidP="003D52C9">
      <w:pPr>
        <w:pStyle w:val="Body"/>
        <w:spacing w:after="0"/>
        <w:jc w:val="left"/>
        <w:rPr>
          <w:rFonts w:ascii="Arial" w:hAnsi="Arial" w:cs="Arial"/>
          <w:lang w:val="en-GB"/>
        </w:rPr>
      </w:pPr>
    </w:p>
    <w:p w14:paraId="698F2E43" w14:textId="7CA20640"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Xiao-Nong Zhou, Marcel Tanner, Science in One Health: A new journal with a new approach, Science in One Health, Volume 1, 100001, </w:t>
      </w:r>
      <w:hyperlink r:id="rId78" w:history="1">
        <w:r w:rsidR="006C1094" w:rsidRPr="00E109C7">
          <w:rPr>
            <w:rStyle w:val="Hyperlink"/>
            <w:rFonts w:ascii="Arial" w:hAnsi="Arial" w:cs="Arial"/>
            <w:lang w:val="en-GB"/>
          </w:rPr>
          <w:t>https://doi.org/10.1016/j.soh.2022.100001</w:t>
        </w:r>
      </w:hyperlink>
      <w:r w:rsidR="006C1094">
        <w:rPr>
          <w:rFonts w:ascii="Arial" w:hAnsi="Arial" w:cs="Arial"/>
          <w:lang w:val="en-GB"/>
        </w:rPr>
        <w:t xml:space="preserve"> </w:t>
      </w:r>
    </w:p>
    <w:p w14:paraId="34EE9CF4" w14:textId="77777777" w:rsidR="003D52C9" w:rsidRPr="003D52C9" w:rsidRDefault="003D52C9" w:rsidP="003D52C9">
      <w:pPr>
        <w:pStyle w:val="Body"/>
        <w:spacing w:after="0"/>
        <w:jc w:val="left"/>
        <w:rPr>
          <w:rFonts w:ascii="Arial" w:hAnsi="Arial" w:cs="Arial"/>
          <w:lang w:val="en-GB"/>
        </w:rPr>
      </w:pPr>
    </w:p>
    <w:p w14:paraId="6B7EDEF1" w14:textId="5A4EF5A8" w:rsidR="003D52C9" w:rsidRDefault="003D52C9" w:rsidP="003D52C9">
      <w:pPr>
        <w:pStyle w:val="Body"/>
        <w:spacing w:after="0"/>
        <w:jc w:val="left"/>
        <w:rPr>
          <w:rFonts w:ascii="Arial" w:hAnsi="Arial" w:cs="Arial"/>
          <w:lang w:val="en-GB"/>
        </w:rPr>
      </w:pPr>
      <w:r w:rsidRPr="003D52C9">
        <w:rPr>
          <w:rFonts w:ascii="Arial" w:hAnsi="Arial" w:cs="Arial"/>
          <w:lang w:val="en-GB"/>
        </w:rPr>
        <w:t>UNGA (2019). Resolution 73/284. United Nations Decade on Ecosystem Restoration (2021–2030). </w:t>
      </w:r>
      <w:hyperlink r:id="rId79" w:history="1">
        <w:r w:rsidR="006C1094" w:rsidRPr="00E109C7">
          <w:rPr>
            <w:rStyle w:val="Hyperlink"/>
            <w:rFonts w:ascii="Arial" w:hAnsi="Arial" w:cs="Arial"/>
            <w:lang w:val="en-GB"/>
          </w:rPr>
          <w:t>https://undocs.org/pdf?symbol=en/A/RES/73/284</w:t>
        </w:r>
      </w:hyperlink>
      <w:r w:rsidR="006C1094">
        <w:rPr>
          <w:rFonts w:ascii="Arial" w:hAnsi="Arial" w:cs="Arial"/>
          <w:lang w:val="en-GB"/>
        </w:rPr>
        <w:t xml:space="preserve"> </w:t>
      </w:r>
    </w:p>
    <w:p w14:paraId="22332159" w14:textId="77777777" w:rsidR="006C1094" w:rsidRPr="003D52C9" w:rsidRDefault="006C1094" w:rsidP="003D52C9">
      <w:pPr>
        <w:pStyle w:val="Body"/>
        <w:spacing w:after="0"/>
        <w:jc w:val="left"/>
        <w:rPr>
          <w:rFonts w:ascii="Arial" w:hAnsi="Arial" w:cs="Arial"/>
          <w:lang w:val="en-GB"/>
        </w:rPr>
      </w:pPr>
    </w:p>
    <w:p w14:paraId="7927D0FA" w14:textId="52A014F0" w:rsidR="003D52C9" w:rsidRDefault="003D52C9" w:rsidP="003D52C9">
      <w:pPr>
        <w:pStyle w:val="Body"/>
        <w:spacing w:after="0"/>
        <w:jc w:val="left"/>
        <w:rPr>
          <w:rFonts w:ascii="Arial" w:hAnsi="Arial" w:cs="Arial"/>
          <w:lang w:val="en-GB"/>
        </w:rPr>
      </w:pPr>
      <w:r w:rsidRPr="003D52C9">
        <w:rPr>
          <w:rFonts w:ascii="Arial" w:hAnsi="Arial" w:cs="Arial"/>
          <w:lang w:val="en-GB"/>
        </w:rPr>
        <w:t xml:space="preserve">WOAH, World Organisation for Animal Health. (2023). </w:t>
      </w:r>
      <w:r w:rsidRPr="003D52C9">
        <w:rPr>
          <w:rFonts w:ascii="Arial" w:hAnsi="Arial" w:cs="Arial"/>
          <w:i/>
          <w:iCs/>
          <w:lang w:val="en-GB"/>
        </w:rPr>
        <w:t>Quadripartite call to action for One Health for a safer world.</w:t>
      </w:r>
      <w:r w:rsidRPr="003D52C9">
        <w:rPr>
          <w:rFonts w:ascii="Arial" w:hAnsi="Arial" w:cs="Arial"/>
          <w:lang w:val="en-GB"/>
        </w:rPr>
        <w:t xml:space="preserve"> </w:t>
      </w:r>
      <w:hyperlink r:id="rId80" w:history="1">
        <w:r w:rsidR="006C1094" w:rsidRPr="00E109C7">
          <w:rPr>
            <w:rStyle w:val="Hyperlink"/>
            <w:rFonts w:ascii="Arial" w:hAnsi="Arial" w:cs="Arial"/>
            <w:lang w:val="en-GB"/>
          </w:rPr>
          <w:t>https://www.woah.org/en/quadripartite-call-to-action-for-one-health-for-a-safer-world/</w:t>
        </w:r>
      </w:hyperlink>
      <w:r w:rsidR="006C1094">
        <w:rPr>
          <w:rFonts w:ascii="Arial" w:hAnsi="Arial" w:cs="Arial"/>
          <w:lang w:val="en-GB"/>
        </w:rPr>
        <w:t xml:space="preserve"> </w:t>
      </w:r>
    </w:p>
    <w:p w14:paraId="625024C2" w14:textId="77777777" w:rsidR="006C1094" w:rsidRPr="003D52C9" w:rsidRDefault="006C1094" w:rsidP="003D52C9">
      <w:pPr>
        <w:pStyle w:val="Body"/>
        <w:spacing w:after="0"/>
        <w:jc w:val="left"/>
        <w:rPr>
          <w:rFonts w:ascii="Arial" w:hAnsi="Arial" w:cs="Arial"/>
          <w:lang w:val="en-GB"/>
        </w:rPr>
      </w:pPr>
    </w:p>
    <w:p w14:paraId="07890514" w14:textId="77777777" w:rsidR="003D52C9" w:rsidRPr="003D52C9" w:rsidRDefault="003D52C9" w:rsidP="003D52C9">
      <w:pPr>
        <w:pStyle w:val="Body"/>
        <w:spacing w:after="0"/>
        <w:jc w:val="left"/>
        <w:rPr>
          <w:rFonts w:ascii="Arial" w:hAnsi="Arial" w:cs="Arial"/>
          <w:lang w:val="en-GB"/>
        </w:rPr>
      </w:pPr>
      <w:r w:rsidRPr="003D52C9">
        <w:rPr>
          <w:rFonts w:ascii="Arial" w:hAnsi="Arial" w:cs="Arial"/>
          <w:lang w:val="sv-SE"/>
        </w:rPr>
        <w:t xml:space="preserve">Yadav, I. C., &amp; Devi, N. L. (2017). </w:t>
      </w:r>
      <w:r w:rsidRPr="003D52C9">
        <w:rPr>
          <w:rFonts w:ascii="Arial" w:hAnsi="Arial" w:cs="Arial"/>
          <w:i/>
          <w:iCs/>
          <w:lang w:val="en-GB"/>
        </w:rPr>
        <w:t>Pesticides classification and its impact on human and environment.</w:t>
      </w:r>
      <w:r w:rsidRPr="003D52C9">
        <w:rPr>
          <w:rFonts w:ascii="Arial" w:hAnsi="Arial" w:cs="Arial"/>
          <w:lang w:val="en-GB"/>
        </w:rPr>
        <w:t xml:space="preserve"> In A. Kumar (Ed.), </w:t>
      </w:r>
      <w:r w:rsidRPr="003D52C9">
        <w:rPr>
          <w:rFonts w:ascii="Arial" w:hAnsi="Arial" w:cs="Arial"/>
          <w:i/>
          <w:iCs/>
          <w:lang w:val="en-GB"/>
        </w:rPr>
        <w:t>Environmental Science and Engineering</w:t>
      </w:r>
      <w:r w:rsidRPr="003D52C9">
        <w:rPr>
          <w:rFonts w:ascii="Arial" w:hAnsi="Arial" w:cs="Arial"/>
          <w:lang w:val="en-GB"/>
        </w:rPr>
        <w:t xml:space="preserve"> (Vol. 6, pp. 140–158). Studium Press LLC. </w:t>
      </w:r>
    </w:p>
    <w:p w14:paraId="2E94864A" w14:textId="77777777" w:rsidR="003D52C9" w:rsidRPr="003D52C9" w:rsidRDefault="003D52C9" w:rsidP="003D52C9">
      <w:pPr>
        <w:pStyle w:val="Body"/>
        <w:spacing w:after="0"/>
        <w:jc w:val="left"/>
        <w:rPr>
          <w:rFonts w:ascii="Arial" w:hAnsi="Arial" w:cs="Arial"/>
        </w:rPr>
      </w:pPr>
    </w:p>
    <w:p w14:paraId="12F09D4D" w14:textId="567ABDF9" w:rsidR="003D52C9" w:rsidRPr="003D52C9" w:rsidRDefault="003D52C9" w:rsidP="003D52C9">
      <w:pPr>
        <w:pStyle w:val="Body"/>
        <w:spacing w:after="0"/>
        <w:jc w:val="left"/>
        <w:rPr>
          <w:rFonts w:ascii="Arial" w:hAnsi="Arial" w:cs="Arial"/>
        </w:rPr>
      </w:pPr>
      <w:r w:rsidRPr="003D52C9">
        <w:rPr>
          <w:rFonts w:ascii="Arial" w:hAnsi="Arial" w:cs="Arial"/>
        </w:rPr>
        <w:t xml:space="preserve">Zacharia, J. T. &amp; Tano, J. (2011). Identity, Physical and Chemical Properties of Pesticides. </w:t>
      </w:r>
      <w:proofErr w:type="spellStart"/>
      <w:r w:rsidRPr="003D52C9">
        <w:rPr>
          <w:rFonts w:ascii="Arial" w:hAnsi="Arial" w:cs="Arial"/>
        </w:rPr>
        <w:t>InTech</w:t>
      </w:r>
      <w:proofErr w:type="spellEnd"/>
      <w:r w:rsidRPr="003D52C9">
        <w:rPr>
          <w:rFonts w:ascii="Arial" w:hAnsi="Arial" w:cs="Arial"/>
        </w:rPr>
        <w:t xml:space="preserve">. </w:t>
      </w:r>
      <w:proofErr w:type="spellStart"/>
      <w:r w:rsidRPr="003D52C9">
        <w:rPr>
          <w:rFonts w:ascii="Arial" w:hAnsi="Arial" w:cs="Arial"/>
        </w:rPr>
        <w:t>doi</w:t>
      </w:r>
      <w:proofErr w:type="spellEnd"/>
      <w:r w:rsidRPr="003D52C9">
        <w:rPr>
          <w:rFonts w:ascii="Arial" w:hAnsi="Arial" w:cs="Arial"/>
        </w:rPr>
        <w:t xml:space="preserve">: 10.5772/17513      </w:t>
      </w:r>
      <w:r w:rsidR="006C1094">
        <w:rPr>
          <w:rFonts w:ascii="Arial" w:hAnsi="Arial" w:cs="Arial"/>
        </w:rPr>
        <w:t xml:space="preserve"> </w:t>
      </w:r>
      <w:hyperlink r:id="rId81" w:history="1">
        <w:r w:rsidR="006C1094" w:rsidRPr="00E109C7">
          <w:rPr>
            <w:rStyle w:val="Hyperlink"/>
            <w:rFonts w:ascii="Arial" w:hAnsi="Arial" w:cs="Arial"/>
          </w:rPr>
          <w:t>https://doi.org/10.5772/17513</w:t>
        </w:r>
      </w:hyperlink>
      <w:r w:rsidR="006C1094">
        <w:rPr>
          <w:rFonts w:ascii="Arial" w:hAnsi="Arial" w:cs="Arial"/>
        </w:rPr>
        <w:t xml:space="preserve"> </w:t>
      </w:r>
      <w:r w:rsidRPr="003D52C9">
        <w:rPr>
          <w:rFonts w:ascii="Arial" w:hAnsi="Arial" w:cs="Arial"/>
        </w:rPr>
        <w:t xml:space="preserve">                                                                        </w:t>
      </w:r>
    </w:p>
    <w:p w14:paraId="3C33977E" w14:textId="77777777" w:rsidR="003D52C9" w:rsidRDefault="003D52C9" w:rsidP="003D52C9">
      <w:pPr>
        <w:pStyle w:val="Body"/>
        <w:spacing w:after="0"/>
        <w:jc w:val="left"/>
        <w:rPr>
          <w:rFonts w:ascii="Arial" w:hAnsi="Arial" w:cs="Arial"/>
          <w:lang w:val="en-GB"/>
        </w:rPr>
      </w:pPr>
    </w:p>
    <w:p w14:paraId="33CF5356" w14:textId="7AC89025"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Zhang X. and Li, Z. (2023) Generalizable consistency of soil quality standards for pesticides: </w:t>
      </w:r>
      <w:proofErr w:type="spellStart"/>
      <w:r w:rsidRPr="003D52C9">
        <w:rPr>
          <w:rFonts w:ascii="Arial" w:hAnsi="Arial" w:cs="Arial"/>
          <w:lang w:val="en-GB"/>
        </w:rPr>
        <w:t>Modeling</w:t>
      </w:r>
      <w:proofErr w:type="spellEnd"/>
      <w:r w:rsidRPr="003D52C9">
        <w:rPr>
          <w:rFonts w:ascii="Arial" w:hAnsi="Arial" w:cs="Arial"/>
          <w:lang w:val="en-GB"/>
        </w:rPr>
        <w:t xml:space="preserve"> perspectives, </w:t>
      </w:r>
      <w:r w:rsidRPr="003D52C9">
        <w:rPr>
          <w:rFonts w:ascii="Arial" w:hAnsi="Arial" w:cs="Arial"/>
          <w:i/>
          <w:iCs/>
          <w:lang w:val="en-GB"/>
        </w:rPr>
        <w:t>Soil &amp; Environmental Health</w:t>
      </w:r>
      <w:r w:rsidRPr="003D52C9">
        <w:rPr>
          <w:rFonts w:ascii="Arial" w:hAnsi="Arial" w:cs="Arial"/>
          <w:lang w:val="en-GB"/>
        </w:rPr>
        <w:t>, Volume 1, Issue 3, 2023, 100031, ISSN 2949-9194</w:t>
      </w:r>
      <w:r w:rsidR="006C1094" w:rsidRPr="006C1094">
        <w:t xml:space="preserve"> </w:t>
      </w:r>
      <w:hyperlink r:id="rId82" w:history="1">
        <w:r w:rsidR="006C1094" w:rsidRPr="00E109C7">
          <w:rPr>
            <w:rStyle w:val="Hyperlink"/>
            <w:rFonts w:ascii="Arial" w:hAnsi="Arial" w:cs="Arial"/>
            <w:lang w:val="en-GB"/>
          </w:rPr>
          <w:t>https://doi.org/10.1016/j.seh.2023.100031</w:t>
        </w:r>
      </w:hyperlink>
      <w:r w:rsidR="006C1094">
        <w:rPr>
          <w:rFonts w:ascii="Arial" w:hAnsi="Arial" w:cs="Arial"/>
          <w:lang w:val="en-GB"/>
        </w:rPr>
        <w:t xml:space="preserve"> </w:t>
      </w:r>
    </w:p>
    <w:p w14:paraId="5B28DBF5" w14:textId="77777777" w:rsidR="003D52C9" w:rsidRPr="005F713A" w:rsidRDefault="003D52C9" w:rsidP="003D52C9">
      <w:pPr>
        <w:pStyle w:val="Body"/>
        <w:spacing w:after="0"/>
        <w:jc w:val="left"/>
        <w:rPr>
          <w:rFonts w:ascii="Arial" w:hAnsi="Arial" w:cs="Arial"/>
          <w:lang w:val="en-GB"/>
        </w:rPr>
      </w:pPr>
    </w:p>
    <w:p w14:paraId="3AED9217" w14:textId="6DA3D162" w:rsidR="00441B6F" w:rsidRPr="003D52C9" w:rsidRDefault="003D52C9" w:rsidP="003D52C9">
      <w:pPr>
        <w:pStyle w:val="Body"/>
        <w:spacing w:after="0"/>
        <w:jc w:val="left"/>
        <w:rPr>
          <w:rFonts w:ascii="Arial" w:hAnsi="Arial" w:cs="Arial"/>
          <w:lang w:val="en-GB"/>
        </w:rPr>
      </w:pPr>
      <w:r w:rsidRPr="003D52C9">
        <w:rPr>
          <w:rFonts w:ascii="Arial" w:hAnsi="Arial" w:cs="Arial"/>
          <w:lang w:val="sv-SE"/>
        </w:rPr>
        <w:t xml:space="preserve">Zhou, X.-N., &amp; Tanner, M. (2022). </w:t>
      </w:r>
      <w:r w:rsidRPr="003D52C9">
        <w:rPr>
          <w:rFonts w:ascii="Arial" w:hAnsi="Arial" w:cs="Arial"/>
          <w:i/>
          <w:iCs/>
          <w:lang w:val="en-GB"/>
        </w:rPr>
        <w:t>Science in One Health: A new journal with a new approach</w:t>
      </w:r>
      <w:r w:rsidRPr="003D52C9">
        <w:rPr>
          <w:rFonts w:ascii="Arial" w:hAnsi="Arial" w:cs="Arial"/>
          <w:lang w:val="en-GB"/>
        </w:rPr>
        <w:t xml:space="preserve">. </w:t>
      </w:r>
      <w:r w:rsidRPr="003D52C9">
        <w:rPr>
          <w:rFonts w:ascii="Arial" w:hAnsi="Arial" w:cs="Arial"/>
          <w:i/>
          <w:iCs/>
          <w:lang w:val="en-GB"/>
        </w:rPr>
        <w:t>Science in One Health, 1</w:t>
      </w:r>
      <w:r w:rsidRPr="003D52C9">
        <w:rPr>
          <w:rFonts w:ascii="Arial" w:hAnsi="Arial" w:cs="Arial"/>
          <w:lang w:val="en-GB"/>
        </w:rPr>
        <w:t xml:space="preserve">, 100001. </w:t>
      </w:r>
      <w:hyperlink r:id="rId83" w:history="1">
        <w:r w:rsidR="006C1094" w:rsidRPr="00E109C7">
          <w:rPr>
            <w:rStyle w:val="Hyperlink"/>
            <w:rFonts w:ascii="Arial" w:hAnsi="Arial" w:cs="Arial"/>
            <w:lang w:val="en-GB"/>
          </w:rPr>
          <w:t>https://doi.org/10.1016/j.soh.2022.100001</w:t>
        </w:r>
      </w:hyperlink>
      <w:r w:rsidR="006C1094">
        <w:rPr>
          <w:rFonts w:ascii="Arial" w:hAnsi="Arial" w:cs="Arial"/>
          <w:lang w:val="en-GB"/>
        </w:rPr>
        <w:t xml:space="preserve"> </w:t>
      </w:r>
    </w:p>
    <w:p w14:paraId="470A4A6E" w14:textId="77777777" w:rsidR="00B01FCD" w:rsidRPr="00FB3A86" w:rsidRDefault="00B01FCD" w:rsidP="00441B6F">
      <w:pPr>
        <w:pStyle w:val="Reference"/>
        <w:numPr>
          <w:ilvl w:val="0"/>
          <w:numId w:val="0"/>
        </w:numPr>
        <w:spacing w:line="240" w:lineRule="auto"/>
        <w:rPr>
          <w:rFonts w:ascii="Arial" w:hAnsi="Arial" w:cs="Arial"/>
        </w:rPr>
      </w:pPr>
    </w:p>
    <w:p w14:paraId="1A7F70FC" w14:textId="239A9287" w:rsidR="005F713A" w:rsidRPr="00FB3A86" w:rsidRDefault="005F713A" w:rsidP="00441B6F">
      <w:pPr>
        <w:pStyle w:val="Appendix"/>
        <w:spacing w:after="0"/>
        <w:jc w:val="both"/>
        <w:rPr>
          <w:rFonts w:ascii="Arial" w:hAnsi="Arial" w:cs="Arial"/>
          <w:b w:val="0"/>
        </w:rPr>
        <w:sectPr w:rsidR="005F713A" w:rsidRPr="00FB3A86" w:rsidSect="00873807">
          <w:headerReference w:type="even" r:id="rId84"/>
          <w:headerReference w:type="default" r:id="rId85"/>
          <w:footerReference w:type="default" r:id="rId86"/>
          <w:headerReference w:type="first" r:id="rId87"/>
          <w:type w:val="continuous"/>
          <w:pgSz w:w="12240" w:h="15840"/>
          <w:pgMar w:top="1440" w:right="2016" w:bottom="2016" w:left="2016" w:header="720" w:footer="1123" w:gutter="0"/>
          <w:cols w:space="720"/>
          <w:docGrid w:linePitch="272"/>
        </w:sectPr>
      </w:pPr>
      <w:r>
        <w:fldChar w:fldCharType="begin"/>
      </w:r>
      <w:r>
        <w:instrText xml:space="preserve"> INCLUDEPICTURE "https://chatgpt.com/backend-api/estuary/content?id=file_000000006c44722fb7231740a188b3c1&amp;ts=490240&amp;p=fs&amp;cid=1&amp;sig=ad30e255c81266a42e6b385218c182c80aee3c36a30f147addf9cb42549aa9f4&amp;v=0" \* MERGEFORMATINET </w:instrText>
      </w:r>
      <w:r>
        <w:fldChar w:fldCharType="separate"/>
      </w:r>
      <w:r w:rsidR="001507E4">
        <w:pict w14:anchorId="4F776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enererade bild" style="width:24.25pt;height:24.25pt"/>
        </w:pict>
      </w:r>
      <w:r>
        <w:fldChar w:fldCharType="end"/>
      </w:r>
    </w:p>
    <w:p w14:paraId="261E3AE1" w14:textId="2C600F6E" w:rsidR="00B01FCD" w:rsidRDefault="00444137" w:rsidP="00441B6F">
      <w:pPr>
        <w:pStyle w:val="Appendix"/>
        <w:spacing w:after="0"/>
        <w:jc w:val="both"/>
      </w:pPr>
      <w:r>
        <w:fldChar w:fldCharType="begin"/>
      </w:r>
      <w:r>
        <w:instrText xml:space="preserve"> INCLUDEPICTURE "https://chatgpt.com/backend-api/estuary/content?id=file_000000006c44722fb7231740a188b3c1&amp;ts=490240&amp;p=fs&amp;cid=1&amp;sig=ad30e255c81266a42e6b385218c182c80aee3c36a30f147addf9cb42549aa9f4&amp;v=0" \* MERGEFORMATINET </w:instrText>
      </w:r>
      <w:r>
        <w:fldChar w:fldCharType="separate"/>
      </w:r>
      <w:r w:rsidR="001507E4">
        <w:pict w14:anchorId="37DD078B">
          <v:shape id="_x0000_i1027" type="#_x0000_t75" alt="" style="width:24.25pt;height:24.25pt"/>
        </w:pict>
      </w:r>
      <w:r>
        <w:fldChar w:fldCharType="end"/>
      </w:r>
    </w:p>
    <w:p w14:paraId="18DBC660" w14:textId="77777777" w:rsidR="005E13FE" w:rsidRDefault="005E13FE" w:rsidP="00441B6F">
      <w:pPr>
        <w:pStyle w:val="Appendix"/>
        <w:spacing w:after="0"/>
        <w:jc w:val="both"/>
      </w:pPr>
    </w:p>
    <w:p w14:paraId="00B14ACE" w14:textId="52E79A1D" w:rsidR="005E13FE" w:rsidRPr="00FB3A86" w:rsidRDefault="005E13FE" w:rsidP="00441B6F">
      <w:pPr>
        <w:pStyle w:val="Appendix"/>
        <w:spacing w:after="0"/>
        <w:jc w:val="both"/>
        <w:rPr>
          <w:rFonts w:ascii="Arial" w:hAnsi="Arial" w:cs="Arial"/>
          <w:b w:val="0"/>
        </w:rPr>
      </w:pPr>
    </w:p>
    <w:sectPr w:rsidR="005E13FE" w:rsidRPr="00FB3A86" w:rsidSect="0087380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AC63E" w14:textId="77777777" w:rsidR="001507E4" w:rsidRDefault="001507E4" w:rsidP="00C37E61">
      <w:r>
        <w:separator/>
      </w:r>
    </w:p>
  </w:endnote>
  <w:endnote w:type="continuationSeparator" w:id="0">
    <w:p w14:paraId="7E89B527" w14:textId="77777777" w:rsidR="001507E4" w:rsidRDefault="001507E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8734C" w14:textId="77777777" w:rsidR="00873807" w:rsidRDefault="00873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51BE" w14:textId="77777777" w:rsidR="00873807" w:rsidRDefault="00873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FE01" w14:textId="5F5CB545" w:rsidR="00754C9A" w:rsidRPr="00AF54FE" w:rsidRDefault="00754C9A" w:rsidP="00AF54F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CED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4B12E" w14:textId="77777777" w:rsidR="001507E4" w:rsidRDefault="001507E4" w:rsidP="00C37E61">
      <w:r>
        <w:separator/>
      </w:r>
    </w:p>
  </w:footnote>
  <w:footnote w:type="continuationSeparator" w:id="0">
    <w:p w14:paraId="3E6BFA61" w14:textId="77777777" w:rsidR="001507E4" w:rsidRDefault="001507E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ACDBE" w14:textId="2FB9A4EB" w:rsidR="00873807" w:rsidRDefault="00873807">
    <w:pPr>
      <w:pStyle w:val="Header"/>
    </w:pPr>
    <w:r>
      <w:rPr>
        <w:noProof/>
      </w:rPr>
      <w:pict w14:anchorId="26C00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27F70" w14:textId="6394CB88" w:rsidR="00873807" w:rsidRDefault="00873807">
    <w:pPr>
      <w:pStyle w:val="Header"/>
    </w:pPr>
    <w:r>
      <w:rPr>
        <w:noProof/>
      </w:rPr>
      <w:pict w14:anchorId="76382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7EAF" w14:textId="2188E4AC" w:rsidR="00296529" w:rsidRPr="00296529" w:rsidRDefault="00873807" w:rsidP="00296529">
    <w:pPr>
      <w:ind w:left="2160"/>
      <w:jc w:val="center"/>
      <w:rPr>
        <w:rFonts w:ascii="Times New Roman" w:eastAsia="Calibri" w:hAnsi="Times New Roman"/>
        <w:i/>
        <w:sz w:val="18"/>
        <w:szCs w:val="22"/>
      </w:rPr>
    </w:pPr>
    <w:r>
      <w:rPr>
        <w:noProof/>
      </w:rPr>
      <w:pict w14:anchorId="70FC7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753FBC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BEFED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835EF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DFF7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2DE47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AA1A42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B57E" w14:textId="65E5E60A" w:rsidR="00873807" w:rsidRDefault="00873807">
    <w:pPr>
      <w:pStyle w:val="Header"/>
    </w:pPr>
    <w:r>
      <w:rPr>
        <w:noProof/>
      </w:rPr>
      <w:pict w14:anchorId="2A930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A08D" w14:textId="190736FC" w:rsidR="00873807" w:rsidRDefault="00873807">
    <w:pPr>
      <w:pStyle w:val="Header"/>
    </w:pPr>
    <w:r>
      <w:rPr>
        <w:noProof/>
      </w:rPr>
      <w:pict w14:anchorId="6A069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B8EDE" w14:textId="70FA125A" w:rsidR="00873807" w:rsidRDefault="00873807">
    <w:pPr>
      <w:pStyle w:val="Header"/>
    </w:pPr>
    <w:r>
      <w:rPr>
        <w:noProof/>
      </w:rPr>
      <w:pict w14:anchorId="62FBC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77B2092"/>
    <w:multiLevelType w:val="multilevel"/>
    <w:tmpl w:val="677B20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2DD"/>
    <w:rsid w:val="00030174"/>
    <w:rsid w:val="0004579C"/>
    <w:rsid w:val="000471BE"/>
    <w:rsid w:val="0005722A"/>
    <w:rsid w:val="000740B8"/>
    <w:rsid w:val="00092AEB"/>
    <w:rsid w:val="000A03CE"/>
    <w:rsid w:val="000A1370"/>
    <w:rsid w:val="000A47FA"/>
    <w:rsid w:val="000A65D3"/>
    <w:rsid w:val="000B1E33"/>
    <w:rsid w:val="000C34C5"/>
    <w:rsid w:val="000D689F"/>
    <w:rsid w:val="000E7B7B"/>
    <w:rsid w:val="000E7D62"/>
    <w:rsid w:val="000F1D27"/>
    <w:rsid w:val="000F5C19"/>
    <w:rsid w:val="00103357"/>
    <w:rsid w:val="00123C9F"/>
    <w:rsid w:val="00126190"/>
    <w:rsid w:val="00130F17"/>
    <w:rsid w:val="001320BF"/>
    <w:rsid w:val="00142825"/>
    <w:rsid w:val="001507E4"/>
    <w:rsid w:val="00163BC4"/>
    <w:rsid w:val="00181B81"/>
    <w:rsid w:val="00191062"/>
    <w:rsid w:val="00192B72"/>
    <w:rsid w:val="001A29D8"/>
    <w:rsid w:val="001A5CAA"/>
    <w:rsid w:val="001B0427"/>
    <w:rsid w:val="001D3A51"/>
    <w:rsid w:val="001E10D2"/>
    <w:rsid w:val="001E25B4"/>
    <w:rsid w:val="001E44FE"/>
    <w:rsid w:val="001F112A"/>
    <w:rsid w:val="00200595"/>
    <w:rsid w:val="00204835"/>
    <w:rsid w:val="00221929"/>
    <w:rsid w:val="00227893"/>
    <w:rsid w:val="00231920"/>
    <w:rsid w:val="0023195C"/>
    <w:rsid w:val="00232DB5"/>
    <w:rsid w:val="0024282C"/>
    <w:rsid w:val="002460DC"/>
    <w:rsid w:val="002465CF"/>
    <w:rsid w:val="00250985"/>
    <w:rsid w:val="002556F6"/>
    <w:rsid w:val="00260152"/>
    <w:rsid w:val="00267537"/>
    <w:rsid w:val="00283105"/>
    <w:rsid w:val="00284C4C"/>
    <w:rsid w:val="0028551D"/>
    <w:rsid w:val="00287E68"/>
    <w:rsid w:val="00296529"/>
    <w:rsid w:val="002A1099"/>
    <w:rsid w:val="002B1F79"/>
    <w:rsid w:val="002B27FB"/>
    <w:rsid w:val="002B685A"/>
    <w:rsid w:val="002C3EDB"/>
    <w:rsid w:val="002C57D2"/>
    <w:rsid w:val="002E0D56"/>
    <w:rsid w:val="002F0A32"/>
    <w:rsid w:val="002F3D9F"/>
    <w:rsid w:val="00303174"/>
    <w:rsid w:val="00315186"/>
    <w:rsid w:val="0033343E"/>
    <w:rsid w:val="003512C2"/>
    <w:rsid w:val="0036528C"/>
    <w:rsid w:val="003709FA"/>
    <w:rsid w:val="00371FB6"/>
    <w:rsid w:val="003763C1"/>
    <w:rsid w:val="00376BBE"/>
    <w:rsid w:val="00382881"/>
    <w:rsid w:val="0039224F"/>
    <w:rsid w:val="003936F0"/>
    <w:rsid w:val="003A2C7B"/>
    <w:rsid w:val="003A43A4"/>
    <w:rsid w:val="003A7E18"/>
    <w:rsid w:val="003C4C86"/>
    <w:rsid w:val="003C5B7A"/>
    <w:rsid w:val="003C6258"/>
    <w:rsid w:val="003D52C9"/>
    <w:rsid w:val="003E2904"/>
    <w:rsid w:val="00401927"/>
    <w:rsid w:val="0041027F"/>
    <w:rsid w:val="00412475"/>
    <w:rsid w:val="00421F28"/>
    <w:rsid w:val="00423789"/>
    <w:rsid w:val="0042472C"/>
    <w:rsid w:val="004269EA"/>
    <w:rsid w:val="00440F43"/>
    <w:rsid w:val="00441B6F"/>
    <w:rsid w:val="00444137"/>
    <w:rsid w:val="004444B1"/>
    <w:rsid w:val="00446221"/>
    <w:rsid w:val="00450E62"/>
    <w:rsid w:val="00451FB4"/>
    <w:rsid w:val="004539DB"/>
    <w:rsid w:val="00460258"/>
    <w:rsid w:val="00471A80"/>
    <w:rsid w:val="0047605E"/>
    <w:rsid w:val="00476CF1"/>
    <w:rsid w:val="00487414"/>
    <w:rsid w:val="004A2284"/>
    <w:rsid w:val="004C0DA1"/>
    <w:rsid w:val="004D305E"/>
    <w:rsid w:val="004D4277"/>
    <w:rsid w:val="004E708C"/>
    <w:rsid w:val="00502516"/>
    <w:rsid w:val="00505F06"/>
    <w:rsid w:val="00506828"/>
    <w:rsid w:val="0051656E"/>
    <w:rsid w:val="0053056E"/>
    <w:rsid w:val="0053655C"/>
    <w:rsid w:val="0054603C"/>
    <w:rsid w:val="00554FDA"/>
    <w:rsid w:val="005623F8"/>
    <w:rsid w:val="00575A99"/>
    <w:rsid w:val="00577851"/>
    <w:rsid w:val="00593EE1"/>
    <w:rsid w:val="00596DFB"/>
    <w:rsid w:val="005C784C"/>
    <w:rsid w:val="005D17F6"/>
    <w:rsid w:val="005D5FD9"/>
    <w:rsid w:val="005D661E"/>
    <w:rsid w:val="005E13FE"/>
    <w:rsid w:val="005E4E45"/>
    <w:rsid w:val="005E5539"/>
    <w:rsid w:val="005F166D"/>
    <w:rsid w:val="005F626B"/>
    <w:rsid w:val="005F713A"/>
    <w:rsid w:val="00602BF5"/>
    <w:rsid w:val="00613F04"/>
    <w:rsid w:val="00617FDD"/>
    <w:rsid w:val="00633614"/>
    <w:rsid w:val="00633F68"/>
    <w:rsid w:val="00636A80"/>
    <w:rsid w:val="00636EB2"/>
    <w:rsid w:val="006375B8"/>
    <w:rsid w:val="0066510A"/>
    <w:rsid w:val="00673F9F"/>
    <w:rsid w:val="00686953"/>
    <w:rsid w:val="006879CB"/>
    <w:rsid w:val="00687DEA"/>
    <w:rsid w:val="00687E67"/>
    <w:rsid w:val="006967F7"/>
    <w:rsid w:val="006A250C"/>
    <w:rsid w:val="006A5571"/>
    <w:rsid w:val="006B21D3"/>
    <w:rsid w:val="006B57D0"/>
    <w:rsid w:val="006C1094"/>
    <w:rsid w:val="006D0C70"/>
    <w:rsid w:val="006D30FF"/>
    <w:rsid w:val="006D6940"/>
    <w:rsid w:val="006F024A"/>
    <w:rsid w:val="006F11EC"/>
    <w:rsid w:val="0070082C"/>
    <w:rsid w:val="0071763E"/>
    <w:rsid w:val="00721BE0"/>
    <w:rsid w:val="00730DAA"/>
    <w:rsid w:val="007369E6"/>
    <w:rsid w:val="00745DF7"/>
    <w:rsid w:val="00746E59"/>
    <w:rsid w:val="00754C9A"/>
    <w:rsid w:val="0075599A"/>
    <w:rsid w:val="00761D52"/>
    <w:rsid w:val="00762722"/>
    <w:rsid w:val="00762BE8"/>
    <w:rsid w:val="0077749E"/>
    <w:rsid w:val="0078556B"/>
    <w:rsid w:val="00790ADA"/>
    <w:rsid w:val="007C0D5E"/>
    <w:rsid w:val="007C0DF2"/>
    <w:rsid w:val="007C58D4"/>
    <w:rsid w:val="007D2288"/>
    <w:rsid w:val="007E088F"/>
    <w:rsid w:val="007E109A"/>
    <w:rsid w:val="007F5715"/>
    <w:rsid w:val="007F7B32"/>
    <w:rsid w:val="00804BC2"/>
    <w:rsid w:val="0080641B"/>
    <w:rsid w:val="0081431A"/>
    <w:rsid w:val="00830B02"/>
    <w:rsid w:val="0083216F"/>
    <w:rsid w:val="00854A52"/>
    <w:rsid w:val="00860000"/>
    <w:rsid w:val="00863BD3"/>
    <w:rsid w:val="008641ED"/>
    <w:rsid w:val="00866D66"/>
    <w:rsid w:val="008671C6"/>
    <w:rsid w:val="00873807"/>
    <w:rsid w:val="00875803"/>
    <w:rsid w:val="0089460E"/>
    <w:rsid w:val="008A150D"/>
    <w:rsid w:val="008B459E"/>
    <w:rsid w:val="008D5E12"/>
    <w:rsid w:val="008D7F94"/>
    <w:rsid w:val="008E13AE"/>
    <w:rsid w:val="008E1506"/>
    <w:rsid w:val="008E710C"/>
    <w:rsid w:val="008F69D6"/>
    <w:rsid w:val="00902823"/>
    <w:rsid w:val="009051F7"/>
    <w:rsid w:val="00915CA6"/>
    <w:rsid w:val="00927834"/>
    <w:rsid w:val="00936B67"/>
    <w:rsid w:val="009500A6"/>
    <w:rsid w:val="009559E0"/>
    <w:rsid w:val="00956A63"/>
    <w:rsid w:val="00957C18"/>
    <w:rsid w:val="009659BA"/>
    <w:rsid w:val="00983040"/>
    <w:rsid w:val="009B3FB9"/>
    <w:rsid w:val="009C2465"/>
    <w:rsid w:val="009D0FEB"/>
    <w:rsid w:val="009D35A0"/>
    <w:rsid w:val="009D7EB7"/>
    <w:rsid w:val="009E048A"/>
    <w:rsid w:val="009E08E9"/>
    <w:rsid w:val="009E3DB9"/>
    <w:rsid w:val="009E6E35"/>
    <w:rsid w:val="009F0EDA"/>
    <w:rsid w:val="00A0275C"/>
    <w:rsid w:val="00A03B96"/>
    <w:rsid w:val="00A042F9"/>
    <w:rsid w:val="00A05B19"/>
    <w:rsid w:val="00A1134E"/>
    <w:rsid w:val="00A14D3C"/>
    <w:rsid w:val="00A24E7E"/>
    <w:rsid w:val="00A258C3"/>
    <w:rsid w:val="00A347C0"/>
    <w:rsid w:val="00A51431"/>
    <w:rsid w:val="00A539AD"/>
    <w:rsid w:val="00A711EB"/>
    <w:rsid w:val="00A94063"/>
    <w:rsid w:val="00AA6219"/>
    <w:rsid w:val="00AA74E0"/>
    <w:rsid w:val="00AB52EA"/>
    <w:rsid w:val="00AB703F"/>
    <w:rsid w:val="00AC41E5"/>
    <w:rsid w:val="00AC6BB8"/>
    <w:rsid w:val="00AC7C3C"/>
    <w:rsid w:val="00AD2110"/>
    <w:rsid w:val="00AE008F"/>
    <w:rsid w:val="00AF0679"/>
    <w:rsid w:val="00AF54FE"/>
    <w:rsid w:val="00B01FCD"/>
    <w:rsid w:val="00B1170C"/>
    <w:rsid w:val="00B1776C"/>
    <w:rsid w:val="00B345C6"/>
    <w:rsid w:val="00B40056"/>
    <w:rsid w:val="00B52583"/>
    <w:rsid w:val="00B52896"/>
    <w:rsid w:val="00B53D30"/>
    <w:rsid w:val="00B56B5F"/>
    <w:rsid w:val="00B64C0F"/>
    <w:rsid w:val="00B7031F"/>
    <w:rsid w:val="00B73935"/>
    <w:rsid w:val="00B751A1"/>
    <w:rsid w:val="00B75298"/>
    <w:rsid w:val="00B95236"/>
    <w:rsid w:val="00B96BD9"/>
    <w:rsid w:val="00BA1B01"/>
    <w:rsid w:val="00BA2641"/>
    <w:rsid w:val="00BA4B38"/>
    <w:rsid w:val="00BA4C76"/>
    <w:rsid w:val="00BB37AA"/>
    <w:rsid w:val="00BB5C4D"/>
    <w:rsid w:val="00BC445B"/>
    <w:rsid w:val="00BC53A0"/>
    <w:rsid w:val="00BD42FA"/>
    <w:rsid w:val="00BE62AD"/>
    <w:rsid w:val="00BF121F"/>
    <w:rsid w:val="00BF1F80"/>
    <w:rsid w:val="00C166EF"/>
    <w:rsid w:val="00C17EB0"/>
    <w:rsid w:val="00C27F5F"/>
    <w:rsid w:val="00C30A0F"/>
    <w:rsid w:val="00C37E61"/>
    <w:rsid w:val="00C64FEA"/>
    <w:rsid w:val="00C6588D"/>
    <w:rsid w:val="00C70F1B"/>
    <w:rsid w:val="00C71A47"/>
    <w:rsid w:val="00C7464C"/>
    <w:rsid w:val="00C85588"/>
    <w:rsid w:val="00CB19A6"/>
    <w:rsid w:val="00CB7B1B"/>
    <w:rsid w:val="00CC1312"/>
    <w:rsid w:val="00CC47DE"/>
    <w:rsid w:val="00CD45A9"/>
    <w:rsid w:val="00CD6755"/>
    <w:rsid w:val="00CD6856"/>
    <w:rsid w:val="00CE0089"/>
    <w:rsid w:val="00CE793C"/>
    <w:rsid w:val="00CF193C"/>
    <w:rsid w:val="00D029A6"/>
    <w:rsid w:val="00D173F1"/>
    <w:rsid w:val="00D30456"/>
    <w:rsid w:val="00D65703"/>
    <w:rsid w:val="00D74CB0"/>
    <w:rsid w:val="00D75A47"/>
    <w:rsid w:val="00D8295D"/>
    <w:rsid w:val="00DC2A65"/>
    <w:rsid w:val="00DE10D4"/>
    <w:rsid w:val="00DE15F0"/>
    <w:rsid w:val="00DE313E"/>
    <w:rsid w:val="00DE5663"/>
    <w:rsid w:val="00DE78AA"/>
    <w:rsid w:val="00E053D0"/>
    <w:rsid w:val="00E06575"/>
    <w:rsid w:val="00E15994"/>
    <w:rsid w:val="00E15ED1"/>
    <w:rsid w:val="00E3114E"/>
    <w:rsid w:val="00E31A70"/>
    <w:rsid w:val="00E35B02"/>
    <w:rsid w:val="00E46B93"/>
    <w:rsid w:val="00E66496"/>
    <w:rsid w:val="00E66B35"/>
    <w:rsid w:val="00E66E10"/>
    <w:rsid w:val="00E769F6"/>
    <w:rsid w:val="00E8407C"/>
    <w:rsid w:val="00E84F3C"/>
    <w:rsid w:val="00E9477E"/>
    <w:rsid w:val="00E976BE"/>
    <w:rsid w:val="00EA012C"/>
    <w:rsid w:val="00EB0828"/>
    <w:rsid w:val="00EC6A55"/>
    <w:rsid w:val="00EC7DBF"/>
    <w:rsid w:val="00ED0288"/>
    <w:rsid w:val="00EE52CB"/>
    <w:rsid w:val="00EF581D"/>
    <w:rsid w:val="00EF7FD8"/>
    <w:rsid w:val="00F06F59"/>
    <w:rsid w:val="00F17413"/>
    <w:rsid w:val="00F17988"/>
    <w:rsid w:val="00F43A37"/>
    <w:rsid w:val="00F469F0"/>
    <w:rsid w:val="00F53273"/>
    <w:rsid w:val="00F755E4"/>
    <w:rsid w:val="00F77D02"/>
    <w:rsid w:val="00FB3A86"/>
    <w:rsid w:val="00FD36C8"/>
    <w:rsid w:val="00FF2979"/>
    <w:rsid w:val="00FF59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1C293C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qFormat/>
    <w:rsid w:val="00AF0679"/>
    <w:pPr>
      <w:spacing w:before="100" w:beforeAutospacing="1" w:after="100" w:afterAutospacing="1"/>
    </w:pPr>
    <w:rPr>
      <w:rFonts w:ascii="Times New Roman" w:hAnsi="Times New Roman"/>
      <w:sz w:val="24"/>
      <w:szCs w:val="24"/>
      <w:lang w:val="sv-SE" w:eastAsia="sv-SE"/>
    </w:rPr>
  </w:style>
  <w:style w:type="character" w:customStyle="1" w:styleId="Olstomnmnande1">
    <w:name w:val="Olöst omnämnande1"/>
    <w:basedOn w:val="DefaultParagraphFont"/>
    <w:uiPriority w:val="99"/>
    <w:semiHidden/>
    <w:unhideWhenUsed/>
    <w:qFormat/>
    <w:rsid w:val="00D75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077439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6150104">
      <w:bodyDiv w:val="1"/>
      <w:marLeft w:val="0"/>
      <w:marRight w:val="0"/>
      <w:marTop w:val="0"/>
      <w:marBottom w:val="0"/>
      <w:divBdr>
        <w:top w:val="none" w:sz="0" w:space="0" w:color="auto"/>
        <w:left w:val="none" w:sz="0" w:space="0" w:color="auto"/>
        <w:bottom w:val="none" w:sz="0" w:space="0" w:color="auto"/>
        <w:right w:val="none" w:sz="0" w:space="0" w:color="auto"/>
      </w:divBdr>
    </w:div>
    <w:div w:id="79929809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17860086">
      <w:bodyDiv w:val="1"/>
      <w:marLeft w:val="0"/>
      <w:marRight w:val="0"/>
      <w:marTop w:val="0"/>
      <w:marBottom w:val="0"/>
      <w:divBdr>
        <w:top w:val="none" w:sz="0" w:space="0" w:color="auto"/>
        <w:left w:val="none" w:sz="0" w:space="0" w:color="auto"/>
        <w:bottom w:val="none" w:sz="0" w:space="0" w:color="auto"/>
        <w:right w:val="none" w:sz="0" w:space="0" w:color="auto"/>
      </w:divBdr>
    </w:div>
    <w:div w:id="122802873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75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agriculture12040464" TargetMode="External"/><Relationship Id="rId21" Type="http://schemas.openxmlformats.org/officeDocument/2006/relationships/image" Target="media/image8.png"/><Relationship Id="rId42" Type="http://schemas.openxmlformats.org/officeDocument/2006/relationships/hyperlink" Target="https://doi.org/10.1093/jxb/erw079" TargetMode="External"/><Relationship Id="rId47" Type="http://schemas.openxmlformats.org/officeDocument/2006/relationships/hyperlink" Target="https://doi.org/10.1021/acsagscitech.3c00588" TargetMode="External"/><Relationship Id="rId63" Type="http://schemas.openxmlformats.org/officeDocument/2006/relationships/hyperlink" Target="https://doi.org/10.3390/v12121462" TargetMode="External"/><Relationship Id="rId68" Type="http://schemas.openxmlformats.org/officeDocument/2006/relationships/hyperlink" Target="https://doi.org/10.32474/DDIPIJ.2018.02.000145" TargetMode="External"/><Relationship Id="rId84" Type="http://schemas.openxmlformats.org/officeDocument/2006/relationships/header" Target="header4.xml"/><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yperlink" Target="https://doi.org/10.1007/s13280-017-0965-z" TargetMode="External"/><Relationship Id="rId37" Type="http://schemas.openxmlformats.org/officeDocument/2006/relationships/hyperlink" Target="https://doi.org/10.2779/055584" TargetMode="External"/><Relationship Id="rId53" Type="http://schemas.openxmlformats.org/officeDocument/2006/relationships/hyperlink" Target="https://www.thelancet.com/series/one-health-and-global-health-security" TargetMode="External"/><Relationship Id="rId58" Type="http://schemas.openxmlformats.org/officeDocument/2006/relationships/hyperlink" Target="https://doi.org/10.3389/fpubh.2022.1056459" TargetMode="External"/><Relationship Id="rId74" Type="http://schemas.openxmlformats.org/officeDocument/2006/relationships/hyperlink" Target="https://doi.org/10.5829/idosi.ijmr.2012.3.1.61103" TargetMode="External"/><Relationship Id="rId79" Type="http://schemas.openxmlformats.org/officeDocument/2006/relationships/hyperlink" Target="https://undocs.org/pdf?symbol=en/A/RES/73/284" TargetMode="External"/><Relationship Id="rId5"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07/978-94-011-1344-1V" TargetMode="External"/><Relationship Id="rId30" Type="http://schemas.openxmlformats.org/officeDocument/2006/relationships/hyperlink" Target="https://doi.org/10.4103/ijnpnd.ijnpnd_24_17" TargetMode="External"/><Relationship Id="rId35" Type="http://schemas.openxmlformats.org/officeDocument/2006/relationships/hyperlink" Target="https://doi.org/10.3389/fvets.2018.00014" TargetMode="External"/><Relationship Id="rId43" Type="http://schemas.openxmlformats.org/officeDocument/2006/relationships/hyperlink" Target="https://doi.org/10.1136/vr.g143" TargetMode="External"/><Relationship Id="rId48" Type="http://schemas.openxmlformats.org/officeDocument/2006/relationships/hyperlink" Target="https://doi.org/10.1007/s13593-021-00742-8" TargetMode="External"/><Relationship Id="rId56" Type="http://schemas.openxmlformats.org/officeDocument/2006/relationships/hyperlink" Target="https://doi.org/10.1007/978-4-431-55120-1_8" TargetMode="External"/><Relationship Id="rId64" Type="http://schemas.openxmlformats.org/officeDocument/2006/relationships/hyperlink" Target="https://doi.org/10.1016/B978-0-12-809270-5.00015-7" TargetMode="External"/><Relationship Id="rId69" Type="http://schemas.openxmlformats.org/officeDocument/2006/relationships/hyperlink" Target="https://www.isca.in/rjcs/Archives/v3/i6/3.ISCA-RJCS-2013-061.pdf" TargetMode="External"/><Relationship Id="rId77" Type="http://schemas.openxmlformats.org/officeDocument/2006/relationships/hyperlink" Target="https://doi.org/10.3389/fpubh.2018.00235" TargetMode="External"/><Relationship Id="rId8" Type="http://schemas.openxmlformats.org/officeDocument/2006/relationships/header" Target="header1.xml"/><Relationship Id="rId51" Type="http://schemas.openxmlformats.org/officeDocument/2006/relationships/hyperlink" Target="https://doi.org/10.1111/1462-2920.15028" TargetMode="External"/><Relationship Id="rId72" Type="http://schemas.openxmlformats.org/officeDocument/2006/relationships/hyperlink" Target="https://doi.org/10.1186/s44280-023-00011-1" TargetMode="External"/><Relationship Id="rId80" Type="http://schemas.openxmlformats.org/officeDocument/2006/relationships/hyperlink" Target="https://www.woah.org/en/quadripartite-call-to-action-for-one-health-for-a-safer-world/"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38/s41579-022-00779-w" TargetMode="External"/><Relationship Id="rId38" Type="http://schemas.openxmlformats.org/officeDocument/2006/relationships/hyperlink" Target="https://doi.org/10.2779/055584" TargetMode="External"/><Relationship Id="rId46" Type="http://schemas.openxmlformats.org/officeDocument/2006/relationships/hyperlink" Target="https://doi.org/10.1038/s41467-024-49417-4" TargetMode="External"/><Relationship Id="rId59" Type="http://schemas.openxmlformats.org/officeDocument/2006/relationships/hyperlink" Target="https://doi.org/10.1016/0143-148X(80)90017-8" TargetMode="External"/><Relationship Id="rId67" Type="http://schemas.openxmlformats.org/officeDocument/2006/relationships/hyperlink" Target="https://shodhgangotri.inflibnet.ac.in:8443/jspui/bitstream/20.500.14146/3557/1/01_title.pdf" TargetMode="External"/><Relationship Id="rId20" Type="http://schemas.openxmlformats.org/officeDocument/2006/relationships/image" Target="media/image7.png"/><Relationship Id="rId41" Type="http://schemas.openxmlformats.org/officeDocument/2006/relationships/hyperlink" Target="https://doi.org/10.1016/j.heliyon.2024.e29128" TargetMode="External"/><Relationship Id="rId54" Type="http://schemas.openxmlformats.org/officeDocument/2006/relationships/hyperlink" Target="https://doi.org/10.3390/tropicalmed4020088" TargetMode="External"/><Relationship Id="rId62" Type="http://schemas.openxmlformats.org/officeDocument/2006/relationships/hyperlink" Target="https://doi.org/10.3390/bioengineering8070092" TargetMode="External"/><Relationship Id="rId70" Type="http://schemas.openxmlformats.org/officeDocument/2006/relationships/hyperlink" Target="https://library.wur.nl/WebQuery/wurpubs/fulltext/wurpubs_full_text_report_357.pdf" TargetMode="External"/><Relationship Id="rId75" Type="http://schemas.openxmlformats.org/officeDocument/2006/relationships/hyperlink" Target="https://www.ncbi.nlm.nih.gov/books/NBK482183/" TargetMode="External"/><Relationship Id="rId83" Type="http://schemas.openxmlformats.org/officeDocument/2006/relationships/hyperlink" Target="https://doi.org/10.1016/j.soh.2022.100001"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https://doi.org/10.1088/1755-1315/1213/1/012107" TargetMode="External"/><Relationship Id="rId36" Type="http://schemas.openxmlformats.org/officeDocument/2006/relationships/hyperlink" Target="https://doi.org/10.2762/457165" TargetMode="External"/><Relationship Id="rId49" Type="http://schemas.openxmlformats.org/officeDocument/2006/relationships/hyperlink" Target="https://www.jstor.org/stable/2465863?seq=1" TargetMode="External"/><Relationship Id="rId57" Type="http://schemas.openxmlformats.org/officeDocument/2006/relationships/hyperlink" Target="https://doi.org/10.1139/facets-2021-0190" TargetMode="External"/><Relationship Id="rId10" Type="http://schemas.openxmlformats.org/officeDocument/2006/relationships/footer" Target="footer1.xml"/><Relationship Id="rId31" Type="http://schemas.openxmlformats.org/officeDocument/2006/relationships/hyperlink" Target="https://www.epa.gov/pesticides/pesticides-industry-sales-and-usage-2008-2012-market-estimates" TargetMode="External"/><Relationship Id="rId44" Type="http://schemas.openxmlformats.org/officeDocument/2006/relationships/hyperlink" Target="https://doi.org/10.1016/bs.agron.2019.10.003" TargetMode="External"/><Relationship Id="rId52" Type="http://schemas.openxmlformats.org/officeDocument/2006/relationships/hyperlink" Target="https://doi.org/10.1016/j.scitotenv.2016.09.009" TargetMode="External"/><Relationship Id="rId60" Type="http://schemas.openxmlformats.org/officeDocument/2006/relationships/hyperlink" Target="https://doi.org/10.1038/s41467-023-40293-y" TargetMode="External"/><Relationship Id="rId65" Type="http://schemas.openxmlformats.org/officeDocument/2006/relationships/hyperlink" Target="https://doi.org/10.1016/0016-7061(70)90002-9" TargetMode="External"/><Relationship Id="rId73" Type="http://schemas.openxmlformats.org/officeDocument/2006/relationships/hyperlink" Target="https://doi.org/10.1038/s41467-023-40293-y" TargetMode="External"/><Relationship Id="rId78" Type="http://schemas.openxmlformats.org/officeDocument/2006/relationships/hyperlink" Target="https://doi.org/10.1016/j.soh.2022.100001" TargetMode="External"/><Relationship Id="rId81" Type="http://schemas.openxmlformats.org/officeDocument/2006/relationships/hyperlink" Target="https://doi.org/10.5772/17513" TargetMode="Externa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4060/cb4894en" TargetMode="External"/><Relationship Id="rId34" Type="http://schemas.openxmlformats.org/officeDocument/2006/relationships/hyperlink" Target="https://doi.org/10.1186/s42522-024-00111-x" TargetMode="External"/><Relationship Id="rId50" Type="http://schemas.openxmlformats.org/officeDocument/2006/relationships/hyperlink" Target="https://doi.org/10.1038/543S47a" TargetMode="External"/><Relationship Id="rId55" Type="http://schemas.openxmlformats.org/officeDocument/2006/relationships/hyperlink" Target="https://doi.org/10.3390/tropicalmed4020088" TargetMode="External"/><Relationship Id="rId76" Type="http://schemas.openxmlformats.org/officeDocument/2006/relationships/hyperlink" Target="https://doi.org/10.1016/j.coesh.2020.08.005" TargetMode="External"/><Relationship Id="rId7" Type="http://schemas.openxmlformats.org/officeDocument/2006/relationships/endnotes" Target="endnotes.xml"/><Relationship Id="rId71" Type="http://schemas.openxmlformats.org/officeDocument/2006/relationships/hyperlink" Target="https://doi.org/10.1104/pp.111.175232" TargetMode="External"/><Relationship Id="rId2" Type="http://schemas.openxmlformats.org/officeDocument/2006/relationships/numbering" Target="numbering.xml"/><Relationship Id="rId29" Type="http://schemas.openxmlformats.org/officeDocument/2006/relationships/hyperlink" Target="https://doi.org/10.7176/JEES/12-12-02" TargetMode="External"/><Relationship Id="rId24" Type="http://schemas.openxmlformats.org/officeDocument/2006/relationships/image" Target="media/image11.emf"/><Relationship Id="rId40" Type="http://schemas.openxmlformats.org/officeDocument/2006/relationships/hyperlink" Target="https://iris.who.int/bitstream/handle/10665/375700/9789240106208-eng.pdf" TargetMode="External"/><Relationship Id="rId45" Type="http://schemas.openxmlformats.org/officeDocument/2006/relationships/hyperlink" Target="https://doi.org/10.1016/j.ecoenv.2022.114408" TargetMode="External"/><Relationship Id="rId66" Type="http://schemas.openxmlformats.org/officeDocument/2006/relationships/hyperlink" Target="https://doi.org/10.1021/acs.est.2c03397" TargetMode="External"/><Relationship Id="rId87" Type="http://schemas.openxmlformats.org/officeDocument/2006/relationships/header" Target="header6.xml"/><Relationship Id="rId61" Type="http://schemas.openxmlformats.org/officeDocument/2006/relationships/hyperlink" Target="https://doi.org/10.1038/s41579-023-00980-5" TargetMode="External"/><Relationship Id="rId82" Type="http://schemas.openxmlformats.org/officeDocument/2006/relationships/hyperlink" Target="https://doi.org/10.1016/j.seh.2023.100031" TargetMode="External"/><Relationship Id="rId1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4A964-92DB-41A2-B0B9-85DD28E9A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167</TotalTime>
  <Pages>33</Pages>
  <Words>10756</Words>
  <Characters>61315</Characters>
  <Application>Microsoft Office Word</Application>
  <DocSecurity>0</DocSecurity>
  <Lines>510</Lines>
  <Paragraphs>143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71928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142</cp:revision>
  <cp:lastPrinted>1999-07-06T11:00:00Z</cp:lastPrinted>
  <dcterms:created xsi:type="dcterms:W3CDTF">2014-10-25T14:34:00Z</dcterms:created>
  <dcterms:modified xsi:type="dcterms:W3CDTF">2025-12-06T13:36:00Z</dcterms:modified>
</cp:coreProperties>
</file>